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charts/chart1.xml" ContentType="application/vnd.openxmlformats-officedocument.drawingml.chart+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5D85" w:rsidRPr="007B2462" w:rsidRDefault="00965D85" w:rsidP="00DF54C9">
      <w:pPr>
        <w:pBdr>
          <w:bottom w:val="single" w:sz="12" w:space="0" w:color="auto"/>
        </w:pBdr>
        <w:spacing w:before="1560"/>
        <w:jc w:val="center"/>
        <w:rPr>
          <w:rFonts w:ascii="Calibri" w:hAnsi="Calibri"/>
          <w:b/>
          <w:sz w:val="52"/>
          <w:szCs w:val="52"/>
        </w:rPr>
      </w:pPr>
      <w:r w:rsidRPr="007B2462">
        <w:rPr>
          <w:rFonts w:ascii="Calibri" w:hAnsi="Calibri"/>
          <w:b/>
          <w:sz w:val="52"/>
          <w:szCs w:val="52"/>
        </w:rPr>
        <w:t>201</w:t>
      </w:r>
      <w:r>
        <w:rPr>
          <w:rFonts w:ascii="Calibri" w:hAnsi="Calibri"/>
          <w:b/>
          <w:sz w:val="52"/>
          <w:szCs w:val="52"/>
        </w:rPr>
        <w:t>5</w:t>
      </w:r>
      <w:r>
        <w:rPr>
          <w:rFonts w:ascii="Calibri" w:hAnsi="Calibri"/>
          <w:b/>
          <w:sz w:val="52"/>
          <w:szCs w:val="52"/>
        </w:rPr>
        <w:noBreakHyphen/>
        <w:t>16</w:t>
      </w:r>
    </w:p>
    <w:p w:rsidR="00965D85" w:rsidRDefault="00965D85" w:rsidP="00DF54C9">
      <w:pPr>
        <w:jc w:val="center"/>
        <w:rPr>
          <w:rFonts w:ascii="Calibri" w:hAnsi="Calibri"/>
          <w:sz w:val="30"/>
          <w:szCs w:val="30"/>
        </w:rPr>
      </w:pPr>
      <w:r>
        <w:rPr>
          <w:rFonts w:ascii="Calibri" w:hAnsi="Calibri"/>
          <w:b/>
          <w:sz w:val="52"/>
          <w:szCs w:val="52"/>
        </w:rPr>
        <w:t>Budget Update</w:t>
      </w:r>
    </w:p>
    <w:p w:rsidR="00965D85" w:rsidRPr="007B2462" w:rsidRDefault="00965D85" w:rsidP="00DF54C9">
      <w:pPr>
        <w:jc w:val="center"/>
        <w:rPr>
          <w:rFonts w:ascii="Calibri" w:hAnsi="Calibri"/>
          <w:sz w:val="30"/>
          <w:szCs w:val="30"/>
        </w:rPr>
      </w:pPr>
    </w:p>
    <w:p w:rsidR="00965D85" w:rsidRPr="007B2462" w:rsidRDefault="00965D85" w:rsidP="00DF54C9">
      <w:pPr>
        <w:jc w:val="center"/>
      </w:pPr>
      <w:r w:rsidRPr="00D26163">
        <w:rPr>
          <w:rFonts w:ascii="Calibri" w:hAnsi="Calibri" w:cs="Calibri"/>
          <w:noProof/>
          <w:lang w:eastAsia="en-AU"/>
        </w:rPr>
        <w:drawing>
          <wp:inline distT="0" distB="0" distL="0" distR="0" wp14:anchorId="6F897099" wp14:editId="06B19D43">
            <wp:extent cx="940435" cy="11474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40435" cy="1147445"/>
                    </a:xfrm>
                    <a:prstGeom prst="rect">
                      <a:avLst/>
                    </a:prstGeom>
                    <a:noFill/>
                    <a:ln>
                      <a:noFill/>
                    </a:ln>
                  </pic:spPr>
                </pic:pic>
              </a:graphicData>
            </a:graphic>
          </wp:inline>
        </w:drawing>
      </w:r>
    </w:p>
    <w:p w:rsidR="00965D85" w:rsidRPr="007B2462" w:rsidRDefault="00965D85" w:rsidP="00DF54C9">
      <w:pPr>
        <w:jc w:val="center"/>
        <w:rPr>
          <w:sz w:val="36"/>
          <w:szCs w:val="36"/>
        </w:rPr>
      </w:pPr>
    </w:p>
    <w:p w:rsidR="00965D85" w:rsidRPr="007B2462" w:rsidRDefault="00965D85" w:rsidP="00DF54C9">
      <w:pPr>
        <w:jc w:val="center"/>
        <w:rPr>
          <w:sz w:val="36"/>
          <w:szCs w:val="36"/>
        </w:rPr>
      </w:pPr>
    </w:p>
    <w:p w:rsidR="00965D85" w:rsidRPr="007B2462" w:rsidRDefault="00965D85" w:rsidP="00DF54C9">
      <w:pPr>
        <w:jc w:val="center"/>
        <w:rPr>
          <w:sz w:val="36"/>
          <w:szCs w:val="36"/>
        </w:rPr>
      </w:pPr>
    </w:p>
    <w:p w:rsidR="00965D85" w:rsidRPr="007B2462" w:rsidRDefault="00965D85" w:rsidP="00DF54C9">
      <w:pPr>
        <w:jc w:val="center"/>
        <w:rPr>
          <w:rFonts w:ascii="Calibri" w:hAnsi="Calibri"/>
          <w:sz w:val="28"/>
          <w:szCs w:val="28"/>
        </w:rPr>
      </w:pPr>
      <w:r w:rsidRPr="007B2462">
        <w:rPr>
          <w:rFonts w:ascii="Calibri" w:hAnsi="Calibri"/>
          <w:sz w:val="28"/>
          <w:szCs w:val="28"/>
        </w:rPr>
        <w:t>Presented by</w:t>
      </w:r>
    </w:p>
    <w:p w:rsidR="00965D85" w:rsidRPr="00D26163" w:rsidRDefault="00965D85" w:rsidP="00DF54C9">
      <w:pPr>
        <w:jc w:val="center"/>
        <w:rPr>
          <w:rFonts w:ascii="Calibri" w:hAnsi="Calibri" w:cs="Calibri"/>
          <w:b/>
          <w:sz w:val="36"/>
          <w:szCs w:val="36"/>
        </w:rPr>
      </w:pPr>
      <w:r w:rsidRPr="00D26163">
        <w:rPr>
          <w:rFonts w:ascii="Calibri" w:hAnsi="Calibri" w:cs="Calibri"/>
          <w:b/>
          <w:sz w:val="36"/>
          <w:szCs w:val="36"/>
        </w:rPr>
        <w:t>Tim Pallas MP</w:t>
      </w:r>
    </w:p>
    <w:p w:rsidR="00965D85" w:rsidRPr="00D26163" w:rsidRDefault="00965D85" w:rsidP="00DF54C9">
      <w:pPr>
        <w:jc w:val="center"/>
        <w:rPr>
          <w:rFonts w:ascii="Calibri" w:hAnsi="Calibri" w:cs="Calibri"/>
          <w:sz w:val="28"/>
          <w:szCs w:val="28"/>
        </w:rPr>
      </w:pPr>
      <w:r w:rsidRPr="00D26163">
        <w:rPr>
          <w:rFonts w:ascii="Calibri" w:hAnsi="Calibri" w:cs="Calibri"/>
          <w:sz w:val="28"/>
          <w:szCs w:val="28"/>
        </w:rPr>
        <w:t>Treasurer of the State of Victoria</w:t>
      </w:r>
    </w:p>
    <w:p w:rsidR="00965D85" w:rsidRPr="007B2462" w:rsidRDefault="00965D85" w:rsidP="00DF54C9">
      <w:pPr>
        <w:jc w:val="center"/>
        <w:rPr>
          <w:rFonts w:ascii="Calibri" w:hAnsi="Calibri"/>
          <w:sz w:val="30"/>
          <w:szCs w:val="30"/>
        </w:rPr>
      </w:pPr>
      <w:r w:rsidRPr="007B2462">
        <w:rPr>
          <w:rFonts w:ascii="Calibri" w:hAnsi="Calibri"/>
          <w:sz w:val="30"/>
          <w:szCs w:val="30"/>
        </w:rPr>
        <w:t>for the information of Honourable Members</w:t>
      </w:r>
    </w:p>
    <w:p w:rsidR="00965D85" w:rsidRDefault="00965D85" w:rsidP="00DF54C9"/>
    <w:p w:rsidR="00965D85" w:rsidRDefault="00965D85" w:rsidP="00DF54C9"/>
    <w:p w:rsidR="00965D85" w:rsidRDefault="00965D85" w:rsidP="00DF54C9"/>
    <w:p w:rsidR="0012158C" w:rsidRDefault="0012158C" w:rsidP="0012158C">
      <w:pPr>
        <w:rPr>
          <w:rFonts w:ascii="Calibri Light" w:hAnsi="Calibri Light"/>
          <w:sz w:val="16"/>
          <w:szCs w:val="16"/>
        </w:rPr>
        <w:sectPr w:rsidR="0012158C" w:rsidSect="00705A1D">
          <w:footerReference w:type="even" r:id="rId10"/>
          <w:footerReference w:type="default" r:id="rId11"/>
          <w:type w:val="oddPage"/>
          <w:pgSz w:w="9979" w:h="14175" w:code="9"/>
          <w:pgMar w:top="1140" w:right="1140" w:bottom="1140" w:left="1140" w:header="720" w:footer="431" w:gutter="0"/>
          <w:cols w:space="708"/>
          <w:docGrid w:linePitch="360"/>
        </w:sectPr>
      </w:pPr>
    </w:p>
    <w:p w:rsidR="0012158C" w:rsidRPr="0012158C" w:rsidRDefault="0012158C" w:rsidP="0012158C">
      <w:pPr>
        <w:rPr>
          <w:rFonts w:ascii="Calibri Light" w:hAnsi="Calibri Light"/>
          <w:sz w:val="16"/>
          <w:szCs w:val="16"/>
        </w:rPr>
      </w:pPr>
      <w:r w:rsidRPr="0012158C">
        <w:rPr>
          <w:rFonts w:ascii="Calibri Light" w:hAnsi="Calibri Light"/>
          <w:sz w:val="16"/>
          <w:szCs w:val="16"/>
        </w:rPr>
        <w:lastRenderedPageBreak/>
        <w:t>The Secretary</w:t>
      </w:r>
      <w:r>
        <w:rPr>
          <w:rFonts w:ascii="Calibri Light" w:hAnsi="Calibri Light"/>
          <w:sz w:val="16"/>
          <w:szCs w:val="16"/>
        </w:rPr>
        <w:br/>
      </w:r>
      <w:r w:rsidRPr="0012158C">
        <w:rPr>
          <w:rFonts w:ascii="Calibri Light" w:hAnsi="Calibri Light"/>
          <w:sz w:val="16"/>
          <w:szCs w:val="16"/>
        </w:rPr>
        <w:t>Department of Treasury and Finance</w:t>
      </w:r>
      <w:r>
        <w:rPr>
          <w:rFonts w:ascii="Calibri Light" w:hAnsi="Calibri Light"/>
          <w:sz w:val="16"/>
          <w:szCs w:val="16"/>
        </w:rPr>
        <w:br/>
      </w:r>
      <w:r w:rsidRPr="0012158C">
        <w:rPr>
          <w:rFonts w:ascii="Calibri Light" w:hAnsi="Calibri Light"/>
          <w:sz w:val="16"/>
          <w:szCs w:val="16"/>
        </w:rPr>
        <w:t>1 Treasury Place</w:t>
      </w:r>
      <w:r>
        <w:rPr>
          <w:rFonts w:ascii="Calibri Light" w:hAnsi="Calibri Light"/>
          <w:sz w:val="16"/>
          <w:szCs w:val="16"/>
        </w:rPr>
        <w:br/>
      </w:r>
      <w:r w:rsidRPr="0012158C">
        <w:rPr>
          <w:rFonts w:ascii="Calibri Light" w:hAnsi="Calibri Light"/>
          <w:sz w:val="16"/>
          <w:szCs w:val="16"/>
        </w:rPr>
        <w:t>Melbourne, Victoria, 3002</w:t>
      </w:r>
      <w:r>
        <w:rPr>
          <w:rFonts w:ascii="Calibri Light" w:hAnsi="Calibri Light"/>
          <w:sz w:val="16"/>
          <w:szCs w:val="16"/>
        </w:rPr>
        <w:br/>
      </w:r>
      <w:r w:rsidRPr="0012158C">
        <w:rPr>
          <w:rFonts w:ascii="Calibri Light" w:hAnsi="Calibri Light"/>
          <w:sz w:val="16"/>
          <w:szCs w:val="16"/>
        </w:rPr>
        <w:t>Australia</w:t>
      </w:r>
      <w:r>
        <w:rPr>
          <w:rFonts w:ascii="Calibri Light" w:hAnsi="Calibri Light"/>
          <w:sz w:val="16"/>
          <w:szCs w:val="16"/>
        </w:rPr>
        <w:br/>
      </w:r>
      <w:r w:rsidRPr="0012158C">
        <w:rPr>
          <w:rFonts w:ascii="Calibri Light" w:hAnsi="Calibri Light"/>
          <w:sz w:val="16"/>
          <w:szCs w:val="16"/>
        </w:rPr>
        <w:t>Tel: +61 3 9651 5111</w:t>
      </w:r>
      <w:r>
        <w:rPr>
          <w:rFonts w:ascii="Calibri Light" w:hAnsi="Calibri Light"/>
          <w:sz w:val="16"/>
          <w:szCs w:val="16"/>
        </w:rPr>
        <w:br/>
      </w:r>
      <w:r w:rsidRPr="0012158C">
        <w:rPr>
          <w:rFonts w:ascii="Calibri Light" w:hAnsi="Calibri Light"/>
          <w:sz w:val="16"/>
          <w:szCs w:val="16"/>
        </w:rPr>
        <w:t>Fax: +61 3 9651 2062</w:t>
      </w:r>
      <w:r>
        <w:rPr>
          <w:rFonts w:ascii="Calibri Light" w:hAnsi="Calibri Light"/>
          <w:sz w:val="16"/>
          <w:szCs w:val="16"/>
        </w:rPr>
        <w:br/>
      </w:r>
      <w:r w:rsidRPr="0012158C">
        <w:rPr>
          <w:rFonts w:ascii="Calibri Light" w:hAnsi="Calibri Light"/>
          <w:sz w:val="16"/>
          <w:szCs w:val="16"/>
        </w:rPr>
        <w:t>Website: dtf.vic.gov.au</w:t>
      </w:r>
    </w:p>
    <w:p w:rsidR="0012158C" w:rsidRDefault="0012158C" w:rsidP="0012158C">
      <w:pPr>
        <w:rPr>
          <w:rFonts w:ascii="Calibri Light" w:hAnsi="Calibri Light"/>
          <w:sz w:val="16"/>
          <w:szCs w:val="16"/>
        </w:rPr>
      </w:pPr>
      <w:r w:rsidRPr="0012158C">
        <w:rPr>
          <w:rFonts w:ascii="Calibri Light" w:hAnsi="Calibri Light"/>
          <w:sz w:val="16"/>
          <w:szCs w:val="16"/>
        </w:rPr>
        <w:t>Authorised by the Victorian Government</w:t>
      </w:r>
      <w:r>
        <w:rPr>
          <w:rFonts w:ascii="Calibri Light" w:hAnsi="Calibri Light"/>
          <w:sz w:val="16"/>
          <w:szCs w:val="16"/>
        </w:rPr>
        <w:br/>
      </w:r>
      <w:r w:rsidRPr="0012158C">
        <w:rPr>
          <w:rFonts w:ascii="Calibri Light" w:hAnsi="Calibri Light"/>
          <w:sz w:val="16"/>
          <w:szCs w:val="16"/>
        </w:rPr>
        <w:t>1 Treasury Place, Melbourne, 3002</w:t>
      </w:r>
      <w:r>
        <w:rPr>
          <w:rFonts w:ascii="Calibri Light" w:hAnsi="Calibri Light"/>
          <w:sz w:val="16"/>
          <w:szCs w:val="16"/>
        </w:rPr>
        <w:br/>
      </w:r>
      <w:r w:rsidRPr="0012158C">
        <w:rPr>
          <w:rFonts w:ascii="Calibri Light" w:hAnsi="Calibri Light"/>
          <w:sz w:val="16"/>
          <w:szCs w:val="16"/>
        </w:rPr>
        <w:t>Printed by Impact Digital, Brunswick</w:t>
      </w:r>
      <w:r>
        <w:rPr>
          <w:rFonts w:ascii="Calibri Light" w:hAnsi="Calibri Light"/>
          <w:sz w:val="16"/>
          <w:szCs w:val="16"/>
        </w:rPr>
        <w:br/>
      </w:r>
      <w:r w:rsidRPr="0012158C">
        <w:rPr>
          <w:rFonts w:ascii="Calibri Light" w:hAnsi="Calibri Light"/>
          <w:sz w:val="16"/>
          <w:szCs w:val="16"/>
        </w:rPr>
        <w:t>Printed on recycled paper</w:t>
      </w:r>
    </w:p>
    <w:p w:rsidR="0012158C" w:rsidRDefault="0012158C" w:rsidP="0012158C">
      <w:pPr>
        <w:rPr>
          <w:rFonts w:ascii="Calibri Light" w:hAnsi="Calibri Light"/>
          <w:sz w:val="16"/>
          <w:szCs w:val="16"/>
        </w:rPr>
      </w:pPr>
      <w:r w:rsidRPr="0012158C">
        <w:rPr>
          <w:rFonts w:ascii="Calibri Light" w:hAnsi="Calibri Light"/>
          <w:sz w:val="16"/>
          <w:szCs w:val="16"/>
        </w:rPr>
        <w:t>© State of Victoria 2015</w:t>
      </w:r>
    </w:p>
    <w:p w:rsidR="0012158C" w:rsidRPr="0012158C" w:rsidRDefault="0012158C" w:rsidP="0012158C">
      <w:pPr>
        <w:rPr>
          <w:rFonts w:ascii="Calibri Light" w:hAnsi="Calibri Light"/>
          <w:sz w:val="16"/>
          <w:szCs w:val="16"/>
        </w:rPr>
      </w:pPr>
      <w:r>
        <w:rPr>
          <w:rFonts w:asciiTheme="minorHAnsi" w:hAnsiTheme="minorHAnsi" w:cstheme="minorHAnsi"/>
          <w:noProof/>
          <w:lang w:eastAsia="en-AU"/>
        </w:rPr>
        <w:drawing>
          <wp:inline distT="0" distB="0" distL="0" distR="0" wp14:anchorId="34C48BE6" wp14:editId="7337BC16">
            <wp:extent cx="1117460" cy="393651"/>
            <wp:effectExtent l="0" t="0" r="6985" b="6985"/>
            <wp:docPr id="3" name="Picture 3">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x31.png"/>
                    <pic:cNvPicPr/>
                  </pic:nvPicPr>
                  <pic:blipFill>
                    <a:blip r:embed="rId13">
                      <a:extLst>
                        <a:ext uri="{28A0092B-C50C-407E-A947-70E740481C1C}">
                          <a14:useLocalDpi xmlns:a14="http://schemas.microsoft.com/office/drawing/2010/main" val="0"/>
                        </a:ext>
                      </a:extLst>
                    </a:blip>
                    <a:stretch>
                      <a:fillRect/>
                    </a:stretch>
                  </pic:blipFill>
                  <pic:spPr>
                    <a:xfrm>
                      <a:off x="0" y="0"/>
                      <a:ext cx="1117460" cy="393651"/>
                    </a:xfrm>
                    <a:prstGeom prst="rect">
                      <a:avLst/>
                    </a:prstGeom>
                  </pic:spPr>
                </pic:pic>
              </a:graphicData>
            </a:graphic>
          </wp:inline>
        </w:drawing>
      </w:r>
    </w:p>
    <w:p w:rsidR="0012158C" w:rsidRDefault="0012158C" w:rsidP="0012158C">
      <w:pPr>
        <w:rPr>
          <w:rFonts w:ascii="Calibri Light" w:hAnsi="Calibri Light"/>
          <w:sz w:val="16"/>
          <w:szCs w:val="16"/>
        </w:rPr>
      </w:pPr>
      <w:r w:rsidRPr="0012158C">
        <w:rPr>
          <w:rFonts w:ascii="Calibri Light" w:hAnsi="Calibri Light"/>
          <w:sz w:val="16"/>
          <w:szCs w:val="16"/>
        </w:rPr>
        <w:t>You are free to re-use this work under a Creative</w:t>
      </w:r>
      <w:r>
        <w:rPr>
          <w:rFonts w:ascii="Calibri Light" w:hAnsi="Calibri Light"/>
          <w:sz w:val="16"/>
          <w:szCs w:val="16"/>
        </w:rPr>
        <w:br/>
      </w:r>
      <w:r w:rsidRPr="0012158C">
        <w:rPr>
          <w:rFonts w:ascii="Calibri Light" w:hAnsi="Calibri Light"/>
          <w:sz w:val="16"/>
          <w:szCs w:val="16"/>
        </w:rPr>
        <w:t>Commons Attribution 4.0 licence, provided you</w:t>
      </w:r>
      <w:r>
        <w:rPr>
          <w:rFonts w:ascii="Calibri Light" w:hAnsi="Calibri Light"/>
          <w:sz w:val="16"/>
          <w:szCs w:val="16"/>
        </w:rPr>
        <w:br/>
      </w:r>
      <w:r w:rsidRPr="0012158C">
        <w:rPr>
          <w:rFonts w:ascii="Calibri Light" w:hAnsi="Calibri Light"/>
          <w:sz w:val="16"/>
          <w:szCs w:val="16"/>
        </w:rPr>
        <w:t>credit the State of Victoria (Department of</w:t>
      </w:r>
      <w:r>
        <w:rPr>
          <w:rFonts w:ascii="Calibri Light" w:hAnsi="Calibri Light"/>
          <w:sz w:val="16"/>
          <w:szCs w:val="16"/>
        </w:rPr>
        <w:br/>
      </w:r>
      <w:r w:rsidRPr="0012158C">
        <w:rPr>
          <w:rFonts w:ascii="Calibri Light" w:hAnsi="Calibri Light"/>
          <w:sz w:val="16"/>
          <w:szCs w:val="16"/>
        </w:rPr>
        <w:t>Treasury and Finance) as author, indicate if</w:t>
      </w:r>
      <w:r>
        <w:rPr>
          <w:rFonts w:ascii="Calibri Light" w:hAnsi="Calibri Light"/>
          <w:sz w:val="16"/>
          <w:szCs w:val="16"/>
        </w:rPr>
        <w:br/>
      </w:r>
      <w:r w:rsidRPr="0012158C">
        <w:rPr>
          <w:rFonts w:ascii="Calibri Light" w:hAnsi="Calibri Light"/>
          <w:sz w:val="16"/>
          <w:szCs w:val="16"/>
        </w:rPr>
        <w:t>changes were made and comply with the other</w:t>
      </w:r>
      <w:r>
        <w:rPr>
          <w:rFonts w:ascii="Calibri Light" w:hAnsi="Calibri Light"/>
          <w:sz w:val="16"/>
          <w:szCs w:val="16"/>
        </w:rPr>
        <w:br/>
      </w:r>
      <w:r w:rsidRPr="0012158C">
        <w:rPr>
          <w:rFonts w:ascii="Calibri Light" w:hAnsi="Calibri Light"/>
          <w:sz w:val="16"/>
          <w:szCs w:val="16"/>
        </w:rPr>
        <w:t>licence terms. The licence does not apply to any</w:t>
      </w:r>
      <w:r>
        <w:rPr>
          <w:rFonts w:ascii="Calibri Light" w:hAnsi="Calibri Light"/>
          <w:sz w:val="16"/>
          <w:szCs w:val="16"/>
        </w:rPr>
        <w:br/>
      </w:r>
      <w:r w:rsidRPr="0012158C">
        <w:rPr>
          <w:rFonts w:ascii="Calibri Light" w:hAnsi="Calibri Light"/>
          <w:sz w:val="16"/>
          <w:szCs w:val="16"/>
        </w:rPr>
        <w:t>branding, including Government logos.</w:t>
      </w:r>
    </w:p>
    <w:p w:rsidR="0012158C" w:rsidRPr="0012158C" w:rsidRDefault="0012158C" w:rsidP="0012158C">
      <w:pPr>
        <w:rPr>
          <w:rFonts w:ascii="Calibri Light" w:hAnsi="Calibri Light"/>
          <w:sz w:val="16"/>
          <w:szCs w:val="16"/>
        </w:rPr>
      </w:pPr>
      <w:r w:rsidRPr="0012158C">
        <w:rPr>
          <w:rFonts w:ascii="Calibri Light" w:hAnsi="Calibri Light"/>
          <w:sz w:val="16"/>
          <w:szCs w:val="16"/>
        </w:rPr>
        <w:t>Copyright queries may be directed to</w:t>
      </w:r>
      <w:r>
        <w:rPr>
          <w:rFonts w:ascii="Calibri Light" w:hAnsi="Calibri Light"/>
          <w:sz w:val="16"/>
          <w:szCs w:val="16"/>
        </w:rPr>
        <w:br/>
      </w:r>
      <w:r w:rsidRPr="0012158C">
        <w:rPr>
          <w:rFonts w:ascii="Calibri Light" w:hAnsi="Calibri Light"/>
          <w:sz w:val="16"/>
          <w:szCs w:val="16"/>
        </w:rPr>
        <w:t>IPpolicy@dtf.vic.gov.au</w:t>
      </w:r>
    </w:p>
    <w:p w:rsidR="0012158C" w:rsidRPr="0012158C" w:rsidRDefault="0012158C" w:rsidP="0012158C">
      <w:pPr>
        <w:rPr>
          <w:rFonts w:ascii="Calibri Light" w:hAnsi="Calibri Light"/>
          <w:sz w:val="16"/>
          <w:szCs w:val="16"/>
        </w:rPr>
      </w:pPr>
      <w:r w:rsidRPr="0012158C">
        <w:rPr>
          <w:rFonts w:ascii="Calibri Light" w:hAnsi="Calibri Light"/>
          <w:sz w:val="16"/>
          <w:szCs w:val="16"/>
        </w:rPr>
        <w:t xml:space="preserve">ISSN </w:t>
      </w:r>
      <w:r w:rsidR="008B46DF" w:rsidRPr="008B46DF">
        <w:rPr>
          <w:rFonts w:ascii="Calibri Light" w:hAnsi="Calibri Light"/>
          <w:sz w:val="16"/>
          <w:szCs w:val="16"/>
        </w:rPr>
        <w:t>2204-4701</w:t>
      </w:r>
      <w:r w:rsidR="008B46DF">
        <w:rPr>
          <w:rFonts w:ascii="Calibri Light" w:hAnsi="Calibri Light"/>
          <w:sz w:val="16"/>
          <w:szCs w:val="16"/>
        </w:rPr>
        <w:t xml:space="preserve"> (online)</w:t>
      </w:r>
    </w:p>
    <w:p w:rsidR="0012158C" w:rsidRPr="0012158C" w:rsidRDefault="0012158C" w:rsidP="0012158C">
      <w:pPr>
        <w:rPr>
          <w:rFonts w:ascii="Calibri Light" w:hAnsi="Calibri Light"/>
          <w:sz w:val="16"/>
          <w:szCs w:val="16"/>
        </w:rPr>
      </w:pPr>
      <w:r w:rsidRPr="0012158C">
        <w:rPr>
          <w:rFonts w:ascii="Calibri Light" w:hAnsi="Calibri Light"/>
          <w:sz w:val="16"/>
          <w:szCs w:val="16"/>
        </w:rPr>
        <w:t>Published November 2015</w:t>
      </w:r>
    </w:p>
    <w:p w:rsidR="0012158C" w:rsidRDefault="0012158C" w:rsidP="00DF54C9"/>
    <w:p w:rsidR="00965D85" w:rsidRDefault="00965D85" w:rsidP="00DF54C9">
      <w:pPr>
        <w:sectPr w:rsidR="00965D85" w:rsidSect="0012158C">
          <w:pgSz w:w="9979" w:h="14175" w:code="34"/>
          <w:pgMar w:top="1138" w:right="1138" w:bottom="1138" w:left="1138" w:header="720" w:footer="432" w:gutter="0"/>
          <w:cols w:space="708"/>
          <w:vAlign w:val="bottom"/>
          <w:docGrid w:linePitch="360"/>
        </w:sectPr>
      </w:pPr>
    </w:p>
    <w:p w:rsidR="00965D85" w:rsidRDefault="00965D85" w:rsidP="00DF54C9">
      <w:pPr>
        <w:pStyle w:val="Notes"/>
      </w:pPr>
      <w:bookmarkStart w:id="0" w:name="_GoBack"/>
      <w:bookmarkEnd w:id="0"/>
    </w:p>
    <w:p w:rsidR="00965D85" w:rsidRPr="007B2462" w:rsidRDefault="00965D85" w:rsidP="00DF54C9">
      <w:pPr>
        <w:pStyle w:val="TableofContentsheading"/>
      </w:pPr>
      <w:r w:rsidRPr="007B2462">
        <w:t>Table of contents</w:t>
      </w:r>
    </w:p>
    <w:p w:rsidR="00965D85" w:rsidRDefault="00965D85">
      <w:pPr>
        <w:pStyle w:val="TOC1"/>
        <w:rPr>
          <w:rFonts w:asciiTheme="minorHAnsi" w:eastAsiaTheme="minorEastAsia" w:hAnsiTheme="minorHAnsi" w:cstheme="minorBidi"/>
          <w:b w:val="0"/>
          <w:noProof/>
          <w:sz w:val="22"/>
          <w:szCs w:val="22"/>
          <w:lang w:eastAsia="en-AU"/>
        </w:rPr>
      </w:pPr>
      <w:r>
        <w:fldChar w:fldCharType="begin"/>
      </w:r>
      <w:r>
        <w:instrText xml:space="preserve"> TOC \h \z \t "Heading 1,2,Chapter Heading,1" </w:instrText>
      </w:r>
      <w:r>
        <w:fldChar w:fldCharType="separate"/>
      </w:r>
      <w:hyperlink w:anchor="_Toc436147527" w:history="1">
        <w:r w:rsidRPr="00B3268B">
          <w:rPr>
            <w:rStyle w:val="Hyperlink"/>
            <w:noProof/>
          </w:rPr>
          <w:t>Chapter 1 – Economic and fiscal overview</w:t>
        </w:r>
        <w:r>
          <w:rPr>
            <w:noProof/>
            <w:webHidden/>
          </w:rPr>
          <w:tab/>
        </w:r>
        <w:r>
          <w:rPr>
            <w:noProof/>
            <w:webHidden/>
          </w:rPr>
          <w:fldChar w:fldCharType="begin"/>
        </w:r>
        <w:r>
          <w:rPr>
            <w:noProof/>
            <w:webHidden/>
          </w:rPr>
          <w:instrText xml:space="preserve"> PAGEREF _Toc436147527 \h </w:instrText>
        </w:r>
        <w:r>
          <w:rPr>
            <w:noProof/>
            <w:webHidden/>
          </w:rPr>
        </w:r>
        <w:r>
          <w:rPr>
            <w:noProof/>
            <w:webHidden/>
          </w:rPr>
          <w:fldChar w:fldCharType="separate"/>
        </w:r>
        <w:r w:rsidR="009B0AC6">
          <w:rPr>
            <w:noProof/>
            <w:webHidden/>
          </w:rPr>
          <w:t>1</w:t>
        </w:r>
        <w:r>
          <w:rPr>
            <w:noProof/>
            <w:webHidden/>
          </w:rPr>
          <w:fldChar w:fldCharType="end"/>
        </w:r>
      </w:hyperlink>
    </w:p>
    <w:p w:rsidR="00965D85" w:rsidRDefault="00DF27E0">
      <w:pPr>
        <w:pStyle w:val="TOC1"/>
        <w:rPr>
          <w:rFonts w:asciiTheme="minorHAnsi" w:eastAsiaTheme="minorEastAsia" w:hAnsiTheme="minorHAnsi" w:cstheme="minorBidi"/>
          <w:b w:val="0"/>
          <w:noProof/>
          <w:sz w:val="22"/>
          <w:szCs w:val="22"/>
          <w:lang w:eastAsia="en-AU"/>
        </w:rPr>
      </w:pPr>
      <w:hyperlink w:anchor="_Toc436147528" w:history="1">
        <w:r w:rsidR="00965D85" w:rsidRPr="00B3268B">
          <w:rPr>
            <w:rStyle w:val="Hyperlink"/>
            <w:noProof/>
          </w:rPr>
          <w:t>Chapter 2 – Economic context</w:t>
        </w:r>
        <w:r w:rsidR="00965D85">
          <w:rPr>
            <w:noProof/>
            <w:webHidden/>
          </w:rPr>
          <w:tab/>
        </w:r>
        <w:r w:rsidR="00965D85">
          <w:rPr>
            <w:noProof/>
            <w:webHidden/>
          </w:rPr>
          <w:fldChar w:fldCharType="begin"/>
        </w:r>
        <w:r w:rsidR="00965D85">
          <w:rPr>
            <w:noProof/>
            <w:webHidden/>
          </w:rPr>
          <w:instrText xml:space="preserve"> PAGEREF _Toc436147528 \h </w:instrText>
        </w:r>
        <w:r w:rsidR="00965D85">
          <w:rPr>
            <w:noProof/>
            <w:webHidden/>
          </w:rPr>
        </w:r>
        <w:r w:rsidR="00965D85">
          <w:rPr>
            <w:noProof/>
            <w:webHidden/>
          </w:rPr>
          <w:fldChar w:fldCharType="separate"/>
        </w:r>
        <w:r w:rsidR="009B0AC6">
          <w:rPr>
            <w:noProof/>
            <w:webHidden/>
          </w:rPr>
          <w:t>3</w:t>
        </w:r>
        <w:r w:rsidR="00965D85">
          <w:rPr>
            <w:noProof/>
            <w:webHidden/>
          </w:rPr>
          <w:fldChar w:fldCharType="end"/>
        </w:r>
      </w:hyperlink>
    </w:p>
    <w:p w:rsidR="00965D85" w:rsidRDefault="00DF27E0">
      <w:pPr>
        <w:pStyle w:val="TOC2"/>
        <w:rPr>
          <w:rFonts w:asciiTheme="minorHAnsi" w:eastAsiaTheme="minorEastAsia" w:hAnsiTheme="minorHAnsi" w:cstheme="minorBidi"/>
          <w:noProof/>
          <w:sz w:val="22"/>
          <w:szCs w:val="22"/>
          <w:lang w:eastAsia="en-AU"/>
        </w:rPr>
      </w:pPr>
      <w:hyperlink w:anchor="_Toc436147529" w:history="1">
        <w:r w:rsidR="00965D85" w:rsidRPr="00B3268B">
          <w:rPr>
            <w:rStyle w:val="Hyperlink"/>
            <w:noProof/>
          </w:rPr>
          <w:t>Economic overview</w:t>
        </w:r>
        <w:r w:rsidR="00965D85">
          <w:rPr>
            <w:noProof/>
            <w:webHidden/>
          </w:rPr>
          <w:tab/>
        </w:r>
        <w:r w:rsidR="00965D85">
          <w:rPr>
            <w:noProof/>
            <w:webHidden/>
          </w:rPr>
          <w:fldChar w:fldCharType="begin"/>
        </w:r>
        <w:r w:rsidR="00965D85">
          <w:rPr>
            <w:noProof/>
            <w:webHidden/>
          </w:rPr>
          <w:instrText xml:space="preserve"> PAGEREF _Toc436147529 \h </w:instrText>
        </w:r>
        <w:r w:rsidR="00965D85">
          <w:rPr>
            <w:noProof/>
            <w:webHidden/>
          </w:rPr>
        </w:r>
        <w:r w:rsidR="00965D85">
          <w:rPr>
            <w:noProof/>
            <w:webHidden/>
          </w:rPr>
          <w:fldChar w:fldCharType="separate"/>
        </w:r>
        <w:r w:rsidR="009B0AC6">
          <w:rPr>
            <w:noProof/>
            <w:webHidden/>
          </w:rPr>
          <w:t>3</w:t>
        </w:r>
        <w:r w:rsidR="00965D85">
          <w:rPr>
            <w:noProof/>
            <w:webHidden/>
          </w:rPr>
          <w:fldChar w:fldCharType="end"/>
        </w:r>
      </w:hyperlink>
    </w:p>
    <w:p w:rsidR="00965D85" w:rsidRDefault="00DF27E0">
      <w:pPr>
        <w:pStyle w:val="TOC2"/>
        <w:rPr>
          <w:rFonts w:asciiTheme="minorHAnsi" w:eastAsiaTheme="minorEastAsia" w:hAnsiTheme="minorHAnsi" w:cstheme="minorBidi"/>
          <w:noProof/>
          <w:sz w:val="22"/>
          <w:szCs w:val="22"/>
          <w:lang w:eastAsia="en-AU"/>
        </w:rPr>
      </w:pPr>
      <w:hyperlink w:anchor="_Toc436147530" w:history="1">
        <w:r w:rsidR="00965D85" w:rsidRPr="00B3268B">
          <w:rPr>
            <w:rStyle w:val="Hyperlink"/>
            <w:noProof/>
          </w:rPr>
          <w:t>Risks to the outlook</w:t>
        </w:r>
        <w:r w:rsidR="00965D85">
          <w:rPr>
            <w:noProof/>
            <w:webHidden/>
          </w:rPr>
          <w:tab/>
        </w:r>
        <w:r w:rsidR="00965D85">
          <w:rPr>
            <w:noProof/>
            <w:webHidden/>
          </w:rPr>
          <w:fldChar w:fldCharType="begin"/>
        </w:r>
        <w:r w:rsidR="00965D85">
          <w:rPr>
            <w:noProof/>
            <w:webHidden/>
          </w:rPr>
          <w:instrText xml:space="preserve"> PAGEREF _Toc436147530 \h </w:instrText>
        </w:r>
        <w:r w:rsidR="00965D85">
          <w:rPr>
            <w:noProof/>
            <w:webHidden/>
          </w:rPr>
        </w:r>
        <w:r w:rsidR="00965D85">
          <w:rPr>
            <w:noProof/>
            <w:webHidden/>
          </w:rPr>
          <w:fldChar w:fldCharType="separate"/>
        </w:r>
        <w:r w:rsidR="009B0AC6">
          <w:rPr>
            <w:noProof/>
            <w:webHidden/>
          </w:rPr>
          <w:t>5</w:t>
        </w:r>
        <w:r w:rsidR="00965D85">
          <w:rPr>
            <w:noProof/>
            <w:webHidden/>
          </w:rPr>
          <w:fldChar w:fldCharType="end"/>
        </w:r>
      </w:hyperlink>
    </w:p>
    <w:p w:rsidR="00965D85" w:rsidRDefault="00DF27E0">
      <w:pPr>
        <w:pStyle w:val="TOC1"/>
        <w:rPr>
          <w:rFonts w:asciiTheme="minorHAnsi" w:eastAsiaTheme="minorEastAsia" w:hAnsiTheme="minorHAnsi" w:cstheme="minorBidi"/>
          <w:b w:val="0"/>
          <w:noProof/>
          <w:sz w:val="22"/>
          <w:szCs w:val="22"/>
          <w:lang w:eastAsia="en-AU"/>
        </w:rPr>
      </w:pPr>
      <w:hyperlink w:anchor="_Toc436147531" w:history="1">
        <w:r w:rsidR="00965D85" w:rsidRPr="00B3268B">
          <w:rPr>
            <w:rStyle w:val="Hyperlink"/>
            <w:noProof/>
          </w:rPr>
          <w:t>Chapter 3 – Budget position and outlook</w:t>
        </w:r>
        <w:r w:rsidR="00965D85">
          <w:rPr>
            <w:noProof/>
            <w:webHidden/>
          </w:rPr>
          <w:tab/>
        </w:r>
        <w:r w:rsidR="00965D85">
          <w:rPr>
            <w:noProof/>
            <w:webHidden/>
          </w:rPr>
          <w:fldChar w:fldCharType="begin"/>
        </w:r>
        <w:r w:rsidR="00965D85">
          <w:rPr>
            <w:noProof/>
            <w:webHidden/>
          </w:rPr>
          <w:instrText xml:space="preserve"> PAGEREF _Toc436147531 \h </w:instrText>
        </w:r>
        <w:r w:rsidR="00965D85">
          <w:rPr>
            <w:noProof/>
            <w:webHidden/>
          </w:rPr>
        </w:r>
        <w:r w:rsidR="00965D85">
          <w:rPr>
            <w:noProof/>
            <w:webHidden/>
          </w:rPr>
          <w:fldChar w:fldCharType="separate"/>
        </w:r>
        <w:r w:rsidR="009B0AC6">
          <w:rPr>
            <w:noProof/>
            <w:webHidden/>
          </w:rPr>
          <w:t>7</w:t>
        </w:r>
        <w:r w:rsidR="00965D85">
          <w:rPr>
            <w:noProof/>
            <w:webHidden/>
          </w:rPr>
          <w:fldChar w:fldCharType="end"/>
        </w:r>
      </w:hyperlink>
    </w:p>
    <w:p w:rsidR="00965D85" w:rsidRDefault="00DF27E0">
      <w:pPr>
        <w:pStyle w:val="TOC2"/>
        <w:rPr>
          <w:rFonts w:asciiTheme="minorHAnsi" w:eastAsiaTheme="minorEastAsia" w:hAnsiTheme="minorHAnsi" w:cstheme="minorBidi"/>
          <w:noProof/>
          <w:sz w:val="22"/>
          <w:szCs w:val="22"/>
          <w:lang w:eastAsia="en-AU"/>
        </w:rPr>
      </w:pPr>
      <w:hyperlink w:anchor="_Toc436147532" w:history="1">
        <w:r w:rsidR="00965D85" w:rsidRPr="00B3268B">
          <w:rPr>
            <w:rStyle w:val="Hyperlink"/>
            <w:noProof/>
          </w:rPr>
          <w:t>General government sector</w:t>
        </w:r>
        <w:r w:rsidR="00965D85">
          <w:rPr>
            <w:noProof/>
            <w:webHidden/>
          </w:rPr>
          <w:tab/>
        </w:r>
        <w:r w:rsidR="00965D85">
          <w:rPr>
            <w:noProof/>
            <w:webHidden/>
          </w:rPr>
          <w:fldChar w:fldCharType="begin"/>
        </w:r>
        <w:r w:rsidR="00965D85">
          <w:rPr>
            <w:noProof/>
            <w:webHidden/>
          </w:rPr>
          <w:instrText xml:space="preserve"> PAGEREF _Toc436147532 \h </w:instrText>
        </w:r>
        <w:r w:rsidR="00965D85">
          <w:rPr>
            <w:noProof/>
            <w:webHidden/>
          </w:rPr>
        </w:r>
        <w:r w:rsidR="00965D85">
          <w:rPr>
            <w:noProof/>
            <w:webHidden/>
          </w:rPr>
          <w:fldChar w:fldCharType="separate"/>
        </w:r>
        <w:r w:rsidR="009B0AC6">
          <w:rPr>
            <w:noProof/>
            <w:webHidden/>
          </w:rPr>
          <w:t>8</w:t>
        </w:r>
        <w:r w:rsidR="00965D85">
          <w:rPr>
            <w:noProof/>
            <w:webHidden/>
          </w:rPr>
          <w:fldChar w:fldCharType="end"/>
        </w:r>
      </w:hyperlink>
    </w:p>
    <w:p w:rsidR="00965D85" w:rsidRDefault="00DF27E0">
      <w:pPr>
        <w:pStyle w:val="TOC2"/>
        <w:rPr>
          <w:rFonts w:asciiTheme="minorHAnsi" w:eastAsiaTheme="minorEastAsia" w:hAnsiTheme="minorHAnsi" w:cstheme="minorBidi"/>
          <w:noProof/>
          <w:sz w:val="22"/>
          <w:szCs w:val="22"/>
          <w:lang w:eastAsia="en-AU"/>
        </w:rPr>
      </w:pPr>
      <w:hyperlink w:anchor="_Toc436147533" w:history="1">
        <w:r w:rsidR="00965D85" w:rsidRPr="00B3268B">
          <w:rPr>
            <w:rStyle w:val="Hyperlink"/>
            <w:noProof/>
          </w:rPr>
          <w:t>Budget and forward estimates outlook</w:t>
        </w:r>
        <w:r w:rsidR="00965D85">
          <w:rPr>
            <w:noProof/>
            <w:webHidden/>
          </w:rPr>
          <w:tab/>
        </w:r>
        <w:r w:rsidR="00965D85">
          <w:rPr>
            <w:noProof/>
            <w:webHidden/>
          </w:rPr>
          <w:fldChar w:fldCharType="begin"/>
        </w:r>
        <w:r w:rsidR="00965D85">
          <w:rPr>
            <w:noProof/>
            <w:webHidden/>
          </w:rPr>
          <w:instrText xml:space="preserve"> PAGEREF _Toc436147533 \h </w:instrText>
        </w:r>
        <w:r w:rsidR="00965D85">
          <w:rPr>
            <w:noProof/>
            <w:webHidden/>
          </w:rPr>
        </w:r>
        <w:r w:rsidR="00965D85">
          <w:rPr>
            <w:noProof/>
            <w:webHidden/>
          </w:rPr>
          <w:fldChar w:fldCharType="separate"/>
        </w:r>
        <w:r w:rsidR="009B0AC6">
          <w:rPr>
            <w:noProof/>
            <w:webHidden/>
          </w:rPr>
          <w:t>9</w:t>
        </w:r>
        <w:r w:rsidR="00965D85">
          <w:rPr>
            <w:noProof/>
            <w:webHidden/>
          </w:rPr>
          <w:fldChar w:fldCharType="end"/>
        </w:r>
      </w:hyperlink>
    </w:p>
    <w:p w:rsidR="00965D85" w:rsidRDefault="00DF27E0">
      <w:pPr>
        <w:pStyle w:val="TOC2"/>
        <w:rPr>
          <w:rFonts w:asciiTheme="minorHAnsi" w:eastAsiaTheme="minorEastAsia" w:hAnsiTheme="minorHAnsi" w:cstheme="minorBidi"/>
          <w:noProof/>
          <w:sz w:val="22"/>
          <w:szCs w:val="22"/>
          <w:lang w:eastAsia="en-AU"/>
        </w:rPr>
      </w:pPr>
      <w:hyperlink w:anchor="_Toc436147534" w:history="1">
        <w:r w:rsidR="00965D85" w:rsidRPr="00B3268B">
          <w:rPr>
            <w:rStyle w:val="Hyperlink"/>
            <w:noProof/>
          </w:rPr>
          <w:t>Cash flows</w:t>
        </w:r>
        <w:r w:rsidR="00965D85">
          <w:rPr>
            <w:noProof/>
            <w:webHidden/>
          </w:rPr>
          <w:tab/>
        </w:r>
        <w:r w:rsidR="00965D85">
          <w:rPr>
            <w:noProof/>
            <w:webHidden/>
          </w:rPr>
          <w:fldChar w:fldCharType="begin"/>
        </w:r>
        <w:r w:rsidR="00965D85">
          <w:rPr>
            <w:noProof/>
            <w:webHidden/>
          </w:rPr>
          <w:instrText xml:space="preserve"> PAGEREF _Toc436147534 \h </w:instrText>
        </w:r>
        <w:r w:rsidR="00965D85">
          <w:rPr>
            <w:noProof/>
            <w:webHidden/>
          </w:rPr>
        </w:r>
        <w:r w:rsidR="00965D85">
          <w:rPr>
            <w:noProof/>
            <w:webHidden/>
          </w:rPr>
          <w:fldChar w:fldCharType="separate"/>
        </w:r>
        <w:r w:rsidR="009B0AC6">
          <w:rPr>
            <w:noProof/>
            <w:webHidden/>
          </w:rPr>
          <w:t>16</w:t>
        </w:r>
        <w:r w:rsidR="00965D85">
          <w:rPr>
            <w:noProof/>
            <w:webHidden/>
          </w:rPr>
          <w:fldChar w:fldCharType="end"/>
        </w:r>
      </w:hyperlink>
    </w:p>
    <w:p w:rsidR="00965D85" w:rsidRDefault="00DF27E0">
      <w:pPr>
        <w:pStyle w:val="TOC2"/>
        <w:rPr>
          <w:rFonts w:asciiTheme="minorHAnsi" w:eastAsiaTheme="minorEastAsia" w:hAnsiTheme="minorHAnsi" w:cstheme="minorBidi"/>
          <w:noProof/>
          <w:sz w:val="22"/>
          <w:szCs w:val="22"/>
          <w:lang w:eastAsia="en-AU"/>
        </w:rPr>
      </w:pPr>
      <w:hyperlink w:anchor="_Toc436147535" w:history="1">
        <w:r w:rsidR="00965D85" w:rsidRPr="00B3268B">
          <w:rPr>
            <w:rStyle w:val="Hyperlink"/>
            <w:noProof/>
          </w:rPr>
          <w:t>Net debt and net financial liabilities</w:t>
        </w:r>
        <w:r w:rsidR="00965D85">
          <w:rPr>
            <w:noProof/>
            <w:webHidden/>
          </w:rPr>
          <w:tab/>
        </w:r>
        <w:r w:rsidR="00965D85">
          <w:rPr>
            <w:noProof/>
            <w:webHidden/>
          </w:rPr>
          <w:fldChar w:fldCharType="begin"/>
        </w:r>
        <w:r w:rsidR="00965D85">
          <w:rPr>
            <w:noProof/>
            <w:webHidden/>
          </w:rPr>
          <w:instrText xml:space="preserve"> PAGEREF _Toc436147535 \h </w:instrText>
        </w:r>
        <w:r w:rsidR="00965D85">
          <w:rPr>
            <w:noProof/>
            <w:webHidden/>
          </w:rPr>
        </w:r>
        <w:r w:rsidR="00965D85">
          <w:rPr>
            <w:noProof/>
            <w:webHidden/>
          </w:rPr>
          <w:fldChar w:fldCharType="separate"/>
        </w:r>
        <w:r w:rsidR="009B0AC6">
          <w:rPr>
            <w:noProof/>
            <w:webHidden/>
          </w:rPr>
          <w:t>17</w:t>
        </w:r>
        <w:r w:rsidR="00965D85">
          <w:rPr>
            <w:noProof/>
            <w:webHidden/>
          </w:rPr>
          <w:fldChar w:fldCharType="end"/>
        </w:r>
      </w:hyperlink>
    </w:p>
    <w:p w:rsidR="00965D85" w:rsidRDefault="00DF27E0">
      <w:pPr>
        <w:pStyle w:val="TOC2"/>
        <w:rPr>
          <w:rFonts w:asciiTheme="minorHAnsi" w:eastAsiaTheme="minorEastAsia" w:hAnsiTheme="minorHAnsi" w:cstheme="minorBidi"/>
          <w:noProof/>
          <w:sz w:val="22"/>
          <w:szCs w:val="22"/>
          <w:lang w:eastAsia="en-AU"/>
        </w:rPr>
      </w:pPr>
      <w:hyperlink w:anchor="_Toc436147536" w:history="1">
        <w:r w:rsidR="00965D85" w:rsidRPr="00B3268B">
          <w:rPr>
            <w:rStyle w:val="Hyperlink"/>
            <w:noProof/>
          </w:rPr>
          <w:t>Fiscal risks</w:t>
        </w:r>
        <w:r w:rsidR="00965D85">
          <w:rPr>
            <w:noProof/>
            <w:webHidden/>
          </w:rPr>
          <w:tab/>
        </w:r>
        <w:r w:rsidR="00965D85">
          <w:rPr>
            <w:noProof/>
            <w:webHidden/>
          </w:rPr>
          <w:fldChar w:fldCharType="begin"/>
        </w:r>
        <w:r w:rsidR="00965D85">
          <w:rPr>
            <w:noProof/>
            <w:webHidden/>
          </w:rPr>
          <w:instrText xml:space="preserve"> PAGEREF _Toc436147536 \h </w:instrText>
        </w:r>
        <w:r w:rsidR="00965D85">
          <w:rPr>
            <w:noProof/>
            <w:webHidden/>
          </w:rPr>
        </w:r>
        <w:r w:rsidR="00965D85">
          <w:rPr>
            <w:noProof/>
            <w:webHidden/>
          </w:rPr>
          <w:fldChar w:fldCharType="separate"/>
        </w:r>
        <w:r w:rsidR="009B0AC6">
          <w:rPr>
            <w:noProof/>
            <w:webHidden/>
          </w:rPr>
          <w:t>19</w:t>
        </w:r>
        <w:r w:rsidR="00965D85">
          <w:rPr>
            <w:noProof/>
            <w:webHidden/>
          </w:rPr>
          <w:fldChar w:fldCharType="end"/>
        </w:r>
      </w:hyperlink>
    </w:p>
    <w:p w:rsidR="00965D85" w:rsidRDefault="00DF27E0">
      <w:pPr>
        <w:pStyle w:val="TOC2"/>
        <w:rPr>
          <w:rFonts w:asciiTheme="minorHAnsi" w:eastAsiaTheme="minorEastAsia" w:hAnsiTheme="minorHAnsi" w:cstheme="minorBidi"/>
          <w:noProof/>
          <w:sz w:val="22"/>
          <w:szCs w:val="22"/>
          <w:lang w:eastAsia="en-AU"/>
        </w:rPr>
      </w:pPr>
      <w:hyperlink w:anchor="_Toc436147537" w:history="1">
        <w:r w:rsidR="00965D85" w:rsidRPr="00B3268B">
          <w:rPr>
            <w:rStyle w:val="Hyperlink"/>
            <w:noProof/>
          </w:rPr>
          <w:t>Non</w:t>
        </w:r>
        <w:r w:rsidR="00965D85" w:rsidRPr="00B3268B">
          <w:rPr>
            <w:rStyle w:val="Hyperlink"/>
            <w:noProof/>
          </w:rPr>
          <w:noBreakHyphen/>
          <w:t>financial public sector</w:t>
        </w:r>
        <w:r w:rsidR="00965D85">
          <w:rPr>
            <w:noProof/>
            <w:webHidden/>
          </w:rPr>
          <w:tab/>
        </w:r>
        <w:r w:rsidR="00965D85">
          <w:rPr>
            <w:noProof/>
            <w:webHidden/>
          </w:rPr>
          <w:fldChar w:fldCharType="begin"/>
        </w:r>
        <w:r w:rsidR="00965D85">
          <w:rPr>
            <w:noProof/>
            <w:webHidden/>
          </w:rPr>
          <w:instrText xml:space="preserve"> PAGEREF _Toc436147537 \h </w:instrText>
        </w:r>
        <w:r w:rsidR="00965D85">
          <w:rPr>
            <w:noProof/>
            <w:webHidden/>
          </w:rPr>
        </w:r>
        <w:r w:rsidR="00965D85">
          <w:rPr>
            <w:noProof/>
            <w:webHidden/>
          </w:rPr>
          <w:fldChar w:fldCharType="separate"/>
        </w:r>
        <w:r w:rsidR="009B0AC6">
          <w:rPr>
            <w:noProof/>
            <w:webHidden/>
          </w:rPr>
          <w:t>22</w:t>
        </w:r>
        <w:r w:rsidR="00965D85">
          <w:rPr>
            <w:noProof/>
            <w:webHidden/>
          </w:rPr>
          <w:fldChar w:fldCharType="end"/>
        </w:r>
      </w:hyperlink>
    </w:p>
    <w:p w:rsidR="00965D85" w:rsidRDefault="00DF27E0">
      <w:pPr>
        <w:pStyle w:val="TOC2"/>
        <w:rPr>
          <w:rFonts w:asciiTheme="minorHAnsi" w:eastAsiaTheme="minorEastAsia" w:hAnsiTheme="minorHAnsi" w:cstheme="minorBidi"/>
          <w:noProof/>
          <w:sz w:val="22"/>
          <w:szCs w:val="22"/>
          <w:lang w:eastAsia="en-AU"/>
        </w:rPr>
      </w:pPr>
      <w:hyperlink w:anchor="_Toc436147538" w:history="1">
        <w:r w:rsidR="00965D85" w:rsidRPr="00B3268B">
          <w:rPr>
            <w:rStyle w:val="Hyperlink"/>
            <w:noProof/>
          </w:rPr>
          <w:t>Non</w:t>
        </w:r>
        <w:r w:rsidR="00965D85" w:rsidRPr="00B3268B">
          <w:rPr>
            <w:rStyle w:val="Hyperlink"/>
            <w:noProof/>
          </w:rPr>
          <w:noBreakHyphen/>
          <w:t>financial public sector net debt and net financial liabilities</w:t>
        </w:r>
        <w:r w:rsidR="00965D85">
          <w:rPr>
            <w:noProof/>
            <w:webHidden/>
          </w:rPr>
          <w:tab/>
        </w:r>
        <w:r w:rsidR="00965D85">
          <w:rPr>
            <w:noProof/>
            <w:webHidden/>
          </w:rPr>
          <w:fldChar w:fldCharType="begin"/>
        </w:r>
        <w:r w:rsidR="00965D85">
          <w:rPr>
            <w:noProof/>
            <w:webHidden/>
          </w:rPr>
          <w:instrText xml:space="preserve"> PAGEREF _Toc436147538 \h </w:instrText>
        </w:r>
        <w:r w:rsidR="00965D85">
          <w:rPr>
            <w:noProof/>
            <w:webHidden/>
          </w:rPr>
        </w:r>
        <w:r w:rsidR="00965D85">
          <w:rPr>
            <w:noProof/>
            <w:webHidden/>
          </w:rPr>
          <w:fldChar w:fldCharType="separate"/>
        </w:r>
        <w:r w:rsidR="009B0AC6">
          <w:rPr>
            <w:noProof/>
            <w:webHidden/>
          </w:rPr>
          <w:t>25</w:t>
        </w:r>
        <w:r w:rsidR="00965D85">
          <w:rPr>
            <w:noProof/>
            <w:webHidden/>
          </w:rPr>
          <w:fldChar w:fldCharType="end"/>
        </w:r>
      </w:hyperlink>
    </w:p>
    <w:p w:rsidR="00965D85" w:rsidRDefault="00DF27E0">
      <w:pPr>
        <w:pStyle w:val="TOC2"/>
        <w:rPr>
          <w:rFonts w:asciiTheme="minorHAnsi" w:eastAsiaTheme="minorEastAsia" w:hAnsiTheme="minorHAnsi" w:cstheme="minorBidi"/>
          <w:noProof/>
          <w:sz w:val="22"/>
          <w:szCs w:val="22"/>
          <w:lang w:eastAsia="en-AU"/>
        </w:rPr>
      </w:pPr>
      <w:hyperlink w:anchor="_Toc436147539" w:history="1">
        <w:r w:rsidR="00965D85" w:rsidRPr="00B3268B">
          <w:rPr>
            <w:rStyle w:val="Hyperlink"/>
            <w:noProof/>
          </w:rPr>
          <w:t>State of Victoria</w:t>
        </w:r>
        <w:r w:rsidR="00965D85">
          <w:rPr>
            <w:noProof/>
            <w:webHidden/>
          </w:rPr>
          <w:tab/>
        </w:r>
        <w:r w:rsidR="00965D85">
          <w:rPr>
            <w:noProof/>
            <w:webHidden/>
          </w:rPr>
          <w:fldChar w:fldCharType="begin"/>
        </w:r>
        <w:r w:rsidR="00965D85">
          <w:rPr>
            <w:noProof/>
            <w:webHidden/>
          </w:rPr>
          <w:instrText xml:space="preserve"> PAGEREF _Toc436147539 \h </w:instrText>
        </w:r>
        <w:r w:rsidR="00965D85">
          <w:rPr>
            <w:noProof/>
            <w:webHidden/>
          </w:rPr>
        </w:r>
        <w:r w:rsidR="00965D85">
          <w:rPr>
            <w:noProof/>
            <w:webHidden/>
          </w:rPr>
          <w:fldChar w:fldCharType="separate"/>
        </w:r>
        <w:r w:rsidR="009B0AC6">
          <w:rPr>
            <w:noProof/>
            <w:webHidden/>
          </w:rPr>
          <w:t>27</w:t>
        </w:r>
        <w:r w:rsidR="00965D85">
          <w:rPr>
            <w:noProof/>
            <w:webHidden/>
          </w:rPr>
          <w:fldChar w:fldCharType="end"/>
        </w:r>
      </w:hyperlink>
    </w:p>
    <w:p w:rsidR="00965D85" w:rsidRDefault="00DF27E0">
      <w:pPr>
        <w:pStyle w:val="TOC1"/>
        <w:rPr>
          <w:rFonts w:asciiTheme="minorHAnsi" w:eastAsiaTheme="minorEastAsia" w:hAnsiTheme="minorHAnsi" w:cstheme="minorBidi"/>
          <w:b w:val="0"/>
          <w:noProof/>
          <w:sz w:val="22"/>
          <w:szCs w:val="22"/>
          <w:lang w:eastAsia="en-AU"/>
        </w:rPr>
      </w:pPr>
      <w:hyperlink w:anchor="_Toc436147540" w:history="1">
        <w:r w:rsidR="00965D85" w:rsidRPr="00B3268B">
          <w:rPr>
            <w:rStyle w:val="Hyperlink"/>
            <w:noProof/>
          </w:rPr>
          <w:t>Chapter 4 – Estimated financial statements and notes</w:t>
        </w:r>
        <w:r w:rsidR="00965D85">
          <w:rPr>
            <w:noProof/>
            <w:webHidden/>
          </w:rPr>
          <w:tab/>
        </w:r>
        <w:r w:rsidR="00965D85">
          <w:rPr>
            <w:noProof/>
            <w:webHidden/>
          </w:rPr>
          <w:fldChar w:fldCharType="begin"/>
        </w:r>
        <w:r w:rsidR="00965D85">
          <w:rPr>
            <w:noProof/>
            <w:webHidden/>
          </w:rPr>
          <w:instrText xml:space="preserve"> PAGEREF _Toc436147540 \h </w:instrText>
        </w:r>
        <w:r w:rsidR="00965D85">
          <w:rPr>
            <w:noProof/>
            <w:webHidden/>
          </w:rPr>
        </w:r>
        <w:r w:rsidR="00965D85">
          <w:rPr>
            <w:noProof/>
            <w:webHidden/>
          </w:rPr>
          <w:fldChar w:fldCharType="separate"/>
        </w:r>
        <w:r w:rsidR="009B0AC6">
          <w:rPr>
            <w:noProof/>
            <w:webHidden/>
          </w:rPr>
          <w:t>29</w:t>
        </w:r>
        <w:r w:rsidR="00965D85">
          <w:rPr>
            <w:noProof/>
            <w:webHidden/>
          </w:rPr>
          <w:fldChar w:fldCharType="end"/>
        </w:r>
      </w:hyperlink>
    </w:p>
    <w:p w:rsidR="00965D85" w:rsidRDefault="00DF27E0">
      <w:pPr>
        <w:pStyle w:val="TOC2"/>
        <w:rPr>
          <w:rFonts w:asciiTheme="minorHAnsi" w:eastAsiaTheme="minorEastAsia" w:hAnsiTheme="minorHAnsi" w:cstheme="minorBidi"/>
          <w:noProof/>
          <w:sz w:val="22"/>
          <w:szCs w:val="22"/>
          <w:lang w:eastAsia="en-AU"/>
        </w:rPr>
      </w:pPr>
      <w:hyperlink w:anchor="_Toc436147541" w:history="1">
        <w:r w:rsidR="00965D85" w:rsidRPr="00B3268B">
          <w:rPr>
            <w:rStyle w:val="Hyperlink"/>
            <w:noProof/>
          </w:rPr>
          <w:t>Notes to the financial statements</w:t>
        </w:r>
        <w:r w:rsidR="00965D85">
          <w:rPr>
            <w:noProof/>
            <w:webHidden/>
          </w:rPr>
          <w:tab/>
        </w:r>
        <w:r w:rsidR="00965D85">
          <w:rPr>
            <w:noProof/>
            <w:webHidden/>
          </w:rPr>
          <w:fldChar w:fldCharType="begin"/>
        </w:r>
        <w:r w:rsidR="00965D85">
          <w:rPr>
            <w:noProof/>
            <w:webHidden/>
          </w:rPr>
          <w:instrText xml:space="preserve"> PAGEREF _Toc436147541 \h </w:instrText>
        </w:r>
        <w:r w:rsidR="00965D85">
          <w:rPr>
            <w:noProof/>
            <w:webHidden/>
          </w:rPr>
        </w:r>
        <w:r w:rsidR="00965D85">
          <w:rPr>
            <w:noProof/>
            <w:webHidden/>
          </w:rPr>
          <w:fldChar w:fldCharType="separate"/>
        </w:r>
        <w:r w:rsidR="009B0AC6">
          <w:rPr>
            <w:noProof/>
            <w:webHidden/>
          </w:rPr>
          <w:t>36</w:t>
        </w:r>
        <w:r w:rsidR="00965D85">
          <w:rPr>
            <w:noProof/>
            <w:webHidden/>
          </w:rPr>
          <w:fldChar w:fldCharType="end"/>
        </w:r>
      </w:hyperlink>
    </w:p>
    <w:p w:rsidR="00965D85" w:rsidRDefault="00DF27E0">
      <w:pPr>
        <w:pStyle w:val="TOC1"/>
        <w:rPr>
          <w:rFonts w:asciiTheme="minorHAnsi" w:eastAsiaTheme="minorEastAsia" w:hAnsiTheme="minorHAnsi" w:cstheme="minorBidi"/>
          <w:b w:val="0"/>
          <w:noProof/>
          <w:sz w:val="22"/>
          <w:szCs w:val="22"/>
          <w:lang w:eastAsia="en-AU"/>
        </w:rPr>
      </w:pPr>
      <w:hyperlink w:anchor="_Toc436147542" w:history="1">
        <w:r w:rsidR="00965D85" w:rsidRPr="00B3268B">
          <w:rPr>
            <w:rStyle w:val="Hyperlink"/>
            <w:noProof/>
          </w:rPr>
          <w:t>Chapter 5 – Supplementary uniform presentation framework tables</w:t>
        </w:r>
        <w:r w:rsidR="00965D85">
          <w:rPr>
            <w:noProof/>
            <w:webHidden/>
          </w:rPr>
          <w:tab/>
        </w:r>
        <w:r w:rsidR="00965D85">
          <w:rPr>
            <w:noProof/>
            <w:webHidden/>
          </w:rPr>
          <w:fldChar w:fldCharType="begin"/>
        </w:r>
        <w:r w:rsidR="00965D85">
          <w:rPr>
            <w:noProof/>
            <w:webHidden/>
          </w:rPr>
          <w:instrText xml:space="preserve"> PAGEREF _Toc436147542 \h </w:instrText>
        </w:r>
        <w:r w:rsidR="00965D85">
          <w:rPr>
            <w:noProof/>
            <w:webHidden/>
          </w:rPr>
        </w:r>
        <w:r w:rsidR="00965D85">
          <w:rPr>
            <w:noProof/>
            <w:webHidden/>
          </w:rPr>
          <w:fldChar w:fldCharType="separate"/>
        </w:r>
        <w:r w:rsidR="009B0AC6">
          <w:rPr>
            <w:noProof/>
            <w:webHidden/>
          </w:rPr>
          <w:t>63</w:t>
        </w:r>
        <w:r w:rsidR="00965D85">
          <w:rPr>
            <w:noProof/>
            <w:webHidden/>
          </w:rPr>
          <w:fldChar w:fldCharType="end"/>
        </w:r>
      </w:hyperlink>
    </w:p>
    <w:p w:rsidR="00965D85" w:rsidRDefault="00DF27E0">
      <w:pPr>
        <w:pStyle w:val="TOC2"/>
        <w:rPr>
          <w:rFonts w:asciiTheme="minorHAnsi" w:eastAsiaTheme="minorEastAsia" w:hAnsiTheme="minorHAnsi" w:cstheme="minorBidi"/>
          <w:noProof/>
          <w:sz w:val="22"/>
          <w:szCs w:val="22"/>
          <w:lang w:eastAsia="en-AU"/>
        </w:rPr>
      </w:pPr>
      <w:hyperlink w:anchor="_Toc436147543" w:history="1">
        <w:r w:rsidR="00965D85" w:rsidRPr="00B3268B">
          <w:rPr>
            <w:rStyle w:val="Hyperlink"/>
            <w:noProof/>
          </w:rPr>
          <w:t>Victoria’s Loan Council Allocation</w:t>
        </w:r>
        <w:r w:rsidR="00965D85">
          <w:rPr>
            <w:noProof/>
            <w:webHidden/>
          </w:rPr>
          <w:tab/>
        </w:r>
        <w:r w:rsidR="00965D85">
          <w:rPr>
            <w:noProof/>
            <w:webHidden/>
          </w:rPr>
          <w:fldChar w:fldCharType="begin"/>
        </w:r>
        <w:r w:rsidR="00965D85">
          <w:rPr>
            <w:noProof/>
            <w:webHidden/>
          </w:rPr>
          <w:instrText xml:space="preserve"> PAGEREF _Toc436147543 \h </w:instrText>
        </w:r>
        <w:r w:rsidR="00965D85">
          <w:rPr>
            <w:noProof/>
            <w:webHidden/>
          </w:rPr>
        </w:r>
        <w:r w:rsidR="00965D85">
          <w:rPr>
            <w:noProof/>
            <w:webHidden/>
          </w:rPr>
          <w:fldChar w:fldCharType="separate"/>
        </w:r>
        <w:r w:rsidR="009B0AC6">
          <w:rPr>
            <w:noProof/>
            <w:webHidden/>
          </w:rPr>
          <w:t>95</w:t>
        </w:r>
        <w:r w:rsidR="00965D85">
          <w:rPr>
            <w:noProof/>
            <w:webHidden/>
          </w:rPr>
          <w:fldChar w:fldCharType="end"/>
        </w:r>
      </w:hyperlink>
    </w:p>
    <w:p w:rsidR="00965D85" w:rsidRDefault="00DF27E0">
      <w:pPr>
        <w:pStyle w:val="TOC2"/>
        <w:rPr>
          <w:rFonts w:asciiTheme="minorHAnsi" w:eastAsiaTheme="minorEastAsia" w:hAnsiTheme="minorHAnsi" w:cstheme="minorBidi"/>
          <w:noProof/>
          <w:sz w:val="22"/>
          <w:szCs w:val="22"/>
          <w:lang w:eastAsia="en-AU"/>
        </w:rPr>
      </w:pPr>
      <w:hyperlink w:anchor="_Toc436147544" w:history="1">
        <w:r w:rsidR="00965D85" w:rsidRPr="00B3268B">
          <w:rPr>
            <w:rStyle w:val="Hyperlink"/>
            <w:noProof/>
          </w:rPr>
          <w:t>New infrastructure projects with private sector involvement</w:t>
        </w:r>
        <w:r w:rsidR="00965D85">
          <w:rPr>
            <w:noProof/>
            <w:webHidden/>
          </w:rPr>
          <w:tab/>
        </w:r>
        <w:r w:rsidR="00965D85">
          <w:rPr>
            <w:noProof/>
            <w:webHidden/>
          </w:rPr>
          <w:fldChar w:fldCharType="begin"/>
        </w:r>
        <w:r w:rsidR="00965D85">
          <w:rPr>
            <w:noProof/>
            <w:webHidden/>
          </w:rPr>
          <w:instrText xml:space="preserve"> PAGEREF _Toc436147544 \h </w:instrText>
        </w:r>
        <w:r w:rsidR="00965D85">
          <w:rPr>
            <w:noProof/>
            <w:webHidden/>
          </w:rPr>
        </w:r>
        <w:r w:rsidR="00965D85">
          <w:rPr>
            <w:noProof/>
            <w:webHidden/>
          </w:rPr>
          <w:fldChar w:fldCharType="separate"/>
        </w:r>
        <w:r w:rsidR="009B0AC6">
          <w:rPr>
            <w:noProof/>
            <w:webHidden/>
          </w:rPr>
          <w:t>96</w:t>
        </w:r>
        <w:r w:rsidR="00965D85">
          <w:rPr>
            <w:noProof/>
            <w:webHidden/>
          </w:rPr>
          <w:fldChar w:fldCharType="end"/>
        </w:r>
      </w:hyperlink>
    </w:p>
    <w:p w:rsidR="00965D85" w:rsidRDefault="00DF27E0">
      <w:pPr>
        <w:pStyle w:val="TOC1"/>
        <w:rPr>
          <w:rFonts w:asciiTheme="minorHAnsi" w:eastAsiaTheme="minorEastAsia" w:hAnsiTheme="minorHAnsi" w:cstheme="minorBidi"/>
          <w:b w:val="0"/>
          <w:noProof/>
          <w:sz w:val="22"/>
          <w:szCs w:val="22"/>
          <w:lang w:eastAsia="en-AU"/>
        </w:rPr>
      </w:pPr>
      <w:hyperlink w:anchor="_Toc436147545" w:history="1">
        <w:r w:rsidR="00965D85" w:rsidRPr="00B3268B">
          <w:rPr>
            <w:rStyle w:val="Hyperlink"/>
            <w:noProof/>
          </w:rPr>
          <w:t>Chapter 6 – Contingent assets and contingent liabilities</w:t>
        </w:r>
        <w:r w:rsidR="00965D85">
          <w:rPr>
            <w:noProof/>
            <w:webHidden/>
          </w:rPr>
          <w:tab/>
        </w:r>
        <w:r w:rsidR="00965D85">
          <w:rPr>
            <w:noProof/>
            <w:webHidden/>
          </w:rPr>
          <w:fldChar w:fldCharType="begin"/>
        </w:r>
        <w:r w:rsidR="00965D85">
          <w:rPr>
            <w:noProof/>
            <w:webHidden/>
          </w:rPr>
          <w:instrText xml:space="preserve"> PAGEREF _Toc436147545 \h </w:instrText>
        </w:r>
        <w:r w:rsidR="00965D85">
          <w:rPr>
            <w:noProof/>
            <w:webHidden/>
          </w:rPr>
        </w:r>
        <w:r w:rsidR="00965D85">
          <w:rPr>
            <w:noProof/>
            <w:webHidden/>
          </w:rPr>
          <w:fldChar w:fldCharType="separate"/>
        </w:r>
        <w:r w:rsidR="009B0AC6">
          <w:rPr>
            <w:noProof/>
            <w:webHidden/>
          </w:rPr>
          <w:t>99</w:t>
        </w:r>
        <w:r w:rsidR="00965D85">
          <w:rPr>
            <w:noProof/>
            <w:webHidden/>
          </w:rPr>
          <w:fldChar w:fldCharType="end"/>
        </w:r>
      </w:hyperlink>
    </w:p>
    <w:p w:rsidR="00965D85" w:rsidRDefault="00DF27E0">
      <w:pPr>
        <w:pStyle w:val="TOC2"/>
        <w:rPr>
          <w:rFonts w:asciiTheme="minorHAnsi" w:eastAsiaTheme="minorEastAsia" w:hAnsiTheme="minorHAnsi" w:cstheme="minorBidi"/>
          <w:noProof/>
          <w:sz w:val="22"/>
          <w:szCs w:val="22"/>
          <w:lang w:eastAsia="en-AU"/>
        </w:rPr>
      </w:pPr>
      <w:hyperlink w:anchor="_Toc436147546" w:history="1">
        <w:r w:rsidR="00965D85" w:rsidRPr="00B3268B">
          <w:rPr>
            <w:rStyle w:val="Hyperlink"/>
            <w:noProof/>
          </w:rPr>
          <w:t>Contingent assets</w:t>
        </w:r>
        <w:r w:rsidR="00965D85">
          <w:rPr>
            <w:noProof/>
            <w:webHidden/>
          </w:rPr>
          <w:tab/>
        </w:r>
        <w:r w:rsidR="00965D85">
          <w:rPr>
            <w:noProof/>
            <w:webHidden/>
          </w:rPr>
          <w:fldChar w:fldCharType="begin"/>
        </w:r>
        <w:r w:rsidR="00965D85">
          <w:rPr>
            <w:noProof/>
            <w:webHidden/>
          </w:rPr>
          <w:instrText xml:space="preserve"> PAGEREF _Toc436147546 \h </w:instrText>
        </w:r>
        <w:r w:rsidR="00965D85">
          <w:rPr>
            <w:noProof/>
            <w:webHidden/>
          </w:rPr>
        </w:r>
        <w:r w:rsidR="00965D85">
          <w:rPr>
            <w:noProof/>
            <w:webHidden/>
          </w:rPr>
          <w:fldChar w:fldCharType="separate"/>
        </w:r>
        <w:r w:rsidR="009B0AC6">
          <w:rPr>
            <w:noProof/>
            <w:webHidden/>
          </w:rPr>
          <w:t>99</w:t>
        </w:r>
        <w:r w:rsidR="00965D85">
          <w:rPr>
            <w:noProof/>
            <w:webHidden/>
          </w:rPr>
          <w:fldChar w:fldCharType="end"/>
        </w:r>
      </w:hyperlink>
    </w:p>
    <w:p w:rsidR="00965D85" w:rsidRDefault="00DF27E0">
      <w:pPr>
        <w:pStyle w:val="TOC2"/>
        <w:rPr>
          <w:rFonts w:asciiTheme="minorHAnsi" w:eastAsiaTheme="minorEastAsia" w:hAnsiTheme="minorHAnsi" w:cstheme="minorBidi"/>
          <w:noProof/>
          <w:sz w:val="22"/>
          <w:szCs w:val="22"/>
          <w:lang w:eastAsia="en-AU"/>
        </w:rPr>
      </w:pPr>
      <w:hyperlink w:anchor="_Toc436147547" w:history="1">
        <w:r w:rsidR="00965D85" w:rsidRPr="00B3268B">
          <w:rPr>
            <w:rStyle w:val="Hyperlink"/>
            <w:noProof/>
          </w:rPr>
          <w:t>Contingent liabilities</w:t>
        </w:r>
        <w:r w:rsidR="00965D85">
          <w:rPr>
            <w:noProof/>
            <w:webHidden/>
          </w:rPr>
          <w:tab/>
        </w:r>
        <w:r w:rsidR="00965D85">
          <w:rPr>
            <w:noProof/>
            <w:webHidden/>
          </w:rPr>
          <w:fldChar w:fldCharType="begin"/>
        </w:r>
        <w:r w:rsidR="00965D85">
          <w:rPr>
            <w:noProof/>
            <w:webHidden/>
          </w:rPr>
          <w:instrText xml:space="preserve"> PAGEREF _Toc436147547 \h </w:instrText>
        </w:r>
        <w:r w:rsidR="00965D85">
          <w:rPr>
            <w:noProof/>
            <w:webHidden/>
          </w:rPr>
        </w:r>
        <w:r w:rsidR="00965D85">
          <w:rPr>
            <w:noProof/>
            <w:webHidden/>
          </w:rPr>
          <w:fldChar w:fldCharType="separate"/>
        </w:r>
        <w:r w:rsidR="009B0AC6">
          <w:rPr>
            <w:noProof/>
            <w:webHidden/>
          </w:rPr>
          <w:t>101</w:t>
        </w:r>
        <w:r w:rsidR="00965D85">
          <w:rPr>
            <w:noProof/>
            <w:webHidden/>
          </w:rPr>
          <w:fldChar w:fldCharType="end"/>
        </w:r>
      </w:hyperlink>
    </w:p>
    <w:p w:rsidR="00965D85" w:rsidRDefault="00DF27E0">
      <w:pPr>
        <w:pStyle w:val="TOC1"/>
        <w:rPr>
          <w:rFonts w:asciiTheme="minorHAnsi" w:eastAsiaTheme="minorEastAsia" w:hAnsiTheme="minorHAnsi" w:cstheme="minorBidi"/>
          <w:b w:val="0"/>
          <w:noProof/>
          <w:sz w:val="22"/>
          <w:szCs w:val="22"/>
          <w:lang w:eastAsia="en-AU"/>
        </w:rPr>
      </w:pPr>
      <w:hyperlink w:anchor="_Toc436147548" w:history="1">
        <w:r w:rsidR="00965D85" w:rsidRPr="00B3268B">
          <w:rPr>
            <w:rStyle w:val="Hyperlink"/>
            <w:noProof/>
          </w:rPr>
          <w:t>Appendix A – Specific policy initiatives affecting the budget position</w:t>
        </w:r>
        <w:r w:rsidR="00965D85">
          <w:rPr>
            <w:noProof/>
            <w:webHidden/>
          </w:rPr>
          <w:tab/>
        </w:r>
        <w:r w:rsidR="00965D85">
          <w:rPr>
            <w:noProof/>
            <w:webHidden/>
          </w:rPr>
          <w:fldChar w:fldCharType="begin"/>
        </w:r>
        <w:r w:rsidR="00965D85">
          <w:rPr>
            <w:noProof/>
            <w:webHidden/>
          </w:rPr>
          <w:instrText xml:space="preserve"> PAGEREF _Toc436147548 \h </w:instrText>
        </w:r>
        <w:r w:rsidR="00965D85">
          <w:rPr>
            <w:noProof/>
            <w:webHidden/>
          </w:rPr>
        </w:r>
        <w:r w:rsidR="00965D85">
          <w:rPr>
            <w:noProof/>
            <w:webHidden/>
          </w:rPr>
          <w:fldChar w:fldCharType="separate"/>
        </w:r>
        <w:r w:rsidR="009B0AC6">
          <w:rPr>
            <w:noProof/>
            <w:webHidden/>
          </w:rPr>
          <w:t>107</w:t>
        </w:r>
        <w:r w:rsidR="00965D85">
          <w:rPr>
            <w:noProof/>
            <w:webHidden/>
          </w:rPr>
          <w:fldChar w:fldCharType="end"/>
        </w:r>
      </w:hyperlink>
    </w:p>
    <w:p w:rsidR="00965D85" w:rsidRDefault="00DF27E0">
      <w:pPr>
        <w:pStyle w:val="TOC2"/>
        <w:rPr>
          <w:rFonts w:asciiTheme="minorHAnsi" w:eastAsiaTheme="minorEastAsia" w:hAnsiTheme="minorHAnsi" w:cstheme="minorBidi"/>
          <w:noProof/>
          <w:sz w:val="22"/>
          <w:szCs w:val="22"/>
          <w:lang w:eastAsia="en-AU"/>
        </w:rPr>
      </w:pPr>
      <w:hyperlink w:anchor="_Toc436147549" w:history="1">
        <w:r w:rsidR="00965D85" w:rsidRPr="00B3268B">
          <w:rPr>
            <w:rStyle w:val="Hyperlink"/>
            <w:noProof/>
          </w:rPr>
          <w:t>Whole of Government – Drought Package</w:t>
        </w:r>
        <w:r w:rsidR="00965D85">
          <w:rPr>
            <w:noProof/>
            <w:webHidden/>
          </w:rPr>
          <w:tab/>
        </w:r>
        <w:r w:rsidR="00965D85">
          <w:rPr>
            <w:noProof/>
            <w:webHidden/>
          </w:rPr>
          <w:fldChar w:fldCharType="begin"/>
        </w:r>
        <w:r w:rsidR="00965D85">
          <w:rPr>
            <w:noProof/>
            <w:webHidden/>
          </w:rPr>
          <w:instrText xml:space="preserve"> PAGEREF _Toc436147549 \h </w:instrText>
        </w:r>
        <w:r w:rsidR="00965D85">
          <w:rPr>
            <w:noProof/>
            <w:webHidden/>
          </w:rPr>
        </w:r>
        <w:r w:rsidR="00965D85">
          <w:rPr>
            <w:noProof/>
            <w:webHidden/>
          </w:rPr>
          <w:fldChar w:fldCharType="separate"/>
        </w:r>
        <w:r w:rsidR="009B0AC6">
          <w:rPr>
            <w:noProof/>
            <w:webHidden/>
          </w:rPr>
          <w:t>108</w:t>
        </w:r>
        <w:r w:rsidR="00965D85">
          <w:rPr>
            <w:noProof/>
            <w:webHidden/>
          </w:rPr>
          <w:fldChar w:fldCharType="end"/>
        </w:r>
      </w:hyperlink>
    </w:p>
    <w:p w:rsidR="00965D85" w:rsidRDefault="00DF27E0">
      <w:pPr>
        <w:pStyle w:val="TOC2"/>
        <w:rPr>
          <w:rFonts w:asciiTheme="minorHAnsi" w:eastAsiaTheme="minorEastAsia" w:hAnsiTheme="minorHAnsi" w:cstheme="minorBidi"/>
          <w:noProof/>
          <w:sz w:val="22"/>
          <w:szCs w:val="22"/>
          <w:lang w:eastAsia="en-AU"/>
        </w:rPr>
      </w:pPr>
      <w:hyperlink w:anchor="_Toc436147550" w:history="1">
        <w:r w:rsidR="00965D85" w:rsidRPr="00B3268B">
          <w:rPr>
            <w:rStyle w:val="Hyperlink"/>
            <w:noProof/>
          </w:rPr>
          <w:t>Department of Economic Development, Jobs, Transport and Resources</w:t>
        </w:r>
        <w:r w:rsidR="00965D85">
          <w:rPr>
            <w:noProof/>
            <w:webHidden/>
          </w:rPr>
          <w:tab/>
        </w:r>
        <w:r w:rsidR="00965D85">
          <w:rPr>
            <w:noProof/>
            <w:webHidden/>
          </w:rPr>
          <w:fldChar w:fldCharType="begin"/>
        </w:r>
        <w:r w:rsidR="00965D85">
          <w:rPr>
            <w:noProof/>
            <w:webHidden/>
          </w:rPr>
          <w:instrText xml:space="preserve"> PAGEREF _Toc436147550 \h </w:instrText>
        </w:r>
        <w:r w:rsidR="00965D85">
          <w:rPr>
            <w:noProof/>
            <w:webHidden/>
          </w:rPr>
        </w:r>
        <w:r w:rsidR="00965D85">
          <w:rPr>
            <w:noProof/>
            <w:webHidden/>
          </w:rPr>
          <w:fldChar w:fldCharType="separate"/>
        </w:r>
        <w:r w:rsidR="009B0AC6">
          <w:rPr>
            <w:noProof/>
            <w:webHidden/>
          </w:rPr>
          <w:t>109</w:t>
        </w:r>
        <w:r w:rsidR="00965D85">
          <w:rPr>
            <w:noProof/>
            <w:webHidden/>
          </w:rPr>
          <w:fldChar w:fldCharType="end"/>
        </w:r>
      </w:hyperlink>
    </w:p>
    <w:p w:rsidR="00965D85" w:rsidRDefault="00DF27E0">
      <w:pPr>
        <w:pStyle w:val="TOC2"/>
        <w:rPr>
          <w:rFonts w:asciiTheme="minorHAnsi" w:eastAsiaTheme="minorEastAsia" w:hAnsiTheme="minorHAnsi" w:cstheme="minorBidi"/>
          <w:noProof/>
          <w:sz w:val="22"/>
          <w:szCs w:val="22"/>
          <w:lang w:eastAsia="en-AU"/>
        </w:rPr>
      </w:pPr>
      <w:hyperlink w:anchor="_Toc436147551" w:history="1">
        <w:r w:rsidR="00965D85" w:rsidRPr="00B3268B">
          <w:rPr>
            <w:rStyle w:val="Hyperlink"/>
            <w:noProof/>
          </w:rPr>
          <w:t>Department of Education and Training</w:t>
        </w:r>
        <w:r w:rsidR="00965D85">
          <w:rPr>
            <w:noProof/>
            <w:webHidden/>
          </w:rPr>
          <w:tab/>
        </w:r>
        <w:r w:rsidR="00965D85">
          <w:rPr>
            <w:noProof/>
            <w:webHidden/>
          </w:rPr>
          <w:fldChar w:fldCharType="begin"/>
        </w:r>
        <w:r w:rsidR="00965D85">
          <w:rPr>
            <w:noProof/>
            <w:webHidden/>
          </w:rPr>
          <w:instrText xml:space="preserve"> PAGEREF _Toc436147551 \h </w:instrText>
        </w:r>
        <w:r w:rsidR="00965D85">
          <w:rPr>
            <w:noProof/>
            <w:webHidden/>
          </w:rPr>
        </w:r>
        <w:r w:rsidR="00965D85">
          <w:rPr>
            <w:noProof/>
            <w:webHidden/>
          </w:rPr>
          <w:fldChar w:fldCharType="separate"/>
        </w:r>
        <w:r w:rsidR="009B0AC6">
          <w:rPr>
            <w:noProof/>
            <w:webHidden/>
          </w:rPr>
          <w:t>112</w:t>
        </w:r>
        <w:r w:rsidR="00965D85">
          <w:rPr>
            <w:noProof/>
            <w:webHidden/>
          </w:rPr>
          <w:fldChar w:fldCharType="end"/>
        </w:r>
      </w:hyperlink>
    </w:p>
    <w:p w:rsidR="00965D85" w:rsidRDefault="00DF27E0">
      <w:pPr>
        <w:pStyle w:val="TOC2"/>
        <w:rPr>
          <w:rFonts w:asciiTheme="minorHAnsi" w:eastAsiaTheme="minorEastAsia" w:hAnsiTheme="minorHAnsi" w:cstheme="minorBidi"/>
          <w:noProof/>
          <w:sz w:val="22"/>
          <w:szCs w:val="22"/>
          <w:lang w:eastAsia="en-AU"/>
        </w:rPr>
      </w:pPr>
      <w:hyperlink w:anchor="_Toc436147552" w:history="1">
        <w:r w:rsidR="00965D85" w:rsidRPr="00B3268B">
          <w:rPr>
            <w:rStyle w:val="Hyperlink"/>
            <w:noProof/>
          </w:rPr>
          <w:t>Department of Environment, Land, Water and Planning</w:t>
        </w:r>
        <w:r w:rsidR="00965D85">
          <w:rPr>
            <w:noProof/>
            <w:webHidden/>
          </w:rPr>
          <w:tab/>
        </w:r>
        <w:r w:rsidR="00965D85">
          <w:rPr>
            <w:noProof/>
            <w:webHidden/>
          </w:rPr>
          <w:fldChar w:fldCharType="begin"/>
        </w:r>
        <w:r w:rsidR="00965D85">
          <w:rPr>
            <w:noProof/>
            <w:webHidden/>
          </w:rPr>
          <w:instrText xml:space="preserve"> PAGEREF _Toc436147552 \h </w:instrText>
        </w:r>
        <w:r w:rsidR="00965D85">
          <w:rPr>
            <w:noProof/>
            <w:webHidden/>
          </w:rPr>
        </w:r>
        <w:r w:rsidR="00965D85">
          <w:rPr>
            <w:noProof/>
            <w:webHidden/>
          </w:rPr>
          <w:fldChar w:fldCharType="separate"/>
        </w:r>
        <w:r w:rsidR="009B0AC6">
          <w:rPr>
            <w:noProof/>
            <w:webHidden/>
          </w:rPr>
          <w:t>113</w:t>
        </w:r>
        <w:r w:rsidR="00965D85">
          <w:rPr>
            <w:noProof/>
            <w:webHidden/>
          </w:rPr>
          <w:fldChar w:fldCharType="end"/>
        </w:r>
      </w:hyperlink>
    </w:p>
    <w:p w:rsidR="00965D85" w:rsidRDefault="00DF27E0">
      <w:pPr>
        <w:pStyle w:val="TOC2"/>
        <w:rPr>
          <w:rFonts w:asciiTheme="minorHAnsi" w:eastAsiaTheme="minorEastAsia" w:hAnsiTheme="minorHAnsi" w:cstheme="minorBidi"/>
          <w:noProof/>
          <w:sz w:val="22"/>
          <w:szCs w:val="22"/>
          <w:lang w:eastAsia="en-AU"/>
        </w:rPr>
      </w:pPr>
      <w:hyperlink w:anchor="_Toc436147553" w:history="1">
        <w:r w:rsidR="00965D85" w:rsidRPr="00B3268B">
          <w:rPr>
            <w:rStyle w:val="Hyperlink"/>
            <w:noProof/>
          </w:rPr>
          <w:t>Department of Justice and Regulation</w:t>
        </w:r>
        <w:r w:rsidR="00965D85">
          <w:rPr>
            <w:noProof/>
            <w:webHidden/>
          </w:rPr>
          <w:tab/>
        </w:r>
        <w:r w:rsidR="00965D85">
          <w:rPr>
            <w:noProof/>
            <w:webHidden/>
          </w:rPr>
          <w:fldChar w:fldCharType="begin"/>
        </w:r>
        <w:r w:rsidR="00965D85">
          <w:rPr>
            <w:noProof/>
            <w:webHidden/>
          </w:rPr>
          <w:instrText xml:space="preserve"> PAGEREF _Toc436147553 \h </w:instrText>
        </w:r>
        <w:r w:rsidR="00965D85">
          <w:rPr>
            <w:noProof/>
            <w:webHidden/>
          </w:rPr>
        </w:r>
        <w:r w:rsidR="00965D85">
          <w:rPr>
            <w:noProof/>
            <w:webHidden/>
          </w:rPr>
          <w:fldChar w:fldCharType="separate"/>
        </w:r>
        <w:r w:rsidR="009B0AC6">
          <w:rPr>
            <w:noProof/>
            <w:webHidden/>
          </w:rPr>
          <w:t>115</w:t>
        </w:r>
        <w:r w:rsidR="00965D85">
          <w:rPr>
            <w:noProof/>
            <w:webHidden/>
          </w:rPr>
          <w:fldChar w:fldCharType="end"/>
        </w:r>
      </w:hyperlink>
    </w:p>
    <w:p w:rsidR="00965D85" w:rsidRDefault="00DF27E0">
      <w:pPr>
        <w:pStyle w:val="TOC2"/>
        <w:rPr>
          <w:rFonts w:asciiTheme="minorHAnsi" w:eastAsiaTheme="minorEastAsia" w:hAnsiTheme="minorHAnsi" w:cstheme="minorBidi"/>
          <w:noProof/>
          <w:sz w:val="22"/>
          <w:szCs w:val="22"/>
          <w:lang w:eastAsia="en-AU"/>
        </w:rPr>
      </w:pPr>
      <w:hyperlink w:anchor="_Toc436147554" w:history="1">
        <w:r w:rsidR="00965D85" w:rsidRPr="00B3268B">
          <w:rPr>
            <w:rStyle w:val="Hyperlink"/>
            <w:noProof/>
          </w:rPr>
          <w:t>Department of Treasury and Finance</w:t>
        </w:r>
        <w:r w:rsidR="00965D85">
          <w:rPr>
            <w:noProof/>
            <w:webHidden/>
          </w:rPr>
          <w:tab/>
        </w:r>
        <w:r w:rsidR="00965D85">
          <w:rPr>
            <w:noProof/>
            <w:webHidden/>
          </w:rPr>
          <w:fldChar w:fldCharType="begin"/>
        </w:r>
        <w:r w:rsidR="00965D85">
          <w:rPr>
            <w:noProof/>
            <w:webHidden/>
          </w:rPr>
          <w:instrText xml:space="preserve"> PAGEREF _Toc436147554 \h </w:instrText>
        </w:r>
        <w:r w:rsidR="00965D85">
          <w:rPr>
            <w:noProof/>
            <w:webHidden/>
          </w:rPr>
        </w:r>
        <w:r w:rsidR="00965D85">
          <w:rPr>
            <w:noProof/>
            <w:webHidden/>
          </w:rPr>
          <w:fldChar w:fldCharType="separate"/>
        </w:r>
        <w:r w:rsidR="009B0AC6">
          <w:rPr>
            <w:noProof/>
            <w:webHidden/>
          </w:rPr>
          <w:t>116</w:t>
        </w:r>
        <w:r w:rsidR="00965D85">
          <w:rPr>
            <w:noProof/>
            <w:webHidden/>
          </w:rPr>
          <w:fldChar w:fldCharType="end"/>
        </w:r>
      </w:hyperlink>
    </w:p>
    <w:p w:rsidR="00965D85" w:rsidRDefault="00DF27E0">
      <w:pPr>
        <w:pStyle w:val="TOC2"/>
        <w:rPr>
          <w:rFonts w:asciiTheme="minorHAnsi" w:eastAsiaTheme="minorEastAsia" w:hAnsiTheme="minorHAnsi" w:cstheme="minorBidi"/>
          <w:noProof/>
          <w:sz w:val="22"/>
          <w:szCs w:val="22"/>
          <w:lang w:eastAsia="en-AU"/>
        </w:rPr>
      </w:pPr>
      <w:hyperlink w:anchor="_Toc436147555" w:history="1">
        <w:r w:rsidR="00965D85" w:rsidRPr="00B3268B">
          <w:rPr>
            <w:rStyle w:val="Hyperlink"/>
            <w:noProof/>
          </w:rPr>
          <w:t>Parliament</w:t>
        </w:r>
        <w:r w:rsidR="00965D85">
          <w:rPr>
            <w:noProof/>
            <w:webHidden/>
          </w:rPr>
          <w:tab/>
        </w:r>
        <w:r w:rsidR="00965D85">
          <w:rPr>
            <w:noProof/>
            <w:webHidden/>
          </w:rPr>
          <w:fldChar w:fldCharType="begin"/>
        </w:r>
        <w:r w:rsidR="00965D85">
          <w:rPr>
            <w:noProof/>
            <w:webHidden/>
          </w:rPr>
          <w:instrText xml:space="preserve"> PAGEREF _Toc436147555 \h </w:instrText>
        </w:r>
        <w:r w:rsidR="00965D85">
          <w:rPr>
            <w:noProof/>
            <w:webHidden/>
          </w:rPr>
        </w:r>
        <w:r w:rsidR="00965D85">
          <w:rPr>
            <w:noProof/>
            <w:webHidden/>
          </w:rPr>
          <w:fldChar w:fldCharType="separate"/>
        </w:r>
        <w:r w:rsidR="009B0AC6">
          <w:rPr>
            <w:noProof/>
            <w:webHidden/>
          </w:rPr>
          <w:t>117</w:t>
        </w:r>
        <w:r w:rsidR="00965D85">
          <w:rPr>
            <w:noProof/>
            <w:webHidden/>
          </w:rPr>
          <w:fldChar w:fldCharType="end"/>
        </w:r>
      </w:hyperlink>
    </w:p>
    <w:p w:rsidR="00965D85" w:rsidRDefault="00DF27E0">
      <w:pPr>
        <w:pStyle w:val="TOC2"/>
        <w:rPr>
          <w:rFonts w:asciiTheme="minorHAnsi" w:eastAsiaTheme="minorEastAsia" w:hAnsiTheme="minorHAnsi" w:cstheme="minorBidi"/>
          <w:noProof/>
          <w:sz w:val="22"/>
          <w:szCs w:val="22"/>
          <w:lang w:eastAsia="en-AU"/>
        </w:rPr>
      </w:pPr>
      <w:hyperlink w:anchor="_Toc436147556" w:history="1">
        <w:r w:rsidR="00965D85" w:rsidRPr="00B3268B">
          <w:rPr>
            <w:rStyle w:val="Hyperlink"/>
            <w:noProof/>
          </w:rPr>
          <w:t>Courts</w:t>
        </w:r>
        <w:r w:rsidR="00965D85">
          <w:rPr>
            <w:noProof/>
            <w:webHidden/>
          </w:rPr>
          <w:tab/>
        </w:r>
        <w:r w:rsidR="00965D85">
          <w:rPr>
            <w:noProof/>
            <w:webHidden/>
          </w:rPr>
          <w:fldChar w:fldCharType="begin"/>
        </w:r>
        <w:r w:rsidR="00965D85">
          <w:rPr>
            <w:noProof/>
            <w:webHidden/>
          </w:rPr>
          <w:instrText xml:space="preserve"> PAGEREF _Toc436147556 \h </w:instrText>
        </w:r>
        <w:r w:rsidR="00965D85">
          <w:rPr>
            <w:noProof/>
            <w:webHidden/>
          </w:rPr>
        </w:r>
        <w:r w:rsidR="00965D85">
          <w:rPr>
            <w:noProof/>
            <w:webHidden/>
          </w:rPr>
          <w:fldChar w:fldCharType="separate"/>
        </w:r>
        <w:r w:rsidR="009B0AC6">
          <w:rPr>
            <w:noProof/>
            <w:webHidden/>
          </w:rPr>
          <w:t>118</w:t>
        </w:r>
        <w:r w:rsidR="00965D85">
          <w:rPr>
            <w:noProof/>
            <w:webHidden/>
          </w:rPr>
          <w:fldChar w:fldCharType="end"/>
        </w:r>
      </w:hyperlink>
    </w:p>
    <w:p w:rsidR="00965D85" w:rsidRDefault="00DF27E0">
      <w:pPr>
        <w:pStyle w:val="TOC1"/>
        <w:rPr>
          <w:rFonts w:asciiTheme="minorHAnsi" w:eastAsiaTheme="minorEastAsia" w:hAnsiTheme="minorHAnsi" w:cstheme="minorBidi"/>
          <w:b w:val="0"/>
          <w:noProof/>
          <w:sz w:val="22"/>
          <w:szCs w:val="22"/>
          <w:lang w:eastAsia="en-AU"/>
        </w:rPr>
      </w:pPr>
      <w:hyperlink w:anchor="_Toc436147557" w:history="1">
        <w:r w:rsidR="00965D85" w:rsidRPr="00B3268B">
          <w:rPr>
            <w:rStyle w:val="Hyperlink"/>
            <w:noProof/>
          </w:rPr>
          <w:t>Appendix B – Amendments to the 2015</w:t>
        </w:r>
        <w:r w:rsidR="00965D85" w:rsidRPr="00B3268B">
          <w:rPr>
            <w:rStyle w:val="Hyperlink"/>
            <w:noProof/>
          </w:rPr>
          <w:noBreakHyphen/>
          <w:t>16 output performance measures</w:t>
        </w:r>
        <w:r w:rsidR="00965D85">
          <w:rPr>
            <w:noProof/>
            <w:webHidden/>
          </w:rPr>
          <w:tab/>
        </w:r>
        <w:r w:rsidR="00965D85">
          <w:rPr>
            <w:noProof/>
            <w:webHidden/>
          </w:rPr>
          <w:fldChar w:fldCharType="begin"/>
        </w:r>
        <w:r w:rsidR="00965D85">
          <w:rPr>
            <w:noProof/>
            <w:webHidden/>
          </w:rPr>
          <w:instrText xml:space="preserve"> PAGEREF _Toc436147557 \h </w:instrText>
        </w:r>
        <w:r w:rsidR="00965D85">
          <w:rPr>
            <w:noProof/>
            <w:webHidden/>
          </w:rPr>
        </w:r>
        <w:r w:rsidR="00965D85">
          <w:rPr>
            <w:noProof/>
            <w:webHidden/>
          </w:rPr>
          <w:fldChar w:fldCharType="separate"/>
        </w:r>
        <w:r w:rsidR="009B0AC6">
          <w:rPr>
            <w:noProof/>
            <w:webHidden/>
          </w:rPr>
          <w:t>119</w:t>
        </w:r>
        <w:r w:rsidR="00965D85">
          <w:rPr>
            <w:noProof/>
            <w:webHidden/>
          </w:rPr>
          <w:fldChar w:fldCharType="end"/>
        </w:r>
      </w:hyperlink>
    </w:p>
    <w:p w:rsidR="00965D85" w:rsidRDefault="00965D85">
      <w:pPr>
        <w:spacing w:after="0"/>
        <w:rPr>
          <w:rStyle w:val="Hyperlink"/>
          <w:rFonts w:ascii="Calibri" w:hAnsi="Calibri"/>
          <w:b/>
          <w:noProof/>
          <w:sz w:val="24"/>
        </w:rPr>
      </w:pPr>
      <w:r>
        <w:rPr>
          <w:rStyle w:val="Hyperlink"/>
          <w:noProof/>
        </w:rPr>
        <w:br w:type="page"/>
      </w:r>
    </w:p>
    <w:p w:rsidR="00965D85" w:rsidRDefault="00DF27E0">
      <w:pPr>
        <w:pStyle w:val="TOC1"/>
        <w:rPr>
          <w:rFonts w:asciiTheme="minorHAnsi" w:eastAsiaTheme="minorEastAsia" w:hAnsiTheme="minorHAnsi" w:cstheme="minorBidi"/>
          <w:b w:val="0"/>
          <w:noProof/>
          <w:sz w:val="22"/>
          <w:szCs w:val="22"/>
          <w:lang w:eastAsia="en-AU"/>
        </w:rPr>
      </w:pPr>
      <w:hyperlink w:anchor="_Toc436147558" w:history="1">
        <w:r w:rsidR="00965D85" w:rsidRPr="00B3268B">
          <w:rPr>
            <w:rStyle w:val="Hyperlink"/>
            <w:noProof/>
          </w:rPr>
          <w:t>Appendix C – Tax expenditures and concessions</w:t>
        </w:r>
        <w:r w:rsidR="00965D85">
          <w:rPr>
            <w:noProof/>
            <w:webHidden/>
          </w:rPr>
          <w:tab/>
        </w:r>
        <w:r w:rsidR="00965D85">
          <w:rPr>
            <w:noProof/>
            <w:webHidden/>
          </w:rPr>
          <w:fldChar w:fldCharType="begin"/>
        </w:r>
        <w:r w:rsidR="00965D85">
          <w:rPr>
            <w:noProof/>
            <w:webHidden/>
          </w:rPr>
          <w:instrText xml:space="preserve"> PAGEREF _Toc436147558 \h </w:instrText>
        </w:r>
        <w:r w:rsidR="00965D85">
          <w:rPr>
            <w:noProof/>
            <w:webHidden/>
          </w:rPr>
        </w:r>
        <w:r w:rsidR="00965D85">
          <w:rPr>
            <w:noProof/>
            <w:webHidden/>
          </w:rPr>
          <w:fldChar w:fldCharType="separate"/>
        </w:r>
        <w:r w:rsidR="009B0AC6">
          <w:rPr>
            <w:noProof/>
            <w:webHidden/>
          </w:rPr>
          <w:t>121</w:t>
        </w:r>
        <w:r w:rsidR="00965D85">
          <w:rPr>
            <w:noProof/>
            <w:webHidden/>
          </w:rPr>
          <w:fldChar w:fldCharType="end"/>
        </w:r>
      </w:hyperlink>
    </w:p>
    <w:p w:rsidR="00965D85" w:rsidRDefault="00DF27E0">
      <w:pPr>
        <w:pStyle w:val="TOC2"/>
        <w:rPr>
          <w:rFonts w:asciiTheme="minorHAnsi" w:eastAsiaTheme="minorEastAsia" w:hAnsiTheme="minorHAnsi" w:cstheme="minorBidi"/>
          <w:noProof/>
          <w:sz w:val="22"/>
          <w:szCs w:val="22"/>
          <w:lang w:eastAsia="en-AU"/>
        </w:rPr>
      </w:pPr>
      <w:hyperlink w:anchor="_Toc436147559" w:history="1">
        <w:r w:rsidR="00965D85" w:rsidRPr="00B3268B">
          <w:rPr>
            <w:rStyle w:val="Hyperlink"/>
            <w:noProof/>
          </w:rPr>
          <w:t>Tax expenditures</w:t>
        </w:r>
        <w:r w:rsidR="00965D85">
          <w:rPr>
            <w:noProof/>
            <w:webHidden/>
          </w:rPr>
          <w:tab/>
        </w:r>
        <w:r w:rsidR="00965D85">
          <w:rPr>
            <w:noProof/>
            <w:webHidden/>
          </w:rPr>
          <w:fldChar w:fldCharType="begin"/>
        </w:r>
        <w:r w:rsidR="00965D85">
          <w:rPr>
            <w:noProof/>
            <w:webHidden/>
          </w:rPr>
          <w:instrText xml:space="preserve"> PAGEREF _Toc436147559 \h </w:instrText>
        </w:r>
        <w:r w:rsidR="00965D85">
          <w:rPr>
            <w:noProof/>
            <w:webHidden/>
          </w:rPr>
        </w:r>
        <w:r w:rsidR="00965D85">
          <w:rPr>
            <w:noProof/>
            <w:webHidden/>
          </w:rPr>
          <w:fldChar w:fldCharType="separate"/>
        </w:r>
        <w:r w:rsidR="009B0AC6">
          <w:rPr>
            <w:noProof/>
            <w:webHidden/>
          </w:rPr>
          <w:t>121</w:t>
        </w:r>
        <w:r w:rsidR="00965D85">
          <w:rPr>
            <w:noProof/>
            <w:webHidden/>
          </w:rPr>
          <w:fldChar w:fldCharType="end"/>
        </w:r>
      </w:hyperlink>
    </w:p>
    <w:p w:rsidR="00965D85" w:rsidRDefault="00DF27E0">
      <w:pPr>
        <w:pStyle w:val="TOC2"/>
        <w:rPr>
          <w:rFonts w:asciiTheme="minorHAnsi" w:eastAsiaTheme="minorEastAsia" w:hAnsiTheme="minorHAnsi" w:cstheme="minorBidi"/>
          <w:noProof/>
          <w:sz w:val="22"/>
          <w:szCs w:val="22"/>
          <w:lang w:eastAsia="en-AU"/>
        </w:rPr>
      </w:pPr>
      <w:hyperlink w:anchor="_Toc436147560" w:history="1">
        <w:r w:rsidR="00965D85" w:rsidRPr="00B3268B">
          <w:rPr>
            <w:rStyle w:val="Hyperlink"/>
            <w:noProof/>
          </w:rPr>
          <w:t>Concessions</w:t>
        </w:r>
        <w:r w:rsidR="00965D85">
          <w:rPr>
            <w:noProof/>
            <w:webHidden/>
          </w:rPr>
          <w:tab/>
        </w:r>
        <w:r w:rsidR="00965D85">
          <w:rPr>
            <w:noProof/>
            <w:webHidden/>
          </w:rPr>
          <w:fldChar w:fldCharType="begin"/>
        </w:r>
        <w:r w:rsidR="00965D85">
          <w:rPr>
            <w:noProof/>
            <w:webHidden/>
          </w:rPr>
          <w:instrText xml:space="preserve"> PAGEREF _Toc436147560 \h </w:instrText>
        </w:r>
        <w:r w:rsidR="00965D85">
          <w:rPr>
            <w:noProof/>
            <w:webHidden/>
          </w:rPr>
        </w:r>
        <w:r w:rsidR="00965D85">
          <w:rPr>
            <w:noProof/>
            <w:webHidden/>
          </w:rPr>
          <w:fldChar w:fldCharType="separate"/>
        </w:r>
        <w:r w:rsidR="009B0AC6">
          <w:rPr>
            <w:noProof/>
            <w:webHidden/>
          </w:rPr>
          <w:t>122</w:t>
        </w:r>
        <w:r w:rsidR="00965D85">
          <w:rPr>
            <w:noProof/>
            <w:webHidden/>
          </w:rPr>
          <w:fldChar w:fldCharType="end"/>
        </w:r>
      </w:hyperlink>
    </w:p>
    <w:p w:rsidR="00965D85" w:rsidRDefault="00DF27E0">
      <w:pPr>
        <w:pStyle w:val="TOC1"/>
        <w:rPr>
          <w:rFonts w:asciiTheme="minorHAnsi" w:eastAsiaTheme="minorEastAsia" w:hAnsiTheme="minorHAnsi" w:cstheme="minorBidi"/>
          <w:b w:val="0"/>
          <w:noProof/>
          <w:sz w:val="22"/>
          <w:szCs w:val="22"/>
          <w:lang w:eastAsia="en-AU"/>
        </w:rPr>
      </w:pPr>
      <w:hyperlink w:anchor="_Toc436147561" w:history="1">
        <w:r w:rsidR="00965D85" w:rsidRPr="00B3268B">
          <w:rPr>
            <w:rStyle w:val="Hyperlink"/>
            <w:noProof/>
          </w:rPr>
          <w:t>Appendix D – Sensitivity analysis</w:t>
        </w:r>
        <w:r w:rsidR="00965D85">
          <w:rPr>
            <w:noProof/>
            <w:webHidden/>
          </w:rPr>
          <w:tab/>
        </w:r>
        <w:r w:rsidR="00965D85">
          <w:rPr>
            <w:noProof/>
            <w:webHidden/>
          </w:rPr>
          <w:fldChar w:fldCharType="begin"/>
        </w:r>
        <w:r w:rsidR="00965D85">
          <w:rPr>
            <w:noProof/>
            <w:webHidden/>
          </w:rPr>
          <w:instrText xml:space="preserve"> PAGEREF _Toc436147561 \h </w:instrText>
        </w:r>
        <w:r w:rsidR="00965D85">
          <w:rPr>
            <w:noProof/>
            <w:webHidden/>
          </w:rPr>
        </w:r>
        <w:r w:rsidR="00965D85">
          <w:rPr>
            <w:noProof/>
            <w:webHidden/>
          </w:rPr>
          <w:fldChar w:fldCharType="separate"/>
        </w:r>
        <w:r w:rsidR="009B0AC6">
          <w:rPr>
            <w:noProof/>
            <w:webHidden/>
          </w:rPr>
          <w:t>125</w:t>
        </w:r>
        <w:r w:rsidR="00965D85">
          <w:rPr>
            <w:noProof/>
            <w:webHidden/>
          </w:rPr>
          <w:fldChar w:fldCharType="end"/>
        </w:r>
      </w:hyperlink>
    </w:p>
    <w:p w:rsidR="00965D85" w:rsidRDefault="00DF27E0">
      <w:pPr>
        <w:pStyle w:val="TOC2"/>
        <w:rPr>
          <w:rFonts w:asciiTheme="minorHAnsi" w:eastAsiaTheme="minorEastAsia" w:hAnsiTheme="minorHAnsi" w:cstheme="minorBidi"/>
          <w:noProof/>
          <w:sz w:val="22"/>
          <w:szCs w:val="22"/>
          <w:lang w:eastAsia="en-AU"/>
        </w:rPr>
      </w:pPr>
      <w:hyperlink w:anchor="_Toc436147562" w:history="1">
        <w:r w:rsidR="00965D85" w:rsidRPr="00B3268B">
          <w:rPr>
            <w:rStyle w:val="Hyperlink"/>
            <w:noProof/>
          </w:rPr>
          <w:t>Sensitivity to independent variations in major economic parameters</w:t>
        </w:r>
        <w:r w:rsidR="00965D85">
          <w:rPr>
            <w:noProof/>
            <w:webHidden/>
          </w:rPr>
          <w:tab/>
        </w:r>
        <w:r w:rsidR="00965D85">
          <w:rPr>
            <w:noProof/>
            <w:webHidden/>
          </w:rPr>
          <w:fldChar w:fldCharType="begin"/>
        </w:r>
        <w:r w:rsidR="00965D85">
          <w:rPr>
            <w:noProof/>
            <w:webHidden/>
          </w:rPr>
          <w:instrText xml:space="preserve"> PAGEREF _Toc436147562 \h </w:instrText>
        </w:r>
        <w:r w:rsidR="00965D85">
          <w:rPr>
            <w:noProof/>
            <w:webHidden/>
          </w:rPr>
        </w:r>
        <w:r w:rsidR="00965D85">
          <w:rPr>
            <w:noProof/>
            <w:webHidden/>
          </w:rPr>
          <w:fldChar w:fldCharType="separate"/>
        </w:r>
        <w:r w:rsidR="009B0AC6">
          <w:rPr>
            <w:noProof/>
            <w:webHidden/>
          </w:rPr>
          <w:t>125</w:t>
        </w:r>
        <w:r w:rsidR="00965D85">
          <w:rPr>
            <w:noProof/>
            <w:webHidden/>
          </w:rPr>
          <w:fldChar w:fldCharType="end"/>
        </w:r>
      </w:hyperlink>
    </w:p>
    <w:p w:rsidR="00965D85" w:rsidRDefault="00DF27E0">
      <w:pPr>
        <w:pStyle w:val="TOC2"/>
        <w:rPr>
          <w:rFonts w:asciiTheme="minorHAnsi" w:eastAsiaTheme="minorEastAsia" w:hAnsiTheme="minorHAnsi" w:cstheme="minorBidi"/>
          <w:noProof/>
          <w:sz w:val="22"/>
          <w:szCs w:val="22"/>
          <w:lang w:eastAsia="en-AU"/>
        </w:rPr>
      </w:pPr>
      <w:hyperlink w:anchor="_Toc436147563" w:history="1">
        <w:r w:rsidR="00965D85" w:rsidRPr="00B3268B">
          <w:rPr>
            <w:rStyle w:val="Hyperlink"/>
            <w:noProof/>
          </w:rPr>
          <w:t>Sensitivity to variations in the economic outlook</w:t>
        </w:r>
        <w:r w:rsidR="00965D85">
          <w:rPr>
            <w:noProof/>
            <w:webHidden/>
          </w:rPr>
          <w:tab/>
        </w:r>
        <w:r w:rsidR="00965D85">
          <w:rPr>
            <w:noProof/>
            <w:webHidden/>
          </w:rPr>
          <w:fldChar w:fldCharType="begin"/>
        </w:r>
        <w:r w:rsidR="00965D85">
          <w:rPr>
            <w:noProof/>
            <w:webHidden/>
          </w:rPr>
          <w:instrText xml:space="preserve"> PAGEREF _Toc436147563 \h </w:instrText>
        </w:r>
        <w:r w:rsidR="00965D85">
          <w:rPr>
            <w:noProof/>
            <w:webHidden/>
          </w:rPr>
        </w:r>
        <w:r w:rsidR="00965D85">
          <w:rPr>
            <w:noProof/>
            <w:webHidden/>
          </w:rPr>
          <w:fldChar w:fldCharType="separate"/>
        </w:r>
        <w:r w:rsidR="009B0AC6">
          <w:rPr>
            <w:noProof/>
            <w:webHidden/>
          </w:rPr>
          <w:t>133</w:t>
        </w:r>
        <w:r w:rsidR="00965D85">
          <w:rPr>
            <w:noProof/>
            <w:webHidden/>
          </w:rPr>
          <w:fldChar w:fldCharType="end"/>
        </w:r>
      </w:hyperlink>
    </w:p>
    <w:p w:rsidR="00965D85" w:rsidRDefault="00DF27E0">
      <w:pPr>
        <w:pStyle w:val="TOC1"/>
        <w:rPr>
          <w:rFonts w:asciiTheme="minorHAnsi" w:eastAsiaTheme="minorEastAsia" w:hAnsiTheme="minorHAnsi" w:cstheme="minorBidi"/>
          <w:b w:val="0"/>
          <w:noProof/>
          <w:sz w:val="22"/>
          <w:szCs w:val="22"/>
          <w:lang w:eastAsia="en-AU"/>
        </w:rPr>
      </w:pPr>
      <w:hyperlink w:anchor="_Toc436147564" w:history="1">
        <w:r w:rsidR="00965D85" w:rsidRPr="00B3268B">
          <w:rPr>
            <w:rStyle w:val="Hyperlink"/>
            <w:noProof/>
          </w:rPr>
          <w:t xml:space="preserve">Appendix E – Requirements of the </w:t>
        </w:r>
        <w:r w:rsidR="00965D85" w:rsidRPr="00B3268B">
          <w:rPr>
            <w:rStyle w:val="Hyperlink"/>
            <w:i/>
            <w:noProof/>
          </w:rPr>
          <w:t>Financial Management Act 1994</w:t>
        </w:r>
        <w:r w:rsidR="00965D85">
          <w:rPr>
            <w:noProof/>
            <w:webHidden/>
          </w:rPr>
          <w:tab/>
        </w:r>
        <w:r w:rsidR="00965D85">
          <w:rPr>
            <w:noProof/>
            <w:webHidden/>
          </w:rPr>
          <w:fldChar w:fldCharType="begin"/>
        </w:r>
        <w:r w:rsidR="00965D85">
          <w:rPr>
            <w:noProof/>
            <w:webHidden/>
          </w:rPr>
          <w:instrText xml:space="preserve"> PAGEREF _Toc436147564 \h </w:instrText>
        </w:r>
        <w:r w:rsidR="00965D85">
          <w:rPr>
            <w:noProof/>
            <w:webHidden/>
          </w:rPr>
        </w:r>
        <w:r w:rsidR="00965D85">
          <w:rPr>
            <w:noProof/>
            <w:webHidden/>
          </w:rPr>
          <w:fldChar w:fldCharType="separate"/>
        </w:r>
        <w:r w:rsidR="009B0AC6">
          <w:rPr>
            <w:noProof/>
            <w:webHidden/>
          </w:rPr>
          <w:t>137</w:t>
        </w:r>
        <w:r w:rsidR="00965D85">
          <w:rPr>
            <w:noProof/>
            <w:webHidden/>
          </w:rPr>
          <w:fldChar w:fldCharType="end"/>
        </w:r>
      </w:hyperlink>
    </w:p>
    <w:p w:rsidR="00965D85" w:rsidRDefault="00DF27E0">
      <w:pPr>
        <w:pStyle w:val="TOC1"/>
        <w:rPr>
          <w:rFonts w:asciiTheme="minorHAnsi" w:eastAsiaTheme="minorEastAsia" w:hAnsiTheme="minorHAnsi" w:cstheme="minorBidi"/>
          <w:b w:val="0"/>
          <w:noProof/>
          <w:sz w:val="22"/>
          <w:szCs w:val="22"/>
          <w:lang w:eastAsia="en-AU"/>
        </w:rPr>
      </w:pPr>
      <w:hyperlink w:anchor="_Toc436147565" w:history="1">
        <w:r w:rsidR="00965D85" w:rsidRPr="00B3268B">
          <w:rPr>
            <w:rStyle w:val="Hyperlink"/>
            <w:noProof/>
          </w:rPr>
          <w:t>Style conventions</w:t>
        </w:r>
        <w:r w:rsidR="00965D85">
          <w:rPr>
            <w:noProof/>
            <w:webHidden/>
          </w:rPr>
          <w:tab/>
        </w:r>
        <w:r w:rsidR="00965D85">
          <w:rPr>
            <w:noProof/>
            <w:webHidden/>
          </w:rPr>
          <w:fldChar w:fldCharType="begin"/>
        </w:r>
        <w:r w:rsidR="00965D85">
          <w:rPr>
            <w:noProof/>
            <w:webHidden/>
          </w:rPr>
          <w:instrText xml:space="preserve"> PAGEREF _Toc436147565 \h </w:instrText>
        </w:r>
        <w:r w:rsidR="00965D85">
          <w:rPr>
            <w:noProof/>
            <w:webHidden/>
          </w:rPr>
        </w:r>
        <w:r w:rsidR="00965D85">
          <w:rPr>
            <w:noProof/>
            <w:webHidden/>
          </w:rPr>
          <w:fldChar w:fldCharType="separate"/>
        </w:r>
        <w:r w:rsidR="009B0AC6">
          <w:rPr>
            <w:noProof/>
            <w:webHidden/>
          </w:rPr>
          <w:t>139</w:t>
        </w:r>
        <w:r w:rsidR="00965D85">
          <w:rPr>
            <w:noProof/>
            <w:webHidden/>
          </w:rPr>
          <w:fldChar w:fldCharType="end"/>
        </w:r>
      </w:hyperlink>
    </w:p>
    <w:p w:rsidR="00965D85" w:rsidRDefault="00965D85" w:rsidP="00DF54C9">
      <w:r>
        <w:fldChar w:fldCharType="end"/>
      </w:r>
    </w:p>
    <w:p w:rsidR="00965D85" w:rsidRDefault="00965D85" w:rsidP="00DF54C9"/>
    <w:p w:rsidR="00965D85" w:rsidRDefault="00965D85" w:rsidP="00DF54C9"/>
    <w:p w:rsidR="00965D85" w:rsidRDefault="00965D85" w:rsidP="00DF54C9"/>
    <w:p w:rsidR="00965D85" w:rsidRDefault="00965D85" w:rsidP="00DF54C9">
      <w:pPr>
        <w:sectPr w:rsidR="00965D85" w:rsidSect="000234BE">
          <w:footerReference w:type="even" r:id="rId14"/>
          <w:footerReference w:type="default" r:id="rId15"/>
          <w:type w:val="oddPage"/>
          <w:pgSz w:w="9979" w:h="14175" w:code="9"/>
          <w:pgMar w:top="1140" w:right="1140" w:bottom="1140" w:left="1140" w:header="720" w:footer="431" w:gutter="0"/>
          <w:pgNumType w:fmt="lowerRoman" w:start="1"/>
          <w:cols w:space="708"/>
          <w:docGrid w:linePitch="360"/>
        </w:sectPr>
      </w:pPr>
    </w:p>
    <w:p w:rsidR="00965D85" w:rsidRDefault="00965D85" w:rsidP="00705A1D">
      <w:pPr>
        <w:pStyle w:val="ChapterHeading"/>
      </w:pPr>
      <w:bookmarkStart w:id="1" w:name="_Toc436147527"/>
      <w:r w:rsidRPr="00427D0E">
        <w:lastRenderedPageBreak/>
        <w:t>Chapter 1 – Economic and fiscal overview</w:t>
      </w:r>
      <w:bookmarkEnd w:id="1"/>
    </w:p>
    <w:p w:rsidR="00965D85" w:rsidRDefault="00965D85" w:rsidP="00D30046">
      <w:r>
        <w:t xml:space="preserve">In line with forecasts in the </w:t>
      </w:r>
      <w:r w:rsidRPr="00E63F19">
        <w:rPr>
          <w:i/>
        </w:rPr>
        <w:t>2015</w:t>
      </w:r>
      <w:r>
        <w:rPr>
          <w:i/>
        </w:rPr>
        <w:noBreakHyphen/>
      </w:r>
      <w:r w:rsidRPr="00E63F19">
        <w:rPr>
          <w:i/>
        </w:rPr>
        <w:t>16 Budget</w:t>
      </w:r>
      <w:r>
        <w:rPr>
          <w:i/>
        </w:rPr>
        <w:t>,</w:t>
      </w:r>
      <w:r>
        <w:t xml:space="preserve"> a sustained boost in demand in the Victorian economy is emerging. This is evidenced by strong demand for housing and business investment growth driven by non</w:t>
      </w:r>
      <w:r>
        <w:noBreakHyphen/>
        <w:t xml:space="preserve">dwelling construction. </w:t>
      </w:r>
    </w:p>
    <w:p w:rsidR="00965D85" w:rsidRDefault="00965D85" w:rsidP="006C4793">
      <w:r>
        <w:t>Victoria has recorded the highest population growth among the states, reflecting the continued growth of the Victorian economy and the attraction of the state as a place to live. While the unemployment rate has been at or above 6 per cent for most of 2015, the outlook is for the unemployment rate to decline as economic activity continues to pick up.</w:t>
      </w:r>
    </w:p>
    <w:p w:rsidR="00965D85" w:rsidRDefault="00965D85" w:rsidP="00D30046">
      <w:r>
        <w:t xml:space="preserve">The </w:t>
      </w:r>
      <w:r w:rsidRPr="00703071">
        <w:rPr>
          <w:i/>
        </w:rPr>
        <w:t>2015</w:t>
      </w:r>
      <w:r>
        <w:rPr>
          <w:i/>
        </w:rPr>
        <w:noBreakHyphen/>
      </w:r>
      <w:r w:rsidRPr="00703071">
        <w:rPr>
          <w:i/>
        </w:rPr>
        <w:t>16 Budget</w:t>
      </w:r>
      <w:r>
        <w:t xml:space="preserve"> established key programs to create jobs, generate economic growth and support a growing population. Key initiatives include:</w:t>
      </w:r>
    </w:p>
    <w:p w:rsidR="00965D85" w:rsidRDefault="00965D85" w:rsidP="007C2DBE">
      <w:pPr>
        <w:pStyle w:val="BulletText"/>
      </w:pPr>
      <w:r>
        <w:t>providing employment and business growth incentives through the Back to Work Plan and the Premier’s Jobs and Investment Fund;</w:t>
      </w:r>
    </w:p>
    <w:p w:rsidR="00965D85" w:rsidRDefault="00965D85" w:rsidP="00741EA0">
      <w:pPr>
        <w:pStyle w:val="BulletText"/>
      </w:pPr>
      <w:r>
        <w:t>significant investment in schools, health care and community safety to improve long</w:t>
      </w:r>
      <w:r>
        <w:noBreakHyphen/>
        <w:t>term liveability and productivity; and</w:t>
      </w:r>
    </w:p>
    <w:p w:rsidR="00965D85" w:rsidRDefault="00965D85" w:rsidP="001F6AF6">
      <w:pPr>
        <w:pStyle w:val="BulletText"/>
      </w:pPr>
      <w:r>
        <w:t>providing accessible, efficient and reliable transport infrastructure to link Victorians to jobs.</w:t>
      </w:r>
    </w:p>
    <w:p w:rsidR="00965D85" w:rsidRDefault="00965D85" w:rsidP="001F6AF6">
      <w:r>
        <w:t>These priorities will help to ensure that all Victorians have the security of a stable job in a growing industry which will, in turn, make our economy stronger.</w:t>
      </w:r>
    </w:p>
    <w:p w:rsidR="00965D85" w:rsidRDefault="00965D85" w:rsidP="001F6AF6">
      <w:r>
        <w:rPr>
          <w:lang w:eastAsia="en-AU"/>
        </w:rPr>
        <w:t>Key projects, including level crossing removals and the Melbourne Metro Rail Project, will ease congestion and enable people and goods to move more freely in and around Melbourne and Victoria</w:t>
      </w:r>
      <w:r w:rsidRPr="00735241">
        <w:rPr>
          <w:lang w:eastAsia="en-AU"/>
        </w:rPr>
        <w:t>.</w:t>
      </w:r>
      <w:r w:rsidRPr="00E16F61">
        <w:t xml:space="preserve"> </w:t>
      </w:r>
    </w:p>
    <w:p w:rsidR="00965D85" w:rsidRDefault="00965D85" w:rsidP="001F6AF6">
      <w:r>
        <w:t>This is underpinned by disciplined financial management to support the State’s triple</w:t>
      </w:r>
      <w:r>
        <w:noBreakHyphen/>
        <w:t>A credit rating and deliver continued strong surpluses forecast over the budget and forward estimates.</w:t>
      </w:r>
    </w:p>
    <w:p w:rsidR="00965D85" w:rsidRPr="00E97901" w:rsidRDefault="00965D85" w:rsidP="0050472E">
      <w:r>
        <w:t xml:space="preserve">Victoria’s general government sector forecast operating result </w:t>
      </w:r>
      <w:r w:rsidRPr="002E2383">
        <w:t>of $</w:t>
      </w:r>
      <w:r>
        <w:t>1.7 billion for</w:t>
      </w:r>
      <w:r w:rsidRPr="002E2383">
        <w:t xml:space="preserve"> 201</w:t>
      </w:r>
      <w:r>
        <w:t>5</w:t>
      </w:r>
      <w:r>
        <w:noBreakHyphen/>
      </w:r>
      <w:r w:rsidRPr="002E2383">
        <w:t>1</w:t>
      </w:r>
      <w:r>
        <w:t xml:space="preserve">6 has improved by </w:t>
      </w:r>
      <w:r w:rsidRPr="00E97901">
        <w:t>$</w:t>
      </w:r>
      <w:r>
        <w:t>493 million</w:t>
      </w:r>
      <w:r w:rsidRPr="00E97901">
        <w:t xml:space="preserve"> </w:t>
      </w:r>
      <w:r>
        <w:t xml:space="preserve">compared with the </w:t>
      </w:r>
      <w:r>
        <w:rPr>
          <w:i/>
        </w:rPr>
        <w:t>2015</w:t>
      </w:r>
      <w:r>
        <w:rPr>
          <w:i/>
        </w:rPr>
        <w:noBreakHyphen/>
        <w:t>16 Budget</w:t>
      </w:r>
      <w:r>
        <w:t xml:space="preserve">. This is largely </w:t>
      </w:r>
      <w:r w:rsidRPr="00E97901">
        <w:t>du</w:t>
      </w:r>
      <w:r>
        <w:t xml:space="preserve">e to an uplift in land transfer duty forecasts and higher than expected GST receipts. Strong operating surpluses averaging $1.6 billion are forecast across the forward estimates. </w:t>
      </w:r>
    </w:p>
    <w:p w:rsidR="00965D85" w:rsidRDefault="00965D85" w:rsidP="006C4793">
      <w:pPr>
        <w:rPr>
          <w:lang w:eastAsia="en-AU"/>
        </w:rPr>
      </w:pPr>
      <w:r w:rsidRPr="00C56EDD">
        <w:rPr>
          <w:lang w:eastAsia="en-AU"/>
        </w:rPr>
        <w:t xml:space="preserve">Net debt is expected to decrease from its June 2015 level in both nominal terms and as </w:t>
      </w:r>
      <w:r>
        <w:rPr>
          <w:lang w:eastAsia="en-AU"/>
        </w:rPr>
        <w:t xml:space="preserve">a </w:t>
      </w:r>
      <w:r w:rsidRPr="00C56EDD">
        <w:rPr>
          <w:lang w:eastAsia="en-AU"/>
        </w:rPr>
        <w:t>proportion of gross state product (GSP).</w:t>
      </w:r>
    </w:p>
    <w:p w:rsidR="00965D85" w:rsidRDefault="00965D85">
      <w:pPr>
        <w:spacing w:after="0"/>
      </w:pPr>
      <w:r>
        <w:br w:type="page"/>
      </w:r>
    </w:p>
    <w:p w:rsidR="00965D85" w:rsidRPr="00C56EDD" w:rsidRDefault="00965D85" w:rsidP="006C4793">
      <w:pPr>
        <w:rPr>
          <w:lang w:eastAsia="en-AU"/>
        </w:rPr>
      </w:pPr>
      <w:r w:rsidRPr="00C56EDD">
        <w:rPr>
          <w:lang w:eastAsia="en-AU"/>
        </w:rPr>
        <w:lastRenderedPageBreak/>
        <w:t xml:space="preserve">With recurrent spending less than revenue growth and debt under control, the State has the capacity to borrow sustainably to meet our infrastructure needs. The Government </w:t>
      </w:r>
      <w:r>
        <w:rPr>
          <w:lang w:eastAsia="en-AU"/>
        </w:rPr>
        <w:t>has foreshadowed</w:t>
      </w:r>
      <w:r w:rsidRPr="00C56EDD">
        <w:rPr>
          <w:lang w:eastAsia="en-AU"/>
        </w:rPr>
        <w:t xml:space="preserve"> increasing borrowing </w:t>
      </w:r>
      <w:r>
        <w:rPr>
          <w:lang w:eastAsia="en-AU"/>
        </w:rPr>
        <w:t>to fund</w:t>
      </w:r>
      <w:r w:rsidRPr="00C56EDD">
        <w:rPr>
          <w:lang w:eastAsia="en-AU"/>
        </w:rPr>
        <w:t xml:space="preserve"> infrastructure of state significance, which enhances the productive capacity of the economy for the benefit of all Victorians. Any additional borrowing will be </w:t>
      </w:r>
      <w:r>
        <w:rPr>
          <w:lang w:eastAsia="en-AU"/>
        </w:rPr>
        <w:t xml:space="preserve">within the context of maintaining debt at prudent levels, below that inherited from the former government and </w:t>
      </w:r>
      <w:r w:rsidRPr="00C56EDD">
        <w:rPr>
          <w:lang w:eastAsia="en-AU"/>
        </w:rPr>
        <w:t>consistent with the Government</w:t>
      </w:r>
      <w:r>
        <w:rPr>
          <w:lang w:eastAsia="en-AU"/>
        </w:rPr>
        <w:t>’</w:t>
      </w:r>
      <w:r w:rsidRPr="00C56EDD">
        <w:rPr>
          <w:lang w:eastAsia="en-AU"/>
        </w:rPr>
        <w:t xml:space="preserve">s commitment to maintain a </w:t>
      </w:r>
      <w:r w:rsidRPr="00E05DFD">
        <w:rPr>
          <w:lang w:eastAsia="en-AU"/>
        </w:rPr>
        <w:t>triple</w:t>
      </w:r>
      <w:r w:rsidRPr="00E05DFD">
        <w:rPr>
          <w:lang w:eastAsia="en-AU"/>
        </w:rPr>
        <w:noBreakHyphen/>
        <w:t>A credit rating.</w:t>
      </w:r>
    </w:p>
    <w:p w:rsidR="00965D85" w:rsidRDefault="00965D85" w:rsidP="006C4793">
      <w:r>
        <w:t xml:space="preserve">The Government’s fiscal strategy was reviewed for the </w:t>
      </w:r>
      <w:r w:rsidRPr="00735241">
        <w:rPr>
          <w:i/>
        </w:rPr>
        <w:t>2015</w:t>
      </w:r>
      <w:r>
        <w:rPr>
          <w:i/>
        </w:rPr>
        <w:noBreakHyphen/>
      </w:r>
      <w:r w:rsidRPr="00735241">
        <w:rPr>
          <w:i/>
        </w:rPr>
        <w:t>16 Budget</w:t>
      </w:r>
      <w:r>
        <w:t xml:space="preserve"> to more closely align with its priorities to provide services and infrastructure for all Victorians in a fiscally responsible manner. The Government’s long</w:t>
      </w:r>
      <w:r>
        <w:noBreakHyphen/>
        <w:t xml:space="preserve">term financial management objectives are set out in Table 1.1. </w:t>
      </w:r>
    </w:p>
    <w:p w:rsidR="00965D85" w:rsidRDefault="00965D85" w:rsidP="0050472E">
      <w:pPr>
        <w:pStyle w:val="Tableheading"/>
      </w:pPr>
      <w:r>
        <w:t>Table 1.1:</w:t>
      </w:r>
      <w:r>
        <w:tab/>
        <w:t>Long</w:t>
      </w:r>
      <w:r>
        <w:noBreakHyphen/>
        <w:t xml:space="preserve">term financial management objectives </w:t>
      </w:r>
    </w:p>
    <w:tbl>
      <w:tblPr>
        <w:tblW w:w="0" w:type="auto"/>
        <w:tblInd w:w="29" w:type="dxa"/>
        <w:tblLayout w:type="fixed"/>
        <w:tblCellMar>
          <w:left w:w="43" w:type="dxa"/>
          <w:right w:w="43" w:type="dxa"/>
        </w:tblCellMar>
        <w:tblLook w:val="04A0" w:firstRow="1" w:lastRow="0" w:firstColumn="1" w:lastColumn="0" w:noHBand="0" w:noVBand="1"/>
      </w:tblPr>
      <w:tblGrid>
        <w:gridCol w:w="2477"/>
        <w:gridCol w:w="5241"/>
      </w:tblGrid>
      <w:tr w:rsidR="00965D85" w:rsidTr="008B46DF">
        <w:trPr>
          <w:trHeight w:val="262"/>
        </w:trPr>
        <w:tc>
          <w:tcPr>
            <w:tcW w:w="2477" w:type="dxa"/>
            <w:tcBorders>
              <w:top w:val="single" w:sz="6" w:space="0" w:color="auto"/>
              <w:left w:val="single" w:sz="6" w:space="0" w:color="auto"/>
              <w:bottom w:val="single" w:sz="6" w:space="0" w:color="auto"/>
              <w:right w:val="nil"/>
            </w:tcBorders>
            <w:shd w:val="solid" w:color="000000" w:fill="auto"/>
            <w:hideMark/>
          </w:tcPr>
          <w:p w:rsidR="00965D85" w:rsidRDefault="00965D85" w:rsidP="008B46DF">
            <w:pPr>
              <w:pStyle w:val="Tabletextheadingleft"/>
              <w:rPr>
                <w:rFonts w:eastAsiaTheme="minorEastAsia"/>
                <w:color w:val="FFFFFF" w:themeColor="background1"/>
                <w:lang w:eastAsia="en-AU"/>
              </w:rPr>
            </w:pPr>
            <w:r>
              <w:rPr>
                <w:rFonts w:eastAsiaTheme="minorEastAsia"/>
                <w:color w:val="FFFFFF" w:themeColor="background1"/>
                <w:lang w:eastAsia="en-AU"/>
              </w:rPr>
              <w:t>Priority</w:t>
            </w:r>
          </w:p>
        </w:tc>
        <w:tc>
          <w:tcPr>
            <w:tcW w:w="5241" w:type="dxa"/>
            <w:tcBorders>
              <w:top w:val="single" w:sz="6" w:space="0" w:color="auto"/>
              <w:left w:val="nil"/>
              <w:bottom w:val="single" w:sz="6" w:space="0" w:color="auto"/>
              <w:right w:val="single" w:sz="6" w:space="0" w:color="auto"/>
            </w:tcBorders>
            <w:shd w:val="solid" w:color="000000" w:fill="auto"/>
            <w:hideMark/>
          </w:tcPr>
          <w:p w:rsidR="00965D85" w:rsidRDefault="00965D85" w:rsidP="008B46DF">
            <w:pPr>
              <w:pStyle w:val="Tabletextheadingleft"/>
              <w:rPr>
                <w:rFonts w:eastAsiaTheme="minorEastAsia"/>
                <w:color w:val="FFFFFF" w:themeColor="background1"/>
                <w:lang w:eastAsia="en-AU"/>
              </w:rPr>
            </w:pPr>
            <w:r>
              <w:rPr>
                <w:rFonts w:eastAsiaTheme="minorEastAsia"/>
                <w:color w:val="FFFFFF" w:themeColor="background1"/>
                <w:lang w:eastAsia="en-AU"/>
              </w:rPr>
              <w:t>Objective</w:t>
            </w:r>
          </w:p>
        </w:tc>
      </w:tr>
      <w:tr w:rsidR="00965D85" w:rsidTr="008B46DF">
        <w:trPr>
          <w:trHeight w:val="785"/>
        </w:trPr>
        <w:tc>
          <w:tcPr>
            <w:tcW w:w="2477" w:type="dxa"/>
            <w:shd w:val="solid" w:color="FFFFFF" w:fill="auto"/>
            <w:hideMark/>
          </w:tcPr>
          <w:p w:rsidR="00965D85" w:rsidRDefault="00965D85" w:rsidP="008B46DF">
            <w:pPr>
              <w:pStyle w:val="Tabletextnoindent"/>
              <w:rPr>
                <w:b/>
              </w:rPr>
            </w:pPr>
            <w:r>
              <w:rPr>
                <w:b/>
              </w:rPr>
              <w:t>Sound financial management</w:t>
            </w:r>
          </w:p>
        </w:tc>
        <w:tc>
          <w:tcPr>
            <w:tcW w:w="5241" w:type="dxa"/>
            <w:shd w:val="solid" w:color="FFFFFF" w:fill="auto"/>
            <w:hideMark/>
          </w:tcPr>
          <w:p w:rsidR="00965D85" w:rsidRDefault="00965D85" w:rsidP="008B46DF">
            <w:pPr>
              <w:pStyle w:val="Tabletextnoindent"/>
            </w:pPr>
            <w:r>
              <w:t>Victoria’s finances will be managed in a responsible manner to provide capacity to fund services and infrastructure at levels consistent with maintaining a triple</w:t>
            </w:r>
            <w:r>
              <w:noBreakHyphen/>
              <w:t>A credit rating.</w:t>
            </w:r>
          </w:p>
        </w:tc>
      </w:tr>
      <w:tr w:rsidR="00965D85" w:rsidTr="008B46DF">
        <w:trPr>
          <w:trHeight w:val="366"/>
        </w:trPr>
        <w:tc>
          <w:tcPr>
            <w:tcW w:w="2477" w:type="dxa"/>
            <w:shd w:val="solid" w:color="FFFFFF" w:fill="auto"/>
            <w:hideMark/>
          </w:tcPr>
          <w:p w:rsidR="00965D85" w:rsidRDefault="00965D85" w:rsidP="008B46DF">
            <w:pPr>
              <w:pStyle w:val="Tabletextnoindent"/>
              <w:rPr>
                <w:b/>
              </w:rPr>
            </w:pPr>
            <w:r>
              <w:rPr>
                <w:b/>
              </w:rPr>
              <w:t>Improving services</w:t>
            </w:r>
          </w:p>
        </w:tc>
        <w:tc>
          <w:tcPr>
            <w:tcW w:w="5241" w:type="dxa"/>
            <w:shd w:val="solid" w:color="FFFFFF" w:fill="auto"/>
            <w:hideMark/>
          </w:tcPr>
          <w:p w:rsidR="00965D85" w:rsidRDefault="00965D85" w:rsidP="008B46DF">
            <w:pPr>
              <w:pStyle w:val="Tabletextnoindent"/>
            </w:pPr>
            <w:r>
              <w:t xml:space="preserve">Public services will improve over time. </w:t>
            </w:r>
          </w:p>
        </w:tc>
      </w:tr>
      <w:tr w:rsidR="00965D85" w:rsidTr="008B46DF">
        <w:trPr>
          <w:trHeight w:val="569"/>
        </w:trPr>
        <w:tc>
          <w:tcPr>
            <w:tcW w:w="2477" w:type="dxa"/>
            <w:shd w:val="solid" w:color="FFFFFF" w:fill="auto"/>
            <w:hideMark/>
          </w:tcPr>
          <w:p w:rsidR="00965D85" w:rsidRDefault="00965D85" w:rsidP="008B46DF">
            <w:pPr>
              <w:pStyle w:val="Tabletextnoindent"/>
              <w:rPr>
                <w:b/>
              </w:rPr>
            </w:pPr>
            <w:r>
              <w:rPr>
                <w:b/>
              </w:rPr>
              <w:t>Building infrastructure</w:t>
            </w:r>
          </w:p>
        </w:tc>
        <w:tc>
          <w:tcPr>
            <w:tcW w:w="5241" w:type="dxa"/>
            <w:shd w:val="solid" w:color="FFFFFF" w:fill="auto"/>
            <w:hideMark/>
          </w:tcPr>
          <w:p w:rsidR="00965D85" w:rsidRDefault="00965D85" w:rsidP="008B46DF">
            <w:pPr>
              <w:pStyle w:val="Tabletextnoindent"/>
            </w:pPr>
            <w:r>
              <w:t xml:space="preserve">Public infrastructure will grow steadily over time to meet the needs of a growing population. </w:t>
            </w:r>
          </w:p>
        </w:tc>
      </w:tr>
      <w:tr w:rsidR="00965D85" w:rsidTr="008B46DF">
        <w:trPr>
          <w:trHeight w:val="538"/>
        </w:trPr>
        <w:tc>
          <w:tcPr>
            <w:tcW w:w="2477" w:type="dxa"/>
            <w:tcBorders>
              <w:top w:val="nil"/>
              <w:left w:val="nil"/>
              <w:bottom w:val="single" w:sz="12" w:space="0" w:color="auto"/>
              <w:right w:val="nil"/>
            </w:tcBorders>
            <w:shd w:val="solid" w:color="FFFFFF" w:fill="auto"/>
            <w:hideMark/>
          </w:tcPr>
          <w:p w:rsidR="00965D85" w:rsidRDefault="00965D85" w:rsidP="008B46DF">
            <w:pPr>
              <w:pStyle w:val="Tabletextnoindent"/>
              <w:rPr>
                <w:b/>
              </w:rPr>
            </w:pPr>
            <w:r>
              <w:rPr>
                <w:b/>
              </w:rPr>
              <w:t>Efficient use of public resources</w:t>
            </w:r>
          </w:p>
        </w:tc>
        <w:tc>
          <w:tcPr>
            <w:tcW w:w="5241" w:type="dxa"/>
            <w:tcBorders>
              <w:top w:val="nil"/>
              <w:left w:val="nil"/>
              <w:bottom w:val="single" w:sz="12" w:space="0" w:color="auto"/>
              <w:right w:val="nil"/>
            </w:tcBorders>
            <w:shd w:val="solid" w:color="FFFFFF" w:fill="auto"/>
            <w:hideMark/>
          </w:tcPr>
          <w:p w:rsidR="00965D85" w:rsidRDefault="00965D85" w:rsidP="008B46DF">
            <w:pPr>
              <w:pStyle w:val="Tabletextnoindent"/>
            </w:pPr>
            <w:r>
              <w:t>Public sector resources will be invested in services and infrastructure to maximise the economic, social and environmental benefits.</w:t>
            </w:r>
          </w:p>
        </w:tc>
      </w:tr>
    </w:tbl>
    <w:p w:rsidR="00965D85" w:rsidRDefault="00965D85" w:rsidP="0050472E">
      <w:pPr>
        <w:pStyle w:val="Source"/>
      </w:pPr>
    </w:p>
    <w:p w:rsidR="00965D85" w:rsidRDefault="00965D85" w:rsidP="0050472E">
      <w:r>
        <w:t>Progress towards these long</w:t>
      </w:r>
      <w:r>
        <w:noBreakHyphen/>
        <w:t xml:space="preserve">term financial management objectives is supported by the following financial measures and targets (Table 1.2). </w:t>
      </w:r>
    </w:p>
    <w:p w:rsidR="00965D85" w:rsidRDefault="00965D85" w:rsidP="0050472E">
      <w:pPr>
        <w:pStyle w:val="Tableheading"/>
      </w:pPr>
      <w:r>
        <w:t>Table 1.2:</w:t>
      </w:r>
      <w:r>
        <w:tab/>
        <w:t xml:space="preserve">Financial measures and targets </w:t>
      </w:r>
    </w:p>
    <w:tbl>
      <w:tblPr>
        <w:tblW w:w="0" w:type="auto"/>
        <w:tblInd w:w="29" w:type="dxa"/>
        <w:tblBorders>
          <w:bottom w:val="single" w:sz="12" w:space="0" w:color="auto"/>
        </w:tblBorders>
        <w:tblLayout w:type="fixed"/>
        <w:tblCellMar>
          <w:left w:w="43" w:type="dxa"/>
          <w:right w:w="43" w:type="dxa"/>
        </w:tblCellMar>
        <w:tblLook w:val="04A0" w:firstRow="1" w:lastRow="0" w:firstColumn="1" w:lastColumn="0" w:noHBand="0" w:noVBand="1"/>
      </w:tblPr>
      <w:tblGrid>
        <w:gridCol w:w="2477"/>
        <w:gridCol w:w="5241"/>
      </w:tblGrid>
      <w:tr w:rsidR="00965D85" w:rsidTr="008B46DF">
        <w:trPr>
          <w:trHeight w:val="262"/>
        </w:trPr>
        <w:tc>
          <w:tcPr>
            <w:tcW w:w="2477" w:type="dxa"/>
            <w:tcBorders>
              <w:top w:val="single" w:sz="6" w:space="0" w:color="000000"/>
              <w:left w:val="single" w:sz="6" w:space="0" w:color="000000"/>
              <w:bottom w:val="single" w:sz="6" w:space="0" w:color="000000"/>
              <w:right w:val="nil"/>
            </w:tcBorders>
            <w:shd w:val="solid" w:color="000000" w:fill="auto"/>
            <w:hideMark/>
          </w:tcPr>
          <w:p w:rsidR="00965D85" w:rsidRDefault="00965D85" w:rsidP="008B46DF">
            <w:pPr>
              <w:pStyle w:val="Tabletextheadingleft"/>
              <w:rPr>
                <w:rFonts w:eastAsiaTheme="minorEastAsia"/>
                <w:lang w:eastAsia="en-AU"/>
              </w:rPr>
            </w:pPr>
            <w:r>
              <w:rPr>
                <w:rFonts w:eastAsiaTheme="minorEastAsia"/>
                <w:lang w:eastAsia="en-AU"/>
              </w:rPr>
              <w:t xml:space="preserve">Financial </w:t>
            </w:r>
            <w:r>
              <w:rPr>
                <w:rFonts w:eastAsiaTheme="minorEastAsia"/>
              </w:rPr>
              <w:t>measures</w:t>
            </w:r>
          </w:p>
        </w:tc>
        <w:tc>
          <w:tcPr>
            <w:tcW w:w="5241" w:type="dxa"/>
            <w:tcBorders>
              <w:top w:val="single" w:sz="6" w:space="0" w:color="000000"/>
              <w:left w:val="nil"/>
              <w:bottom w:val="single" w:sz="6" w:space="0" w:color="000000"/>
              <w:right w:val="single" w:sz="6" w:space="0" w:color="000000"/>
            </w:tcBorders>
            <w:shd w:val="solid" w:color="000000" w:fill="auto"/>
            <w:hideMark/>
          </w:tcPr>
          <w:p w:rsidR="00965D85" w:rsidRDefault="00965D85" w:rsidP="008B46DF">
            <w:pPr>
              <w:pStyle w:val="Tabletextheadingleft"/>
              <w:rPr>
                <w:rFonts w:eastAsiaTheme="minorEastAsia"/>
                <w:lang w:eastAsia="en-AU"/>
              </w:rPr>
            </w:pPr>
            <w:r>
              <w:rPr>
                <w:rFonts w:eastAsiaTheme="minorEastAsia"/>
                <w:lang w:eastAsia="en-AU"/>
              </w:rPr>
              <w:t>Target</w:t>
            </w:r>
          </w:p>
        </w:tc>
      </w:tr>
      <w:tr w:rsidR="00965D85" w:rsidTr="008B46DF">
        <w:trPr>
          <w:trHeight w:val="523"/>
        </w:trPr>
        <w:tc>
          <w:tcPr>
            <w:tcW w:w="2477" w:type="dxa"/>
            <w:tcBorders>
              <w:top w:val="single" w:sz="6" w:space="0" w:color="000000"/>
              <w:left w:val="nil"/>
              <w:bottom w:val="nil"/>
              <w:right w:val="nil"/>
            </w:tcBorders>
            <w:shd w:val="solid" w:color="FFFFFF" w:fill="auto"/>
            <w:hideMark/>
          </w:tcPr>
          <w:p w:rsidR="00965D85" w:rsidRDefault="00965D85" w:rsidP="008B46DF">
            <w:pPr>
              <w:pStyle w:val="Tabletextnoindent"/>
              <w:rPr>
                <w:b/>
              </w:rPr>
            </w:pPr>
            <w:r>
              <w:rPr>
                <w:b/>
              </w:rPr>
              <w:t>Net debt</w:t>
            </w:r>
          </w:p>
        </w:tc>
        <w:tc>
          <w:tcPr>
            <w:tcW w:w="5241" w:type="dxa"/>
            <w:tcBorders>
              <w:top w:val="single" w:sz="6" w:space="0" w:color="000000"/>
              <w:left w:val="nil"/>
              <w:bottom w:val="nil"/>
              <w:right w:val="nil"/>
            </w:tcBorders>
            <w:hideMark/>
          </w:tcPr>
          <w:p w:rsidR="00965D85" w:rsidRDefault="00965D85" w:rsidP="008B46DF">
            <w:pPr>
              <w:pStyle w:val="Tabletextnoindent"/>
            </w:pPr>
            <w:r>
              <w:t xml:space="preserve">General government net debt as a percentage of GSP to be maintained at a sustainable level over the medium term. </w:t>
            </w:r>
          </w:p>
        </w:tc>
      </w:tr>
      <w:tr w:rsidR="00965D85" w:rsidTr="008B46DF">
        <w:trPr>
          <w:trHeight w:val="243"/>
        </w:trPr>
        <w:tc>
          <w:tcPr>
            <w:tcW w:w="2477" w:type="dxa"/>
            <w:tcBorders>
              <w:top w:val="nil"/>
              <w:left w:val="nil"/>
              <w:bottom w:val="nil"/>
              <w:right w:val="nil"/>
            </w:tcBorders>
            <w:shd w:val="solid" w:color="FFFFFF" w:fill="auto"/>
            <w:hideMark/>
          </w:tcPr>
          <w:p w:rsidR="00965D85" w:rsidRDefault="00965D85" w:rsidP="008B46DF">
            <w:pPr>
              <w:pStyle w:val="Tabletextnoindent"/>
              <w:rPr>
                <w:b/>
              </w:rPr>
            </w:pPr>
            <w:r>
              <w:rPr>
                <w:b/>
              </w:rPr>
              <w:t>Superannuation liabilities</w:t>
            </w:r>
          </w:p>
        </w:tc>
        <w:tc>
          <w:tcPr>
            <w:tcW w:w="5241" w:type="dxa"/>
            <w:tcBorders>
              <w:top w:val="nil"/>
              <w:left w:val="nil"/>
              <w:bottom w:val="nil"/>
              <w:right w:val="nil"/>
            </w:tcBorders>
            <w:hideMark/>
          </w:tcPr>
          <w:p w:rsidR="00965D85" w:rsidRDefault="00965D85" w:rsidP="008B46DF">
            <w:pPr>
              <w:pStyle w:val="Tabletextnoindent"/>
            </w:pPr>
            <w:r>
              <w:t>Fully fund the unfunded superannuation liability by 2035.</w:t>
            </w:r>
          </w:p>
        </w:tc>
      </w:tr>
      <w:tr w:rsidR="00965D85" w:rsidTr="008B46DF">
        <w:trPr>
          <w:trHeight w:val="538"/>
        </w:trPr>
        <w:tc>
          <w:tcPr>
            <w:tcW w:w="2477" w:type="dxa"/>
            <w:tcBorders>
              <w:top w:val="nil"/>
              <w:left w:val="nil"/>
              <w:bottom w:val="single" w:sz="12" w:space="0" w:color="auto"/>
              <w:right w:val="nil"/>
            </w:tcBorders>
            <w:shd w:val="solid" w:color="FFFFFF" w:fill="auto"/>
            <w:hideMark/>
          </w:tcPr>
          <w:p w:rsidR="00965D85" w:rsidRDefault="00965D85" w:rsidP="008B46DF">
            <w:pPr>
              <w:pStyle w:val="Tabletextnoindent"/>
              <w:rPr>
                <w:b/>
              </w:rPr>
            </w:pPr>
            <w:r>
              <w:rPr>
                <w:b/>
              </w:rPr>
              <w:t>Operating surplus</w:t>
            </w:r>
          </w:p>
        </w:tc>
        <w:tc>
          <w:tcPr>
            <w:tcW w:w="5241" w:type="dxa"/>
            <w:tcBorders>
              <w:top w:val="nil"/>
              <w:left w:val="nil"/>
              <w:bottom w:val="single" w:sz="12" w:space="0" w:color="auto"/>
              <w:right w:val="nil"/>
            </w:tcBorders>
            <w:hideMark/>
          </w:tcPr>
          <w:p w:rsidR="00965D85" w:rsidRDefault="00965D85" w:rsidP="008B46DF">
            <w:pPr>
              <w:pStyle w:val="Tabletextnoindent"/>
            </w:pPr>
            <w:r>
              <w:t>A net operating surplus consistent with maintaining general government net debt at a sustainable level over the medium term.</w:t>
            </w:r>
          </w:p>
        </w:tc>
      </w:tr>
    </w:tbl>
    <w:p w:rsidR="00965D85" w:rsidRDefault="00965D85" w:rsidP="0050472E">
      <w:pPr>
        <w:pStyle w:val="Source"/>
      </w:pPr>
    </w:p>
    <w:p w:rsidR="00965D85" w:rsidRDefault="00965D85" w:rsidP="00AF2215">
      <w:r>
        <w:t xml:space="preserve">This Budget Update confirms the objectives and targets set out in the </w:t>
      </w:r>
      <w:r w:rsidRPr="00703071">
        <w:rPr>
          <w:i/>
        </w:rPr>
        <w:t>2015</w:t>
      </w:r>
      <w:r>
        <w:rPr>
          <w:i/>
        </w:rPr>
        <w:noBreakHyphen/>
        <w:t>16 </w:t>
      </w:r>
      <w:r w:rsidRPr="00703071">
        <w:rPr>
          <w:i/>
        </w:rPr>
        <w:t>Budget</w:t>
      </w:r>
      <w:r>
        <w:t>.</w:t>
      </w:r>
    </w:p>
    <w:p w:rsidR="00965D85" w:rsidRPr="00735241" w:rsidRDefault="00965D85" w:rsidP="00705A1D">
      <w:pPr>
        <w:rPr>
          <w:lang w:eastAsia="en-AU"/>
        </w:rPr>
      </w:pPr>
    </w:p>
    <w:p w:rsidR="00965D85" w:rsidRDefault="00965D85" w:rsidP="00705A1D">
      <w:pPr>
        <w:rPr>
          <w:lang w:eastAsia="en-AU"/>
        </w:rPr>
      </w:pPr>
    </w:p>
    <w:p w:rsidR="00965D85" w:rsidRDefault="00965D85" w:rsidP="00DF54C9">
      <w:pPr>
        <w:sectPr w:rsidR="00965D85" w:rsidSect="000234BE">
          <w:footerReference w:type="even" r:id="rId16"/>
          <w:footerReference w:type="default" r:id="rId17"/>
          <w:type w:val="oddPage"/>
          <w:pgSz w:w="9979" w:h="14175" w:code="9"/>
          <w:pgMar w:top="1140" w:right="1140" w:bottom="1140" w:left="1140" w:header="720" w:footer="431" w:gutter="0"/>
          <w:pgNumType w:start="1"/>
          <w:cols w:space="708"/>
          <w:docGrid w:linePitch="360"/>
        </w:sectPr>
      </w:pPr>
    </w:p>
    <w:p w:rsidR="00965D85" w:rsidRPr="00427D0E" w:rsidRDefault="00965D85" w:rsidP="008B46DF">
      <w:pPr>
        <w:pStyle w:val="ChapterHeading"/>
      </w:pPr>
      <w:bookmarkStart w:id="2" w:name="_Toc436147528"/>
      <w:r w:rsidRPr="00427D0E">
        <w:lastRenderedPageBreak/>
        <w:t>Chapter 2 – Economic context</w:t>
      </w:r>
      <w:bookmarkEnd w:id="2"/>
    </w:p>
    <w:p w:rsidR="00965D85" w:rsidRPr="00427D0E" w:rsidRDefault="00965D85" w:rsidP="008B46DF">
      <w:pPr>
        <w:pStyle w:val="Heading1"/>
      </w:pPr>
      <w:bookmarkStart w:id="3" w:name="_Toc436147529"/>
      <w:r w:rsidRPr="00427D0E">
        <w:t>Economic overview</w:t>
      </w:r>
      <w:bookmarkEnd w:id="3"/>
    </w:p>
    <w:p w:rsidR="00965D85" w:rsidRPr="003E21B4" w:rsidRDefault="00965D85" w:rsidP="008B46DF">
      <w:pPr>
        <w:pStyle w:val="HighlightBoxBullet"/>
      </w:pPr>
      <w:r w:rsidRPr="003E21B4">
        <w:t>Economic growth is expected to remain solid in 2015</w:t>
      </w:r>
      <w:r>
        <w:noBreakHyphen/>
      </w:r>
      <w:r w:rsidRPr="003E21B4">
        <w:t>16, with strong growth in business investment and dwelling construction.</w:t>
      </w:r>
    </w:p>
    <w:p w:rsidR="00965D85" w:rsidRDefault="00965D85" w:rsidP="008B46DF">
      <w:pPr>
        <w:pStyle w:val="HighlightBoxBullet"/>
      </w:pPr>
      <w:r>
        <w:t>The labour market strengthened in 2014</w:t>
      </w:r>
      <w:r>
        <w:noBreakHyphen/>
        <w:t xml:space="preserve">15 and Victoria’s population growth was the strongest of any state. </w:t>
      </w:r>
    </w:p>
    <w:p w:rsidR="00965D85" w:rsidRPr="001F325D" w:rsidRDefault="00965D85" w:rsidP="008B46DF">
      <w:pPr>
        <w:pStyle w:val="HighlightBoxBullet"/>
      </w:pPr>
      <w:r>
        <w:t>However, external risks may challenge Victoria’s outlook as national and world growth are below their long</w:t>
      </w:r>
      <w:r>
        <w:noBreakHyphen/>
        <w:t>term averages.</w:t>
      </w:r>
    </w:p>
    <w:p w:rsidR="00965D85" w:rsidRPr="00873680" w:rsidRDefault="00965D85" w:rsidP="008B46DF">
      <w:pPr>
        <w:pStyle w:val="Heading2"/>
      </w:pPr>
      <w:r w:rsidRPr="00873680">
        <w:t>Victorian economic conditions and outlook</w:t>
      </w:r>
    </w:p>
    <w:p w:rsidR="00965D85" w:rsidRDefault="00965D85" w:rsidP="008B46DF">
      <w:r w:rsidRPr="003E21B4">
        <w:t>There are signs of a sustained boost in demand in the Victorian economy with growth of 2.5 per cent recorded for 2014</w:t>
      </w:r>
      <w:r>
        <w:noBreakHyphen/>
      </w:r>
      <w:r w:rsidRPr="003E21B4">
        <w:t>15. Victoria</w:t>
      </w:r>
      <w:r>
        <w:t>’</w:t>
      </w:r>
      <w:r w:rsidRPr="003E21B4">
        <w:t>s traditional growth drivers are responding to low interest rates and strong asset price growth. Business investment growth was solid in 2014</w:t>
      </w:r>
      <w:r>
        <w:noBreakHyphen/>
      </w:r>
      <w:r w:rsidRPr="003E21B4">
        <w:t>15, driven by strong non</w:t>
      </w:r>
      <w:r>
        <w:noBreakHyphen/>
      </w:r>
      <w:r w:rsidRPr="003E21B4">
        <w:t>dwelling construction. Dwelling investment growth was also robust, in line with activity in the property market and strong population growth.</w:t>
      </w:r>
    </w:p>
    <w:p w:rsidR="00965D85" w:rsidRDefault="00965D85" w:rsidP="008B46DF">
      <w:r w:rsidRPr="003E21B4">
        <w:t xml:space="preserve">Growth in the Victorian economy is expected to remain at </w:t>
      </w:r>
      <w:r>
        <w:t>2.5</w:t>
      </w:r>
      <w:r w:rsidRPr="003E21B4">
        <w:t> per cent in 2015</w:t>
      </w:r>
      <w:r>
        <w:noBreakHyphen/>
      </w:r>
      <w:r w:rsidRPr="003E21B4">
        <w:t xml:space="preserve">16, consistent with the forecast in the </w:t>
      </w:r>
      <w:r w:rsidRPr="003E21B4">
        <w:rPr>
          <w:i/>
        </w:rPr>
        <w:t>2015</w:t>
      </w:r>
      <w:r>
        <w:rPr>
          <w:i/>
        </w:rPr>
        <w:noBreakHyphen/>
      </w:r>
      <w:r w:rsidRPr="003E21B4">
        <w:rPr>
          <w:i/>
        </w:rPr>
        <w:t>16 Budget</w:t>
      </w:r>
      <w:r w:rsidRPr="003E21B4">
        <w:t>. Solid growth</w:t>
      </w:r>
      <w:r>
        <w:t xml:space="preserve"> in business investment is expected to continue in 2015</w:t>
      </w:r>
      <w:r>
        <w:noBreakHyphen/>
        <w:t>16. Growth in dwelling investment is also expected to be above trend in 2015</w:t>
      </w:r>
      <w:r>
        <w:noBreakHyphen/>
        <w:t>16, driven by ongoing strength in the property market.</w:t>
      </w:r>
    </w:p>
    <w:p w:rsidR="00965D85" w:rsidRPr="00E6542D" w:rsidRDefault="00965D85" w:rsidP="008B46DF">
      <w:r w:rsidRPr="00E6542D">
        <w:t xml:space="preserve">Victoria continues to experience robust employment growth. The unemployment rate has been volatile of late, though has averaged above 6 per cent thus far in 2015-16. The outlook is for the unemployment rate to continue to decline over coming years as economic activity </w:t>
      </w:r>
      <w:r>
        <w:t>returns to trend rates of growth</w:t>
      </w:r>
      <w:r w:rsidRPr="00E6542D">
        <w:t>.</w:t>
      </w:r>
    </w:p>
    <w:p w:rsidR="00965D85" w:rsidRDefault="00965D85" w:rsidP="008B46DF">
      <w:r w:rsidRPr="00DB071A">
        <w:t>Growth in consumer prices was weak in 2014</w:t>
      </w:r>
      <w:r w:rsidRPr="00DB071A">
        <w:noBreakHyphen/>
        <w:t xml:space="preserve">15 (as expected in the </w:t>
      </w:r>
      <w:r w:rsidRPr="00DB071A">
        <w:rPr>
          <w:i/>
        </w:rPr>
        <w:t>2015</w:t>
      </w:r>
      <w:r w:rsidRPr="00DB071A">
        <w:rPr>
          <w:i/>
        </w:rPr>
        <w:noBreakHyphen/>
        <w:t>16 Budget</w:t>
      </w:r>
      <w:r w:rsidRPr="00DB071A">
        <w:t>) partly due to one</w:t>
      </w:r>
      <w:r w:rsidRPr="00DB071A">
        <w:noBreakHyphen/>
        <w:t>off factors. While price growth is expected to lift in the medium term, the outlook is weaker than was expected as competitive pressures inhibit firms from passing on the full extent of increased costs.</w:t>
      </w:r>
    </w:p>
    <w:p w:rsidR="00965D85" w:rsidRDefault="00965D85" w:rsidP="008B46DF">
      <w:r w:rsidRPr="00274A33">
        <w:t xml:space="preserve">Wages growth was </w:t>
      </w:r>
      <w:r>
        <w:t>moderate in 2014</w:t>
      </w:r>
      <w:r>
        <w:noBreakHyphen/>
        <w:t xml:space="preserve">15 and slightly lower </w:t>
      </w:r>
      <w:r w:rsidRPr="00274A33">
        <w:t xml:space="preserve">than expected </w:t>
      </w:r>
      <w:r>
        <w:t xml:space="preserve">in </w:t>
      </w:r>
      <w:r w:rsidRPr="00204253">
        <w:t>the</w:t>
      </w:r>
      <w:r w:rsidRPr="00274A33">
        <w:rPr>
          <w:i/>
        </w:rPr>
        <w:t xml:space="preserve"> 2015</w:t>
      </w:r>
      <w:r>
        <w:rPr>
          <w:i/>
        </w:rPr>
        <w:noBreakHyphen/>
        <w:t>16 </w:t>
      </w:r>
      <w:r w:rsidRPr="00274A33">
        <w:rPr>
          <w:i/>
        </w:rPr>
        <w:t>Budget</w:t>
      </w:r>
      <w:r w:rsidRPr="00274A33">
        <w:t xml:space="preserve">. </w:t>
      </w:r>
      <w:r>
        <w:t>Despite the recent decline in the unemployment rate, there remains s</w:t>
      </w:r>
      <w:r w:rsidRPr="00274A33">
        <w:t xml:space="preserve">pare capacity </w:t>
      </w:r>
      <w:r>
        <w:t xml:space="preserve">in the labour market </w:t>
      </w:r>
      <w:r w:rsidRPr="00274A33">
        <w:t xml:space="preserve">and private sector wages growth </w:t>
      </w:r>
      <w:r>
        <w:t>continues to be</w:t>
      </w:r>
      <w:r w:rsidRPr="00274A33">
        <w:t xml:space="preserve"> weak. </w:t>
      </w:r>
      <w:r>
        <w:t xml:space="preserve">Consequently, wages growth forecasts have been slightly downgraded in the near term. </w:t>
      </w:r>
    </w:p>
    <w:p w:rsidR="00965D85" w:rsidRDefault="00965D85" w:rsidP="008B46DF">
      <w:r w:rsidRPr="0045235A">
        <w:t xml:space="preserve">Victoria </w:t>
      </w:r>
      <w:r>
        <w:t xml:space="preserve">has </w:t>
      </w:r>
      <w:r w:rsidRPr="0045235A">
        <w:t>continued to record the highest pop</w:t>
      </w:r>
      <w:r>
        <w:t xml:space="preserve">ulation growth among the states, in line with </w:t>
      </w:r>
      <w:r w:rsidRPr="0045235A">
        <w:rPr>
          <w:i/>
        </w:rPr>
        <w:t>2015</w:t>
      </w:r>
      <w:r>
        <w:rPr>
          <w:i/>
        </w:rPr>
        <w:noBreakHyphen/>
        <w:t>16 </w:t>
      </w:r>
      <w:r w:rsidRPr="0045235A">
        <w:rPr>
          <w:i/>
        </w:rPr>
        <w:t>Budget</w:t>
      </w:r>
      <w:r>
        <w:t xml:space="preserve"> forecasts</w:t>
      </w:r>
      <w:r w:rsidRPr="00F178B1">
        <w:t>.</w:t>
      </w:r>
      <w:r>
        <w:t xml:space="preserve"> Record high</w:t>
      </w:r>
      <w:r w:rsidRPr="0050637E">
        <w:t xml:space="preserve"> net interstate migration </w:t>
      </w:r>
      <w:r>
        <w:t xml:space="preserve">is expected to </w:t>
      </w:r>
      <w:r w:rsidRPr="0050637E">
        <w:t>offset</w:t>
      </w:r>
      <w:r>
        <w:t xml:space="preserve"> a slightly </w:t>
      </w:r>
      <w:r w:rsidRPr="0050637E">
        <w:t>weaker natural incr</w:t>
      </w:r>
      <w:r>
        <w:t>ease and net overseas migration in the medium term.</w:t>
      </w:r>
    </w:p>
    <w:p w:rsidR="00965D85" w:rsidRPr="00873680" w:rsidRDefault="00965D85" w:rsidP="008B46DF">
      <w:pPr>
        <w:pStyle w:val="Heading2"/>
      </w:pPr>
      <w:r w:rsidRPr="00873680">
        <w:lastRenderedPageBreak/>
        <w:t>Economic forecasts</w:t>
      </w:r>
    </w:p>
    <w:p w:rsidR="00965D85" w:rsidRPr="00873680" w:rsidRDefault="00965D85" w:rsidP="008B46DF">
      <w:r w:rsidRPr="00873680">
        <w:t xml:space="preserve">The economic forecasts are set out in </w:t>
      </w:r>
      <w:r>
        <w:t>Table 2.1</w:t>
      </w:r>
      <w:r w:rsidRPr="00873680">
        <w:t xml:space="preserve">, with the </w:t>
      </w:r>
      <w:r w:rsidRPr="00873680">
        <w:rPr>
          <w:i/>
        </w:rPr>
        <w:t>201</w:t>
      </w:r>
      <w:r>
        <w:rPr>
          <w:i/>
        </w:rPr>
        <w:t>5</w:t>
      </w:r>
      <w:r>
        <w:rPr>
          <w:i/>
        </w:rPr>
        <w:noBreakHyphen/>
        <w:t>16 </w:t>
      </w:r>
      <w:r w:rsidRPr="00873680">
        <w:rPr>
          <w:i/>
        </w:rPr>
        <w:t xml:space="preserve">Budget </w:t>
      </w:r>
      <w:r w:rsidRPr="00873680">
        <w:t>forecasts in parentheses where different.</w:t>
      </w:r>
      <w:r>
        <w:t xml:space="preserve"> </w:t>
      </w:r>
    </w:p>
    <w:p w:rsidR="00965D85" w:rsidRPr="00873680" w:rsidRDefault="00965D85" w:rsidP="008B46DF">
      <w:pPr>
        <w:pStyle w:val="Tableheading"/>
        <w:rPr>
          <w:vertAlign w:val="superscript"/>
        </w:rPr>
      </w:pPr>
      <w:r>
        <w:t>Table 2.1:</w:t>
      </w:r>
      <w:r w:rsidRPr="00873680">
        <w:tab/>
        <w:t>Victorian economic forecasts</w:t>
      </w:r>
      <w:r w:rsidRPr="00873680">
        <w:rPr>
          <w:vertAlign w:val="superscript"/>
        </w:rPr>
        <w:t>(a)</w:t>
      </w:r>
    </w:p>
    <w:p w:rsidR="00965D85" w:rsidRPr="00873680" w:rsidRDefault="00965D85" w:rsidP="008B46DF">
      <w:pPr>
        <w:pStyle w:val="million"/>
      </w:pPr>
      <w:r w:rsidRPr="00873680">
        <w:t>(per cent)</w:t>
      </w:r>
    </w:p>
    <w:tbl>
      <w:tblPr>
        <w:tblW w:w="7776" w:type="dxa"/>
        <w:tblInd w:w="29" w:type="dxa"/>
        <w:tblLayout w:type="fixed"/>
        <w:tblCellMar>
          <w:left w:w="43" w:type="dxa"/>
          <w:right w:w="43" w:type="dxa"/>
        </w:tblCellMar>
        <w:tblLook w:val="0000" w:firstRow="0" w:lastRow="0" w:firstColumn="0" w:lastColumn="0" w:noHBand="0" w:noVBand="0"/>
      </w:tblPr>
      <w:tblGrid>
        <w:gridCol w:w="2810"/>
        <w:gridCol w:w="994"/>
        <w:gridCol w:w="993"/>
        <w:gridCol w:w="993"/>
        <w:gridCol w:w="993"/>
        <w:gridCol w:w="993"/>
      </w:tblGrid>
      <w:tr w:rsidR="00965D85" w:rsidRPr="00873680" w:rsidTr="008B46DF">
        <w:trPr>
          <w:cantSplit/>
          <w:trHeight w:val="503"/>
        </w:trPr>
        <w:tc>
          <w:tcPr>
            <w:tcW w:w="2810" w:type="dxa"/>
            <w:tcBorders>
              <w:top w:val="single" w:sz="6" w:space="0" w:color="auto"/>
              <w:left w:val="single" w:sz="6" w:space="0" w:color="auto"/>
            </w:tcBorders>
            <w:shd w:val="clear" w:color="auto" w:fill="000000"/>
          </w:tcPr>
          <w:p w:rsidR="00965D85" w:rsidRPr="00873680" w:rsidRDefault="00965D85" w:rsidP="008B46DF">
            <w:pPr>
              <w:pStyle w:val="Tabletext"/>
              <w:rPr>
                <w:rFonts w:eastAsiaTheme="minorEastAsia"/>
                <w:lang w:eastAsia="en-AU"/>
              </w:rPr>
            </w:pPr>
            <w:r w:rsidRPr="00873680">
              <w:rPr>
                <w:rFonts w:eastAsiaTheme="minorEastAsia"/>
                <w:lang w:eastAsia="en-AU"/>
              </w:rPr>
              <w:t xml:space="preserve"> </w:t>
            </w:r>
          </w:p>
          <w:p w:rsidR="00965D85" w:rsidRPr="00873680" w:rsidRDefault="00965D85" w:rsidP="008B46DF">
            <w:pPr>
              <w:pStyle w:val="Tabletext"/>
              <w:rPr>
                <w:rFonts w:eastAsiaTheme="minorEastAsia"/>
                <w:lang w:eastAsia="en-AU"/>
              </w:rPr>
            </w:pPr>
            <w:r w:rsidRPr="00873680">
              <w:rPr>
                <w:rFonts w:eastAsiaTheme="minorEastAsia"/>
                <w:lang w:eastAsia="en-AU"/>
              </w:rPr>
              <w:t xml:space="preserve"> </w:t>
            </w:r>
          </w:p>
        </w:tc>
        <w:tc>
          <w:tcPr>
            <w:tcW w:w="994" w:type="dxa"/>
            <w:tcBorders>
              <w:top w:val="single" w:sz="6" w:space="0" w:color="auto"/>
            </w:tcBorders>
            <w:shd w:val="clear" w:color="auto" w:fill="000000"/>
          </w:tcPr>
          <w:p w:rsidR="00965D85" w:rsidRPr="00873680" w:rsidRDefault="00965D85" w:rsidP="008B46DF">
            <w:pPr>
              <w:pStyle w:val="Tabletextheading"/>
              <w:rPr>
                <w:rFonts w:eastAsiaTheme="minorEastAsia"/>
                <w:lang w:eastAsia="en-AU"/>
              </w:rPr>
            </w:pPr>
            <w:r w:rsidRPr="00873680">
              <w:rPr>
                <w:rFonts w:eastAsiaTheme="minorEastAsia"/>
                <w:lang w:eastAsia="en-AU"/>
              </w:rPr>
              <w:t>201</w:t>
            </w:r>
            <w:r>
              <w:rPr>
                <w:rFonts w:eastAsiaTheme="minorEastAsia"/>
                <w:lang w:eastAsia="en-AU"/>
              </w:rPr>
              <w:t>4</w:t>
            </w:r>
            <w:r>
              <w:rPr>
                <w:rFonts w:eastAsiaTheme="minorEastAsia"/>
                <w:lang w:eastAsia="en-AU"/>
              </w:rPr>
              <w:noBreakHyphen/>
              <w:t>15</w:t>
            </w:r>
          </w:p>
          <w:p w:rsidR="00965D85" w:rsidRPr="00873680" w:rsidRDefault="00965D85" w:rsidP="008B46DF">
            <w:pPr>
              <w:pStyle w:val="Tabletextheading"/>
              <w:rPr>
                <w:rFonts w:eastAsiaTheme="minorEastAsia"/>
                <w:lang w:eastAsia="en-AU"/>
              </w:rPr>
            </w:pPr>
            <w:r>
              <w:rPr>
                <w:rFonts w:eastAsiaTheme="minorEastAsia"/>
                <w:lang w:eastAsia="en-AU"/>
              </w:rPr>
              <w:t>actual</w:t>
            </w:r>
          </w:p>
        </w:tc>
        <w:tc>
          <w:tcPr>
            <w:tcW w:w="993" w:type="dxa"/>
            <w:tcBorders>
              <w:top w:val="single" w:sz="6" w:space="0" w:color="auto"/>
            </w:tcBorders>
            <w:shd w:val="clear" w:color="auto" w:fill="000000"/>
          </w:tcPr>
          <w:p w:rsidR="00965D85" w:rsidRPr="00873680" w:rsidRDefault="00965D85" w:rsidP="008B46DF">
            <w:pPr>
              <w:pStyle w:val="Tabletextheading"/>
              <w:rPr>
                <w:rFonts w:eastAsiaTheme="minorEastAsia"/>
                <w:lang w:eastAsia="en-AU"/>
              </w:rPr>
            </w:pPr>
            <w:r w:rsidRPr="00873680">
              <w:rPr>
                <w:rFonts w:eastAsiaTheme="minorEastAsia"/>
                <w:lang w:eastAsia="en-AU"/>
              </w:rPr>
              <w:t>201</w:t>
            </w:r>
            <w:r>
              <w:rPr>
                <w:rFonts w:eastAsiaTheme="minorEastAsia"/>
                <w:lang w:eastAsia="en-AU"/>
              </w:rPr>
              <w:t>5</w:t>
            </w:r>
            <w:r>
              <w:rPr>
                <w:rFonts w:eastAsiaTheme="minorEastAsia"/>
                <w:lang w:eastAsia="en-AU"/>
              </w:rPr>
              <w:noBreakHyphen/>
            </w:r>
            <w:r w:rsidRPr="00873680">
              <w:rPr>
                <w:rFonts w:eastAsiaTheme="minorEastAsia"/>
                <w:lang w:eastAsia="en-AU"/>
              </w:rPr>
              <w:t>1</w:t>
            </w:r>
            <w:r>
              <w:rPr>
                <w:rFonts w:eastAsiaTheme="minorEastAsia"/>
                <w:lang w:eastAsia="en-AU"/>
              </w:rPr>
              <w:t>6</w:t>
            </w:r>
          </w:p>
          <w:p w:rsidR="00965D85" w:rsidRPr="00873680" w:rsidRDefault="00965D85" w:rsidP="008B46DF">
            <w:pPr>
              <w:pStyle w:val="Tabletextheading"/>
              <w:rPr>
                <w:rFonts w:eastAsiaTheme="minorEastAsia"/>
                <w:lang w:eastAsia="en-AU"/>
              </w:rPr>
            </w:pPr>
            <w:r w:rsidRPr="00873680">
              <w:rPr>
                <w:rFonts w:eastAsiaTheme="minorEastAsia"/>
                <w:lang w:eastAsia="en-AU"/>
              </w:rPr>
              <w:t>forecast</w:t>
            </w:r>
          </w:p>
        </w:tc>
        <w:tc>
          <w:tcPr>
            <w:tcW w:w="993" w:type="dxa"/>
            <w:tcBorders>
              <w:top w:val="single" w:sz="6" w:space="0" w:color="auto"/>
            </w:tcBorders>
            <w:shd w:val="clear" w:color="auto" w:fill="000000"/>
          </w:tcPr>
          <w:p w:rsidR="00965D85" w:rsidRPr="00873680" w:rsidRDefault="00965D85" w:rsidP="008B46DF">
            <w:pPr>
              <w:pStyle w:val="Tabletextheading"/>
              <w:rPr>
                <w:rFonts w:eastAsiaTheme="minorEastAsia"/>
                <w:lang w:eastAsia="en-AU"/>
              </w:rPr>
            </w:pPr>
            <w:r w:rsidRPr="00873680">
              <w:rPr>
                <w:rFonts w:eastAsiaTheme="minorEastAsia"/>
                <w:lang w:eastAsia="en-AU"/>
              </w:rPr>
              <w:t>201</w:t>
            </w:r>
            <w:r>
              <w:rPr>
                <w:rFonts w:eastAsiaTheme="minorEastAsia"/>
                <w:lang w:eastAsia="en-AU"/>
              </w:rPr>
              <w:t>6</w:t>
            </w:r>
            <w:r>
              <w:rPr>
                <w:rFonts w:eastAsiaTheme="minorEastAsia"/>
                <w:lang w:eastAsia="en-AU"/>
              </w:rPr>
              <w:noBreakHyphen/>
            </w:r>
            <w:r w:rsidRPr="00873680">
              <w:rPr>
                <w:rFonts w:eastAsiaTheme="minorEastAsia"/>
                <w:lang w:eastAsia="en-AU"/>
              </w:rPr>
              <w:t>1</w:t>
            </w:r>
            <w:r>
              <w:rPr>
                <w:rFonts w:eastAsiaTheme="minorEastAsia"/>
                <w:lang w:eastAsia="en-AU"/>
              </w:rPr>
              <w:t>7</w:t>
            </w:r>
          </w:p>
          <w:p w:rsidR="00965D85" w:rsidRPr="00873680" w:rsidRDefault="00965D85" w:rsidP="008B46DF">
            <w:pPr>
              <w:pStyle w:val="Tabletextheading"/>
              <w:rPr>
                <w:rFonts w:eastAsiaTheme="minorEastAsia"/>
                <w:lang w:eastAsia="en-AU"/>
              </w:rPr>
            </w:pPr>
            <w:r w:rsidRPr="00873680">
              <w:rPr>
                <w:rFonts w:eastAsiaTheme="minorEastAsia"/>
                <w:lang w:eastAsia="en-AU"/>
              </w:rPr>
              <w:t>forecast</w:t>
            </w:r>
          </w:p>
        </w:tc>
        <w:tc>
          <w:tcPr>
            <w:tcW w:w="993" w:type="dxa"/>
            <w:tcBorders>
              <w:top w:val="single" w:sz="6" w:space="0" w:color="auto"/>
            </w:tcBorders>
            <w:shd w:val="clear" w:color="auto" w:fill="000000"/>
          </w:tcPr>
          <w:p w:rsidR="00965D85" w:rsidRPr="00873680" w:rsidRDefault="00965D85" w:rsidP="008B46DF">
            <w:pPr>
              <w:pStyle w:val="Tabletextheading"/>
              <w:rPr>
                <w:rFonts w:eastAsiaTheme="minorEastAsia"/>
                <w:lang w:eastAsia="en-AU"/>
              </w:rPr>
            </w:pPr>
            <w:r w:rsidRPr="00873680">
              <w:rPr>
                <w:rFonts w:eastAsiaTheme="minorEastAsia"/>
                <w:lang w:eastAsia="en-AU"/>
              </w:rPr>
              <w:t>201</w:t>
            </w:r>
            <w:r>
              <w:rPr>
                <w:rFonts w:eastAsiaTheme="minorEastAsia"/>
                <w:lang w:eastAsia="en-AU"/>
              </w:rPr>
              <w:t>7</w:t>
            </w:r>
            <w:r>
              <w:rPr>
                <w:rFonts w:eastAsiaTheme="minorEastAsia"/>
                <w:lang w:eastAsia="en-AU"/>
              </w:rPr>
              <w:noBreakHyphen/>
            </w:r>
            <w:r w:rsidRPr="00873680">
              <w:rPr>
                <w:rFonts w:eastAsiaTheme="minorEastAsia"/>
                <w:lang w:eastAsia="en-AU"/>
              </w:rPr>
              <w:t>1</w:t>
            </w:r>
            <w:r>
              <w:rPr>
                <w:rFonts w:eastAsiaTheme="minorEastAsia"/>
                <w:lang w:eastAsia="en-AU"/>
              </w:rPr>
              <w:t>8</w:t>
            </w:r>
          </w:p>
          <w:p w:rsidR="00965D85" w:rsidRPr="00873680" w:rsidRDefault="00965D85" w:rsidP="008B46DF">
            <w:pPr>
              <w:pStyle w:val="Tabletextheading"/>
              <w:rPr>
                <w:rFonts w:eastAsiaTheme="minorEastAsia"/>
                <w:lang w:eastAsia="en-AU"/>
              </w:rPr>
            </w:pPr>
            <w:r>
              <w:rPr>
                <w:rFonts w:eastAsiaTheme="minorEastAsia"/>
                <w:lang w:eastAsia="en-AU"/>
              </w:rPr>
              <w:t>projection</w:t>
            </w:r>
          </w:p>
        </w:tc>
        <w:tc>
          <w:tcPr>
            <w:tcW w:w="993" w:type="dxa"/>
            <w:tcBorders>
              <w:top w:val="single" w:sz="6" w:space="0" w:color="auto"/>
              <w:right w:val="single" w:sz="6" w:space="0" w:color="auto"/>
            </w:tcBorders>
            <w:shd w:val="clear" w:color="auto" w:fill="000000"/>
          </w:tcPr>
          <w:p w:rsidR="00965D85" w:rsidRPr="00873680" w:rsidRDefault="00965D85" w:rsidP="008B46DF">
            <w:pPr>
              <w:pStyle w:val="Tabletextheading"/>
              <w:rPr>
                <w:rFonts w:eastAsiaTheme="minorEastAsia"/>
                <w:lang w:eastAsia="en-AU"/>
              </w:rPr>
            </w:pPr>
            <w:r w:rsidRPr="00873680">
              <w:rPr>
                <w:rFonts w:eastAsiaTheme="minorEastAsia"/>
                <w:lang w:eastAsia="en-AU"/>
              </w:rPr>
              <w:t>201</w:t>
            </w:r>
            <w:r>
              <w:rPr>
                <w:rFonts w:eastAsiaTheme="minorEastAsia"/>
                <w:lang w:eastAsia="en-AU"/>
              </w:rPr>
              <w:t>8</w:t>
            </w:r>
            <w:r>
              <w:rPr>
                <w:rFonts w:eastAsiaTheme="minorEastAsia"/>
                <w:lang w:eastAsia="en-AU"/>
              </w:rPr>
              <w:noBreakHyphen/>
            </w:r>
            <w:r w:rsidRPr="00873680">
              <w:rPr>
                <w:rFonts w:eastAsiaTheme="minorEastAsia"/>
                <w:lang w:eastAsia="en-AU"/>
              </w:rPr>
              <w:t>1</w:t>
            </w:r>
            <w:r>
              <w:rPr>
                <w:rFonts w:eastAsiaTheme="minorEastAsia"/>
                <w:lang w:eastAsia="en-AU"/>
              </w:rPr>
              <w:t>9</w:t>
            </w:r>
          </w:p>
          <w:p w:rsidR="00965D85" w:rsidRPr="00873680" w:rsidRDefault="00965D85" w:rsidP="008B46DF">
            <w:pPr>
              <w:pStyle w:val="Tabletextheading"/>
              <w:rPr>
                <w:rFonts w:eastAsiaTheme="minorEastAsia"/>
                <w:lang w:eastAsia="en-AU"/>
              </w:rPr>
            </w:pPr>
            <w:r>
              <w:rPr>
                <w:rFonts w:eastAsiaTheme="minorEastAsia"/>
                <w:lang w:eastAsia="en-AU"/>
              </w:rPr>
              <w:t>projection</w:t>
            </w:r>
          </w:p>
        </w:tc>
      </w:tr>
      <w:tr w:rsidR="00965D85" w:rsidRPr="00873680" w:rsidTr="008B46DF">
        <w:trPr>
          <w:cantSplit/>
          <w:trHeight w:val="55"/>
        </w:trPr>
        <w:tc>
          <w:tcPr>
            <w:tcW w:w="2810" w:type="dxa"/>
            <w:tcBorders>
              <w:top w:val="single" w:sz="6" w:space="0" w:color="auto"/>
              <w:left w:val="nil"/>
              <w:bottom w:val="nil"/>
              <w:right w:val="nil"/>
            </w:tcBorders>
          </w:tcPr>
          <w:p w:rsidR="00965D85" w:rsidRPr="00873680" w:rsidRDefault="00965D85" w:rsidP="008B46DF">
            <w:pPr>
              <w:pStyle w:val="Tabletext"/>
              <w:rPr>
                <w:rFonts w:eastAsiaTheme="minorEastAsia"/>
              </w:rPr>
            </w:pPr>
            <w:r w:rsidRPr="00873680">
              <w:rPr>
                <w:rFonts w:eastAsiaTheme="minorEastAsia"/>
              </w:rPr>
              <w:t>Real gross state product</w:t>
            </w:r>
          </w:p>
        </w:tc>
        <w:tc>
          <w:tcPr>
            <w:tcW w:w="994" w:type="dxa"/>
            <w:tcBorders>
              <w:top w:val="single" w:sz="6" w:space="0" w:color="auto"/>
              <w:left w:val="nil"/>
              <w:bottom w:val="nil"/>
              <w:right w:val="nil"/>
            </w:tcBorders>
            <w:vAlign w:val="bottom"/>
          </w:tcPr>
          <w:p w:rsidR="00965D85" w:rsidRPr="00873680" w:rsidRDefault="00965D85" w:rsidP="008B46DF">
            <w:pPr>
              <w:pStyle w:val="TableofFigures"/>
            </w:pPr>
            <w:r>
              <w:t>2.5</w:t>
            </w:r>
          </w:p>
        </w:tc>
        <w:tc>
          <w:tcPr>
            <w:tcW w:w="993" w:type="dxa"/>
            <w:tcBorders>
              <w:top w:val="single" w:sz="6" w:space="0" w:color="auto"/>
              <w:left w:val="nil"/>
              <w:bottom w:val="nil"/>
              <w:right w:val="nil"/>
            </w:tcBorders>
            <w:vAlign w:val="bottom"/>
          </w:tcPr>
          <w:p w:rsidR="00965D85" w:rsidRPr="00873680" w:rsidRDefault="00965D85" w:rsidP="008B46DF">
            <w:pPr>
              <w:pStyle w:val="TableofFigures"/>
            </w:pPr>
            <w:r>
              <w:t>2.50</w:t>
            </w:r>
          </w:p>
        </w:tc>
        <w:tc>
          <w:tcPr>
            <w:tcW w:w="993" w:type="dxa"/>
            <w:tcBorders>
              <w:top w:val="single" w:sz="6" w:space="0" w:color="auto"/>
              <w:left w:val="nil"/>
              <w:bottom w:val="nil"/>
              <w:right w:val="nil"/>
            </w:tcBorders>
            <w:vAlign w:val="bottom"/>
          </w:tcPr>
          <w:p w:rsidR="00965D85" w:rsidRPr="00873680" w:rsidRDefault="00965D85" w:rsidP="008B46DF">
            <w:pPr>
              <w:pStyle w:val="TableofFigures"/>
            </w:pPr>
            <w:r>
              <w:t>2.75</w:t>
            </w:r>
          </w:p>
        </w:tc>
        <w:tc>
          <w:tcPr>
            <w:tcW w:w="993" w:type="dxa"/>
            <w:tcBorders>
              <w:top w:val="single" w:sz="6" w:space="0" w:color="auto"/>
              <w:left w:val="nil"/>
              <w:bottom w:val="nil"/>
              <w:right w:val="nil"/>
            </w:tcBorders>
            <w:vAlign w:val="bottom"/>
          </w:tcPr>
          <w:p w:rsidR="00965D85" w:rsidRPr="00873680" w:rsidRDefault="00965D85" w:rsidP="008B46DF">
            <w:pPr>
              <w:pStyle w:val="TableofFigures"/>
            </w:pPr>
            <w:r>
              <w:t>2.75</w:t>
            </w:r>
          </w:p>
        </w:tc>
        <w:tc>
          <w:tcPr>
            <w:tcW w:w="993" w:type="dxa"/>
            <w:tcBorders>
              <w:top w:val="single" w:sz="6" w:space="0" w:color="auto"/>
              <w:left w:val="nil"/>
              <w:bottom w:val="nil"/>
              <w:right w:val="nil"/>
            </w:tcBorders>
          </w:tcPr>
          <w:p w:rsidR="00965D85" w:rsidRPr="00873680" w:rsidRDefault="00965D85" w:rsidP="008B46DF">
            <w:pPr>
              <w:pStyle w:val="TableofFigures"/>
            </w:pPr>
            <w:r>
              <w:t>2.75</w:t>
            </w:r>
          </w:p>
        </w:tc>
      </w:tr>
      <w:tr w:rsidR="00965D85" w:rsidRPr="00873680" w:rsidTr="008B46DF">
        <w:trPr>
          <w:cantSplit/>
        </w:trPr>
        <w:tc>
          <w:tcPr>
            <w:tcW w:w="2810" w:type="dxa"/>
            <w:tcBorders>
              <w:top w:val="nil"/>
              <w:left w:val="nil"/>
              <w:bottom w:val="nil"/>
              <w:right w:val="nil"/>
            </w:tcBorders>
          </w:tcPr>
          <w:p w:rsidR="00965D85" w:rsidRPr="00873680" w:rsidRDefault="00965D85" w:rsidP="008B46DF">
            <w:pPr>
              <w:pStyle w:val="Tabletext"/>
              <w:rPr>
                <w:rFonts w:eastAsiaTheme="minorEastAsia"/>
              </w:rPr>
            </w:pPr>
            <w:r w:rsidRPr="00873680">
              <w:rPr>
                <w:rFonts w:eastAsiaTheme="minorEastAsia"/>
              </w:rPr>
              <w:t>Employment</w:t>
            </w:r>
          </w:p>
        </w:tc>
        <w:tc>
          <w:tcPr>
            <w:tcW w:w="994" w:type="dxa"/>
            <w:tcBorders>
              <w:top w:val="nil"/>
              <w:left w:val="nil"/>
              <w:bottom w:val="nil"/>
              <w:right w:val="nil"/>
            </w:tcBorders>
            <w:vAlign w:val="bottom"/>
          </w:tcPr>
          <w:p w:rsidR="00965D85" w:rsidRPr="00873680" w:rsidRDefault="00965D85" w:rsidP="008B46DF">
            <w:pPr>
              <w:pStyle w:val="TableofFigures"/>
              <w:rPr>
                <w:rFonts w:cs="Calibri"/>
                <w:color w:val="000000"/>
              </w:rPr>
            </w:pPr>
            <w:r>
              <w:rPr>
                <w:rFonts w:cs="Calibri"/>
                <w:color w:val="000000"/>
              </w:rPr>
              <w:t>2.1</w:t>
            </w:r>
          </w:p>
        </w:tc>
        <w:tc>
          <w:tcPr>
            <w:tcW w:w="993" w:type="dxa"/>
            <w:tcBorders>
              <w:top w:val="nil"/>
              <w:left w:val="nil"/>
              <w:bottom w:val="nil"/>
              <w:right w:val="nil"/>
            </w:tcBorders>
            <w:vAlign w:val="bottom"/>
          </w:tcPr>
          <w:p w:rsidR="00965D85" w:rsidRPr="00873680" w:rsidRDefault="00965D85" w:rsidP="008B46DF">
            <w:pPr>
              <w:pStyle w:val="TableofFigures"/>
              <w:rPr>
                <w:rFonts w:cs="Calibri"/>
                <w:color w:val="000000"/>
              </w:rPr>
            </w:pPr>
            <w:r>
              <w:rPr>
                <w:rFonts w:cs="Calibri"/>
                <w:color w:val="000000"/>
              </w:rPr>
              <w:t>1.50</w:t>
            </w:r>
          </w:p>
        </w:tc>
        <w:tc>
          <w:tcPr>
            <w:tcW w:w="993" w:type="dxa"/>
            <w:tcBorders>
              <w:top w:val="nil"/>
              <w:left w:val="nil"/>
              <w:bottom w:val="nil"/>
              <w:right w:val="nil"/>
            </w:tcBorders>
            <w:vAlign w:val="bottom"/>
          </w:tcPr>
          <w:p w:rsidR="00965D85" w:rsidRPr="00873680" w:rsidRDefault="00965D85" w:rsidP="008B46DF">
            <w:pPr>
              <w:pStyle w:val="TableofFigures"/>
              <w:rPr>
                <w:rFonts w:cs="Calibri"/>
                <w:color w:val="000000"/>
              </w:rPr>
            </w:pPr>
            <w:r>
              <w:rPr>
                <w:rFonts w:cs="Calibri"/>
                <w:color w:val="000000"/>
              </w:rPr>
              <w:t>1.50</w:t>
            </w:r>
          </w:p>
        </w:tc>
        <w:tc>
          <w:tcPr>
            <w:tcW w:w="993" w:type="dxa"/>
            <w:tcBorders>
              <w:top w:val="nil"/>
              <w:left w:val="nil"/>
              <w:bottom w:val="nil"/>
              <w:right w:val="nil"/>
            </w:tcBorders>
            <w:vAlign w:val="bottom"/>
          </w:tcPr>
          <w:p w:rsidR="00965D85" w:rsidRPr="00873680" w:rsidRDefault="00965D85" w:rsidP="008B46DF">
            <w:pPr>
              <w:pStyle w:val="TableofFigures"/>
              <w:rPr>
                <w:rFonts w:cs="Calibri"/>
                <w:color w:val="000000"/>
              </w:rPr>
            </w:pPr>
            <w:r>
              <w:rPr>
                <w:rFonts w:cs="Calibri"/>
                <w:color w:val="000000"/>
              </w:rPr>
              <w:t>1.50</w:t>
            </w:r>
          </w:p>
        </w:tc>
        <w:tc>
          <w:tcPr>
            <w:tcW w:w="993" w:type="dxa"/>
            <w:tcBorders>
              <w:top w:val="nil"/>
              <w:left w:val="nil"/>
              <w:bottom w:val="nil"/>
              <w:right w:val="nil"/>
            </w:tcBorders>
          </w:tcPr>
          <w:p w:rsidR="00965D85" w:rsidRPr="00873680" w:rsidRDefault="00965D85" w:rsidP="008B46DF">
            <w:pPr>
              <w:pStyle w:val="TableofFigures"/>
              <w:rPr>
                <w:rFonts w:cs="Calibri"/>
                <w:color w:val="000000"/>
              </w:rPr>
            </w:pPr>
            <w:r>
              <w:rPr>
                <w:rFonts w:cs="Calibri"/>
                <w:color w:val="000000"/>
              </w:rPr>
              <w:t>1.50</w:t>
            </w:r>
          </w:p>
        </w:tc>
      </w:tr>
      <w:tr w:rsidR="00965D85" w:rsidRPr="00873680" w:rsidTr="008B46DF">
        <w:trPr>
          <w:cantSplit/>
        </w:trPr>
        <w:tc>
          <w:tcPr>
            <w:tcW w:w="2810" w:type="dxa"/>
            <w:tcBorders>
              <w:top w:val="nil"/>
              <w:left w:val="nil"/>
              <w:bottom w:val="nil"/>
              <w:right w:val="nil"/>
            </w:tcBorders>
          </w:tcPr>
          <w:p w:rsidR="00965D85" w:rsidRPr="00873680" w:rsidRDefault="00965D85" w:rsidP="008B46DF">
            <w:pPr>
              <w:pStyle w:val="Tabletext"/>
              <w:rPr>
                <w:rFonts w:eastAsiaTheme="minorEastAsia"/>
              </w:rPr>
            </w:pPr>
            <w:r w:rsidRPr="00873680">
              <w:rPr>
                <w:rFonts w:eastAsiaTheme="minorEastAsia"/>
              </w:rPr>
              <w:t xml:space="preserve">Unemployment rate </w:t>
            </w:r>
            <w:r w:rsidRPr="00873680">
              <w:rPr>
                <w:rFonts w:eastAsiaTheme="minorEastAsia"/>
                <w:vertAlign w:val="superscript"/>
              </w:rPr>
              <w:t>(</w:t>
            </w:r>
            <w:r>
              <w:rPr>
                <w:rFonts w:eastAsiaTheme="minorEastAsia"/>
                <w:vertAlign w:val="superscript"/>
              </w:rPr>
              <w:t>b</w:t>
            </w:r>
            <w:r w:rsidRPr="00873680">
              <w:rPr>
                <w:rFonts w:eastAsiaTheme="minorEastAsia"/>
                <w:vertAlign w:val="superscript"/>
              </w:rPr>
              <w:t>)</w:t>
            </w:r>
          </w:p>
        </w:tc>
        <w:tc>
          <w:tcPr>
            <w:tcW w:w="994" w:type="dxa"/>
            <w:tcBorders>
              <w:top w:val="nil"/>
              <w:left w:val="nil"/>
              <w:bottom w:val="nil"/>
              <w:right w:val="nil"/>
            </w:tcBorders>
            <w:vAlign w:val="bottom"/>
          </w:tcPr>
          <w:p w:rsidR="00965D85" w:rsidRPr="00873680" w:rsidRDefault="00965D85" w:rsidP="008B46DF">
            <w:pPr>
              <w:pStyle w:val="TableofFigures"/>
              <w:rPr>
                <w:rFonts w:cs="Calibri"/>
                <w:color w:val="000000"/>
              </w:rPr>
            </w:pPr>
            <w:r>
              <w:rPr>
                <w:rFonts w:cs="Calibri"/>
                <w:color w:val="000000"/>
              </w:rPr>
              <w:t>6.4</w:t>
            </w:r>
          </w:p>
        </w:tc>
        <w:tc>
          <w:tcPr>
            <w:tcW w:w="993" w:type="dxa"/>
            <w:tcBorders>
              <w:top w:val="nil"/>
              <w:left w:val="nil"/>
              <w:bottom w:val="nil"/>
              <w:right w:val="nil"/>
            </w:tcBorders>
            <w:vAlign w:val="bottom"/>
          </w:tcPr>
          <w:p w:rsidR="00965D85" w:rsidRPr="00873680" w:rsidRDefault="00965D85" w:rsidP="008B46DF">
            <w:pPr>
              <w:pStyle w:val="TableofFigures"/>
              <w:rPr>
                <w:rFonts w:cs="Calibri"/>
                <w:color w:val="000000"/>
              </w:rPr>
            </w:pPr>
            <w:r>
              <w:rPr>
                <w:rFonts w:cs="Calibri"/>
                <w:color w:val="000000"/>
              </w:rPr>
              <w:t>6.25</w:t>
            </w:r>
          </w:p>
        </w:tc>
        <w:tc>
          <w:tcPr>
            <w:tcW w:w="993" w:type="dxa"/>
            <w:tcBorders>
              <w:top w:val="nil"/>
              <w:left w:val="nil"/>
              <w:bottom w:val="nil"/>
              <w:right w:val="nil"/>
            </w:tcBorders>
            <w:vAlign w:val="bottom"/>
          </w:tcPr>
          <w:p w:rsidR="00965D85" w:rsidRPr="00873680" w:rsidRDefault="00965D85" w:rsidP="008B46DF">
            <w:pPr>
              <w:pStyle w:val="TableofFigures"/>
              <w:rPr>
                <w:rFonts w:cs="Calibri"/>
                <w:color w:val="000000"/>
              </w:rPr>
            </w:pPr>
            <w:r>
              <w:rPr>
                <w:rFonts w:cs="Calibri"/>
                <w:color w:val="000000"/>
              </w:rPr>
              <w:t>6.00</w:t>
            </w:r>
          </w:p>
        </w:tc>
        <w:tc>
          <w:tcPr>
            <w:tcW w:w="993" w:type="dxa"/>
            <w:tcBorders>
              <w:top w:val="nil"/>
              <w:left w:val="nil"/>
              <w:bottom w:val="nil"/>
              <w:right w:val="nil"/>
            </w:tcBorders>
            <w:vAlign w:val="bottom"/>
          </w:tcPr>
          <w:p w:rsidR="00965D85" w:rsidRPr="00873680" w:rsidRDefault="00965D85" w:rsidP="008B46DF">
            <w:pPr>
              <w:pStyle w:val="TableofFigures"/>
              <w:rPr>
                <w:rFonts w:cs="Calibri"/>
                <w:color w:val="000000"/>
              </w:rPr>
            </w:pPr>
            <w:r>
              <w:rPr>
                <w:rFonts w:cs="Calibri"/>
                <w:color w:val="000000"/>
              </w:rPr>
              <w:t>5.75</w:t>
            </w:r>
          </w:p>
        </w:tc>
        <w:tc>
          <w:tcPr>
            <w:tcW w:w="993" w:type="dxa"/>
            <w:tcBorders>
              <w:top w:val="nil"/>
              <w:left w:val="nil"/>
              <w:bottom w:val="nil"/>
              <w:right w:val="nil"/>
            </w:tcBorders>
          </w:tcPr>
          <w:p w:rsidR="00965D85" w:rsidRPr="00873680" w:rsidRDefault="00965D85" w:rsidP="008B46DF">
            <w:pPr>
              <w:pStyle w:val="TableofFigures"/>
              <w:rPr>
                <w:rFonts w:cs="Calibri"/>
                <w:color w:val="000000"/>
              </w:rPr>
            </w:pPr>
            <w:r>
              <w:rPr>
                <w:rFonts w:cs="Calibri"/>
                <w:color w:val="000000"/>
              </w:rPr>
              <w:t>5.50</w:t>
            </w:r>
          </w:p>
        </w:tc>
      </w:tr>
      <w:tr w:rsidR="00965D85" w:rsidRPr="00873680" w:rsidTr="008B46DF">
        <w:trPr>
          <w:cantSplit/>
        </w:trPr>
        <w:tc>
          <w:tcPr>
            <w:tcW w:w="2810" w:type="dxa"/>
            <w:tcBorders>
              <w:top w:val="nil"/>
              <w:left w:val="nil"/>
              <w:bottom w:val="nil"/>
              <w:right w:val="nil"/>
            </w:tcBorders>
          </w:tcPr>
          <w:p w:rsidR="00965D85" w:rsidRPr="00873680" w:rsidRDefault="00965D85" w:rsidP="008B46DF">
            <w:pPr>
              <w:pStyle w:val="Tabletext"/>
              <w:rPr>
                <w:rFonts w:eastAsiaTheme="minorEastAsia"/>
              </w:rPr>
            </w:pPr>
          </w:p>
        </w:tc>
        <w:tc>
          <w:tcPr>
            <w:tcW w:w="994" w:type="dxa"/>
            <w:tcBorders>
              <w:top w:val="nil"/>
              <w:left w:val="nil"/>
              <w:bottom w:val="nil"/>
              <w:right w:val="nil"/>
            </w:tcBorders>
            <w:vAlign w:val="bottom"/>
          </w:tcPr>
          <w:p w:rsidR="00965D85" w:rsidRPr="00873680" w:rsidRDefault="00965D85" w:rsidP="008B46DF">
            <w:pPr>
              <w:pStyle w:val="TableofFigures"/>
              <w:rPr>
                <w:rFonts w:cs="Calibri"/>
                <w:color w:val="000000"/>
              </w:rPr>
            </w:pPr>
          </w:p>
        </w:tc>
        <w:tc>
          <w:tcPr>
            <w:tcW w:w="993" w:type="dxa"/>
            <w:tcBorders>
              <w:top w:val="nil"/>
              <w:left w:val="nil"/>
              <w:bottom w:val="nil"/>
              <w:right w:val="nil"/>
            </w:tcBorders>
            <w:vAlign w:val="bottom"/>
          </w:tcPr>
          <w:p w:rsidR="00965D85" w:rsidRPr="00873680" w:rsidRDefault="00965D85" w:rsidP="008B46DF">
            <w:pPr>
              <w:pStyle w:val="TableofFigures"/>
              <w:rPr>
                <w:rFonts w:cs="Calibri"/>
                <w:color w:val="000000"/>
              </w:rPr>
            </w:pPr>
          </w:p>
        </w:tc>
        <w:tc>
          <w:tcPr>
            <w:tcW w:w="993" w:type="dxa"/>
            <w:tcBorders>
              <w:top w:val="nil"/>
              <w:left w:val="nil"/>
              <w:bottom w:val="nil"/>
              <w:right w:val="nil"/>
            </w:tcBorders>
            <w:vAlign w:val="bottom"/>
          </w:tcPr>
          <w:p w:rsidR="00965D85" w:rsidRPr="00873680" w:rsidRDefault="00965D85" w:rsidP="008B46DF">
            <w:pPr>
              <w:pStyle w:val="TableofFigures"/>
              <w:rPr>
                <w:rFonts w:cs="Calibri"/>
                <w:color w:val="000000"/>
              </w:rPr>
            </w:pPr>
            <w:r>
              <w:rPr>
                <w:rFonts w:cs="Calibri"/>
                <w:color w:val="000000"/>
              </w:rPr>
              <w:t>(6.25)</w:t>
            </w:r>
          </w:p>
        </w:tc>
        <w:tc>
          <w:tcPr>
            <w:tcW w:w="993" w:type="dxa"/>
            <w:tcBorders>
              <w:top w:val="nil"/>
              <w:left w:val="nil"/>
              <w:bottom w:val="nil"/>
              <w:right w:val="nil"/>
            </w:tcBorders>
            <w:vAlign w:val="bottom"/>
          </w:tcPr>
          <w:p w:rsidR="00965D85" w:rsidRPr="00873680" w:rsidRDefault="00965D85" w:rsidP="008B46DF">
            <w:pPr>
              <w:pStyle w:val="TableofFigures"/>
              <w:rPr>
                <w:rFonts w:cs="Calibri"/>
                <w:color w:val="000000"/>
              </w:rPr>
            </w:pPr>
            <w:r>
              <w:rPr>
                <w:rFonts w:cs="Calibri"/>
                <w:color w:val="000000"/>
              </w:rPr>
              <w:t>(6.00)</w:t>
            </w:r>
          </w:p>
        </w:tc>
        <w:tc>
          <w:tcPr>
            <w:tcW w:w="993" w:type="dxa"/>
            <w:tcBorders>
              <w:top w:val="nil"/>
              <w:left w:val="nil"/>
              <w:bottom w:val="nil"/>
              <w:right w:val="nil"/>
            </w:tcBorders>
          </w:tcPr>
          <w:p w:rsidR="00965D85" w:rsidRPr="00873680" w:rsidRDefault="00965D85" w:rsidP="008B46DF">
            <w:pPr>
              <w:pStyle w:val="TableofFigures"/>
              <w:rPr>
                <w:rFonts w:cs="Calibri"/>
                <w:color w:val="000000"/>
              </w:rPr>
            </w:pPr>
            <w:r>
              <w:rPr>
                <w:rFonts w:cs="Calibri"/>
                <w:color w:val="000000"/>
              </w:rPr>
              <w:t>(5.75)</w:t>
            </w:r>
          </w:p>
        </w:tc>
      </w:tr>
      <w:tr w:rsidR="00965D85" w:rsidRPr="00873680" w:rsidTr="008B46DF">
        <w:trPr>
          <w:cantSplit/>
        </w:trPr>
        <w:tc>
          <w:tcPr>
            <w:tcW w:w="2810" w:type="dxa"/>
            <w:tcBorders>
              <w:top w:val="nil"/>
              <w:left w:val="nil"/>
              <w:bottom w:val="nil"/>
              <w:right w:val="nil"/>
            </w:tcBorders>
          </w:tcPr>
          <w:p w:rsidR="00965D85" w:rsidRPr="00873680" w:rsidRDefault="00965D85" w:rsidP="008B46DF">
            <w:pPr>
              <w:pStyle w:val="Tabletext"/>
              <w:rPr>
                <w:rFonts w:eastAsiaTheme="minorEastAsia"/>
              </w:rPr>
            </w:pPr>
            <w:r w:rsidRPr="00873680">
              <w:rPr>
                <w:rFonts w:eastAsiaTheme="minorEastAsia"/>
              </w:rPr>
              <w:t xml:space="preserve">Consumer price index </w:t>
            </w:r>
            <w:r w:rsidRPr="00873680">
              <w:rPr>
                <w:rFonts w:eastAsiaTheme="minorEastAsia"/>
                <w:vertAlign w:val="superscript"/>
              </w:rPr>
              <w:t>(</w:t>
            </w:r>
            <w:r>
              <w:rPr>
                <w:rFonts w:eastAsiaTheme="minorEastAsia"/>
                <w:vertAlign w:val="superscript"/>
              </w:rPr>
              <w:t>c</w:t>
            </w:r>
            <w:r w:rsidRPr="00873680">
              <w:rPr>
                <w:rFonts w:eastAsiaTheme="minorEastAsia"/>
                <w:vertAlign w:val="superscript"/>
              </w:rPr>
              <w:t>)</w:t>
            </w:r>
          </w:p>
        </w:tc>
        <w:tc>
          <w:tcPr>
            <w:tcW w:w="994" w:type="dxa"/>
            <w:tcBorders>
              <w:top w:val="nil"/>
              <w:left w:val="nil"/>
              <w:bottom w:val="nil"/>
              <w:right w:val="nil"/>
            </w:tcBorders>
            <w:vAlign w:val="bottom"/>
          </w:tcPr>
          <w:p w:rsidR="00965D85" w:rsidRPr="00873680" w:rsidRDefault="00965D85" w:rsidP="008B46DF">
            <w:pPr>
              <w:pStyle w:val="TableofFigures"/>
              <w:rPr>
                <w:rFonts w:cs="Calibri"/>
                <w:color w:val="000000"/>
              </w:rPr>
            </w:pPr>
            <w:r>
              <w:rPr>
                <w:rFonts w:cs="Calibri"/>
                <w:color w:val="000000"/>
              </w:rPr>
              <w:t>1.4</w:t>
            </w:r>
          </w:p>
        </w:tc>
        <w:tc>
          <w:tcPr>
            <w:tcW w:w="993" w:type="dxa"/>
            <w:tcBorders>
              <w:top w:val="nil"/>
              <w:left w:val="nil"/>
              <w:bottom w:val="nil"/>
              <w:right w:val="nil"/>
            </w:tcBorders>
            <w:vAlign w:val="bottom"/>
          </w:tcPr>
          <w:p w:rsidR="00965D85" w:rsidRPr="00873680" w:rsidRDefault="00965D85" w:rsidP="008B46DF">
            <w:pPr>
              <w:pStyle w:val="TableofFigures"/>
              <w:rPr>
                <w:rFonts w:cs="Calibri"/>
                <w:color w:val="000000"/>
              </w:rPr>
            </w:pPr>
            <w:r>
              <w:rPr>
                <w:rFonts w:cs="Calibri"/>
                <w:color w:val="000000"/>
              </w:rPr>
              <w:t>2.25</w:t>
            </w:r>
          </w:p>
        </w:tc>
        <w:tc>
          <w:tcPr>
            <w:tcW w:w="993" w:type="dxa"/>
            <w:tcBorders>
              <w:top w:val="nil"/>
              <w:left w:val="nil"/>
              <w:bottom w:val="nil"/>
              <w:right w:val="nil"/>
            </w:tcBorders>
            <w:vAlign w:val="bottom"/>
          </w:tcPr>
          <w:p w:rsidR="00965D85" w:rsidRPr="00873680" w:rsidRDefault="00965D85" w:rsidP="008B46DF">
            <w:pPr>
              <w:pStyle w:val="TableofFigures"/>
              <w:rPr>
                <w:rFonts w:cs="Calibri"/>
                <w:color w:val="000000"/>
              </w:rPr>
            </w:pPr>
            <w:r>
              <w:rPr>
                <w:rFonts w:cs="Calibri"/>
                <w:color w:val="000000"/>
              </w:rPr>
              <w:t>2.50</w:t>
            </w:r>
          </w:p>
        </w:tc>
        <w:tc>
          <w:tcPr>
            <w:tcW w:w="993" w:type="dxa"/>
            <w:tcBorders>
              <w:top w:val="nil"/>
              <w:left w:val="nil"/>
              <w:bottom w:val="nil"/>
              <w:right w:val="nil"/>
            </w:tcBorders>
            <w:vAlign w:val="bottom"/>
          </w:tcPr>
          <w:p w:rsidR="00965D85" w:rsidRPr="00873680" w:rsidRDefault="00965D85" w:rsidP="008B46DF">
            <w:pPr>
              <w:pStyle w:val="TableofFigures"/>
              <w:rPr>
                <w:rFonts w:cs="Calibri"/>
                <w:color w:val="000000"/>
              </w:rPr>
            </w:pPr>
            <w:r>
              <w:rPr>
                <w:rFonts w:cs="Calibri"/>
                <w:color w:val="000000"/>
              </w:rPr>
              <w:t>2.50</w:t>
            </w:r>
          </w:p>
        </w:tc>
        <w:tc>
          <w:tcPr>
            <w:tcW w:w="993" w:type="dxa"/>
            <w:tcBorders>
              <w:top w:val="nil"/>
              <w:left w:val="nil"/>
              <w:bottom w:val="nil"/>
              <w:right w:val="nil"/>
            </w:tcBorders>
          </w:tcPr>
          <w:p w:rsidR="00965D85" w:rsidRPr="00873680" w:rsidRDefault="00965D85" w:rsidP="008B46DF">
            <w:pPr>
              <w:pStyle w:val="TableofFigures"/>
              <w:rPr>
                <w:rFonts w:cs="Calibri"/>
                <w:color w:val="000000"/>
              </w:rPr>
            </w:pPr>
            <w:r>
              <w:rPr>
                <w:rFonts w:cs="Calibri"/>
                <w:color w:val="000000"/>
              </w:rPr>
              <w:t>2.50</w:t>
            </w:r>
          </w:p>
        </w:tc>
      </w:tr>
      <w:tr w:rsidR="00965D85" w:rsidRPr="00873680" w:rsidTr="008B46DF">
        <w:trPr>
          <w:cantSplit/>
        </w:trPr>
        <w:tc>
          <w:tcPr>
            <w:tcW w:w="2810" w:type="dxa"/>
            <w:tcBorders>
              <w:top w:val="nil"/>
              <w:left w:val="nil"/>
              <w:bottom w:val="nil"/>
              <w:right w:val="nil"/>
            </w:tcBorders>
          </w:tcPr>
          <w:p w:rsidR="00965D85" w:rsidRPr="00873680" w:rsidRDefault="00965D85" w:rsidP="008B46DF">
            <w:pPr>
              <w:pStyle w:val="Tabletext"/>
              <w:rPr>
                <w:rFonts w:eastAsiaTheme="minorEastAsia"/>
              </w:rPr>
            </w:pPr>
          </w:p>
        </w:tc>
        <w:tc>
          <w:tcPr>
            <w:tcW w:w="994" w:type="dxa"/>
            <w:tcBorders>
              <w:top w:val="nil"/>
              <w:left w:val="nil"/>
              <w:bottom w:val="nil"/>
              <w:right w:val="nil"/>
            </w:tcBorders>
            <w:vAlign w:val="bottom"/>
          </w:tcPr>
          <w:p w:rsidR="00965D85" w:rsidRDefault="00965D85" w:rsidP="008B46DF">
            <w:pPr>
              <w:pStyle w:val="TableofFigures"/>
              <w:rPr>
                <w:rFonts w:cs="Calibri"/>
                <w:color w:val="000000"/>
              </w:rPr>
            </w:pPr>
          </w:p>
        </w:tc>
        <w:tc>
          <w:tcPr>
            <w:tcW w:w="993" w:type="dxa"/>
            <w:tcBorders>
              <w:top w:val="nil"/>
              <w:left w:val="nil"/>
              <w:bottom w:val="nil"/>
              <w:right w:val="nil"/>
            </w:tcBorders>
            <w:vAlign w:val="bottom"/>
          </w:tcPr>
          <w:p w:rsidR="00965D85" w:rsidRDefault="00965D85" w:rsidP="008B46DF">
            <w:pPr>
              <w:pStyle w:val="TableofFigures"/>
              <w:rPr>
                <w:rFonts w:cs="Calibri"/>
                <w:color w:val="000000"/>
              </w:rPr>
            </w:pPr>
            <w:r>
              <w:rPr>
                <w:rFonts w:cs="Calibri"/>
                <w:color w:val="000000"/>
              </w:rPr>
              <w:t>(2.75)</w:t>
            </w:r>
          </w:p>
        </w:tc>
        <w:tc>
          <w:tcPr>
            <w:tcW w:w="993" w:type="dxa"/>
            <w:tcBorders>
              <w:top w:val="nil"/>
              <w:left w:val="nil"/>
              <w:bottom w:val="nil"/>
              <w:right w:val="nil"/>
            </w:tcBorders>
            <w:vAlign w:val="bottom"/>
          </w:tcPr>
          <w:p w:rsidR="00965D85" w:rsidRDefault="00965D85" w:rsidP="008B46DF">
            <w:pPr>
              <w:pStyle w:val="TableofFigures"/>
              <w:rPr>
                <w:rFonts w:cs="Calibri"/>
                <w:color w:val="000000"/>
              </w:rPr>
            </w:pPr>
            <w:r>
              <w:rPr>
                <w:rFonts w:cs="Calibri"/>
                <w:color w:val="000000"/>
              </w:rPr>
              <w:t>(2.75)</w:t>
            </w:r>
          </w:p>
        </w:tc>
        <w:tc>
          <w:tcPr>
            <w:tcW w:w="993" w:type="dxa"/>
            <w:tcBorders>
              <w:top w:val="nil"/>
              <w:left w:val="nil"/>
              <w:bottom w:val="nil"/>
              <w:right w:val="nil"/>
            </w:tcBorders>
            <w:vAlign w:val="bottom"/>
          </w:tcPr>
          <w:p w:rsidR="00965D85" w:rsidRDefault="00965D85" w:rsidP="008B46DF">
            <w:pPr>
              <w:pStyle w:val="TableofFigures"/>
              <w:rPr>
                <w:rFonts w:cs="Calibri"/>
                <w:color w:val="000000"/>
              </w:rPr>
            </w:pPr>
          </w:p>
        </w:tc>
        <w:tc>
          <w:tcPr>
            <w:tcW w:w="993" w:type="dxa"/>
            <w:tcBorders>
              <w:top w:val="nil"/>
              <w:left w:val="nil"/>
              <w:bottom w:val="nil"/>
              <w:right w:val="nil"/>
            </w:tcBorders>
          </w:tcPr>
          <w:p w:rsidR="00965D85" w:rsidRDefault="00965D85" w:rsidP="008B46DF">
            <w:pPr>
              <w:pStyle w:val="TableofFigures"/>
              <w:rPr>
                <w:rFonts w:cs="Calibri"/>
                <w:color w:val="000000"/>
              </w:rPr>
            </w:pPr>
          </w:p>
        </w:tc>
      </w:tr>
      <w:tr w:rsidR="00965D85" w:rsidRPr="00873680" w:rsidTr="008B46DF">
        <w:trPr>
          <w:cantSplit/>
        </w:trPr>
        <w:tc>
          <w:tcPr>
            <w:tcW w:w="2810" w:type="dxa"/>
            <w:tcBorders>
              <w:top w:val="nil"/>
              <w:left w:val="nil"/>
              <w:bottom w:val="nil"/>
              <w:right w:val="nil"/>
            </w:tcBorders>
          </w:tcPr>
          <w:p w:rsidR="00965D85" w:rsidRPr="00873680" w:rsidRDefault="00965D85" w:rsidP="008B46DF">
            <w:pPr>
              <w:pStyle w:val="Tabletext"/>
              <w:rPr>
                <w:rFonts w:eastAsiaTheme="minorEastAsia"/>
              </w:rPr>
            </w:pPr>
            <w:r w:rsidRPr="00873680">
              <w:rPr>
                <w:rFonts w:eastAsiaTheme="minorEastAsia"/>
              </w:rPr>
              <w:t xml:space="preserve">Wage price index </w:t>
            </w:r>
            <w:r w:rsidRPr="00873680">
              <w:rPr>
                <w:rFonts w:eastAsiaTheme="minorEastAsia"/>
                <w:vertAlign w:val="superscript"/>
              </w:rPr>
              <w:t>(</w:t>
            </w:r>
            <w:r>
              <w:rPr>
                <w:rFonts w:eastAsiaTheme="minorEastAsia"/>
                <w:vertAlign w:val="superscript"/>
              </w:rPr>
              <w:t>d</w:t>
            </w:r>
            <w:r w:rsidRPr="00873680">
              <w:rPr>
                <w:rFonts w:eastAsiaTheme="minorEastAsia"/>
                <w:vertAlign w:val="superscript"/>
              </w:rPr>
              <w:t>)</w:t>
            </w:r>
          </w:p>
        </w:tc>
        <w:tc>
          <w:tcPr>
            <w:tcW w:w="994" w:type="dxa"/>
            <w:tcBorders>
              <w:top w:val="nil"/>
              <w:left w:val="nil"/>
              <w:bottom w:val="nil"/>
              <w:right w:val="nil"/>
            </w:tcBorders>
            <w:vAlign w:val="bottom"/>
          </w:tcPr>
          <w:p w:rsidR="00965D85" w:rsidRPr="00873680" w:rsidRDefault="00965D85" w:rsidP="008B46DF">
            <w:pPr>
              <w:pStyle w:val="TableofFigures"/>
              <w:rPr>
                <w:rFonts w:cs="Calibri"/>
                <w:color w:val="000000"/>
              </w:rPr>
            </w:pPr>
            <w:r>
              <w:rPr>
                <w:rFonts w:cs="Calibri"/>
                <w:color w:val="000000"/>
              </w:rPr>
              <w:t>2.7</w:t>
            </w:r>
          </w:p>
        </w:tc>
        <w:tc>
          <w:tcPr>
            <w:tcW w:w="993" w:type="dxa"/>
            <w:tcBorders>
              <w:top w:val="nil"/>
              <w:left w:val="nil"/>
              <w:bottom w:val="nil"/>
              <w:right w:val="nil"/>
            </w:tcBorders>
            <w:vAlign w:val="bottom"/>
          </w:tcPr>
          <w:p w:rsidR="00965D85" w:rsidRPr="00873680" w:rsidRDefault="00965D85" w:rsidP="008B46DF">
            <w:pPr>
              <w:pStyle w:val="TableofFigures"/>
              <w:rPr>
                <w:rFonts w:cs="Calibri"/>
                <w:color w:val="000000"/>
              </w:rPr>
            </w:pPr>
            <w:r>
              <w:rPr>
                <w:rFonts w:cs="Calibri"/>
                <w:color w:val="000000"/>
              </w:rPr>
              <w:t>3.00</w:t>
            </w:r>
          </w:p>
        </w:tc>
        <w:tc>
          <w:tcPr>
            <w:tcW w:w="993" w:type="dxa"/>
            <w:tcBorders>
              <w:top w:val="nil"/>
              <w:left w:val="nil"/>
              <w:bottom w:val="nil"/>
              <w:right w:val="nil"/>
            </w:tcBorders>
            <w:vAlign w:val="bottom"/>
          </w:tcPr>
          <w:p w:rsidR="00965D85" w:rsidRPr="00873680" w:rsidRDefault="00965D85" w:rsidP="008B46DF">
            <w:pPr>
              <w:pStyle w:val="TableofFigures"/>
              <w:rPr>
                <w:rFonts w:cs="Calibri"/>
                <w:color w:val="000000"/>
              </w:rPr>
            </w:pPr>
            <w:r>
              <w:rPr>
                <w:rFonts w:cs="Calibri"/>
                <w:color w:val="000000"/>
              </w:rPr>
              <w:t>3.25</w:t>
            </w:r>
          </w:p>
        </w:tc>
        <w:tc>
          <w:tcPr>
            <w:tcW w:w="993" w:type="dxa"/>
            <w:tcBorders>
              <w:top w:val="nil"/>
              <w:left w:val="nil"/>
              <w:bottom w:val="nil"/>
              <w:right w:val="nil"/>
            </w:tcBorders>
            <w:vAlign w:val="bottom"/>
          </w:tcPr>
          <w:p w:rsidR="00965D85" w:rsidRPr="00873680" w:rsidRDefault="00965D85" w:rsidP="008B46DF">
            <w:pPr>
              <w:pStyle w:val="TableofFigures"/>
              <w:rPr>
                <w:rFonts w:cs="Calibri"/>
                <w:color w:val="000000"/>
              </w:rPr>
            </w:pPr>
            <w:r>
              <w:rPr>
                <w:rFonts w:cs="Calibri"/>
                <w:color w:val="000000"/>
              </w:rPr>
              <w:t>3.50</w:t>
            </w:r>
          </w:p>
        </w:tc>
        <w:tc>
          <w:tcPr>
            <w:tcW w:w="993" w:type="dxa"/>
            <w:tcBorders>
              <w:top w:val="nil"/>
              <w:left w:val="nil"/>
              <w:bottom w:val="nil"/>
              <w:right w:val="nil"/>
            </w:tcBorders>
          </w:tcPr>
          <w:p w:rsidR="00965D85" w:rsidRPr="00873680" w:rsidRDefault="00965D85" w:rsidP="008B46DF">
            <w:pPr>
              <w:pStyle w:val="TableofFigures"/>
              <w:rPr>
                <w:rFonts w:cs="Calibri"/>
                <w:color w:val="000000"/>
              </w:rPr>
            </w:pPr>
            <w:r>
              <w:rPr>
                <w:rFonts w:cs="Calibri"/>
                <w:color w:val="000000"/>
              </w:rPr>
              <w:t>3.50</w:t>
            </w:r>
          </w:p>
        </w:tc>
      </w:tr>
      <w:tr w:rsidR="00965D85" w:rsidRPr="00873680" w:rsidTr="008B46DF">
        <w:trPr>
          <w:cantSplit/>
        </w:trPr>
        <w:tc>
          <w:tcPr>
            <w:tcW w:w="2810" w:type="dxa"/>
            <w:tcBorders>
              <w:top w:val="nil"/>
              <w:left w:val="nil"/>
              <w:bottom w:val="nil"/>
              <w:right w:val="nil"/>
            </w:tcBorders>
          </w:tcPr>
          <w:p w:rsidR="00965D85" w:rsidRPr="00873680" w:rsidRDefault="00965D85" w:rsidP="008B46DF">
            <w:pPr>
              <w:pStyle w:val="Tabletext"/>
              <w:rPr>
                <w:rFonts w:eastAsiaTheme="minorEastAsia"/>
              </w:rPr>
            </w:pPr>
          </w:p>
        </w:tc>
        <w:tc>
          <w:tcPr>
            <w:tcW w:w="994" w:type="dxa"/>
            <w:tcBorders>
              <w:top w:val="nil"/>
              <w:left w:val="nil"/>
              <w:bottom w:val="nil"/>
              <w:right w:val="nil"/>
            </w:tcBorders>
            <w:vAlign w:val="bottom"/>
          </w:tcPr>
          <w:p w:rsidR="00965D85" w:rsidRPr="00873680" w:rsidRDefault="00965D85" w:rsidP="008B46DF">
            <w:pPr>
              <w:pStyle w:val="TableofFigures"/>
              <w:rPr>
                <w:rFonts w:cs="Calibri"/>
                <w:color w:val="000000"/>
              </w:rPr>
            </w:pPr>
          </w:p>
        </w:tc>
        <w:tc>
          <w:tcPr>
            <w:tcW w:w="993" w:type="dxa"/>
            <w:tcBorders>
              <w:top w:val="nil"/>
              <w:left w:val="nil"/>
              <w:bottom w:val="nil"/>
              <w:right w:val="nil"/>
            </w:tcBorders>
            <w:vAlign w:val="bottom"/>
          </w:tcPr>
          <w:p w:rsidR="00965D85" w:rsidRPr="00873680" w:rsidRDefault="00965D85" w:rsidP="008B46DF">
            <w:pPr>
              <w:pStyle w:val="TableofFigures"/>
              <w:rPr>
                <w:rFonts w:cs="Calibri"/>
                <w:color w:val="000000"/>
              </w:rPr>
            </w:pPr>
            <w:r>
              <w:rPr>
                <w:rFonts w:cs="Calibri"/>
                <w:color w:val="000000"/>
              </w:rPr>
              <w:t>(3.25)</w:t>
            </w:r>
          </w:p>
        </w:tc>
        <w:tc>
          <w:tcPr>
            <w:tcW w:w="993" w:type="dxa"/>
            <w:tcBorders>
              <w:top w:val="nil"/>
              <w:left w:val="nil"/>
              <w:bottom w:val="nil"/>
              <w:right w:val="nil"/>
            </w:tcBorders>
            <w:vAlign w:val="bottom"/>
          </w:tcPr>
          <w:p w:rsidR="00965D85" w:rsidRPr="00873680" w:rsidRDefault="00965D85" w:rsidP="008B46DF">
            <w:pPr>
              <w:pStyle w:val="TableofFigures"/>
              <w:rPr>
                <w:rFonts w:cs="Calibri"/>
                <w:color w:val="000000"/>
              </w:rPr>
            </w:pPr>
            <w:r>
              <w:rPr>
                <w:rFonts w:cs="Calibri"/>
                <w:color w:val="000000"/>
              </w:rPr>
              <w:t>(3.50)</w:t>
            </w:r>
          </w:p>
        </w:tc>
        <w:tc>
          <w:tcPr>
            <w:tcW w:w="993" w:type="dxa"/>
            <w:tcBorders>
              <w:top w:val="nil"/>
              <w:left w:val="nil"/>
              <w:bottom w:val="nil"/>
              <w:right w:val="nil"/>
            </w:tcBorders>
            <w:vAlign w:val="bottom"/>
          </w:tcPr>
          <w:p w:rsidR="00965D85" w:rsidRPr="00873680" w:rsidRDefault="00965D85" w:rsidP="008B46DF">
            <w:pPr>
              <w:pStyle w:val="TableofFigures"/>
              <w:rPr>
                <w:rFonts w:cs="Calibri"/>
                <w:color w:val="000000"/>
              </w:rPr>
            </w:pPr>
          </w:p>
        </w:tc>
        <w:tc>
          <w:tcPr>
            <w:tcW w:w="993" w:type="dxa"/>
            <w:tcBorders>
              <w:top w:val="nil"/>
              <w:left w:val="nil"/>
              <w:bottom w:val="nil"/>
              <w:right w:val="nil"/>
            </w:tcBorders>
          </w:tcPr>
          <w:p w:rsidR="00965D85" w:rsidRPr="00873680" w:rsidRDefault="00965D85" w:rsidP="008B46DF">
            <w:pPr>
              <w:pStyle w:val="TableofFigures"/>
              <w:rPr>
                <w:rFonts w:cs="Calibri"/>
                <w:color w:val="000000"/>
              </w:rPr>
            </w:pPr>
          </w:p>
        </w:tc>
      </w:tr>
      <w:tr w:rsidR="00965D85" w:rsidRPr="00873680" w:rsidTr="008B46DF">
        <w:trPr>
          <w:cantSplit/>
        </w:trPr>
        <w:tc>
          <w:tcPr>
            <w:tcW w:w="2810" w:type="dxa"/>
            <w:tcBorders>
              <w:top w:val="nil"/>
              <w:left w:val="nil"/>
              <w:bottom w:val="single" w:sz="12" w:space="0" w:color="auto"/>
              <w:right w:val="nil"/>
            </w:tcBorders>
          </w:tcPr>
          <w:p w:rsidR="00965D85" w:rsidRPr="00873680" w:rsidRDefault="00965D85" w:rsidP="008B46DF">
            <w:pPr>
              <w:pStyle w:val="Tabletext"/>
              <w:rPr>
                <w:rFonts w:eastAsiaTheme="minorEastAsia"/>
              </w:rPr>
            </w:pPr>
            <w:r w:rsidRPr="00873680">
              <w:rPr>
                <w:rFonts w:eastAsiaTheme="minorEastAsia"/>
              </w:rPr>
              <w:t xml:space="preserve">Population </w:t>
            </w:r>
            <w:r w:rsidRPr="00873680">
              <w:rPr>
                <w:rFonts w:eastAsiaTheme="minorEastAsia"/>
                <w:vertAlign w:val="superscript"/>
              </w:rPr>
              <w:t>(</w:t>
            </w:r>
            <w:r>
              <w:rPr>
                <w:rFonts w:eastAsiaTheme="minorEastAsia"/>
                <w:vertAlign w:val="superscript"/>
              </w:rPr>
              <w:t>e</w:t>
            </w:r>
            <w:r w:rsidRPr="00873680">
              <w:rPr>
                <w:rFonts w:eastAsiaTheme="minorEastAsia"/>
                <w:vertAlign w:val="superscript"/>
              </w:rPr>
              <w:t>)</w:t>
            </w:r>
          </w:p>
        </w:tc>
        <w:tc>
          <w:tcPr>
            <w:tcW w:w="994" w:type="dxa"/>
            <w:tcBorders>
              <w:top w:val="nil"/>
              <w:left w:val="nil"/>
              <w:bottom w:val="single" w:sz="12" w:space="0" w:color="auto"/>
              <w:right w:val="nil"/>
            </w:tcBorders>
            <w:vAlign w:val="bottom"/>
          </w:tcPr>
          <w:p w:rsidR="00965D85" w:rsidRPr="00873680" w:rsidRDefault="00965D85" w:rsidP="008B46DF">
            <w:pPr>
              <w:pStyle w:val="TableofFigures"/>
              <w:rPr>
                <w:rFonts w:cs="Calibri"/>
                <w:color w:val="000000"/>
              </w:rPr>
            </w:pPr>
            <w:r>
              <w:rPr>
                <w:rFonts w:cs="Calibri"/>
                <w:color w:val="000000"/>
              </w:rPr>
              <w:t>1.8</w:t>
            </w:r>
            <w:r w:rsidRPr="00CF157A">
              <w:rPr>
                <w:rFonts w:eastAsiaTheme="minorEastAsia"/>
                <w:vertAlign w:val="superscript"/>
              </w:rPr>
              <w:t>(</w:t>
            </w:r>
            <w:r>
              <w:rPr>
                <w:rFonts w:eastAsiaTheme="minorEastAsia"/>
                <w:vertAlign w:val="superscript"/>
              </w:rPr>
              <w:t>f</w:t>
            </w:r>
            <w:r w:rsidRPr="00CF157A">
              <w:rPr>
                <w:rFonts w:eastAsiaTheme="minorEastAsia"/>
                <w:vertAlign w:val="superscript"/>
              </w:rPr>
              <w:t>)</w:t>
            </w:r>
          </w:p>
        </w:tc>
        <w:tc>
          <w:tcPr>
            <w:tcW w:w="993" w:type="dxa"/>
            <w:tcBorders>
              <w:top w:val="nil"/>
              <w:left w:val="nil"/>
              <w:bottom w:val="single" w:sz="12" w:space="0" w:color="auto"/>
              <w:right w:val="nil"/>
            </w:tcBorders>
            <w:vAlign w:val="bottom"/>
          </w:tcPr>
          <w:p w:rsidR="00965D85" w:rsidRPr="00873680" w:rsidRDefault="00965D85" w:rsidP="008B46DF">
            <w:pPr>
              <w:pStyle w:val="TableofFigures"/>
              <w:rPr>
                <w:rFonts w:cs="Calibri"/>
                <w:color w:val="000000"/>
              </w:rPr>
            </w:pPr>
            <w:r>
              <w:rPr>
                <w:rFonts w:cs="Calibri"/>
                <w:color w:val="000000"/>
              </w:rPr>
              <w:t>1.8</w:t>
            </w:r>
          </w:p>
        </w:tc>
        <w:tc>
          <w:tcPr>
            <w:tcW w:w="993" w:type="dxa"/>
            <w:tcBorders>
              <w:top w:val="nil"/>
              <w:left w:val="nil"/>
              <w:bottom w:val="single" w:sz="12" w:space="0" w:color="auto"/>
              <w:right w:val="nil"/>
            </w:tcBorders>
            <w:vAlign w:val="bottom"/>
          </w:tcPr>
          <w:p w:rsidR="00965D85" w:rsidRPr="00873680" w:rsidRDefault="00965D85" w:rsidP="008B46DF">
            <w:pPr>
              <w:pStyle w:val="TableofFigures"/>
              <w:rPr>
                <w:rFonts w:cs="Calibri"/>
                <w:color w:val="000000"/>
              </w:rPr>
            </w:pPr>
            <w:r>
              <w:rPr>
                <w:rFonts w:cs="Calibri"/>
                <w:color w:val="000000"/>
              </w:rPr>
              <w:t>1.8</w:t>
            </w:r>
          </w:p>
        </w:tc>
        <w:tc>
          <w:tcPr>
            <w:tcW w:w="993" w:type="dxa"/>
            <w:tcBorders>
              <w:top w:val="nil"/>
              <w:left w:val="nil"/>
              <w:bottom w:val="single" w:sz="12" w:space="0" w:color="auto"/>
              <w:right w:val="nil"/>
            </w:tcBorders>
            <w:vAlign w:val="bottom"/>
          </w:tcPr>
          <w:p w:rsidR="00965D85" w:rsidRPr="00873680" w:rsidRDefault="00965D85" w:rsidP="008B46DF">
            <w:pPr>
              <w:pStyle w:val="TableofFigures"/>
              <w:rPr>
                <w:rFonts w:cs="Calibri"/>
                <w:color w:val="000000"/>
              </w:rPr>
            </w:pPr>
            <w:r>
              <w:rPr>
                <w:rFonts w:cs="Calibri"/>
                <w:color w:val="000000"/>
              </w:rPr>
              <w:t>1.8</w:t>
            </w:r>
          </w:p>
        </w:tc>
        <w:tc>
          <w:tcPr>
            <w:tcW w:w="993" w:type="dxa"/>
            <w:tcBorders>
              <w:top w:val="nil"/>
              <w:left w:val="nil"/>
              <w:bottom w:val="single" w:sz="12" w:space="0" w:color="auto"/>
              <w:right w:val="nil"/>
            </w:tcBorders>
          </w:tcPr>
          <w:p w:rsidR="00965D85" w:rsidRPr="00873680" w:rsidRDefault="00965D85" w:rsidP="008B46DF">
            <w:pPr>
              <w:pStyle w:val="TableofFigures"/>
              <w:rPr>
                <w:rFonts w:cs="Calibri"/>
                <w:color w:val="000000"/>
              </w:rPr>
            </w:pPr>
            <w:r>
              <w:rPr>
                <w:rFonts w:cs="Calibri"/>
                <w:color w:val="000000"/>
              </w:rPr>
              <w:t>1.8</w:t>
            </w:r>
          </w:p>
        </w:tc>
      </w:tr>
    </w:tbl>
    <w:p w:rsidR="00965D85" w:rsidRPr="00873680" w:rsidRDefault="00965D85" w:rsidP="008B46DF">
      <w:pPr>
        <w:pStyle w:val="Source"/>
      </w:pPr>
      <w:r w:rsidRPr="00873680">
        <w:t>Sources: Australian Bureau of Statistics; Department of Treasury and Finance</w:t>
      </w:r>
    </w:p>
    <w:p w:rsidR="00965D85" w:rsidRPr="00873680" w:rsidRDefault="00965D85" w:rsidP="008B46DF">
      <w:pPr>
        <w:pStyle w:val="Notes"/>
      </w:pPr>
      <w:r w:rsidRPr="00873680">
        <w:t>Notes:</w:t>
      </w:r>
    </w:p>
    <w:p w:rsidR="00965D85" w:rsidRPr="00873680" w:rsidRDefault="00965D85" w:rsidP="008B46DF">
      <w:pPr>
        <w:pStyle w:val="Notes"/>
      </w:pPr>
      <w:r>
        <w:t>(a)</w:t>
      </w:r>
      <w:r>
        <w:tab/>
        <w:t>Percentage</w:t>
      </w:r>
      <w:r w:rsidRPr="00873680">
        <w:t xml:space="preserve"> change in year average compared with previous year, except for unemployment rate (see note (</w:t>
      </w:r>
      <w:r>
        <w:t>b</w:t>
      </w:r>
      <w:r w:rsidRPr="00873680">
        <w:t>)) and population (see note (</w:t>
      </w:r>
      <w:r>
        <w:t>e</w:t>
      </w:r>
      <w:r w:rsidRPr="00873680">
        <w:t>)). Forecasts are rounded to the nearest 0.25 percentage points, except for population (see note(</w:t>
      </w:r>
      <w:r>
        <w:t>e</w:t>
      </w:r>
      <w:r w:rsidRPr="00873680">
        <w:t>)).</w:t>
      </w:r>
    </w:p>
    <w:p w:rsidR="00965D85" w:rsidRDefault="00965D85" w:rsidP="008B46DF">
      <w:pPr>
        <w:pStyle w:val="Notes"/>
      </w:pPr>
      <w:r w:rsidRPr="00873680">
        <w:tab/>
        <w:t>The key assumptions underlying the economic forecasts include: interest rates that follow movements in market expectations in the short term, and stabilise thereafter; a trade</w:t>
      </w:r>
      <w:r>
        <w:noBreakHyphen/>
      </w:r>
      <w:r w:rsidRPr="00873680">
        <w:t>weighted index of 6</w:t>
      </w:r>
      <w:r>
        <w:t>0.7</w:t>
      </w:r>
      <w:r w:rsidRPr="00873680">
        <w:t>; and oil prices that follow the path suggested by oil futures.</w:t>
      </w:r>
    </w:p>
    <w:p w:rsidR="00965D85" w:rsidRPr="00873680" w:rsidRDefault="00965D85" w:rsidP="008B46DF">
      <w:pPr>
        <w:pStyle w:val="Notes"/>
      </w:pPr>
      <w:r w:rsidRPr="00873680">
        <w:t>(</w:t>
      </w:r>
      <w:r>
        <w:t>b)</w:t>
      </w:r>
      <w:r>
        <w:tab/>
        <w:t>Year average</w:t>
      </w:r>
      <w:r w:rsidRPr="00873680">
        <w:t>.</w:t>
      </w:r>
    </w:p>
    <w:p w:rsidR="00965D85" w:rsidRPr="00873680" w:rsidRDefault="00965D85" w:rsidP="008B46DF">
      <w:pPr>
        <w:pStyle w:val="Notes"/>
      </w:pPr>
      <w:r w:rsidRPr="00873680">
        <w:t>(</w:t>
      </w:r>
      <w:r>
        <w:t>c</w:t>
      </w:r>
      <w:r w:rsidRPr="00873680">
        <w:t>)</w:t>
      </w:r>
      <w:r w:rsidRPr="00873680">
        <w:tab/>
        <w:t>Melbourne consumer price index.</w:t>
      </w:r>
    </w:p>
    <w:p w:rsidR="00965D85" w:rsidRPr="00873680" w:rsidRDefault="00965D85" w:rsidP="008B46DF">
      <w:pPr>
        <w:pStyle w:val="Notes"/>
      </w:pPr>
      <w:r w:rsidRPr="00873680">
        <w:t>(</w:t>
      </w:r>
      <w:r>
        <w:t>d</w:t>
      </w:r>
      <w:r w:rsidRPr="00873680">
        <w:t>)</w:t>
      </w:r>
      <w:r w:rsidRPr="00873680">
        <w:tab/>
        <w:t>Total hourly rate excluding bonuses.</w:t>
      </w:r>
    </w:p>
    <w:p w:rsidR="00965D85" w:rsidRDefault="00965D85" w:rsidP="008B46DF">
      <w:pPr>
        <w:pStyle w:val="Notes"/>
      </w:pPr>
      <w:r w:rsidRPr="00873680">
        <w:t>(</w:t>
      </w:r>
      <w:r>
        <w:t>e</w:t>
      </w:r>
      <w:r w:rsidRPr="00873680">
        <w:t>)</w:t>
      </w:r>
      <w:r w:rsidRPr="00873680">
        <w:tab/>
        <w:t>P</w:t>
      </w:r>
      <w:r>
        <w:t>ercentage</w:t>
      </w:r>
      <w:r w:rsidRPr="00873680">
        <w:t xml:space="preserve"> change over the year to 30 June. Forecasts are rounded to the nearest 0.1 percentage point.</w:t>
      </w:r>
    </w:p>
    <w:p w:rsidR="00965D85" w:rsidRPr="00873680" w:rsidRDefault="00965D85" w:rsidP="008B46DF">
      <w:pPr>
        <w:pStyle w:val="Notes"/>
      </w:pPr>
      <w:r>
        <w:t>(f)</w:t>
      </w:r>
      <w:r>
        <w:tab/>
        <w:t>Forecast.</w:t>
      </w:r>
    </w:p>
    <w:p w:rsidR="00965D85" w:rsidRPr="00873680" w:rsidRDefault="00965D85" w:rsidP="008B46DF">
      <w:pPr>
        <w:pStyle w:val="Heading2"/>
      </w:pPr>
      <w:r w:rsidRPr="00873680">
        <w:t>Australian economic conditions and outlook</w:t>
      </w:r>
    </w:p>
    <w:p w:rsidR="00965D85" w:rsidRDefault="00965D85" w:rsidP="008B46DF">
      <w:r>
        <w:t>Growth in the Australian economy eased in mid</w:t>
      </w:r>
      <w:r>
        <w:noBreakHyphen/>
        <w:t xml:space="preserve">2015, partly due to adverse weather conditions affecting exports and a further fall in commodity prices. Strong dwelling construction activity only partly offset weak business investment. </w:t>
      </w:r>
      <w:r w:rsidRPr="00CC73DF">
        <w:t>Real gross domestic product expanded by just 0.2 per cent in the June quarter and 2.3 per cent (year average) over the year.</w:t>
      </w:r>
      <w:r>
        <w:t xml:space="preserve"> </w:t>
      </w:r>
    </w:p>
    <w:p w:rsidR="00965D85" w:rsidRDefault="00965D85" w:rsidP="008B46DF">
      <w:r>
        <w:t>However, there is some evidence that momentum in the non</w:t>
      </w:r>
      <w:r>
        <w:noBreakHyphen/>
        <w:t xml:space="preserve">resources sector, beyond the housing sector, is responding to lower interest rates and the weaker Australian dollar. </w:t>
      </w:r>
      <w:r w:rsidRPr="00CC73DF">
        <w:t>Economic activity in the service sectors has picked up which has boosted employment to trend growth.</w:t>
      </w:r>
    </w:p>
    <w:p w:rsidR="00965D85" w:rsidRDefault="00965D85" w:rsidP="008B46DF">
      <w:r>
        <w:t>Further growth in the non</w:t>
      </w:r>
      <w:r>
        <w:noBreakHyphen/>
        <w:t>resources sector of the economy is expected to lift economic growth in 2015</w:t>
      </w:r>
      <w:r>
        <w:noBreakHyphen/>
        <w:t>16. Resource exports, aided by previous currency depreciations, are likely to make substantial contributions to future growth. Despite this, national economic growth is not expected to return to trend until 2016</w:t>
      </w:r>
      <w:r>
        <w:noBreakHyphen/>
        <w:t>17.</w:t>
      </w:r>
    </w:p>
    <w:p w:rsidR="00965D85" w:rsidRPr="00873680" w:rsidRDefault="00965D85" w:rsidP="008B46DF">
      <w:pPr>
        <w:pStyle w:val="Heading2"/>
      </w:pPr>
      <w:r w:rsidRPr="00873680">
        <w:lastRenderedPageBreak/>
        <w:t>International economic conditions and outlook</w:t>
      </w:r>
    </w:p>
    <w:p w:rsidR="00965D85" w:rsidRDefault="00965D85" w:rsidP="008B46DF">
      <w:r>
        <w:t>Global growth remains moderate, reflecting a further slowdown in emerging markets and a weaker recovery in advanced economies. Recent United States growth outcomes have weakened, weighed down by net exports that faced continued headwinds from the stronger US dollar and soft global demand. The eurozone economy continues to grow at a sluggish pace.</w:t>
      </w:r>
    </w:p>
    <w:p w:rsidR="00965D85" w:rsidRDefault="00965D85" w:rsidP="008B46DF">
      <w:r>
        <w:t xml:space="preserve">For most emerging market economies, external conditions have become more challenging, with financial market volatility due in part to the recent Chinese stock market correction. </w:t>
      </w:r>
      <w:r w:rsidRPr="00333A29">
        <w:t>Growth in China is expected to moderate steadily</w:t>
      </w:r>
      <w:r>
        <w:t xml:space="preserve"> as w</w:t>
      </w:r>
      <w:r w:rsidRPr="00333A29">
        <w:t xml:space="preserve">eaker growth in investment and </w:t>
      </w:r>
      <w:r>
        <w:t xml:space="preserve">goods </w:t>
      </w:r>
      <w:r w:rsidRPr="00333A29">
        <w:t xml:space="preserve">production is </w:t>
      </w:r>
      <w:r>
        <w:t xml:space="preserve">likely to be offset </w:t>
      </w:r>
      <w:r w:rsidRPr="00333A29">
        <w:t>by the</w:t>
      </w:r>
      <w:r>
        <w:t xml:space="preserve"> </w:t>
      </w:r>
      <w:r w:rsidRPr="00333A29">
        <w:t>effects of accommodative monetary and fiscal policy</w:t>
      </w:r>
      <w:r>
        <w:t xml:space="preserve"> </w:t>
      </w:r>
      <w:r w:rsidRPr="00333A29">
        <w:t xml:space="preserve">settings. </w:t>
      </w:r>
    </w:p>
    <w:p w:rsidR="00965D85" w:rsidRPr="009E0B6B" w:rsidRDefault="00965D85" w:rsidP="008B46DF">
      <w:pPr>
        <w:pStyle w:val="Heading1"/>
      </w:pPr>
      <w:bookmarkStart w:id="4" w:name="_Toc401056867"/>
      <w:bookmarkStart w:id="5" w:name="_Toc401147489"/>
      <w:bookmarkStart w:id="6" w:name="_Toc403386685"/>
      <w:bookmarkStart w:id="7" w:name="_Toc406162085"/>
      <w:bookmarkStart w:id="8" w:name="_Toc406751092"/>
      <w:bookmarkStart w:id="9" w:name="_Toc436147530"/>
      <w:r w:rsidRPr="009E0B6B">
        <w:t>Risks to the outlook</w:t>
      </w:r>
      <w:bookmarkEnd w:id="4"/>
      <w:bookmarkEnd w:id="5"/>
      <w:bookmarkEnd w:id="6"/>
      <w:bookmarkEnd w:id="7"/>
      <w:bookmarkEnd w:id="8"/>
      <w:bookmarkEnd w:id="9"/>
    </w:p>
    <w:p w:rsidR="00965D85" w:rsidRDefault="00965D85" w:rsidP="008B46DF">
      <w:r>
        <w:t xml:space="preserve">A sharp slowdown in China’s economic growth – for example, through a significant downturn in the real estate sector – would have implications for the Australian economy. Such a </w:t>
      </w:r>
      <w:r w:rsidRPr="00343135">
        <w:t xml:space="preserve">slowdown </w:t>
      </w:r>
      <w:r>
        <w:t>w</w:t>
      </w:r>
      <w:r w:rsidRPr="00343135">
        <w:t>ould likely see a further reduction in the iron ore price</w:t>
      </w:r>
      <w:r>
        <w:t>, with consequences for national income</w:t>
      </w:r>
      <w:r w:rsidRPr="00343135">
        <w:t xml:space="preserve">. </w:t>
      </w:r>
    </w:p>
    <w:p w:rsidR="00965D85" w:rsidRDefault="00965D85" w:rsidP="008B46DF">
      <w:r>
        <w:t>The expected near</w:t>
      </w:r>
      <w:r>
        <w:noBreakHyphen/>
        <w:t>term increase in US interest rates would flow through to global interest rates. This may increase volatility in financial markets, and delay further recovery in business confidence and consumer sentiment.</w:t>
      </w:r>
    </w:p>
    <w:p w:rsidR="00965D85" w:rsidRDefault="00965D85" w:rsidP="008B46DF">
      <w:r>
        <w:t>However, Victoria’s strong financial and economic position provide an important buffer for the economy, which is benefiting from low interest rates and the lower Australian dollar.</w:t>
      </w:r>
    </w:p>
    <w:p w:rsidR="00965D85" w:rsidRDefault="00965D85">
      <w:pPr>
        <w:spacing w:after="0"/>
      </w:pPr>
      <w:r>
        <w:br w:type="page"/>
      </w:r>
    </w:p>
    <w:p w:rsidR="00965D85" w:rsidRPr="001F325D" w:rsidRDefault="00965D85" w:rsidP="008B46DF">
      <w:pPr>
        <w:spacing w:after="0"/>
      </w:pPr>
    </w:p>
    <w:p w:rsidR="00965D85" w:rsidRDefault="00965D85" w:rsidP="00DF54C9">
      <w:pPr>
        <w:sectPr w:rsidR="00965D85" w:rsidSect="00DF54C9">
          <w:footerReference w:type="even" r:id="rId18"/>
          <w:footerReference w:type="default" r:id="rId19"/>
          <w:type w:val="oddPage"/>
          <w:pgSz w:w="9979" w:h="14181" w:code="138"/>
          <w:pgMar w:top="1138" w:right="1138" w:bottom="1138" w:left="1138" w:header="720" w:footer="432" w:gutter="0"/>
          <w:cols w:space="708"/>
          <w:docGrid w:linePitch="360"/>
        </w:sectPr>
      </w:pPr>
    </w:p>
    <w:p w:rsidR="00965D85" w:rsidRPr="00427D0E" w:rsidRDefault="00965D85" w:rsidP="00074C4D">
      <w:pPr>
        <w:pStyle w:val="ChapterHeading"/>
      </w:pPr>
      <w:bookmarkStart w:id="10" w:name="_Toc436147531"/>
      <w:r w:rsidRPr="00427D0E">
        <w:lastRenderedPageBreak/>
        <w:t>Chapter 3 – Budget position and outlook</w:t>
      </w:r>
      <w:bookmarkEnd w:id="10"/>
    </w:p>
    <w:p w:rsidR="00965D85" w:rsidRPr="001B3FC5" w:rsidRDefault="00965D85" w:rsidP="008B46DF">
      <w:pPr>
        <w:pStyle w:val="HighlightBoxBullet"/>
      </w:pPr>
      <w:r w:rsidRPr="002E2383">
        <w:t>The general government sector operating surplus is estimated to be $</w:t>
      </w:r>
      <w:r>
        <w:t>1.7 billion</w:t>
      </w:r>
      <w:r w:rsidRPr="002E2383">
        <w:t xml:space="preserve"> in 201</w:t>
      </w:r>
      <w:r>
        <w:t>5</w:t>
      </w:r>
      <w:r>
        <w:noBreakHyphen/>
        <w:t>16, with strong operating surpluses averaging $1.6 billion across the forward estimates.</w:t>
      </w:r>
    </w:p>
    <w:p w:rsidR="00965D85" w:rsidRPr="00CB171D" w:rsidRDefault="00965D85" w:rsidP="008B46DF">
      <w:pPr>
        <w:pStyle w:val="HighlightBoxBullet"/>
      </w:pPr>
      <w:r w:rsidRPr="00CB171D">
        <w:t xml:space="preserve">Net debt is </w:t>
      </w:r>
      <w:r>
        <w:t xml:space="preserve">expected to </w:t>
      </w:r>
      <w:r w:rsidRPr="00BD3062">
        <w:t>be $</w:t>
      </w:r>
      <w:r>
        <w:t>19.6</w:t>
      </w:r>
      <w:r w:rsidRPr="00BD3062">
        <w:t> billion by June 2019. As a proportion of gross state product (GSP), net debt is expected to fall to 4.</w:t>
      </w:r>
      <w:r>
        <w:t>4 per cent by June 2019.</w:t>
      </w:r>
    </w:p>
    <w:p w:rsidR="00965D85" w:rsidRPr="003472FA" w:rsidRDefault="00965D85" w:rsidP="008B46DF">
      <w:pPr>
        <w:pStyle w:val="HighlightBoxBullet"/>
      </w:pPr>
      <w:r w:rsidRPr="003472FA">
        <w:t>Net financial liabilities are projected to increase from $5</w:t>
      </w:r>
      <w:r>
        <w:t>0.8 billion</w:t>
      </w:r>
      <w:r w:rsidRPr="003472FA">
        <w:t xml:space="preserve"> at June 2016 to $5</w:t>
      </w:r>
      <w:r>
        <w:t>1</w:t>
      </w:r>
      <w:r w:rsidRPr="003472FA">
        <w:t>.</w:t>
      </w:r>
      <w:r>
        <w:t>3 billion</w:t>
      </w:r>
      <w:r w:rsidRPr="003472FA">
        <w:t xml:space="preserve"> by June 2019. As a proportion of GSP, they are expected to </w:t>
      </w:r>
      <w:r>
        <w:t xml:space="preserve">be </w:t>
      </w:r>
      <w:r w:rsidRPr="003472FA">
        <w:t>13.</w:t>
      </w:r>
      <w:r>
        <w:t>4 per cent</w:t>
      </w:r>
      <w:r w:rsidRPr="003472FA">
        <w:t xml:space="preserve"> at June 2016, before declining to 11.</w:t>
      </w:r>
      <w:r>
        <w:t>5 per cent</w:t>
      </w:r>
      <w:r w:rsidRPr="003472FA">
        <w:t xml:space="preserve"> by June 2019.</w:t>
      </w:r>
    </w:p>
    <w:p w:rsidR="00965D85" w:rsidRPr="00EC6211" w:rsidRDefault="00965D85" w:rsidP="008B46DF">
      <w:pPr>
        <w:pStyle w:val="HighlightBoxBullet"/>
      </w:pPr>
      <w:r w:rsidRPr="00EC6211">
        <w:t>The non</w:t>
      </w:r>
      <w:r>
        <w:noBreakHyphen/>
      </w:r>
      <w:r w:rsidRPr="00EC6211">
        <w:t>financial public sector operating surplus is estimated to be $</w:t>
      </w:r>
      <w:r>
        <w:t>844 million</w:t>
      </w:r>
      <w:r w:rsidRPr="00EC6211">
        <w:t xml:space="preserve"> in 2015</w:t>
      </w:r>
      <w:r>
        <w:noBreakHyphen/>
      </w:r>
      <w:r w:rsidRPr="00EC6211">
        <w:t>16, growing to $1.</w:t>
      </w:r>
      <w:r>
        <w:t>3 billion</w:t>
      </w:r>
      <w:r w:rsidRPr="00EC6211">
        <w:t xml:space="preserve"> in 201</w:t>
      </w:r>
      <w:r>
        <w:t>7</w:t>
      </w:r>
      <w:r>
        <w:noBreakHyphen/>
      </w:r>
      <w:r w:rsidRPr="00EC6211">
        <w:t>1</w:t>
      </w:r>
      <w:r>
        <w:t>8</w:t>
      </w:r>
      <w:r w:rsidRPr="00EC6211">
        <w:t>.</w:t>
      </w:r>
    </w:p>
    <w:p w:rsidR="00965D85" w:rsidRPr="00EC6211" w:rsidRDefault="00965D85" w:rsidP="008B46DF">
      <w:pPr>
        <w:pStyle w:val="HighlightBoxBullet"/>
      </w:pPr>
      <w:r w:rsidRPr="00EC6211">
        <w:t>Non</w:t>
      </w:r>
      <w:r>
        <w:noBreakHyphen/>
      </w:r>
      <w:r w:rsidRPr="00EC6211">
        <w:t>financial public sector net debt is projected to increase from $3</w:t>
      </w:r>
      <w:r>
        <w:t>1</w:t>
      </w:r>
      <w:r w:rsidRPr="00EC6211">
        <w:t>.</w:t>
      </w:r>
      <w:r>
        <w:t>9 billion at June 2016 to $36.0 billion</w:t>
      </w:r>
      <w:r w:rsidRPr="00EC6211">
        <w:t xml:space="preserve"> by June 2019. As a proportion of GSP, net</w:t>
      </w:r>
      <w:r>
        <w:t xml:space="preserve"> debt is expected to peak at 8.6 per cent</w:t>
      </w:r>
      <w:r w:rsidRPr="00EC6211">
        <w:t xml:space="preserve"> in June 201</w:t>
      </w:r>
      <w:r>
        <w:t>7, before declining to 8.1 per cent</w:t>
      </w:r>
      <w:r w:rsidRPr="00EC6211">
        <w:t xml:space="preserve"> by June 2019.</w:t>
      </w:r>
    </w:p>
    <w:p w:rsidR="00965D85" w:rsidRDefault="00965D85" w:rsidP="008B46DF"/>
    <w:p w:rsidR="00965D85" w:rsidRDefault="00965D85" w:rsidP="008B46DF">
      <w:r w:rsidRPr="002E2383">
        <w:t xml:space="preserve">This chapter presents the </w:t>
      </w:r>
      <w:r>
        <w:t>revised budget</w:t>
      </w:r>
      <w:r w:rsidRPr="002E2383">
        <w:t xml:space="preserve"> position</w:t>
      </w:r>
      <w:r>
        <w:t xml:space="preserve"> </w:t>
      </w:r>
      <w:r w:rsidRPr="002E2383">
        <w:t xml:space="preserve">of the </w:t>
      </w:r>
      <w:r>
        <w:t>public</w:t>
      </w:r>
      <w:r w:rsidRPr="002E2383">
        <w:t xml:space="preserve"> sector</w:t>
      </w:r>
      <w:r>
        <w:t>, incorporating the general government sector, the public non</w:t>
      </w:r>
      <w:r>
        <w:noBreakHyphen/>
        <w:t>financial corporations (PNFC) sector and the public financial corporations (PFC) sector, for the 2015</w:t>
      </w:r>
      <w:r>
        <w:noBreakHyphen/>
        <w:t>16 budget year and forward estimates.</w:t>
      </w:r>
    </w:p>
    <w:p w:rsidR="00965D85" w:rsidRDefault="00965D85" w:rsidP="008B46DF">
      <w:r>
        <w:t xml:space="preserve">This chapter also presents a reconciliation and explanation of the movements since the </w:t>
      </w:r>
      <w:r>
        <w:rPr>
          <w:i/>
        </w:rPr>
        <w:t>2015</w:t>
      </w:r>
      <w:r>
        <w:rPr>
          <w:i/>
        </w:rPr>
        <w:noBreakHyphen/>
        <w:t xml:space="preserve">16 Budget </w:t>
      </w:r>
      <w:r>
        <w:t>that affect the estimated net result from transactions, including the impact of new policy initiatives of the Victorian Government.</w:t>
      </w:r>
    </w:p>
    <w:p w:rsidR="00965D85" w:rsidRDefault="00965D85" w:rsidP="008B46DF">
      <w:pPr>
        <w:spacing w:after="0"/>
        <w:rPr>
          <w:rFonts w:ascii="Calibri" w:hAnsi="Calibri"/>
          <w:b/>
          <w:caps/>
          <w:sz w:val="26"/>
          <w:szCs w:val="22"/>
        </w:rPr>
      </w:pPr>
      <w:bookmarkStart w:id="11" w:name="_Toc401056869"/>
      <w:bookmarkStart w:id="12" w:name="_Toc401147491"/>
      <w:r>
        <w:rPr>
          <w:rFonts w:ascii="Calibri" w:hAnsi="Calibri"/>
          <w:b/>
          <w:caps/>
          <w:sz w:val="26"/>
          <w:szCs w:val="22"/>
        </w:rPr>
        <w:br w:type="page"/>
      </w:r>
    </w:p>
    <w:p w:rsidR="00965D85" w:rsidRPr="00742FAA" w:rsidRDefault="00965D85" w:rsidP="008B46DF">
      <w:pPr>
        <w:pStyle w:val="Heading1"/>
      </w:pPr>
      <w:bookmarkStart w:id="13" w:name="_Toc406162087"/>
      <w:bookmarkStart w:id="14" w:name="_Toc406670370"/>
      <w:bookmarkStart w:id="15" w:name="_Toc436147532"/>
      <w:r>
        <w:lastRenderedPageBreak/>
        <w:t>General government sector</w:t>
      </w:r>
      <w:bookmarkEnd w:id="13"/>
      <w:bookmarkEnd w:id="14"/>
      <w:bookmarkEnd w:id="15"/>
    </w:p>
    <w:p w:rsidR="00965D85" w:rsidRDefault="00965D85" w:rsidP="008B46DF">
      <w:pPr>
        <w:pStyle w:val="Heading2"/>
      </w:pPr>
      <w:r w:rsidRPr="002E2383">
        <w:t>Fiscal aggregates</w:t>
      </w:r>
      <w:bookmarkEnd w:id="11"/>
      <w:bookmarkEnd w:id="12"/>
    </w:p>
    <w:p w:rsidR="00965D85" w:rsidRDefault="00965D85" w:rsidP="008B46DF">
      <w:r>
        <w:t xml:space="preserve">The </w:t>
      </w:r>
      <w:r w:rsidRPr="00F37EF2">
        <w:rPr>
          <w:i/>
        </w:rPr>
        <w:t>201</w:t>
      </w:r>
      <w:r>
        <w:rPr>
          <w:i/>
        </w:rPr>
        <w:t>5</w:t>
      </w:r>
      <w:r>
        <w:rPr>
          <w:i/>
        </w:rPr>
        <w:noBreakHyphen/>
      </w:r>
      <w:r w:rsidRPr="00F37EF2">
        <w:rPr>
          <w:i/>
        </w:rPr>
        <w:t>1</w:t>
      </w:r>
      <w:r>
        <w:rPr>
          <w:i/>
        </w:rPr>
        <w:t>6</w:t>
      </w:r>
      <w:r w:rsidRPr="00F37EF2">
        <w:rPr>
          <w:i/>
        </w:rPr>
        <w:t xml:space="preserve"> Budget Update</w:t>
      </w:r>
      <w:r>
        <w:t xml:space="preserve"> continues the Government’s policy of delivering operating surpluses that generate sufficient capacity to invest in </w:t>
      </w:r>
      <w:r w:rsidRPr="002F6BC4">
        <w:t>productivity enhancing,</w:t>
      </w:r>
      <w:r>
        <w:t xml:space="preserve"> value</w:t>
      </w:r>
      <w:r>
        <w:noBreakHyphen/>
        <w:t>for</w:t>
      </w:r>
      <w:r>
        <w:noBreakHyphen/>
        <w:t xml:space="preserve">money infrastructure, while maintaining general government net </w:t>
      </w:r>
      <w:r w:rsidRPr="00BF4F50">
        <w:t xml:space="preserve">debt </w:t>
      </w:r>
      <w:r>
        <w:t>at a sustainable level over the medium term.</w:t>
      </w:r>
    </w:p>
    <w:p w:rsidR="00965D85" w:rsidRDefault="00965D85" w:rsidP="008B46DF">
      <w:r w:rsidRPr="002E2383">
        <w:t>The operating result (net result from transactions) for the general government sector is forecast to be a surplus of $</w:t>
      </w:r>
      <w:r>
        <w:t>1.7 billion</w:t>
      </w:r>
      <w:r w:rsidRPr="002E2383">
        <w:t xml:space="preserve"> in 201</w:t>
      </w:r>
      <w:r>
        <w:t>5</w:t>
      </w:r>
      <w:r>
        <w:noBreakHyphen/>
      </w:r>
      <w:r w:rsidRPr="002E2383">
        <w:t>1</w:t>
      </w:r>
      <w:r>
        <w:t xml:space="preserve">6, and average $1.6 billion over the </w:t>
      </w:r>
      <w:r w:rsidRPr="00D56416">
        <w:t>forward estimates. Operating surpluses provide the State with a buffer against revenue shocks and assists and complements the Government's capital investment strategies.</w:t>
      </w:r>
      <w:r>
        <w:t xml:space="preserve"> </w:t>
      </w:r>
    </w:p>
    <w:p w:rsidR="00965D85" w:rsidRDefault="00965D85" w:rsidP="008B46DF">
      <w:r w:rsidRPr="00C56EDD">
        <w:rPr>
          <w:lang w:eastAsia="en-AU"/>
        </w:rPr>
        <w:t xml:space="preserve">The Government </w:t>
      </w:r>
      <w:r>
        <w:rPr>
          <w:lang w:eastAsia="en-AU"/>
        </w:rPr>
        <w:t>has foreshadowed</w:t>
      </w:r>
      <w:r w:rsidRPr="00C56EDD">
        <w:rPr>
          <w:lang w:eastAsia="en-AU"/>
        </w:rPr>
        <w:t xml:space="preserve"> increasing borrowing </w:t>
      </w:r>
      <w:r>
        <w:rPr>
          <w:lang w:eastAsia="en-AU"/>
        </w:rPr>
        <w:t>to fund</w:t>
      </w:r>
      <w:r w:rsidRPr="00C56EDD">
        <w:rPr>
          <w:lang w:eastAsia="en-AU"/>
        </w:rPr>
        <w:t xml:space="preserve"> infrastructure of state significance, which enhances the productive capacity of the economy for the benefit of all Victorians. Any additional borrowing will be </w:t>
      </w:r>
      <w:r>
        <w:rPr>
          <w:lang w:eastAsia="en-AU"/>
        </w:rPr>
        <w:t xml:space="preserve">within the context of maintaining debt at prudent levels, below that inherited from the former government and </w:t>
      </w:r>
      <w:r w:rsidRPr="00C56EDD">
        <w:rPr>
          <w:lang w:eastAsia="en-AU"/>
        </w:rPr>
        <w:t>consistent with the Government</w:t>
      </w:r>
      <w:r>
        <w:rPr>
          <w:lang w:eastAsia="en-AU"/>
        </w:rPr>
        <w:t>’</w:t>
      </w:r>
      <w:r w:rsidRPr="00C56EDD">
        <w:rPr>
          <w:lang w:eastAsia="en-AU"/>
        </w:rPr>
        <w:t xml:space="preserve">s commitment to maintain a </w:t>
      </w:r>
      <w:r w:rsidRPr="00E05DFD">
        <w:rPr>
          <w:lang w:eastAsia="en-AU"/>
        </w:rPr>
        <w:t>triple</w:t>
      </w:r>
      <w:r w:rsidRPr="00E05DFD">
        <w:rPr>
          <w:lang w:eastAsia="en-AU"/>
        </w:rPr>
        <w:noBreakHyphen/>
        <w:t>A credit rating.</w:t>
      </w:r>
    </w:p>
    <w:p w:rsidR="00965D85" w:rsidRDefault="00965D85" w:rsidP="008B46DF">
      <w:r>
        <w:t xml:space="preserve">Relative to the </w:t>
      </w:r>
      <w:r>
        <w:rPr>
          <w:i/>
        </w:rPr>
        <w:t>2015</w:t>
      </w:r>
      <w:r>
        <w:rPr>
          <w:i/>
        </w:rPr>
        <w:noBreakHyphen/>
        <w:t>16 Budget</w:t>
      </w:r>
      <w:r>
        <w:t xml:space="preserve">, the net result from transactions has been revised up </w:t>
      </w:r>
      <w:r w:rsidRPr="00E97901">
        <w:t>by $</w:t>
      </w:r>
      <w:r>
        <w:t>493 million</w:t>
      </w:r>
      <w:r w:rsidRPr="00E97901">
        <w:t xml:space="preserve"> in 201</w:t>
      </w:r>
      <w:r>
        <w:t>5</w:t>
      </w:r>
      <w:r>
        <w:noBreakHyphen/>
      </w:r>
      <w:r w:rsidRPr="00E97901">
        <w:t>1</w:t>
      </w:r>
      <w:r>
        <w:t>6, and by an average of $314 million a year in 2016</w:t>
      </w:r>
      <w:r>
        <w:noBreakHyphen/>
        <w:t>17 and 2017</w:t>
      </w:r>
      <w:r>
        <w:noBreakHyphen/>
        <w:t xml:space="preserve">18. This is </w:t>
      </w:r>
      <w:r w:rsidRPr="00E97901">
        <w:t>largely du</w:t>
      </w:r>
      <w:r>
        <w:t>e to an increase in expected land transfer duty and higher GST receipts.</w:t>
      </w:r>
    </w:p>
    <w:p w:rsidR="00965D85" w:rsidRDefault="00965D85" w:rsidP="008B46DF">
      <w:r>
        <w:t>The operating result for 2018</w:t>
      </w:r>
      <w:r>
        <w:noBreakHyphen/>
        <w:t xml:space="preserve">19 is expected to reduce by $274 million largely due to removal by the </w:t>
      </w:r>
      <w:r w:rsidRPr="00482AFE">
        <w:t xml:space="preserve">Commonwealth </w:t>
      </w:r>
      <w:r>
        <w:t xml:space="preserve">in the </w:t>
      </w:r>
      <w:r w:rsidRPr="00886C76">
        <w:rPr>
          <w:i/>
        </w:rPr>
        <w:t>2</w:t>
      </w:r>
      <w:r>
        <w:rPr>
          <w:i/>
        </w:rPr>
        <w:t>01</w:t>
      </w:r>
      <w:r w:rsidRPr="00886C76">
        <w:rPr>
          <w:i/>
        </w:rPr>
        <w:t>5</w:t>
      </w:r>
      <w:r>
        <w:rPr>
          <w:i/>
        </w:rPr>
        <w:noBreakHyphen/>
      </w:r>
      <w:r w:rsidRPr="00886C76">
        <w:rPr>
          <w:i/>
        </w:rPr>
        <w:t>16 Commonwealth Budget</w:t>
      </w:r>
      <w:r>
        <w:t xml:space="preserve"> of $1.5 billion in previously expected grants that will not be received for the former East West Link project (also removed from 2015</w:t>
      </w:r>
      <w:r>
        <w:noBreakHyphen/>
        <w:t>16 and 2016</w:t>
      </w:r>
      <w:r>
        <w:noBreakHyphen/>
        <w:t>17), and the impact of lower market returns on income tax equivalent revenues in that year.</w:t>
      </w:r>
    </w:p>
    <w:p w:rsidR="00965D85" w:rsidRDefault="00965D85" w:rsidP="008B46DF">
      <w:pPr>
        <w:rPr>
          <w:rFonts w:ascii="Times New Roman" w:hAnsi="Times New Roman"/>
          <w:i/>
          <w:sz w:val="20"/>
          <w:lang w:eastAsia="en-AU"/>
        </w:rPr>
      </w:pPr>
      <w:r>
        <w:t>T</w:t>
      </w:r>
      <w:r w:rsidRPr="00916A0D">
        <w:t>he initial $1.5 billion already provided</w:t>
      </w:r>
      <w:r>
        <w:t xml:space="preserve"> by the Commonwealth</w:t>
      </w:r>
      <w:r w:rsidRPr="00916A0D">
        <w:t xml:space="preserve"> in 2013</w:t>
      </w:r>
      <w:r w:rsidRPr="00916A0D">
        <w:noBreakHyphen/>
        <w:t xml:space="preserve">14 for the </w:t>
      </w:r>
      <w:r>
        <w:t>former</w:t>
      </w:r>
      <w:r w:rsidRPr="00916A0D">
        <w:t xml:space="preserve"> East West Link project w</w:t>
      </w:r>
      <w:r>
        <w:t xml:space="preserve">ill be retained by Victoria for </w:t>
      </w:r>
      <w:r w:rsidRPr="00916A0D">
        <w:t>infrastructure</w:t>
      </w:r>
      <w:r>
        <w:t xml:space="preserve"> projects</w:t>
      </w:r>
      <w:r w:rsidRPr="00916A0D">
        <w:t>.</w:t>
      </w:r>
      <w:r w:rsidRPr="00916A0D">
        <w:fldChar w:fldCharType="begin" w:fldLock="1"/>
      </w:r>
      <w:r w:rsidRPr="00916A0D">
        <w:instrText xml:space="preserve"> LINK </w:instrText>
      </w:r>
      <w:r>
        <w:instrText xml:space="preserve">Excel.Sheet.12 \\\\PDCPTPRDFIL01\\DTFDATA02$\\SECURED\\Budget\\BudgetUpdate\\Chapter3\\BUSRIMS_Chapter3_GG.xlsx GG_Fiscal_Aggs!GG_Fiscal_Aggs </w:instrText>
      </w:r>
      <w:r w:rsidRPr="00916A0D">
        <w:instrText xml:space="preserve">\f 4 \r </w:instrText>
      </w:r>
      <w:r>
        <w:instrText xml:space="preserve"> \* MERGEFORMAT </w:instrText>
      </w:r>
      <w:r w:rsidRPr="00916A0D">
        <w:fldChar w:fldCharType="separate"/>
      </w:r>
    </w:p>
    <w:tbl>
      <w:tblPr>
        <w:tblW w:w="7767" w:type="dxa"/>
        <w:tblInd w:w="28" w:type="dxa"/>
        <w:tblLayout w:type="fixed"/>
        <w:tblCellMar>
          <w:left w:w="28" w:type="dxa"/>
          <w:right w:w="28" w:type="dxa"/>
        </w:tblCellMar>
        <w:tblLook w:val="0000" w:firstRow="0" w:lastRow="0" w:firstColumn="0" w:lastColumn="0" w:noHBand="0" w:noVBand="0"/>
      </w:tblPr>
      <w:tblGrid>
        <w:gridCol w:w="2947"/>
        <w:gridCol w:w="964"/>
        <w:gridCol w:w="964"/>
        <w:gridCol w:w="964"/>
        <w:gridCol w:w="964"/>
        <w:gridCol w:w="964"/>
      </w:tblGrid>
      <w:tr w:rsidR="00965D85" w:rsidRPr="0018329B" w:rsidTr="008B46DF">
        <w:trPr>
          <w:tblHeader/>
        </w:trPr>
        <w:tc>
          <w:tcPr>
            <w:tcW w:w="7767" w:type="dxa"/>
            <w:gridSpan w:val="6"/>
            <w:tcBorders>
              <w:top w:val="nil"/>
              <w:left w:val="nil"/>
              <w:bottom w:val="nil"/>
              <w:right w:val="nil"/>
            </w:tcBorders>
          </w:tcPr>
          <w:p w:rsidR="00965D85" w:rsidRPr="0018329B" w:rsidRDefault="00965D85" w:rsidP="008B46DF">
            <w:pPr>
              <w:pStyle w:val="Tableheading"/>
              <w:spacing w:before="0"/>
              <w:rPr>
                <w:rFonts w:eastAsiaTheme="minorEastAsia"/>
                <w:lang w:eastAsia="en-AU"/>
              </w:rPr>
            </w:pPr>
            <w:r w:rsidRPr="0018329B">
              <w:rPr>
                <w:rFonts w:eastAsiaTheme="minorEastAsia"/>
                <w:lang w:eastAsia="en-AU"/>
              </w:rPr>
              <w:t xml:space="preserve">Table 3.1: </w:t>
            </w:r>
            <w:r>
              <w:rPr>
                <w:rFonts w:eastAsiaTheme="minorEastAsia"/>
                <w:lang w:eastAsia="en-AU"/>
              </w:rPr>
              <w:tab/>
            </w:r>
            <w:r w:rsidRPr="0018329B">
              <w:rPr>
                <w:rFonts w:eastAsiaTheme="minorEastAsia"/>
                <w:lang w:eastAsia="en-AU"/>
              </w:rPr>
              <w:t>General government fiscal aggregates</w:t>
            </w:r>
          </w:p>
        </w:tc>
      </w:tr>
      <w:tr w:rsidR="00965D85" w:rsidRPr="0018329B" w:rsidTr="008B46DF">
        <w:trPr>
          <w:trHeight w:val="488"/>
          <w:tblHeader/>
        </w:trPr>
        <w:tc>
          <w:tcPr>
            <w:tcW w:w="2947" w:type="dxa"/>
            <w:tcBorders>
              <w:top w:val="nil"/>
              <w:left w:val="nil"/>
              <w:right w:val="nil"/>
            </w:tcBorders>
            <w:shd w:val="solid" w:color="000000" w:fill="auto"/>
          </w:tcPr>
          <w:p w:rsidR="00965D85" w:rsidRPr="0018329B" w:rsidRDefault="00965D85" w:rsidP="008B46DF">
            <w:pPr>
              <w:autoSpaceDE w:val="0"/>
              <w:autoSpaceDN w:val="0"/>
              <w:adjustRightInd w:val="0"/>
              <w:spacing w:after="0"/>
              <w:rPr>
                <w:rFonts w:ascii="Calibri" w:eastAsiaTheme="minorEastAsia" w:hAnsi="Calibri" w:cs="Calibri"/>
                <w:color w:val="000000"/>
                <w:sz w:val="20"/>
                <w:lang w:eastAsia="en-AU"/>
              </w:rPr>
            </w:pPr>
            <w:r w:rsidRPr="0018329B">
              <w:rPr>
                <w:rFonts w:ascii="Calibri" w:eastAsiaTheme="minorEastAsia" w:hAnsi="Calibri" w:cs="Calibri"/>
                <w:color w:val="000000"/>
                <w:sz w:val="20"/>
                <w:lang w:eastAsia="en-AU"/>
              </w:rPr>
              <w:t xml:space="preserve"> </w:t>
            </w:r>
          </w:p>
          <w:p w:rsidR="00965D85" w:rsidRPr="0018329B" w:rsidRDefault="00965D85" w:rsidP="008B46DF">
            <w:pPr>
              <w:autoSpaceDE w:val="0"/>
              <w:autoSpaceDN w:val="0"/>
              <w:adjustRightInd w:val="0"/>
              <w:spacing w:after="0"/>
              <w:rPr>
                <w:rFonts w:ascii="Calibri" w:eastAsiaTheme="minorEastAsia" w:hAnsi="Calibri" w:cs="Calibri"/>
                <w:color w:val="000000"/>
                <w:sz w:val="20"/>
                <w:lang w:eastAsia="en-AU"/>
              </w:rPr>
            </w:pPr>
            <w:r w:rsidRPr="0018329B">
              <w:rPr>
                <w:rFonts w:ascii="Calibri" w:eastAsiaTheme="minorEastAsia" w:hAnsi="Calibri" w:cs="Calibri"/>
                <w:color w:val="000000"/>
                <w:sz w:val="20"/>
                <w:lang w:eastAsia="en-AU"/>
              </w:rPr>
              <w:t xml:space="preserve"> </w:t>
            </w:r>
          </w:p>
        </w:tc>
        <w:tc>
          <w:tcPr>
            <w:tcW w:w="964" w:type="dxa"/>
            <w:tcBorders>
              <w:top w:val="nil"/>
              <w:left w:val="nil"/>
              <w:right w:val="nil"/>
            </w:tcBorders>
            <w:shd w:val="solid" w:color="000000" w:fill="auto"/>
          </w:tcPr>
          <w:p w:rsidR="00965D85" w:rsidRPr="0018329B" w:rsidRDefault="00965D85" w:rsidP="008B46DF">
            <w:pPr>
              <w:autoSpaceDE w:val="0"/>
              <w:autoSpaceDN w:val="0"/>
              <w:adjustRightInd w:val="0"/>
              <w:spacing w:after="0"/>
              <w:jc w:val="center"/>
              <w:rPr>
                <w:rFonts w:ascii="Calibri" w:eastAsiaTheme="minorEastAsia" w:hAnsi="Calibri" w:cs="Calibri"/>
                <w:i/>
                <w:iCs/>
                <w:color w:val="FFFFFF"/>
                <w:sz w:val="20"/>
                <w:lang w:eastAsia="en-AU"/>
              </w:rPr>
            </w:pPr>
            <w:r w:rsidRPr="0018329B">
              <w:rPr>
                <w:rFonts w:ascii="Calibri" w:eastAsiaTheme="minorEastAsia" w:hAnsi="Calibri" w:cs="Calibri"/>
                <w:i/>
                <w:iCs/>
                <w:color w:val="FFFFFF"/>
                <w:sz w:val="20"/>
                <w:lang w:eastAsia="en-AU"/>
              </w:rPr>
              <w:t>Unit of</w:t>
            </w:r>
          </w:p>
          <w:p w:rsidR="00965D85" w:rsidRPr="0018329B" w:rsidRDefault="00965D85" w:rsidP="008B46DF">
            <w:pPr>
              <w:autoSpaceDE w:val="0"/>
              <w:autoSpaceDN w:val="0"/>
              <w:adjustRightInd w:val="0"/>
              <w:spacing w:after="0"/>
              <w:jc w:val="center"/>
              <w:rPr>
                <w:rFonts w:ascii="Calibri" w:eastAsiaTheme="minorEastAsia" w:hAnsi="Calibri" w:cs="Calibri"/>
                <w:i/>
                <w:iCs/>
                <w:color w:val="FFFFFF"/>
                <w:sz w:val="20"/>
                <w:lang w:eastAsia="en-AU"/>
              </w:rPr>
            </w:pPr>
            <w:r w:rsidRPr="0018329B">
              <w:rPr>
                <w:rFonts w:ascii="Calibri" w:eastAsiaTheme="minorEastAsia" w:hAnsi="Calibri" w:cs="Calibri"/>
                <w:i/>
                <w:iCs/>
                <w:color w:val="FFFFFF"/>
                <w:sz w:val="20"/>
                <w:lang w:eastAsia="en-AU"/>
              </w:rPr>
              <w:t>measure</w:t>
            </w:r>
          </w:p>
        </w:tc>
        <w:tc>
          <w:tcPr>
            <w:tcW w:w="964" w:type="dxa"/>
            <w:tcBorders>
              <w:top w:val="nil"/>
              <w:left w:val="nil"/>
              <w:right w:val="nil"/>
            </w:tcBorders>
            <w:shd w:val="solid" w:color="000000" w:fill="auto"/>
          </w:tcPr>
          <w:p w:rsidR="00965D85" w:rsidRPr="0018329B"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18329B">
              <w:rPr>
                <w:rFonts w:ascii="Calibri" w:eastAsiaTheme="minorEastAsia" w:hAnsi="Calibri" w:cs="Calibri"/>
                <w:i/>
                <w:iCs/>
                <w:color w:val="FFFFFF"/>
                <w:sz w:val="20"/>
                <w:lang w:eastAsia="en-AU"/>
              </w:rPr>
              <w:t>2015-16</w:t>
            </w:r>
          </w:p>
          <w:p w:rsidR="00965D85" w:rsidRPr="0018329B"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18329B">
              <w:rPr>
                <w:rFonts w:ascii="Calibri" w:eastAsiaTheme="minorEastAsia" w:hAnsi="Calibri" w:cs="Calibri"/>
                <w:i/>
                <w:iCs/>
                <w:color w:val="FFFFFF"/>
                <w:sz w:val="20"/>
                <w:lang w:eastAsia="en-AU"/>
              </w:rPr>
              <w:t>revised</w:t>
            </w:r>
          </w:p>
        </w:tc>
        <w:tc>
          <w:tcPr>
            <w:tcW w:w="964" w:type="dxa"/>
            <w:tcBorders>
              <w:top w:val="nil"/>
              <w:left w:val="nil"/>
              <w:right w:val="nil"/>
            </w:tcBorders>
            <w:shd w:val="solid" w:color="000000" w:fill="auto"/>
          </w:tcPr>
          <w:p w:rsidR="00965D85" w:rsidRPr="0018329B"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18329B">
              <w:rPr>
                <w:rFonts w:ascii="Calibri" w:eastAsiaTheme="minorEastAsia" w:hAnsi="Calibri" w:cs="Calibri"/>
                <w:i/>
                <w:iCs/>
                <w:color w:val="FFFFFF"/>
                <w:sz w:val="20"/>
                <w:lang w:eastAsia="en-AU"/>
              </w:rPr>
              <w:t>2016-17</w:t>
            </w:r>
          </w:p>
          <w:p w:rsidR="00965D85" w:rsidRPr="0018329B"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18329B">
              <w:rPr>
                <w:rFonts w:ascii="Calibri" w:eastAsiaTheme="minorEastAsia" w:hAnsi="Calibri" w:cs="Calibri"/>
                <w:i/>
                <w:iCs/>
                <w:color w:val="FFFFFF"/>
                <w:sz w:val="20"/>
                <w:lang w:eastAsia="en-AU"/>
              </w:rPr>
              <w:t>estimate</w:t>
            </w:r>
          </w:p>
        </w:tc>
        <w:tc>
          <w:tcPr>
            <w:tcW w:w="964" w:type="dxa"/>
            <w:tcBorders>
              <w:top w:val="nil"/>
              <w:left w:val="nil"/>
              <w:right w:val="nil"/>
            </w:tcBorders>
            <w:shd w:val="solid" w:color="000000" w:fill="auto"/>
          </w:tcPr>
          <w:p w:rsidR="00965D85" w:rsidRPr="0018329B"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18329B">
              <w:rPr>
                <w:rFonts w:ascii="Calibri" w:eastAsiaTheme="minorEastAsia" w:hAnsi="Calibri" w:cs="Calibri"/>
                <w:i/>
                <w:iCs/>
                <w:color w:val="FFFFFF"/>
                <w:sz w:val="20"/>
                <w:lang w:eastAsia="en-AU"/>
              </w:rPr>
              <w:t>2017-18</w:t>
            </w:r>
          </w:p>
          <w:p w:rsidR="00965D85" w:rsidRPr="0018329B"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18329B">
              <w:rPr>
                <w:rFonts w:ascii="Calibri" w:eastAsiaTheme="minorEastAsia" w:hAnsi="Calibri" w:cs="Calibri"/>
                <w:i/>
                <w:iCs/>
                <w:color w:val="FFFFFF"/>
                <w:sz w:val="20"/>
                <w:lang w:eastAsia="en-AU"/>
              </w:rPr>
              <w:t>estimate</w:t>
            </w:r>
          </w:p>
        </w:tc>
        <w:tc>
          <w:tcPr>
            <w:tcW w:w="964" w:type="dxa"/>
            <w:tcBorders>
              <w:top w:val="nil"/>
              <w:left w:val="nil"/>
              <w:right w:val="nil"/>
            </w:tcBorders>
            <w:shd w:val="solid" w:color="000000" w:fill="auto"/>
          </w:tcPr>
          <w:p w:rsidR="00965D85" w:rsidRPr="0018329B"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18329B">
              <w:rPr>
                <w:rFonts w:ascii="Calibri" w:eastAsiaTheme="minorEastAsia" w:hAnsi="Calibri" w:cs="Calibri"/>
                <w:i/>
                <w:iCs/>
                <w:color w:val="FFFFFF"/>
                <w:sz w:val="20"/>
                <w:lang w:eastAsia="en-AU"/>
              </w:rPr>
              <w:t>2018-19</w:t>
            </w:r>
          </w:p>
          <w:p w:rsidR="00965D85" w:rsidRPr="0018329B"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18329B">
              <w:rPr>
                <w:rFonts w:ascii="Calibri" w:eastAsiaTheme="minorEastAsia" w:hAnsi="Calibri" w:cs="Calibri"/>
                <w:i/>
                <w:iCs/>
                <w:color w:val="FFFFFF"/>
                <w:sz w:val="20"/>
                <w:lang w:eastAsia="en-AU"/>
              </w:rPr>
              <w:t>estimate</w:t>
            </w:r>
          </w:p>
        </w:tc>
      </w:tr>
      <w:tr w:rsidR="00965D85" w:rsidRPr="0018329B" w:rsidTr="008B46DF">
        <w:tc>
          <w:tcPr>
            <w:tcW w:w="2947" w:type="dxa"/>
            <w:tcBorders>
              <w:top w:val="nil"/>
              <w:left w:val="nil"/>
              <w:right w:val="nil"/>
            </w:tcBorders>
            <w:shd w:val="clear" w:color="auto" w:fill="FFFFFF"/>
          </w:tcPr>
          <w:p w:rsidR="00965D85" w:rsidRPr="0018329B"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18329B">
              <w:rPr>
                <w:rFonts w:ascii="Calibri" w:eastAsiaTheme="minorEastAsia" w:hAnsi="Calibri" w:cs="Calibri"/>
                <w:color w:val="000000"/>
                <w:sz w:val="20"/>
                <w:lang w:eastAsia="en-AU"/>
              </w:rPr>
              <w:t>Net result from transactions</w:t>
            </w:r>
          </w:p>
        </w:tc>
        <w:tc>
          <w:tcPr>
            <w:tcW w:w="964" w:type="dxa"/>
            <w:tcBorders>
              <w:top w:val="nil"/>
              <w:left w:val="nil"/>
              <w:right w:val="nil"/>
            </w:tcBorders>
            <w:shd w:val="clear" w:color="auto" w:fill="FFFFFF"/>
          </w:tcPr>
          <w:p w:rsidR="00965D85" w:rsidRPr="0018329B" w:rsidRDefault="00965D85" w:rsidP="008B46DF">
            <w:pPr>
              <w:autoSpaceDE w:val="0"/>
              <w:autoSpaceDN w:val="0"/>
              <w:adjustRightInd w:val="0"/>
              <w:spacing w:after="0"/>
              <w:jc w:val="center"/>
              <w:rPr>
                <w:rFonts w:ascii="Calibri" w:eastAsiaTheme="minorEastAsia" w:hAnsi="Calibri" w:cs="Calibri"/>
                <w:color w:val="000000"/>
                <w:sz w:val="20"/>
                <w:lang w:eastAsia="en-AU"/>
              </w:rPr>
            </w:pPr>
            <w:r w:rsidRPr="0018329B">
              <w:rPr>
                <w:rFonts w:ascii="Calibri" w:eastAsiaTheme="minorEastAsia" w:hAnsi="Calibri" w:cs="Calibri"/>
                <w:color w:val="000000"/>
                <w:sz w:val="20"/>
                <w:lang w:eastAsia="en-AU"/>
              </w:rPr>
              <w:t>$ billion</w:t>
            </w:r>
          </w:p>
        </w:tc>
        <w:tc>
          <w:tcPr>
            <w:tcW w:w="964" w:type="dxa"/>
            <w:tcBorders>
              <w:top w:val="nil"/>
              <w:left w:val="nil"/>
              <w:right w:val="nil"/>
            </w:tcBorders>
            <w:shd w:val="clear" w:color="auto" w:fill="FFFFFF"/>
          </w:tcPr>
          <w:p w:rsidR="00965D85" w:rsidRPr="0018329B"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1.7</w:t>
            </w:r>
          </w:p>
        </w:tc>
        <w:tc>
          <w:tcPr>
            <w:tcW w:w="964" w:type="dxa"/>
            <w:tcBorders>
              <w:top w:val="nil"/>
              <w:left w:val="nil"/>
              <w:right w:val="nil"/>
            </w:tcBorders>
            <w:shd w:val="clear" w:color="auto" w:fill="FFFFFF"/>
          </w:tcPr>
          <w:p w:rsidR="00965D85" w:rsidRPr="0018329B"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1.5</w:t>
            </w:r>
          </w:p>
        </w:tc>
        <w:tc>
          <w:tcPr>
            <w:tcW w:w="964" w:type="dxa"/>
            <w:tcBorders>
              <w:top w:val="nil"/>
              <w:left w:val="nil"/>
              <w:right w:val="nil"/>
            </w:tcBorders>
            <w:shd w:val="clear" w:color="auto" w:fill="FFFFFF"/>
          </w:tcPr>
          <w:p w:rsidR="00965D85" w:rsidRPr="0018329B"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1.8</w:t>
            </w:r>
          </w:p>
        </w:tc>
        <w:tc>
          <w:tcPr>
            <w:tcW w:w="964" w:type="dxa"/>
            <w:tcBorders>
              <w:top w:val="nil"/>
              <w:left w:val="nil"/>
              <w:right w:val="nil"/>
            </w:tcBorders>
            <w:shd w:val="clear" w:color="auto" w:fill="FFFFFF"/>
          </w:tcPr>
          <w:p w:rsidR="00965D85" w:rsidRPr="0018329B"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1.6</w:t>
            </w:r>
          </w:p>
        </w:tc>
      </w:tr>
      <w:tr w:rsidR="00965D85" w:rsidRPr="0018329B" w:rsidTr="008B46DF">
        <w:tc>
          <w:tcPr>
            <w:tcW w:w="2947" w:type="dxa"/>
            <w:tcBorders>
              <w:top w:val="nil"/>
              <w:left w:val="nil"/>
              <w:right w:val="nil"/>
            </w:tcBorders>
            <w:shd w:val="clear" w:color="auto" w:fill="FFFFFF"/>
          </w:tcPr>
          <w:p w:rsidR="00965D85" w:rsidRPr="0018329B" w:rsidRDefault="00965D85" w:rsidP="008B46DF">
            <w:pPr>
              <w:autoSpaceDE w:val="0"/>
              <w:autoSpaceDN w:val="0"/>
              <w:adjustRightInd w:val="0"/>
              <w:spacing w:after="0"/>
              <w:ind w:left="227" w:hanging="227"/>
              <w:rPr>
                <w:rFonts w:ascii="Calibri" w:eastAsiaTheme="minorEastAsia" w:hAnsi="Calibri" w:cs="Calibri"/>
                <w:color w:val="000000"/>
                <w:sz w:val="20"/>
                <w:vertAlign w:val="superscript"/>
                <w:lang w:eastAsia="en-AU"/>
              </w:rPr>
            </w:pPr>
            <w:r w:rsidRPr="0018329B">
              <w:rPr>
                <w:rFonts w:ascii="Calibri" w:eastAsiaTheme="minorEastAsia" w:hAnsi="Calibri" w:cs="Calibri"/>
                <w:color w:val="000000"/>
                <w:sz w:val="20"/>
                <w:lang w:eastAsia="en-AU"/>
              </w:rPr>
              <w:t xml:space="preserve">Government infrastructure investment </w:t>
            </w:r>
            <w:r w:rsidRPr="0018329B">
              <w:rPr>
                <w:rFonts w:ascii="Calibri" w:eastAsiaTheme="minorEastAsia" w:hAnsi="Calibri" w:cs="Calibri"/>
                <w:color w:val="000000"/>
                <w:sz w:val="20"/>
                <w:vertAlign w:val="superscript"/>
                <w:lang w:eastAsia="en-AU"/>
              </w:rPr>
              <w:t>(a)(b)</w:t>
            </w:r>
          </w:p>
        </w:tc>
        <w:tc>
          <w:tcPr>
            <w:tcW w:w="964" w:type="dxa"/>
            <w:tcBorders>
              <w:top w:val="nil"/>
              <w:left w:val="nil"/>
              <w:right w:val="nil"/>
            </w:tcBorders>
            <w:shd w:val="clear" w:color="auto" w:fill="FFFFFF"/>
          </w:tcPr>
          <w:p w:rsidR="00965D85" w:rsidRPr="0018329B" w:rsidRDefault="00965D85" w:rsidP="008B46DF">
            <w:pPr>
              <w:autoSpaceDE w:val="0"/>
              <w:autoSpaceDN w:val="0"/>
              <w:adjustRightInd w:val="0"/>
              <w:spacing w:after="0"/>
              <w:jc w:val="center"/>
              <w:rPr>
                <w:rFonts w:ascii="Calibri" w:eastAsiaTheme="minorEastAsia" w:hAnsi="Calibri" w:cs="Calibri"/>
                <w:color w:val="000000"/>
                <w:sz w:val="20"/>
                <w:lang w:eastAsia="en-AU"/>
              </w:rPr>
            </w:pPr>
            <w:r w:rsidRPr="0018329B">
              <w:rPr>
                <w:rFonts w:ascii="Calibri" w:eastAsiaTheme="minorEastAsia" w:hAnsi="Calibri" w:cs="Calibri"/>
                <w:color w:val="000000"/>
                <w:sz w:val="20"/>
                <w:lang w:eastAsia="en-AU"/>
              </w:rPr>
              <w:t>$ billion</w:t>
            </w:r>
          </w:p>
        </w:tc>
        <w:tc>
          <w:tcPr>
            <w:tcW w:w="964" w:type="dxa"/>
            <w:tcBorders>
              <w:top w:val="nil"/>
              <w:left w:val="nil"/>
              <w:right w:val="nil"/>
            </w:tcBorders>
            <w:shd w:val="clear" w:color="auto" w:fill="FFFFFF"/>
          </w:tcPr>
          <w:p w:rsidR="00965D85" w:rsidRPr="0018329B"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5.0</w:t>
            </w:r>
          </w:p>
        </w:tc>
        <w:tc>
          <w:tcPr>
            <w:tcW w:w="964" w:type="dxa"/>
            <w:tcBorders>
              <w:top w:val="nil"/>
              <w:left w:val="nil"/>
              <w:right w:val="nil"/>
            </w:tcBorders>
            <w:shd w:val="clear" w:color="auto" w:fill="FFFFFF"/>
          </w:tcPr>
          <w:p w:rsidR="00965D85" w:rsidRPr="0018329B"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6.3</w:t>
            </w:r>
          </w:p>
        </w:tc>
        <w:tc>
          <w:tcPr>
            <w:tcW w:w="964" w:type="dxa"/>
            <w:tcBorders>
              <w:top w:val="nil"/>
              <w:left w:val="nil"/>
              <w:right w:val="nil"/>
            </w:tcBorders>
            <w:shd w:val="clear" w:color="auto" w:fill="FFFFFF"/>
          </w:tcPr>
          <w:p w:rsidR="00965D85" w:rsidRPr="0018329B"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4.5</w:t>
            </w:r>
          </w:p>
        </w:tc>
        <w:tc>
          <w:tcPr>
            <w:tcW w:w="964" w:type="dxa"/>
            <w:tcBorders>
              <w:top w:val="nil"/>
              <w:left w:val="nil"/>
              <w:right w:val="nil"/>
            </w:tcBorders>
            <w:shd w:val="clear" w:color="auto" w:fill="FFFFFF"/>
          </w:tcPr>
          <w:p w:rsidR="00965D85" w:rsidRPr="0018329B"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5.2</w:t>
            </w:r>
          </w:p>
        </w:tc>
      </w:tr>
      <w:tr w:rsidR="00965D85" w:rsidRPr="0018329B" w:rsidTr="008B46DF">
        <w:tc>
          <w:tcPr>
            <w:tcW w:w="2947" w:type="dxa"/>
            <w:tcBorders>
              <w:top w:val="nil"/>
              <w:left w:val="nil"/>
              <w:right w:val="nil"/>
            </w:tcBorders>
            <w:shd w:val="clear" w:color="auto" w:fill="FFFFFF"/>
          </w:tcPr>
          <w:p w:rsidR="00965D85" w:rsidRPr="0018329B"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18329B">
              <w:rPr>
                <w:rFonts w:ascii="Calibri" w:eastAsiaTheme="minorEastAsia" w:hAnsi="Calibri" w:cs="Calibri"/>
                <w:color w:val="000000"/>
                <w:sz w:val="20"/>
                <w:lang w:eastAsia="en-AU"/>
              </w:rPr>
              <w:t>Net debt</w:t>
            </w:r>
          </w:p>
        </w:tc>
        <w:tc>
          <w:tcPr>
            <w:tcW w:w="964" w:type="dxa"/>
            <w:tcBorders>
              <w:top w:val="nil"/>
              <w:left w:val="nil"/>
              <w:right w:val="nil"/>
            </w:tcBorders>
            <w:shd w:val="clear" w:color="auto" w:fill="FFFFFF"/>
          </w:tcPr>
          <w:p w:rsidR="00965D85" w:rsidRPr="0018329B" w:rsidRDefault="00965D85" w:rsidP="008B46DF">
            <w:pPr>
              <w:autoSpaceDE w:val="0"/>
              <w:autoSpaceDN w:val="0"/>
              <w:adjustRightInd w:val="0"/>
              <w:spacing w:after="0"/>
              <w:jc w:val="center"/>
              <w:rPr>
                <w:rFonts w:ascii="Calibri" w:eastAsiaTheme="minorEastAsia" w:hAnsi="Calibri" w:cs="Calibri"/>
                <w:color w:val="000000"/>
                <w:sz w:val="20"/>
                <w:lang w:eastAsia="en-AU"/>
              </w:rPr>
            </w:pPr>
            <w:r w:rsidRPr="0018329B">
              <w:rPr>
                <w:rFonts w:ascii="Calibri" w:eastAsiaTheme="minorEastAsia" w:hAnsi="Calibri" w:cs="Calibri"/>
                <w:color w:val="000000"/>
                <w:sz w:val="20"/>
                <w:lang w:eastAsia="en-AU"/>
              </w:rPr>
              <w:t>$ billion</w:t>
            </w:r>
          </w:p>
        </w:tc>
        <w:tc>
          <w:tcPr>
            <w:tcW w:w="964" w:type="dxa"/>
            <w:tcBorders>
              <w:top w:val="nil"/>
              <w:left w:val="nil"/>
              <w:right w:val="nil"/>
            </w:tcBorders>
            <w:shd w:val="clear" w:color="auto" w:fill="FFFFFF"/>
          </w:tcPr>
          <w:p w:rsidR="00965D85" w:rsidRPr="0018329B"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16.9</w:t>
            </w:r>
          </w:p>
        </w:tc>
        <w:tc>
          <w:tcPr>
            <w:tcW w:w="964" w:type="dxa"/>
            <w:tcBorders>
              <w:top w:val="nil"/>
              <w:left w:val="nil"/>
              <w:right w:val="nil"/>
            </w:tcBorders>
            <w:shd w:val="clear" w:color="auto" w:fill="FFFFFF"/>
          </w:tcPr>
          <w:p w:rsidR="00965D85" w:rsidRPr="0018329B"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18.8</w:t>
            </w:r>
          </w:p>
        </w:tc>
        <w:tc>
          <w:tcPr>
            <w:tcW w:w="964" w:type="dxa"/>
            <w:tcBorders>
              <w:top w:val="nil"/>
              <w:left w:val="nil"/>
              <w:right w:val="nil"/>
            </w:tcBorders>
            <w:shd w:val="clear" w:color="auto" w:fill="FFFFFF"/>
          </w:tcPr>
          <w:p w:rsidR="00965D85" w:rsidRPr="0018329B"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18.9</w:t>
            </w:r>
          </w:p>
        </w:tc>
        <w:tc>
          <w:tcPr>
            <w:tcW w:w="964" w:type="dxa"/>
            <w:tcBorders>
              <w:top w:val="nil"/>
              <w:left w:val="nil"/>
              <w:right w:val="nil"/>
            </w:tcBorders>
            <w:shd w:val="clear" w:color="auto" w:fill="FFFFFF"/>
          </w:tcPr>
          <w:p w:rsidR="00965D85" w:rsidRPr="0018329B"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19.6</w:t>
            </w:r>
          </w:p>
        </w:tc>
      </w:tr>
      <w:tr w:rsidR="00965D85" w:rsidRPr="0018329B" w:rsidTr="008B46DF">
        <w:tc>
          <w:tcPr>
            <w:tcW w:w="2947" w:type="dxa"/>
            <w:tcBorders>
              <w:top w:val="nil"/>
              <w:left w:val="nil"/>
              <w:bottom w:val="single" w:sz="12" w:space="0" w:color="000000"/>
              <w:right w:val="nil"/>
            </w:tcBorders>
            <w:shd w:val="clear" w:color="auto" w:fill="FFFFFF"/>
          </w:tcPr>
          <w:p w:rsidR="00965D85" w:rsidRPr="0018329B"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18329B">
              <w:rPr>
                <w:rFonts w:ascii="Calibri" w:eastAsiaTheme="minorEastAsia" w:hAnsi="Calibri" w:cs="Calibri"/>
                <w:color w:val="000000"/>
                <w:sz w:val="20"/>
                <w:lang w:eastAsia="en-AU"/>
              </w:rPr>
              <w:t>Net debt to GSP</w:t>
            </w:r>
          </w:p>
        </w:tc>
        <w:tc>
          <w:tcPr>
            <w:tcW w:w="964" w:type="dxa"/>
            <w:tcBorders>
              <w:top w:val="nil"/>
              <w:left w:val="nil"/>
              <w:bottom w:val="single" w:sz="12" w:space="0" w:color="000000"/>
              <w:right w:val="nil"/>
            </w:tcBorders>
            <w:shd w:val="clear" w:color="auto" w:fill="FFFFFF"/>
          </w:tcPr>
          <w:p w:rsidR="00965D85" w:rsidRPr="0018329B" w:rsidRDefault="00965D85" w:rsidP="008B46DF">
            <w:pPr>
              <w:autoSpaceDE w:val="0"/>
              <w:autoSpaceDN w:val="0"/>
              <w:adjustRightInd w:val="0"/>
              <w:spacing w:after="0"/>
              <w:jc w:val="center"/>
              <w:rPr>
                <w:rFonts w:ascii="Calibri" w:eastAsiaTheme="minorEastAsia" w:hAnsi="Calibri" w:cs="Calibri"/>
                <w:color w:val="000000"/>
                <w:sz w:val="20"/>
                <w:lang w:eastAsia="en-AU"/>
              </w:rPr>
            </w:pPr>
            <w:r w:rsidRPr="0018329B">
              <w:rPr>
                <w:rFonts w:ascii="Calibri" w:eastAsiaTheme="minorEastAsia" w:hAnsi="Calibri" w:cs="Calibri"/>
                <w:color w:val="000000"/>
                <w:sz w:val="20"/>
                <w:lang w:eastAsia="en-AU"/>
              </w:rPr>
              <w:t>per cent</w:t>
            </w:r>
          </w:p>
        </w:tc>
        <w:tc>
          <w:tcPr>
            <w:tcW w:w="964" w:type="dxa"/>
            <w:tcBorders>
              <w:top w:val="nil"/>
              <w:left w:val="nil"/>
              <w:bottom w:val="single" w:sz="12" w:space="0" w:color="000000"/>
              <w:right w:val="nil"/>
            </w:tcBorders>
            <w:shd w:val="clear" w:color="auto" w:fill="FFFFFF"/>
          </w:tcPr>
          <w:p w:rsidR="00965D85" w:rsidRPr="0018329B"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4.5</w:t>
            </w:r>
          </w:p>
        </w:tc>
        <w:tc>
          <w:tcPr>
            <w:tcW w:w="964" w:type="dxa"/>
            <w:tcBorders>
              <w:top w:val="nil"/>
              <w:left w:val="nil"/>
              <w:bottom w:val="single" w:sz="12" w:space="0" w:color="000000"/>
              <w:right w:val="nil"/>
            </w:tcBorders>
            <w:shd w:val="clear" w:color="auto" w:fill="FFFFFF"/>
          </w:tcPr>
          <w:p w:rsidR="00965D85" w:rsidRPr="0018329B"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4.7</w:t>
            </w:r>
          </w:p>
        </w:tc>
        <w:tc>
          <w:tcPr>
            <w:tcW w:w="964" w:type="dxa"/>
            <w:tcBorders>
              <w:top w:val="nil"/>
              <w:left w:val="nil"/>
              <w:bottom w:val="single" w:sz="12" w:space="0" w:color="000000"/>
              <w:right w:val="nil"/>
            </w:tcBorders>
            <w:shd w:val="clear" w:color="auto" w:fill="FFFFFF"/>
          </w:tcPr>
          <w:p w:rsidR="00965D85" w:rsidRPr="0018329B"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4.5</w:t>
            </w:r>
          </w:p>
        </w:tc>
        <w:tc>
          <w:tcPr>
            <w:tcW w:w="964" w:type="dxa"/>
            <w:tcBorders>
              <w:top w:val="nil"/>
              <w:left w:val="nil"/>
              <w:bottom w:val="single" w:sz="12" w:space="0" w:color="000000"/>
              <w:right w:val="nil"/>
            </w:tcBorders>
            <w:shd w:val="clear" w:color="auto" w:fill="FFFFFF"/>
          </w:tcPr>
          <w:p w:rsidR="00965D85" w:rsidRPr="0018329B"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4.4</w:t>
            </w:r>
          </w:p>
        </w:tc>
      </w:tr>
    </w:tbl>
    <w:p w:rsidR="00965D85" w:rsidRPr="002E2383" w:rsidRDefault="00965D85" w:rsidP="008B46DF">
      <w:pPr>
        <w:pStyle w:val="Source"/>
      </w:pPr>
      <w:r w:rsidRPr="00916A0D">
        <w:fldChar w:fldCharType="end"/>
      </w:r>
      <w:r w:rsidRPr="002E2383">
        <w:t>Source: Department of Treasury and Finance</w:t>
      </w:r>
    </w:p>
    <w:p w:rsidR="00965D85" w:rsidRPr="007D522C" w:rsidRDefault="00965D85" w:rsidP="008B46DF">
      <w:pPr>
        <w:pStyle w:val="Notes"/>
      </w:pPr>
      <w:r w:rsidRPr="007D522C">
        <w:t>Note</w:t>
      </w:r>
      <w:r>
        <w:t>s</w:t>
      </w:r>
      <w:r w:rsidRPr="007D522C">
        <w:t>:</w:t>
      </w:r>
    </w:p>
    <w:p w:rsidR="00965D85" w:rsidRPr="007D522C" w:rsidRDefault="00965D85" w:rsidP="008B46DF">
      <w:pPr>
        <w:pStyle w:val="Notes"/>
      </w:pPr>
      <w:r w:rsidRPr="007D522C">
        <w:t>(a)</w:t>
      </w:r>
      <w:r w:rsidRPr="007D522C">
        <w:tab/>
        <w:t xml:space="preserve">Includes general government net infrastructure investment and estimated cash flows for </w:t>
      </w:r>
      <w:r w:rsidRPr="009E4CD9">
        <w:rPr>
          <w:i w:val="0"/>
        </w:rPr>
        <w:t>Partnerships Victoria</w:t>
      </w:r>
      <w:r w:rsidRPr="007D522C">
        <w:t xml:space="preserve"> projects.</w:t>
      </w:r>
    </w:p>
    <w:p w:rsidR="00965D85" w:rsidRDefault="00965D85" w:rsidP="008B46DF">
      <w:pPr>
        <w:pStyle w:val="Notes"/>
      </w:pPr>
      <w:r>
        <w:t>(b)</w:t>
      </w:r>
      <w:r>
        <w:tab/>
        <w:t>Excludes the impact in 2015</w:t>
      </w:r>
      <w:r>
        <w:noBreakHyphen/>
        <w:t>16 of the medium</w:t>
      </w:r>
      <w:r>
        <w:noBreakHyphen/>
        <w:t>term lease over the operations of the Port of Melbourne.</w:t>
      </w:r>
    </w:p>
    <w:p w:rsidR="00965D85" w:rsidRDefault="00965D85" w:rsidP="008B46DF"/>
    <w:p w:rsidR="00965D85" w:rsidRDefault="00965D85" w:rsidP="008B46DF">
      <w:r>
        <w:t xml:space="preserve">Broadly in line with the </w:t>
      </w:r>
      <w:r w:rsidRPr="00A4149E">
        <w:rPr>
          <w:i/>
        </w:rPr>
        <w:t>2015</w:t>
      </w:r>
      <w:r>
        <w:rPr>
          <w:i/>
        </w:rPr>
        <w:noBreakHyphen/>
      </w:r>
      <w:r w:rsidRPr="00A4149E">
        <w:rPr>
          <w:i/>
        </w:rPr>
        <w:t>16 Budget</w:t>
      </w:r>
      <w:r>
        <w:t xml:space="preserve"> estimates, n</w:t>
      </w:r>
      <w:r w:rsidRPr="007E4E2E">
        <w:t xml:space="preserve">et debt </w:t>
      </w:r>
      <w:r>
        <w:t>as a percentage</w:t>
      </w:r>
      <w:r w:rsidRPr="007E4E2E">
        <w:t xml:space="preserve"> </w:t>
      </w:r>
      <w:r>
        <w:t xml:space="preserve">of </w:t>
      </w:r>
      <w:r w:rsidRPr="007E4E2E">
        <w:t xml:space="preserve">GSP is projected </w:t>
      </w:r>
      <w:r>
        <w:t xml:space="preserve">to fall </w:t>
      </w:r>
      <w:r w:rsidRPr="001D218B">
        <w:t xml:space="preserve">to </w:t>
      </w:r>
      <w:r>
        <w:t xml:space="preserve">4.4 per cent by June 2019. This is </w:t>
      </w:r>
      <w:r w:rsidRPr="007E4E2E">
        <w:t>consistent with the Government</w:t>
      </w:r>
      <w:r>
        <w:t>’</w:t>
      </w:r>
      <w:r w:rsidRPr="007E4E2E">
        <w:t xml:space="preserve">s commitment to maintain </w:t>
      </w:r>
      <w:r>
        <w:t>the State’s</w:t>
      </w:r>
      <w:r w:rsidRPr="007E4E2E">
        <w:t xml:space="preserve"> triple</w:t>
      </w:r>
      <w:r>
        <w:noBreakHyphen/>
      </w:r>
      <w:r w:rsidRPr="007E4E2E">
        <w:t>A credit rating</w:t>
      </w:r>
      <w:r>
        <w:t>.</w:t>
      </w:r>
    </w:p>
    <w:p w:rsidR="00965D85" w:rsidRDefault="00965D85">
      <w:pPr>
        <w:spacing w:after="0"/>
      </w:pPr>
      <w:r>
        <w:br w:type="page"/>
      </w:r>
    </w:p>
    <w:p w:rsidR="00965D85" w:rsidRDefault="00965D85" w:rsidP="008B46DF">
      <w:r>
        <w:lastRenderedPageBreak/>
        <w:t>Government infrastructure i</w:t>
      </w:r>
      <w:r w:rsidRPr="007E4E2E">
        <w:t xml:space="preserve">nvestment remains high. Estimated </w:t>
      </w:r>
      <w:r>
        <w:t>government infrastructure i</w:t>
      </w:r>
      <w:r w:rsidRPr="007E4E2E">
        <w:t xml:space="preserve">nvestment over the </w:t>
      </w:r>
      <w:r>
        <w:t xml:space="preserve">budget and </w:t>
      </w:r>
      <w:r w:rsidRPr="007E4E2E">
        <w:t>forward estimates</w:t>
      </w:r>
      <w:r>
        <w:t xml:space="preserve"> averages</w:t>
      </w:r>
      <w:r w:rsidRPr="007E4E2E">
        <w:t xml:space="preserve"> $</w:t>
      </w:r>
      <w:r>
        <w:t>5.3 billion a year</w:t>
      </w:r>
      <w:r w:rsidRPr="007E4E2E">
        <w:t xml:space="preserve"> compared </w:t>
      </w:r>
      <w:r>
        <w:t xml:space="preserve">with the historical average of </w:t>
      </w:r>
      <w:r w:rsidRPr="007E4E2E">
        <w:t>$</w:t>
      </w:r>
      <w:r>
        <w:t>4.9 billion</w:t>
      </w:r>
      <w:r w:rsidRPr="007E4E2E">
        <w:t xml:space="preserve"> </w:t>
      </w:r>
      <w:r>
        <w:t xml:space="preserve">a year </w:t>
      </w:r>
      <w:r w:rsidRPr="007E4E2E">
        <w:t xml:space="preserve">over the </w:t>
      </w:r>
      <w:r>
        <w:t xml:space="preserve">decade </w:t>
      </w:r>
      <w:r w:rsidRPr="007E4E2E">
        <w:t>to 201</w:t>
      </w:r>
      <w:r>
        <w:t>4</w:t>
      </w:r>
      <w:r>
        <w:noBreakHyphen/>
        <w:t xml:space="preserve">15. </w:t>
      </w:r>
      <w:r w:rsidRPr="00E97901">
        <w:t>The Government</w:t>
      </w:r>
      <w:r>
        <w:t>’</w:t>
      </w:r>
      <w:r w:rsidRPr="00E97901">
        <w:t xml:space="preserve">s new infrastructure program will be reflected in the </w:t>
      </w:r>
      <w:r w:rsidRPr="003D1629">
        <w:t>2016</w:t>
      </w:r>
      <w:r>
        <w:noBreakHyphen/>
        <w:t>17 b</w:t>
      </w:r>
      <w:r w:rsidRPr="003D1629">
        <w:t>udget.</w:t>
      </w:r>
    </w:p>
    <w:p w:rsidR="00965D85" w:rsidRDefault="00965D85" w:rsidP="008B46DF">
      <w:pPr>
        <w:spacing w:after="80"/>
        <w:rPr>
          <w:lang w:val="en-US"/>
        </w:rPr>
      </w:pPr>
      <w:r w:rsidRPr="00143A9E">
        <w:t xml:space="preserve">The </w:t>
      </w:r>
      <w:r w:rsidRPr="00D76292">
        <w:rPr>
          <w:i/>
        </w:rPr>
        <w:t>2015</w:t>
      </w:r>
      <w:r>
        <w:rPr>
          <w:i/>
        </w:rPr>
        <w:noBreakHyphen/>
      </w:r>
      <w:r w:rsidRPr="00D76292">
        <w:rPr>
          <w:i/>
        </w:rPr>
        <w:t>16 Budget Update</w:t>
      </w:r>
      <w:r w:rsidRPr="00143A9E">
        <w:t xml:space="preserve"> estimates incorporate the impact of new output and asset policy initiatives, including Education </w:t>
      </w:r>
      <w:r>
        <w:t>S</w:t>
      </w:r>
      <w:r w:rsidRPr="00143A9E">
        <w:t>tate initiatives and the establishment of the Agriculture Infrastructure and Jobs fund.</w:t>
      </w:r>
      <w:r w:rsidRPr="009C2F53">
        <w:t xml:space="preserve"> </w:t>
      </w:r>
      <w:r w:rsidRPr="002E2383">
        <w:t xml:space="preserve">Details of new policy initiatives since the </w:t>
      </w:r>
      <w:r>
        <w:rPr>
          <w:i/>
        </w:rPr>
        <w:t>2015</w:t>
      </w:r>
      <w:r>
        <w:rPr>
          <w:i/>
        </w:rPr>
        <w:noBreakHyphen/>
        <w:t>16 Budget</w:t>
      </w:r>
      <w:r w:rsidRPr="002E2383">
        <w:t xml:space="preserve"> are contained in Appendix</w:t>
      </w:r>
      <w:r>
        <w:t> </w:t>
      </w:r>
      <w:r w:rsidRPr="002E2383">
        <w:t xml:space="preserve">A </w:t>
      </w:r>
      <w:r w:rsidRPr="002E2383">
        <w:rPr>
          <w:i/>
        </w:rPr>
        <w:t xml:space="preserve">Specific policy initiatives affecting </w:t>
      </w:r>
      <w:r>
        <w:rPr>
          <w:i/>
        </w:rPr>
        <w:t xml:space="preserve">the </w:t>
      </w:r>
      <w:r w:rsidRPr="002E2383">
        <w:rPr>
          <w:i/>
        </w:rPr>
        <w:t>budget position</w:t>
      </w:r>
      <w:r w:rsidRPr="002E2383">
        <w:t>.</w:t>
      </w:r>
    </w:p>
    <w:p w:rsidR="00965D85" w:rsidRPr="002E2383" w:rsidRDefault="00965D85" w:rsidP="008B46DF">
      <w:pPr>
        <w:pStyle w:val="Heading1"/>
        <w:spacing w:before="280"/>
      </w:pPr>
      <w:bookmarkStart w:id="16" w:name="_Toc401056870"/>
      <w:bookmarkStart w:id="17" w:name="_Toc401147492"/>
      <w:bookmarkStart w:id="18" w:name="_Toc403386687"/>
      <w:bookmarkStart w:id="19" w:name="_Toc406162088"/>
      <w:bookmarkStart w:id="20" w:name="_Toc406670371"/>
      <w:bookmarkStart w:id="21" w:name="_Toc436147533"/>
      <w:r w:rsidRPr="002E2383">
        <w:t xml:space="preserve">Budget and </w:t>
      </w:r>
      <w:r w:rsidRPr="001B3FC5">
        <w:t>forward</w:t>
      </w:r>
      <w:r w:rsidRPr="002E2383">
        <w:t xml:space="preserve"> estimates outlook</w:t>
      </w:r>
      <w:bookmarkEnd w:id="16"/>
      <w:bookmarkEnd w:id="17"/>
      <w:bookmarkEnd w:id="18"/>
      <w:bookmarkEnd w:id="19"/>
      <w:bookmarkEnd w:id="20"/>
      <w:bookmarkEnd w:id="21"/>
    </w:p>
    <w:p w:rsidR="00965D85" w:rsidRDefault="00965D85" w:rsidP="008B46DF">
      <w:pPr>
        <w:rPr>
          <w:i/>
        </w:rPr>
      </w:pPr>
      <w:r>
        <w:t>Table 3.2</w:t>
      </w:r>
      <w:r w:rsidRPr="002E2383">
        <w:t xml:space="preserve"> summarises the operating statement </w:t>
      </w:r>
      <w:r>
        <w:t xml:space="preserve">over the budget and forward estimates </w:t>
      </w:r>
      <w:r w:rsidRPr="002E2383">
        <w:t xml:space="preserve">for the general government sector. A comprehensive operating statement is presented </w:t>
      </w:r>
      <w:r w:rsidRPr="00916A19">
        <w:t xml:space="preserve">in </w:t>
      </w:r>
      <w:r>
        <w:t>Table 4.1 in Chapter 4</w:t>
      </w:r>
      <w:r w:rsidRPr="00916A19">
        <w:t xml:space="preserve"> </w:t>
      </w:r>
      <w:r w:rsidRPr="00916A19">
        <w:rPr>
          <w:i/>
        </w:rPr>
        <w:t>Estimated financial statements and notes.</w:t>
      </w:r>
    </w:p>
    <w:p w:rsidR="00965D85" w:rsidRDefault="00965D85" w:rsidP="008B46DF">
      <w:r>
        <w:t>Total revenue is</w:t>
      </w:r>
      <w:r w:rsidRPr="007E4E2E">
        <w:t xml:space="preserve"> expected to grow by </w:t>
      </w:r>
      <w:r>
        <w:t>3.2 per cent</w:t>
      </w:r>
      <w:r w:rsidRPr="007E4E2E">
        <w:t xml:space="preserve"> a year on average</w:t>
      </w:r>
      <w:r>
        <w:t xml:space="preserve"> over the budget and forward estimates, compared with 3.1 per cent growth in expenses over the same period.</w:t>
      </w:r>
    </w:p>
    <w:p w:rsidR="00965D85" w:rsidRPr="004A3962" w:rsidRDefault="00965D85" w:rsidP="008B46DF">
      <w:pPr>
        <w:pStyle w:val="Tableheading"/>
        <w:spacing w:before="160"/>
        <w:ind w:left="1151" w:hanging="1151"/>
        <w:rPr>
          <w:rFonts w:ascii="Times New Roman" w:hAnsi="Times New Roman"/>
          <w:sz w:val="20"/>
          <w:lang w:eastAsia="en-AU"/>
        </w:rPr>
      </w:pPr>
      <w:r w:rsidRPr="0076560B">
        <w:t xml:space="preserve">Table 3.2: </w:t>
      </w:r>
      <w:r>
        <w:tab/>
      </w:r>
      <w:r w:rsidRPr="0076560B">
        <w:t>Summary operating statement for the general government sector</w:t>
      </w:r>
      <w:r>
        <w:t xml:space="preserve"> </w:t>
      </w:r>
      <w:r w:rsidRPr="0076560B">
        <w:rPr>
          <w:vertAlign w:val="superscript"/>
        </w:rPr>
        <w:t>(a)</w:t>
      </w:r>
      <w:r>
        <w:fldChar w:fldCharType="begin" w:fldLock="1"/>
      </w:r>
      <w:r>
        <w:instrText xml:space="preserve"> LINK Excel.Sheet.12 \\\\PDCPTPRDFIL01\\DTFDATA02$\\SECURED\\Budget\\BudgetUpdate\\Chapter3\\BUSRIMS_Chapter3_GG.xlsx Summary_Fiscal_OS!Summary_Fiscal_OS \f 4 \r  \* MERGEFORMAT</w:instrText>
      </w:r>
      <w:r>
        <w:fldChar w:fldCharType="separate"/>
      </w:r>
    </w:p>
    <w:tbl>
      <w:tblPr>
        <w:tblW w:w="7767" w:type="dxa"/>
        <w:tblInd w:w="28" w:type="dxa"/>
        <w:tblLayout w:type="fixed"/>
        <w:tblCellMar>
          <w:left w:w="28" w:type="dxa"/>
          <w:right w:w="28" w:type="dxa"/>
        </w:tblCellMar>
        <w:tblLook w:val="0000" w:firstRow="0" w:lastRow="0" w:firstColumn="0" w:lastColumn="0" w:noHBand="0" w:noVBand="0"/>
      </w:tblPr>
      <w:tblGrid>
        <w:gridCol w:w="3969"/>
        <w:gridCol w:w="284"/>
        <w:gridCol w:w="622"/>
        <w:gridCol w:w="964"/>
        <w:gridCol w:w="964"/>
        <w:gridCol w:w="964"/>
      </w:tblGrid>
      <w:tr w:rsidR="00965D85" w:rsidRPr="004A3962" w:rsidTr="008B46DF">
        <w:trPr>
          <w:tblHeader/>
        </w:trPr>
        <w:tc>
          <w:tcPr>
            <w:tcW w:w="7767" w:type="dxa"/>
            <w:gridSpan w:val="6"/>
            <w:tcBorders>
              <w:top w:val="nil"/>
              <w:left w:val="nil"/>
              <w:bottom w:val="nil"/>
              <w:right w:val="nil"/>
            </w:tcBorders>
          </w:tcPr>
          <w:p w:rsidR="00965D85" w:rsidRPr="004A3962" w:rsidRDefault="00965D85" w:rsidP="008B46DF">
            <w:pPr>
              <w:pStyle w:val="million"/>
              <w:rPr>
                <w:rFonts w:eastAsiaTheme="minorEastAsia"/>
                <w:lang w:eastAsia="en-AU"/>
              </w:rPr>
            </w:pPr>
            <w:r w:rsidRPr="004A3962">
              <w:rPr>
                <w:rFonts w:eastAsiaTheme="minorEastAsia"/>
                <w:lang w:eastAsia="en-AU"/>
              </w:rPr>
              <w:t>($ million)</w:t>
            </w:r>
          </w:p>
        </w:tc>
      </w:tr>
      <w:tr w:rsidR="00965D85" w:rsidRPr="004A3962" w:rsidTr="008B46DF">
        <w:trPr>
          <w:trHeight w:val="488"/>
          <w:tblHeader/>
        </w:trPr>
        <w:tc>
          <w:tcPr>
            <w:tcW w:w="3969" w:type="dxa"/>
            <w:tcBorders>
              <w:top w:val="nil"/>
              <w:left w:val="nil"/>
              <w:right w:val="nil"/>
            </w:tcBorders>
            <w:shd w:val="solid" w:color="000000" w:fill="auto"/>
          </w:tcPr>
          <w:p w:rsidR="00965D85" w:rsidRPr="004A3962" w:rsidRDefault="00965D85" w:rsidP="008B46DF">
            <w:pPr>
              <w:autoSpaceDE w:val="0"/>
              <w:autoSpaceDN w:val="0"/>
              <w:adjustRightInd w:val="0"/>
              <w:spacing w:after="0"/>
              <w:rPr>
                <w:rFonts w:ascii="Calibri" w:eastAsiaTheme="minorEastAsia" w:hAnsi="Calibri" w:cs="Calibri"/>
                <w:color w:val="000000"/>
                <w:sz w:val="20"/>
                <w:lang w:eastAsia="en-AU"/>
              </w:rPr>
            </w:pPr>
            <w:r w:rsidRPr="004A3962">
              <w:rPr>
                <w:rFonts w:ascii="Calibri" w:eastAsiaTheme="minorEastAsia" w:hAnsi="Calibri" w:cs="Calibri"/>
                <w:color w:val="000000"/>
                <w:sz w:val="20"/>
                <w:lang w:eastAsia="en-AU"/>
              </w:rPr>
              <w:t xml:space="preserve"> </w:t>
            </w:r>
          </w:p>
          <w:p w:rsidR="00965D85" w:rsidRPr="004A3962" w:rsidRDefault="00965D85" w:rsidP="008B46DF">
            <w:pPr>
              <w:autoSpaceDE w:val="0"/>
              <w:autoSpaceDN w:val="0"/>
              <w:adjustRightInd w:val="0"/>
              <w:spacing w:after="0"/>
              <w:rPr>
                <w:rFonts w:ascii="Calibri" w:eastAsiaTheme="minorEastAsia" w:hAnsi="Calibri" w:cs="Calibri"/>
                <w:color w:val="000000"/>
                <w:sz w:val="20"/>
                <w:lang w:eastAsia="en-AU"/>
              </w:rPr>
            </w:pPr>
            <w:r w:rsidRPr="004A3962">
              <w:rPr>
                <w:rFonts w:ascii="Calibri" w:eastAsiaTheme="minorEastAsia" w:hAnsi="Calibri" w:cs="Calibri"/>
                <w:color w:val="000000"/>
                <w:sz w:val="20"/>
                <w:lang w:eastAsia="en-AU"/>
              </w:rPr>
              <w:t xml:space="preserve"> </w:t>
            </w:r>
          </w:p>
        </w:tc>
        <w:tc>
          <w:tcPr>
            <w:tcW w:w="906" w:type="dxa"/>
            <w:gridSpan w:val="2"/>
            <w:tcBorders>
              <w:top w:val="nil"/>
              <w:left w:val="nil"/>
              <w:right w:val="nil"/>
            </w:tcBorders>
            <w:shd w:val="solid" w:color="000000" w:fill="auto"/>
          </w:tcPr>
          <w:p w:rsidR="00965D85" w:rsidRPr="004A3962"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4A3962">
              <w:rPr>
                <w:rFonts w:ascii="Calibri" w:eastAsiaTheme="minorEastAsia" w:hAnsi="Calibri" w:cs="Calibri"/>
                <w:i/>
                <w:iCs/>
                <w:color w:val="FFFFFF"/>
                <w:sz w:val="20"/>
                <w:lang w:eastAsia="en-AU"/>
              </w:rPr>
              <w:t>2015-16</w:t>
            </w:r>
          </w:p>
          <w:p w:rsidR="00965D85" w:rsidRPr="004A3962"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4A3962">
              <w:rPr>
                <w:rFonts w:ascii="Calibri" w:eastAsiaTheme="minorEastAsia" w:hAnsi="Calibri" w:cs="Calibri"/>
                <w:i/>
                <w:iCs/>
                <w:color w:val="FFFFFF"/>
                <w:sz w:val="20"/>
                <w:lang w:eastAsia="en-AU"/>
              </w:rPr>
              <w:t>revised</w:t>
            </w:r>
          </w:p>
        </w:tc>
        <w:tc>
          <w:tcPr>
            <w:tcW w:w="964" w:type="dxa"/>
            <w:tcBorders>
              <w:top w:val="nil"/>
              <w:left w:val="nil"/>
              <w:right w:val="nil"/>
            </w:tcBorders>
            <w:shd w:val="solid" w:color="000000" w:fill="auto"/>
          </w:tcPr>
          <w:p w:rsidR="00965D85" w:rsidRPr="004A3962"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4A3962">
              <w:rPr>
                <w:rFonts w:ascii="Calibri" w:eastAsiaTheme="minorEastAsia" w:hAnsi="Calibri" w:cs="Calibri"/>
                <w:i/>
                <w:iCs/>
                <w:color w:val="FFFFFF"/>
                <w:sz w:val="20"/>
                <w:lang w:eastAsia="en-AU"/>
              </w:rPr>
              <w:t>2016-17</w:t>
            </w:r>
          </w:p>
          <w:p w:rsidR="00965D85" w:rsidRPr="004A3962"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4A3962">
              <w:rPr>
                <w:rFonts w:ascii="Calibri" w:eastAsiaTheme="minorEastAsia" w:hAnsi="Calibri" w:cs="Calibri"/>
                <w:i/>
                <w:iCs/>
                <w:color w:val="FFFFFF"/>
                <w:sz w:val="20"/>
                <w:lang w:eastAsia="en-AU"/>
              </w:rPr>
              <w:t>estimate</w:t>
            </w:r>
          </w:p>
        </w:tc>
        <w:tc>
          <w:tcPr>
            <w:tcW w:w="964" w:type="dxa"/>
            <w:tcBorders>
              <w:top w:val="nil"/>
              <w:left w:val="nil"/>
              <w:right w:val="nil"/>
            </w:tcBorders>
            <w:shd w:val="solid" w:color="000000" w:fill="auto"/>
          </w:tcPr>
          <w:p w:rsidR="00965D85" w:rsidRPr="004A3962"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4A3962">
              <w:rPr>
                <w:rFonts w:ascii="Calibri" w:eastAsiaTheme="minorEastAsia" w:hAnsi="Calibri" w:cs="Calibri"/>
                <w:i/>
                <w:iCs/>
                <w:color w:val="FFFFFF"/>
                <w:sz w:val="20"/>
                <w:lang w:eastAsia="en-AU"/>
              </w:rPr>
              <w:t>2017-18</w:t>
            </w:r>
          </w:p>
          <w:p w:rsidR="00965D85" w:rsidRPr="004A3962"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4A3962">
              <w:rPr>
                <w:rFonts w:ascii="Calibri" w:eastAsiaTheme="minorEastAsia" w:hAnsi="Calibri" w:cs="Calibri"/>
                <w:i/>
                <w:iCs/>
                <w:color w:val="FFFFFF"/>
                <w:sz w:val="20"/>
                <w:lang w:eastAsia="en-AU"/>
              </w:rPr>
              <w:t>estimate</w:t>
            </w:r>
          </w:p>
        </w:tc>
        <w:tc>
          <w:tcPr>
            <w:tcW w:w="964" w:type="dxa"/>
            <w:tcBorders>
              <w:top w:val="nil"/>
              <w:left w:val="nil"/>
              <w:right w:val="nil"/>
            </w:tcBorders>
            <w:shd w:val="solid" w:color="000000" w:fill="auto"/>
          </w:tcPr>
          <w:p w:rsidR="00965D85" w:rsidRPr="004A3962"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4A3962">
              <w:rPr>
                <w:rFonts w:ascii="Calibri" w:eastAsiaTheme="minorEastAsia" w:hAnsi="Calibri" w:cs="Calibri"/>
                <w:i/>
                <w:iCs/>
                <w:color w:val="FFFFFF"/>
                <w:sz w:val="20"/>
                <w:lang w:eastAsia="en-AU"/>
              </w:rPr>
              <w:t>2018-19</w:t>
            </w:r>
          </w:p>
          <w:p w:rsidR="00965D85" w:rsidRPr="004A3962"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4A3962">
              <w:rPr>
                <w:rFonts w:ascii="Calibri" w:eastAsiaTheme="minorEastAsia" w:hAnsi="Calibri" w:cs="Calibri"/>
                <w:i/>
                <w:iCs/>
                <w:color w:val="FFFFFF"/>
                <w:sz w:val="20"/>
                <w:lang w:eastAsia="en-AU"/>
              </w:rPr>
              <w:t>estimate</w:t>
            </w:r>
          </w:p>
        </w:tc>
      </w:tr>
      <w:tr w:rsidR="00965D85" w:rsidRPr="004A3962" w:rsidTr="008B46DF">
        <w:tc>
          <w:tcPr>
            <w:tcW w:w="3969" w:type="dxa"/>
            <w:tcBorders>
              <w:top w:val="nil"/>
              <w:left w:val="nil"/>
              <w:right w:val="nil"/>
            </w:tcBorders>
            <w:shd w:val="clear" w:color="auto" w:fill="FFFFFF"/>
          </w:tcPr>
          <w:p w:rsidR="00965D85" w:rsidRPr="004A3962" w:rsidRDefault="00965D85" w:rsidP="008B46DF">
            <w:pPr>
              <w:autoSpaceDE w:val="0"/>
              <w:autoSpaceDN w:val="0"/>
              <w:adjustRightInd w:val="0"/>
              <w:spacing w:after="0"/>
              <w:ind w:left="227" w:hanging="227"/>
              <w:rPr>
                <w:rFonts w:ascii="Calibri" w:eastAsiaTheme="minorEastAsia" w:hAnsi="Calibri" w:cs="Calibri"/>
                <w:b/>
                <w:bCs/>
                <w:color w:val="000000"/>
                <w:sz w:val="20"/>
                <w:lang w:eastAsia="en-AU"/>
              </w:rPr>
            </w:pPr>
            <w:r w:rsidRPr="004A3962">
              <w:rPr>
                <w:rFonts w:ascii="Calibri" w:eastAsiaTheme="minorEastAsia" w:hAnsi="Calibri" w:cs="Calibri"/>
                <w:b/>
                <w:bCs/>
                <w:color w:val="000000"/>
                <w:sz w:val="20"/>
                <w:lang w:eastAsia="en-AU"/>
              </w:rPr>
              <w:t>Revenue</w:t>
            </w:r>
          </w:p>
        </w:tc>
        <w:tc>
          <w:tcPr>
            <w:tcW w:w="906" w:type="dxa"/>
            <w:gridSpan w:val="2"/>
            <w:tcBorders>
              <w:top w:val="nil"/>
              <w:left w:val="nil"/>
              <w:right w:val="nil"/>
            </w:tcBorders>
            <w:shd w:val="clear" w:color="auto" w:fill="FFFFFF"/>
          </w:tcPr>
          <w:p w:rsidR="00965D85" w:rsidRPr="004A3962"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964" w:type="dxa"/>
            <w:tcBorders>
              <w:top w:val="nil"/>
              <w:left w:val="nil"/>
              <w:right w:val="nil"/>
            </w:tcBorders>
            <w:shd w:val="clear" w:color="auto" w:fill="FFFFFF"/>
          </w:tcPr>
          <w:p w:rsidR="00965D85" w:rsidRPr="004A3962"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964" w:type="dxa"/>
            <w:tcBorders>
              <w:top w:val="nil"/>
              <w:left w:val="nil"/>
              <w:right w:val="nil"/>
            </w:tcBorders>
            <w:shd w:val="clear" w:color="auto" w:fill="FFFFFF"/>
          </w:tcPr>
          <w:p w:rsidR="00965D85" w:rsidRPr="004A3962"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964" w:type="dxa"/>
            <w:tcBorders>
              <w:top w:val="nil"/>
              <w:left w:val="nil"/>
              <w:right w:val="nil"/>
            </w:tcBorders>
            <w:shd w:val="clear" w:color="auto" w:fill="FFFFFF"/>
          </w:tcPr>
          <w:p w:rsidR="00965D85" w:rsidRPr="004A3962"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r>
      <w:tr w:rsidR="00965D85" w:rsidRPr="004A3962" w:rsidTr="008B46DF">
        <w:tc>
          <w:tcPr>
            <w:tcW w:w="3969" w:type="dxa"/>
            <w:tcBorders>
              <w:top w:val="nil"/>
              <w:left w:val="nil"/>
              <w:right w:val="nil"/>
            </w:tcBorders>
            <w:shd w:val="clear" w:color="auto" w:fill="FFFFFF"/>
          </w:tcPr>
          <w:p w:rsidR="00965D85" w:rsidRPr="004A3962"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4A3962">
              <w:rPr>
                <w:rFonts w:ascii="Calibri" w:eastAsiaTheme="minorEastAsia" w:hAnsi="Calibri" w:cs="Calibri"/>
                <w:color w:val="000000"/>
                <w:sz w:val="20"/>
                <w:lang w:eastAsia="en-AU"/>
              </w:rPr>
              <w:t>Taxation</w:t>
            </w:r>
          </w:p>
        </w:tc>
        <w:tc>
          <w:tcPr>
            <w:tcW w:w="906" w:type="dxa"/>
            <w:gridSpan w:val="2"/>
            <w:tcBorders>
              <w:top w:val="nil"/>
              <w:left w:val="nil"/>
              <w:right w:val="nil"/>
            </w:tcBorders>
            <w:shd w:val="clear" w:color="auto" w:fill="FFFFFF"/>
          </w:tcPr>
          <w:p w:rsidR="00965D85" w:rsidRPr="004A3962"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4A3962">
              <w:rPr>
                <w:rFonts w:ascii="Calibri" w:eastAsiaTheme="minorEastAsia" w:hAnsi="Calibri" w:cs="Calibri"/>
                <w:color w:val="000000"/>
                <w:sz w:val="20"/>
                <w:lang w:eastAsia="en-AU"/>
              </w:rPr>
              <w:t>19 436</w:t>
            </w:r>
          </w:p>
        </w:tc>
        <w:tc>
          <w:tcPr>
            <w:tcW w:w="964" w:type="dxa"/>
            <w:tcBorders>
              <w:top w:val="nil"/>
              <w:left w:val="nil"/>
              <w:right w:val="nil"/>
            </w:tcBorders>
            <w:shd w:val="clear" w:color="auto" w:fill="FFFFFF"/>
          </w:tcPr>
          <w:p w:rsidR="00965D85" w:rsidRPr="004A3962"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4A3962">
              <w:rPr>
                <w:rFonts w:ascii="Calibri" w:eastAsiaTheme="minorEastAsia" w:hAnsi="Calibri" w:cs="Calibri"/>
                <w:color w:val="000000"/>
                <w:sz w:val="20"/>
                <w:lang w:eastAsia="en-AU"/>
              </w:rPr>
              <w:t>20 025</w:t>
            </w:r>
          </w:p>
        </w:tc>
        <w:tc>
          <w:tcPr>
            <w:tcW w:w="964" w:type="dxa"/>
            <w:tcBorders>
              <w:top w:val="nil"/>
              <w:left w:val="nil"/>
              <w:right w:val="nil"/>
            </w:tcBorders>
            <w:shd w:val="clear" w:color="auto" w:fill="FFFFFF"/>
          </w:tcPr>
          <w:p w:rsidR="00965D85" w:rsidRPr="004A3962"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4A3962">
              <w:rPr>
                <w:rFonts w:ascii="Calibri" w:eastAsiaTheme="minorEastAsia" w:hAnsi="Calibri" w:cs="Calibri"/>
                <w:color w:val="000000"/>
                <w:sz w:val="20"/>
                <w:lang w:eastAsia="en-AU"/>
              </w:rPr>
              <w:t>20 547</w:t>
            </w:r>
          </w:p>
        </w:tc>
        <w:tc>
          <w:tcPr>
            <w:tcW w:w="964" w:type="dxa"/>
            <w:tcBorders>
              <w:top w:val="nil"/>
              <w:left w:val="nil"/>
              <w:right w:val="nil"/>
            </w:tcBorders>
            <w:shd w:val="clear" w:color="auto" w:fill="FFFFFF"/>
          </w:tcPr>
          <w:p w:rsidR="00965D85" w:rsidRPr="004A3962"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4A3962">
              <w:rPr>
                <w:rFonts w:ascii="Calibri" w:eastAsiaTheme="minorEastAsia" w:hAnsi="Calibri" w:cs="Calibri"/>
                <w:color w:val="000000"/>
                <w:sz w:val="20"/>
                <w:lang w:eastAsia="en-AU"/>
              </w:rPr>
              <w:t>21 442</w:t>
            </w:r>
          </w:p>
        </w:tc>
      </w:tr>
      <w:tr w:rsidR="00965D85" w:rsidRPr="004A3962" w:rsidTr="008B46DF">
        <w:tc>
          <w:tcPr>
            <w:tcW w:w="3969" w:type="dxa"/>
            <w:tcBorders>
              <w:top w:val="nil"/>
              <w:left w:val="nil"/>
              <w:right w:val="nil"/>
            </w:tcBorders>
            <w:shd w:val="clear" w:color="auto" w:fill="FFFFFF"/>
          </w:tcPr>
          <w:p w:rsidR="00965D85" w:rsidRPr="004A3962" w:rsidRDefault="00965D85" w:rsidP="008B46DF">
            <w:pPr>
              <w:autoSpaceDE w:val="0"/>
              <w:autoSpaceDN w:val="0"/>
              <w:adjustRightInd w:val="0"/>
              <w:spacing w:after="0"/>
              <w:ind w:left="227" w:hanging="227"/>
              <w:rPr>
                <w:rFonts w:ascii="Calibri" w:eastAsiaTheme="minorEastAsia" w:hAnsi="Calibri" w:cs="Calibri"/>
                <w:color w:val="000000"/>
                <w:sz w:val="20"/>
                <w:vertAlign w:val="superscript"/>
                <w:lang w:eastAsia="en-AU"/>
              </w:rPr>
            </w:pPr>
            <w:r w:rsidRPr="004A3962">
              <w:rPr>
                <w:rFonts w:ascii="Calibri" w:eastAsiaTheme="minorEastAsia" w:hAnsi="Calibri" w:cs="Calibri"/>
                <w:color w:val="000000"/>
                <w:sz w:val="20"/>
                <w:lang w:eastAsia="en-AU"/>
              </w:rPr>
              <w:t xml:space="preserve">Dividends, TER and interest </w:t>
            </w:r>
            <w:r w:rsidRPr="004A3962">
              <w:rPr>
                <w:rFonts w:ascii="Calibri" w:eastAsiaTheme="minorEastAsia" w:hAnsi="Calibri" w:cs="Calibri"/>
                <w:color w:val="000000"/>
                <w:sz w:val="20"/>
                <w:vertAlign w:val="superscript"/>
                <w:lang w:eastAsia="en-AU"/>
              </w:rPr>
              <w:t>(b)</w:t>
            </w:r>
          </w:p>
        </w:tc>
        <w:tc>
          <w:tcPr>
            <w:tcW w:w="906" w:type="dxa"/>
            <w:gridSpan w:val="2"/>
            <w:tcBorders>
              <w:top w:val="nil"/>
              <w:left w:val="nil"/>
              <w:right w:val="nil"/>
            </w:tcBorders>
            <w:shd w:val="clear" w:color="auto" w:fill="FFFFFF"/>
          </w:tcPr>
          <w:p w:rsidR="00965D85" w:rsidRPr="004A3962"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4A3962">
              <w:rPr>
                <w:rFonts w:ascii="Calibri" w:eastAsiaTheme="minorEastAsia" w:hAnsi="Calibri" w:cs="Calibri"/>
                <w:color w:val="000000"/>
                <w:sz w:val="20"/>
                <w:lang w:eastAsia="en-AU"/>
              </w:rPr>
              <w:t>1 927</w:t>
            </w:r>
          </w:p>
        </w:tc>
        <w:tc>
          <w:tcPr>
            <w:tcW w:w="964" w:type="dxa"/>
            <w:tcBorders>
              <w:top w:val="nil"/>
              <w:left w:val="nil"/>
              <w:right w:val="nil"/>
            </w:tcBorders>
            <w:shd w:val="clear" w:color="auto" w:fill="FFFFFF"/>
          </w:tcPr>
          <w:p w:rsidR="00965D85" w:rsidRPr="004A3962"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4A3962">
              <w:rPr>
                <w:rFonts w:ascii="Calibri" w:eastAsiaTheme="minorEastAsia" w:hAnsi="Calibri" w:cs="Calibri"/>
                <w:color w:val="000000"/>
                <w:sz w:val="20"/>
                <w:lang w:eastAsia="en-AU"/>
              </w:rPr>
              <w:t>1 782</w:t>
            </w:r>
          </w:p>
        </w:tc>
        <w:tc>
          <w:tcPr>
            <w:tcW w:w="964" w:type="dxa"/>
            <w:tcBorders>
              <w:top w:val="nil"/>
              <w:left w:val="nil"/>
              <w:right w:val="nil"/>
            </w:tcBorders>
            <w:shd w:val="clear" w:color="auto" w:fill="FFFFFF"/>
          </w:tcPr>
          <w:p w:rsidR="00965D85" w:rsidRPr="004A3962"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4A3962">
              <w:rPr>
                <w:rFonts w:ascii="Calibri" w:eastAsiaTheme="minorEastAsia" w:hAnsi="Calibri" w:cs="Calibri"/>
                <w:color w:val="000000"/>
                <w:sz w:val="20"/>
                <w:lang w:eastAsia="en-AU"/>
              </w:rPr>
              <w:t>1 802</w:t>
            </w:r>
          </w:p>
        </w:tc>
        <w:tc>
          <w:tcPr>
            <w:tcW w:w="964" w:type="dxa"/>
            <w:tcBorders>
              <w:top w:val="nil"/>
              <w:left w:val="nil"/>
              <w:right w:val="nil"/>
            </w:tcBorders>
            <w:shd w:val="clear" w:color="auto" w:fill="FFFFFF"/>
          </w:tcPr>
          <w:p w:rsidR="00965D85" w:rsidRPr="004A3962"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4A3962">
              <w:rPr>
                <w:rFonts w:ascii="Calibri" w:eastAsiaTheme="minorEastAsia" w:hAnsi="Calibri" w:cs="Calibri"/>
                <w:color w:val="000000"/>
                <w:sz w:val="20"/>
                <w:lang w:eastAsia="en-AU"/>
              </w:rPr>
              <w:t>1 711</w:t>
            </w:r>
          </w:p>
        </w:tc>
      </w:tr>
      <w:tr w:rsidR="00965D85" w:rsidRPr="004A3962" w:rsidTr="008B46DF">
        <w:tc>
          <w:tcPr>
            <w:tcW w:w="3969" w:type="dxa"/>
            <w:tcBorders>
              <w:top w:val="nil"/>
              <w:left w:val="nil"/>
              <w:right w:val="nil"/>
            </w:tcBorders>
            <w:shd w:val="clear" w:color="auto" w:fill="FFFFFF"/>
          </w:tcPr>
          <w:p w:rsidR="00965D85" w:rsidRPr="004A3962"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4A3962">
              <w:rPr>
                <w:rFonts w:ascii="Calibri" w:eastAsiaTheme="minorEastAsia" w:hAnsi="Calibri" w:cs="Calibri"/>
                <w:color w:val="000000"/>
                <w:sz w:val="20"/>
                <w:lang w:eastAsia="en-AU"/>
              </w:rPr>
              <w:t>Sales of goods and services</w:t>
            </w:r>
          </w:p>
        </w:tc>
        <w:tc>
          <w:tcPr>
            <w:tcW w:w="906" w:type="dxa"/>
            <w:gridSpan w:val="2"/>
            <w:tcBorders>
              <w:top w:val="nil"/>
              <w:left w:val="nil"/>
              <w:right w:val="nil"/>
            </w:tcBorders>
            <w:shd w:val="clear" w:color="auto" w:fill="FFFFFF"/>
          </w:tcPr>
          <w:p w:rsidR="00965D85" w:rsidRPr="004A3962"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4A3962">
              <w:rPr>
                <w:rFonts w:ascii="Calibri" w:eastAsiaTheme="minorEastAsia" w:hAnsi="Calibri" w:cs="Calibri"/>
                <w:color w:val="000000"/>
                <w:sz w:val="20"/>
                <w:lang w:eastAsia="en-AU"/>
              </w:rPr>
              <w:t>6 809</w:t>
            </w:r>
          </w:p>
        </w:tc>
        <w:tc>
          <w:tcPr>
            <w:tcW w:w="964" w:type="dxa"/>
            <w:tcBorders>
              <w:top w:val="nil"/>
              <w:left w:val="nil"/>
              <w:right w:val="nil"/>
            </w:tcBorders>
            <w:shd w:val="clear" w:color="auto" w:fill="FFFFFF"/>
          </w:tcPr>
          <w:p w:rsidR="00965D85" w:rsidRPr="004A3962"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4A3962">
              <w:rPr>
                <w:rFonts w:ascii="Calibri" w:eastAsiaTheme="minorEastAsia" w:hAnsi="Calibri" w:cs="Calibri"/>
                <w:color w:val="000000"/>
                <w:sz w:val="20"/>
                <w:lang w:eastAsia="en-AU"/>
              </w:rPr>
              <w:t>6 897</w:t>
            </w:r>
          </w:p>
        </w:tc>
        <w:tc>
          <w:tcPr>
            <w:tcW w:w="964" w:type="dxa"/>
            <w:tcBorders>
              <w:top w:val="nil"/>
              <w:left w:val="nil"/>
              <w:right w:val="nil"/>
            </w:tcBorders>
            <w:shd w:val="clear" w:color="auto" w:fill="FFFFFF"/>
          </w:tcPr>
          <w:p w:rsidR="00965D85" w:rsidRPr="004A3962"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4A3962">
              <w:rPr>
                <w:rFonts w:ascii="Calibri" w:eastAsiaTheme="minorEastAsia" w:hAnsi="Calibri" w:cs="Calibri"/>
                <w:color w:val="000000"/>
                <w:sz w:val="20"/>
                <w:lang w:eastAsia="en-AU"/>
              </w:rPr>
              <w:t>6 969</w:t>
            </w:r>
          </w:p>
        </w:tc>
        <w:tc>
          <w:tcPr>
            <w:tcW w:w="964" w:type="dxa"/>
            <w:tcBorders>
              <w:top w:val="nil"/>
              <w:left w:val="nil"/>
              <w:right w:val="nil"/>
            </w:tcBorders>
            <w:shd w:val="clear" w:color="auto" w:fill="FFFFFF"/>
          </w:tcPr>
          <w:p w:rsidR="00965D85" w:rsidRPr="004A3962"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4A3962">
              <w:rPr>
                <w:rFonts w:ascii="Calibri" w:eastAsiaTheme="minorEastAsia" w:hAnsi="Calibri" w:cs="Calibri"/>
                <w:color w:val="000000"/>
                <w:sz w:val="20"/>
                <w:lang w:eastAsia="en-AU"/>
              </w:rPr>
              <w:t>7 021</w:t>
            </w:r>
          </w:p>
        </w:tc>
      </w:tr>
      <w:tr w:rsidR="00965D85" w:rsidRPr="004A3962" w:rsidTr="008B46DF">
        <w:tc>
          <w:tcPr>
            <w:tcW w:w="3969" w:type="dxa"/>
            <w:tcBorders>
              <w:top w:val="nil"/>
              <w:left w:val="nil"/>
              <w:right w:val="nil"/>
            </w:tcBorders>
            <w:shd w:val="clear" w:color="auto" w:fill="FFFFFF"/>
          </w:tcPr>
          <w:p w:rsidR="00965D85" w:rsidRPr="004A3962"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4A3962">
              <w:rPr>
                <w:rFonts w:ascii="Calibri" w:eastAsiaTheme="minorEastAsia" w:hAnsi="Calibri" w:cs="Calibri"/>
                <w:color w:val="000000"/>
                <w:sz w:val="20"/>
                <w:lang w:eastAsia="en-AU"/>
              </w:rPr>
              <w:t>Grant revenue</w:t>
            </w:r>
          </w:p>
        </w:tc>
        <w:tc>
          <w:tcPr>
            <w:tcW w:w="906" w:type="dxa"/>
            <w:gridSpan w:val="2"/>
            <w:tcBorders>
              <w:top w:val="nil"/>
              <w:left w:val="nil"/>
              <w:right w:val="nil"/>
            </w:tcBorders>
            <w:shd w:val="clear" w:color="auto" w:fill="FFFFFF"/>
          </w:tcPr>
          <w:p w:rsidR="00965D85" w:rsidRPr="004A3962"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4A3962">
              <w:rPr>
                <w:rFonts w:ascii="Calibri" w:eastAsiaTheme="minorEastAsia" w:hAnsi="Calibri" w:cs="Calibri"/>
                <w:color w:val="000000"/>
                <w:sz w:val="20"/>
                <w:lang w:eastAsia="en-AU"/>
              </w:rPr>
              <w:t>25 455</w:t>
            </w:r>
          </w:p>
        </w:tc>
        <w:tc>
          <w:tcPr>
            <w:tcW w:w="964" w:type="dxa"/>
            <w:tcBorders>
              <w:top w:val="nil"/>
              <w:left w:val="nil"/>
              <w:right w:val="nil"/>
            </w:tcBorders>
            <w:shd w:val="clear" w:color="auto" w:fill="FFFFFF"/>
          </w:tcPr>
          <w:p w:rsidR="00965D85" w:rsidRPr="004A3962"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4A3962">
              <w:rPr>
                <w:rFonts w:ascii="Calibri" w:eastAsiaTheme="minorEastAsia" w:hAnsi="Calibri" w:cs="Calibri"/>
                <w:color w:val="000000"/>
                <w:sz w:val="20"/>
                <w:lang w:eastAsia="en-AU"/>
              </w:rPr>
              <w:t>26 010</w:t>
            </w:r>
          </w:p>
        </w:tc>
        <w:tc>
          <w:tcPr>
            <w:tcW w:w="964" w:type="dxa"/>
            <w:tcBorders>
              <w:top w:val="nil"/>
              <w:left w:val="nil"/>
              <w:right w:val="nil"/>
            </w:tcBorders>
            <w:shd w:val="clear" w:color="auto" w:fill="FFFFFF"/>
          </w:tcPr>
          <w:p w:rsidR="00965D85" w:rsidRPr="004A3962"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4A3962">
              <w:rPr>
                <w:rFonts w:ascii="Calibri" w:eastAsiaTheme="minorEastAsia" w:hAnsi="Calibri" w:cs="Calibri"/>
                <w:color w:val="000000"/>
                <w:sz w:val="20"/>
                <w:lang w:eastAsia="en-AU"/>
              </w:rPr>
              <w:t>27 822</w:t>
            </w:r>
          </w:p>
        </w:tc>
        <w:tc>
          <w:tcPr>
            <w:tcW w:w="964" w:type="dxa"/>
            <w:tcBorders>
              <w:top w:val="nil"/>
              <w:left w:val="nil"/>
              <w:right w:val="nil"/>
            </w:tcBorders>
            <w:shd w:val="clear" w:color="auto" w:fill="FFFFFF"/>
          </w:tcPr>
          <w:p w:rsidR="00965D85" w:rsidRPr="004A3962"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4A3962">
              <w:rPr>
                <w:rFonts w:ascii="Calibri" w:eastAsiaTheme="minorEastAsia" w:hAnsi="Calibri" w:cs="Calibri"/>
                <w:color w:val="000000"/>
                <w:sz w:val="20"/>
                <w:lang w:eastAsia="en-AU"/>
              </w:rPr>
              <w:t>28 358</w:t>
            </w:r>
          </w:p>
        </w:tc>
      </w:tr>
      <w:tr w:rsidR="00965D85" w:rsidRPr="004A3962" w:rsidTr="008B46DF">
        <w:tc>
          <w:tcPr>
            <w:tcW w:w="3969" w:type="dxa"/>
            <w:tcBorders>
              <w:top w:val="nil"/>
              <w:left w:val="nil"/>
              <w:bottom w:val="single" w:sz="6" w:space="0" w:color="000000"/>
              <w:right w:val="nil"/>
            </w:tcBorders>
            <w:shd w:val="clear" w:color="auto" w:fill="FFFFFF"/>
          </w:tcPr>
          <w:p w:rsidR="00965D85" w:rsidRPr="004A3962"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4A3962">
              <w:rPr>
                <w:rFonts w:ascii="Calibri" w:eastAsiaTheme="minorEastAsia" w:hAnsi="Calibri" w:cs="Calibri"/>
                <w:color w:val="000000"/>
                <w:sz w:val="20"/>
                <w:lang w:eastAsia="en-AU"/>
              </w:rPr>
              <w:t>Other current revenue</w:t>
            </w:r>
          </w:p>
        </w:tc>
        <w:tc>
          <w:tcPr>
            <w:tcW w:w="906" w:type="dxa"/>
            <w:gridSpan w:val="2"/>
            <w:tcBorders>
              <w:top w:val="nil"/>
              <w:left w:val="nil"/>
              <w:bottom w:val="single" w:sz="6" w:space="0" w:color="000000"/>
              <w:right w:val="nil"/>
            </w:tcBorders>
            <w:shd w:val="clear" w:color="auto" w:fill="FFFFFF"/>
          </w:tcPr>
          <w:p w:rsidR="00965D85" w:rsidRPr="004A3962"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4A3962">
              <w:rPr>
                <w:rFonts w:ascii="Calibri" w:eastAsiaTheme="minorEastAsia" w:hAnsi="Calibri" w:cs="Calibri"/>
                <w:color w:val="000000"/>
                <w:sz w:val="20"/>
                <w:lang w:eastAsia="en-AU"/>
              </w:rPr>
              <w:t>2 440</w:t>
            </w:r>
          </w:p>
        </w:tc>
        <w:tc>
          <w:tcPr>
            <w:tcW w:w="964" w:type="dxa"/>
            <w:tcBorders>
              <w:top w:val="nil"/>
              <w:left w:val="nil"/>
              <w:bottom w:val="single" w:sz="6" w:space="0" w:color="000000"/>
              <w:right w:val="nil"/>
            </w:tcBorders>
            <w:shd w:val="clear" w:color="auto" w:fill="FFFFFF"/>
          </w:tcPr>
          <w:p w:rsidR="00965D85" w:rsidRPr="004A3962"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4A3962">
              <w:rPr>
                <w:rFonts w:ascii="Calibri" w:eastAsiaTheme="minorEastAsia" w:hAnsi="Calibri" w:cs="Calibri"/>
                <w:color w:val="000000"/>
                <w:sz w:val="20"/>
                <w:lang w:eastAsia="en-AU"/>
              </w:rPr>
              <w:t>2 522</w:t>
            </w:r>
          </w:p>
        </w:tc>
        <w:tc>
          <w:tcPr>
            <w:tcW w:w="964" w:type="dxa"/>
            <w:tcBorders>
              <w:top w:val="nil"/>
              <w:left w:val="nil"/>
              <w:bottom w:val="single" w:sz="6" w:space="0" w:color="000000"/>
              <w:right w:val="nil"/>
            </w:tcBorders>
            <w:shd w:val="clear" w:color="auto" w:fill="FFFFFF"/>
          </w:tcPr>
          <w:p w:rsidR="00965D85" w:rsidRPr="004A3962"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4A3962">
              <w:rPr>
                <w:rFonts w:ascii="Calibri" w:eastAsiaTheme="minorEastAsia" w:hAnsi="Calibri" w:cs="Calibri"/>
                <w:color w:val="000000"/>
                <w:sz w:val="20"/>
                <w:lang w:eastAsia="en-AU"/>
              </w:rPr>
              <w:t>2 462</w:t>
            </w:r>
          </w:p>
        </w:tc>
        <w:tc>
          <w:tcPr>
            <w:tcW w:w="964" w:type="dxa"/>
            <w:tcBorders>
              <w:top w:val="nil"/>
              <w:left w:val="nil"/>
              <w:bottom w:val="single" w:sz="6" w:space="0" w:color="000000"/>
              <w:right w:val="nil"/>
            </w:tcBorders>
            <w:shd w:val="clear" w:color="auto" w:fill="FFFFFF"/>
          </w:tcPr>
          <w:p w:rsidR="00965D85" w:rsidRPr="004A3962"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4A3962">
              <w:rPr>
                <w:rFonts w:ascii="Calibri" w:eastAsiaTheme="minorEastAsia" w:hAnsi="Calibri" w:cs="Calibri"/>
                <w:color w:val="000000"/>
                <w:sz w:val="20"/>
                <w:lang w:eastAsia="en-AU"/>
              </w:rPr>
              <w:t>2 465</w:t>
            </w:r>
          </w:p>
        </w:tc>
      </w:tr>
      <w:tr w:rsidR="00965D85" w:rsidRPr="004A3962" w:rsidTr="008B46DF">
        <w:tc>
          <w:tcPr>
            <w:tcW w:w="3969" w:type="dxa"/>
            <w:tcBorders>
              <w:top w:val="single" w:sz="6" w:space="0" w:color="000000"/>
              <w:left w:val="nil"/>
              <w:right w:val="nil"/>
            </w:tcBorders>
            <w:shd w:val="clear" w:color="auto" w:fill="FFFFFF"/>
          </w:tcPr>
          <w:p w:rsidR="00965D85" w:rsidRPr="004A3962" w:rsidRDefault="00965D85" w:rsidP="008B46DF">
            <w:pPr>
              <w:autoSpaceDE w:val="0"/>
              <w:autoSpaceDN w:val="0"/>
              <w:adjustRightInd w:val="0"/>
              <w:spacing w:after="0"/>
              <w:ind w:left="227" w:hanging="227"/>
              <w:rPr>
                <w:rFonts w:ascii="Calibri" w:eastAsiaTheme="minorEastAsia" w:hAnsi="Calibri" w:cs="Calibri"/>
                <w:b/>
                <w:bCs/>
                <w:color w:val="000000"/>
                <w:sz w:val="20"/>
                <w:lang w:eastAsia="en-AU"/>
              </w:rPr>
            </w:pPr>
            <w:r w:rsidRPr="004A3962">
              <w:rPr>
                <w:rFonts w:ascii="Calibri" w:eastAsiaTheme="minorEastAsia" w:hAnsi="Calibri" w:cs="Calibri"/>
                <w:b/>
                <w:bCs/>
                <w:color w:val="000000"/>
                <w:sz w:val="20"/>
                <w:lang w:eastAsia="en-AU"/>
              </w:rPr>
              <w:t>Total revenue</w:t>
            </w:r>
          </w:p>
        </w:tc>
        <w:tc>
          <w:tcPr>
            <w:tcW w:w="906" w:type="dxa"/>
            <w:gridSpan w:val="2"/>
            <w:tcBorders>
              <w:top w:val="single" w:sz="6" w:space="0" w:color="000000"/>
              <w:left w:val="nil"/>
              <w:right w:val="nil"/>
            </w:tcBorders>
            <w:shd w:val="clear" w:color="auto" w:fill="FFFFFF"/>
          </w:tcPr>
          <w:p w:rsidR="00965D85" w:rsidRPr="004A3962"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4A3962">
              <w:rPr>
                <w:rFonts w:ascii="Calibri" w:eastAsiaTheme="minorEastAsia" w:hAnsi="Calibri" w:cs="Calibri"/>
                <w:b/>
                <w:bCs/>
                <w:color w:val="000000"/>
                <w:sz w:val="20"/>
                <w:lang w:eastAsia="en-AU"/>
              </w:rPr>
              <w:t>56 066</w:t>
            </w:r>
          </w:p>
        </w:tc>
        <w:tc>
          <w:tcPr>
            <w:tcW w:w="964" w:type="dxa"/>
            <w:tcBorders>
              <w:top w:val="single" w:sz="6" w:space="0" w:color="000000"/>
              <w:left w:val="nil"/>
              <w:right w:val="nil"/>
            </w:tcBorders>
            <w:shd w:val="clear" w:color="auto" w:fill="FFFFFF"/>
          </w:tcPr>
          <w:p w:rsidR="00965D85" w:rsidRPr="004A3962"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4A3962">
              <w:rPr>
                <w:rFonts w:ascii="Calibri" w:eastAsiaTheme="minorEastAsia" w:hAnsi="Calibri" w:cs="Calibri"/>
                <w:b/>
                <w:bCs/>
                <w:color w:val="000000"/>
                <w:sz w:val="20"/>
                <w:lang w:eastAsia="en-AU"/>
              </w:rPr>
              <w:t>57 236</w:t>
            </w:r>
          </w:p>
        </w:tc>
        <w:tc>
          <w:tcPr>
            <w:tcW w:w="964" w:type="dxa"/>
            <w:tcBorders>
              <w:top w:val="single" w:sz="6" w:space="0" w:color="000000"/>
              <w:left w:val="nil"/>
              <w:right w:val="nil"/>
            </w:tcBorders>
            <w:shd w:val="clear" w:color="auto" w:fill="FFFFFF"/>
          </w:tcPr>
          <w:p w:rsidR="00965D85" w:rsidRPr="004A3962"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4A3962">
              <w:rPr>
                <w:rFonts w:ascii="Calibri" w:eastAsiaTheme="minorEastAsia" w:hAnsi="Calibri" w:cs="Calibri"/>
                <w:b/>
                <w:bCs/>
                <w:color w:val="000000"/>
                <w:sz w:val="20"/>
                <w:lang w:eastAsia="en-AU"/>
              </w:rPr>
              <w:t>59 601</w:t>
            </w:r>
          </w:p>
        </w:tc>
        <w:tc>
          <w:tcPr>
            <w:tcW w:w="964" w:type="dxa"/>
            <w:tcBorders>
              <w:top w:val="single" w:sz="6" w:space="0" w:color="000000"/>
              <w:left w:val="nil"/>
              <w:right w:val="nil"/>
            </w:tcBorders>
            <w:shd w:val="clear" w:color="auto" w:fill="FFFFFF"/>
          </w:tcPr>
          <w:p w:rsidR="00965D85" w:rsidRPr="004A3962"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4A3962">
              <w:rPr>
                <w:rFonts w:ascii="Calibri" w:eastAsiaTheme="minorEastAsia" w:hAnsi="Calibri" w:cs="Calibri"/>
                <w:b/>
                <w:bCs/>
                <w:color w:val="000000"/>
                <w:sz w:val="20"/>
                <w:lang w:eastAsia="en-AU"/>
              </w:rPr>
              <w:t>60 998</w:t>
            </w:r>
          </w:p>
        </w:tc>
      </w:tr>
      <w:tr w:rsidR="00965D85" w:rsidRPr="004A3962" w:rsidTr="008B46DF">
        <w:tc>
          <w:tcPr>
            <w:tcW w:w="3969" w:type="dxa"/>
            <w:tcBorders>
              <w:top w:val="nil"/>
              <w:left w:val="nil"/>
              <w:right w:val="nil"/>
            </w:tcBorders>
            <w:shd w:val="clear" w:color="auto" w:fill="FFFFFF"/>
          </w:tcPr>
          <w:p w:rsidR="00965D85" w:rsidRPr="004A3962" w:rsidRDefault="00965D85" w:rsidP="008B46DF">
            <w:pPr>
              <w:autoSpaceDE w:val="0"/>
              <w:autoSpaceDN w:val="0"/>
              <w:adjustRightInd w:val="0"/>
              <w:spacing w:after="0"/>
              <w:ind w:left="227" w:hanging="227"/>
              <w:rPr>
                <w:rFonts w:ascii="Calibri" w:eastAsiaTheme="minorEastAsia" w:hAnsi="Calibri" w:cs="Calibri"/>
                <w:i/>
                <w:color w:val="000000"/>
                <w:sz w:val="20"/>
                <w:vertAlign w:val="superscript"/>
                <w:lang w:eastAsia="en-AU"/>
              </w:rPr>
            </w:pPr>
            <w:r w:rsidRPr="004A3962">
              <w:rPr>
                <w:rFonts w:ascii="Calibri" w:eastAsiaTheme="minorEastAsia" w:hAnsi="Calibri" w:cs="Calibri"/>
                <w:i/>
                <w:color w:val="000000"/>
                <w:sz w:val="20"/>
                <w:lang w:eastAsia="en-AU"/>
              </w:rPr>
              <w:t xml:space="preserve">% change </w:t>
            </w:r>
            <w:r w:rsidRPr="004A3962">
              <w:rPr>
                <w:rFonts w:ascii="Calibri" w:eastAsiaTheme="minorEastAsia" w:hAnsi="Calibri" w:cs="Calibri"/>
                <w:i/>
                <w:color w:val="000000"/>
                <w:sz w:val="20"/>
                <w:vertAlign w:val="superscript"/>
                <w:lang w:eastAsia="en-AU"/>
              </w:rPr>
              <w:t>(c)</w:t>
            </w:r>
          </w:p>
        </w:tc>
        <w:tc>
          <w:tcPr>
            <w:tcW w:w="906" w:type="dxa"/>
            <w:gridSpan w:val="2"/>
            <w:tcBorders>
              <w:top w:val="nil"/>
              <w:left w:val="nil"/>
              <w:right w:val="nil"/>
            </w:tcBorders>
            <w:shd w:val="clear" w:color="auto" w:fill="FFFFFF"/>
          </w:tcPr>
          <w:p w:rsidR="00965D85" w:rsidRPr="004A3962" w:rsidRDefault="00965D85" w:rsidP="008B46DF">
            <w:pPr>
              <w:autoSpaceDE w:val="0"/>
              <w:autoSpaceDN w:val="0"/>
              <w:adjustRightInd w:val="0"/>
              <w:spacing w:after="0"/>
              <w:jc w:val="right"/>
              <w:rPr>
                <w:rFonts w:ascii="Calibri" w:eastAsiaTheme="minorEastAsia" w:hAnsi="Calibri" w:cs="Calibri"/>
                <w:i/>
                <w:iCs/>
                <w:color w:val="000000"/>
                <w:sz w:val="20"/>
                <w:lang w:eastAsia="en-AU"/>
              </w:rPr>
            </w:pPr>
            <w:r>
              <w:rPr>
                <w:rFonts w:ascii="Calibri" w:eastAsiaTheme="minorEastAsia" w:hAnsi="Calibri" w:cs="Calibri"/>
                <w:i/>
                <w:color w:val="000000"/>
                <w:sz w:val="20"/>
                <w:lang w:eastAsia="en-AU"/>
              </w:rPr>
              <w:t>4.3</w:t>
            </w:r>
          </w:p>
        </w:tc>
        <w:tc>
          <w:tcPr>
            <w:tcW w:w="964" w:type="dxa"/>
            <w:tcBorders>
              <w:top w:val="nil"/>
              <w:left w:val="nil"/>
              <w:right w:val="nil"/>
            </w:tcBorders>
            <w:shd w:val="clear" w:color="auto" w:fill="FFFFFF"/>
          </w:tcPr>
          <w:p w:rsidR="00965D85" w:rsidRPr="004A3962" w:rsidRDefault="00965D85" w:rsidP="008B46DF">
            <w:pPr>
              <w:autoSpaceDE w:val="0"/>
              <w:autoSpaceDN w:val="0"/>
              <w:adjustRightInd w:val="0"/>
              <w:spacing w:after="0"/>
              <w:jc w:val="right"/>
              <w:rPr>
                <w:rFonts w:ascii="Calibri" w:eastAsiaTheme="minorEastAsia" w:hAnsi="Calibri" w:cs="Calibri"/>
                <w:i/>
                <w:iCs/>
                <w:color w:val="000000"/>
                <w:sz w:val="20"/>
                <w:lang w:eastAsia="en-AU"/>
              </w:rPr>
            </w:pPr>
            <w:r>
              <w:rPr>
                <w:rFonts w:ascii="Calibri" w:eastAsiaTheme="minorEastAsia" w:hAnsi="Calibri" w:cs="Calibri"/>
                <w:i/>
                <w:color w:val="000000"/>
                <w:sz w:val="20"/>
                <w:lang w:eastAsia="en-AU"/>
              </w:rPr>
              <w:t>2.1</w:t>
            </w:r>
          </w:p>
        </w:tc>
        <w:tc>
          <w:tcPr>
            <w:tcW w:w="964" w:type="dxa"/>
            <w:tcBorders>
              <w:top w:val="nil"/>
              <w:left w:val="nil"/>
              <w:right w:val="nil"/>
            </w:tcBorders>
            <w:shd w:val="clear" w:color="auto" w:fill="FFFFFF"/>
          </w:tcPr>
          <w:p w:rsidR="00965D85" w:rsidRPr="004A3962" w:rsidRDefault="00965D85" w:rsidP="008B46DF">
            <w:pPr>
              <w:autoSpaceDE w:val="0"/>
              <w:autoSpaceDN w:val="0"/>
              <w:adjustRightInd w:val="0"/>
              <w:spacing w:after="0"/>
              <w:jc w:val="right"/>
              <w:rPr>
                <w:rFonts w:ascii="Calibri" w:eastAsiaTheme="minorEastAsia" w:hAnsi="Calibri" w:cs="Calibri"/>
                <w:i/>
                <w:iCs/>
                <w:color w:val="000000"/>
                <w:sz w:val="20"/>
                <w:lang w:eastAsia="en-AU"/>
              </w:rPr>
            </w:pPr>
            <w:r>
              <w:rPr>
                <w:rFonts w:ascii="Calibri" w:eastAsiaTheme="minorEastAsia" w:hAnsi="Calibri" w:cs="Calibri"/>
                <w:i/>
                <w:color w:val="000000"/>
                <w:sz w:val="20"/>
                <w:lang w:eastAsia="en-AU"/>
              </w:rPr>
              <w:t>4.1</w:t>
            </w:r>
          </w:p>
        </w:tc>
        <w:tc>
          <w:tcPr>
            <w:tcW w:w="964" w:type="dxa"/>
            <w:tcBorders>
              <w:top w:val="nil"/>
              <w:left w:val="nil"/>
              <w:right w:val="nil"/>
            </w:tcBorders>
            <w:shd w:val="clear" w:color="auto" w:fill="FFFFFF"/>
          </w:tcPr>
          <w:p w:rsidR="00965D85" w:rsidRPr="004A3962" w:rsidRDefault="00965D85" w:rsidP="008B46DF">
            <w:pPr>
              <w:autoSpaceDE w:val="0"/>
              <w:autoSpaceDN w:val="0"/>
              <w:adjustRightInd w:val="0"/>
              <w:spacing w:after="0"/>
              <w:jc w:val="right"/>
              <w:rPr>
                <w:rFonts w:ascii="Calibri" w:eastAsiaTheme="minorEastAsia" w:hAnsi="Calibri" w:cs="Calibri"/>
                <w:i/>
                <w:iCs/>
                <w:color w:val="000000"/>
                <w:sz w:val="20"/>
                <w:lang w:eastAsia="en-AU"/>
              </w:rPr>
            </w:pPr>
            <w:r>
              <w:rPr>
                <w:rFonts w:ascii="Calibri" w:eastAsiaTheme="minorEastAsia" w:hAnsi="Calibri" w:cs="Calibri"/>
                <w:i/>
                <w:color w:val="000000"/>
                <w:sz w:val="20"/>
                <w:lang w:eastAsia="en-AU"/>
              </w:rPr>
              <w:t>2.3</w:t>
            </w:r>
          </w:p>
        </w:tc>
      </w:tr>
      <w:tr w:rsidR="00965D85" w:rsidRPr="004A3962" w:rsidTr="008B46DF">
        <w:tc>
          <w:tcPr>
            <w:tcW w:w="3969" w:type="dxa"/>
            <w:tcBorders>
              <w:top w:val="nil"/>
              <w:left w:val="nil"/>
              <w:right w:val="nil"/>
            </w:tcBorders>
            <w:shd w:val="clear" w:color="auto" w:fill="FFFFFF"/>
          </w:tcPr>
          <w:p w:rsidR="00965D85" w:rsidRPr="004A3962" w:rsidRDefault="00965D85" w:rsidP="008B46DF">
            <w:pPr>
              <w:autoSpaceDE w:val="0"/>
              <w:autoSpaceDN w:val="0"/>
              <w:adjustRightInd w:val="0"/>
              <w:spacing w:after="0"/>
              <w:ind w:left="227" w:hanging="227"/>
              <w:rPr>
                <w:rFonts w:ascii="Calibri" w:eastAsiaTheme="minorEastAsia" w:hAnsi="Calibri" w:cs="Calibri"/>
                <w:b/>
                <w:bCs/>
                <w:color w:val="000000"/>
                <w:sz w:val="20"/>
                <w:lang w:eastAsia="en-AU"/>
              </w:rPr>
            </w:pPr>
            <w:r w:rsidRPr="004A3962">
              <w:rPr>
                <w:rFonts w:ascii="Calibri" w:eastAsiaTheme="minorEastAsia" w:hAnsi="Calibri" w:cs="Calibri"/>
                <w:b/>
                <w:bCs/>
                <w:color w:val="000000"/>
                <w:sz w:val="20"/>
                <w:lang w:eastAsia="en-AU"/>
              </w:rPr>
              <w:t>Expenses</w:t>
            </w:r>
          </w:p>
        </w:tc>
        <w:tc>
          <w:tcPr>
            <w:tcW w:w="906" w:type="dxa"/>
            <w:gridSpan w:val="2"/>
            <w:tcBorders>
              <w:top w:val="nil"/>
              <w:left w:val="nil"/>
              <w:right w:val="nil"/>
            </w:tcBorders>
            <w:shd w:val="clear" w:color="auto" w:fill="FFFFFF"/>
          </w:tcPr>
          <w:p w:rsidR="00965D85" w:rsidRPr="004A3962"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964" w:type="dxa"/>
            <w:tcBorders>
              <w:top w:val="nil"/>
              <w:left w:val="nil"/>
              <w:right w:val="nil"/>
            </w:tcBorders>
            <w:shd w:val="clear" w:color="auto" w:fill="FFFFFF"/>
          </w:tcPr>
          <w:p w:rsidR="00965D85" w:rsidRPr="004A3962"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964" w:type="dxa"/>
            <w:tcBorders>
              <w:top w:val="nil"/>
              <w:left w:val="nil"/>
              <w:right w:val="nil"/>
            </w:tcBorders>
            <w:shd w:val="clear" w:color="auto" w:fill="FFFFFF"/>
          </w:tcPr>
          <w:p w:rsidR="00965D85" w:rsidRPr="004A3962"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964" w:type="dxa"/>
            <w:tcBorders>
              <w:top w:val="nil"/>
              <w:left w:val="nil"/>
              <w:right w:val="nil"/>
            </w:tcBorders>
            <w:shd w:val="clear" w:color="auto" w:fill="FFFFFF"/>
          </w:tcPr>
          <w:p w:rsidR="00965D85" w:rsidRPr="004A3962"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r>
      <w:tr w:rsidR="00965D85" w:rsidRPr="004A3962" w:rsidTr="008B46DF">
        <w:tc>
          <w:tcPr>
            <w:tcW w:w="3969" w:type="dxa"/>
            <w:tcBorders>
              <w:top w:val="nil"/>
              <w:left w:val="nil"/>
              <w:right w:val="nil"/>
            </w:tcBorders>
            <w:shd w:val="clear" w:color="auto" w:fill="FFFFFF"/>
          </w:tcPr>
          <w:p w:rsidR="00965D85" w:rsidRPr="004A3962"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4A3962">
              <w:rPr>
                <w:rFonts w:ascii="Calibri" w:eastAsiaTheme="minorEastAsia" w:hAnsi="Calibri" w:cs="Calibri"/>
                <w:color w:val="000000"/>
                <w:sz w:val="20"/>
                <w:lang w:eastAsia="en-AU"/>
              </w:rPr>
              <w:t>Employee expenses</w:t>
            </w:r>
          </w:p>
        </w:tc>
        <w:tc>
          <w:tcPr>
            <w:tcW w:w="906" w:type="dxa"/>
            <w:gridSpan w:val="2"/>
            <w:tcBorders>
              <w:top w:val="nil"/>
              <w:left w:val="nil"/>
              <w:right w:val="nil"/>
            </w:tcBorders>
            <w:shd w:val="clear" w:color="auto" w:fill="FFFFFF"/>
          </w:tcPr>
          <w:p w:rsidR="00965D85" w:rsidRPr="004A3962"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4A3962">
              <w:rPr>
                <w:rFonts w:ascii="Calibri" w:eastAsiaTheme="minorEastAsia" w:hAnsi="Calibri" w:cs="Calibri"/>
                <w:color w:val="000000"/>
                <w:sz w:val="20"/>
                <w:lang w:eastAsia="en-AU"/>
              </w:rPr>
              <w:t>20 069</w:t>
            </w:r>
          </w:p>
        </w:tc>
        <w:tc>
          <w:tcPr>
            <w:tcW w:w="964" w:type="dxa"/>
            <w:tcBorders>
              <w:top w:val="nil"/>
              <w:left w:val="nil"/>
              <w:right w:val="nil"/>
            </w:tcBorders>
            <w:shd w:val="clear" w:color="auto" w:fill="FFFFFF"/>
          </w:tcPr>
          <w:p w:rsidR="00965D85" w:rsidRPr="004A3962"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4A3962">
              <w:rPr>
                <w:rFonts w:ascii="Calibri" w:eastAsiaTheme="minorEastAsia" w:hAnsi="Calibri" w:cs="Calibri"/>
                <w:color w:val="000000"/>
                <w:sz w:val="20"/>
                <w:lang w:eastAsia="en-AU"/>
              </w:rPr>
              <w:t>20 768</w:t>
            </w:r>
          </w:p>
        </w:tc>
        <w:tc>
          <w:tcPr>
            <w:tcW w:w="964" w:type="dxa"/>
            <w:tcBorders>
              <w:top w:val="nil"/>
              <w:left w:val="nil"/>
              <w:right w:val="nil"/>
            </w:tcBorders>
            <w:shd w:val="clear" w:color="auto" w:fill="FFFFFF"/>
          </w:tcPr>
          <w:p w:rsidR="00965D85" w:rsidRPr="004A3962"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4A3962">
              <w:rPr>
                <w:rFonts w:ascii="Calibri" w:eastAsiaTheme="minorEastAsia" w:hAnsi="Calibri" w:cs="Calibri"/>
                <w:color w:val="000000"/>
                <w:sz w:val="20"/>
                <w:lang w:eastAsia="en-AU"/>
              </w:rPr>
              <w:t>21 696</w:t>
            </w:r>
          </w:p>
        </w:tc>
        <w:tc>
          <w:tcPr>
            <w:tcW w:w="964" w:type="dxa"/>
            <w:tcBorders>
              <w:top w:val="nil"/>
              <w:left w:val="nil"/>
              <w:right w:val="nil"/>
            </w:tcBorders>
            <w:shd w:val="clear" w:color="auto" w:fill="FFFFFF"/>
          </w:tcPr>
          <w:p w:rsidR="00965D85" w:rsidRPr="004A3962"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4A3962">
              <w:rPr>
                <w:rFonts w:ascii="Calibri" w:eastAsiaTheme="minorEastAsia" w:hAnsi="Calibri" w:cs="Calibri"/>
                <w:color w:val="000000"/>
                <w:sz w:val="20"/>
                <w:lang w:eastAsia="en-AU"/>
              </w:rPr>
              <w:t>22 588</w:t>
            </w:r>
          </w:p>
        </w:tc>
      </w:tr>
      <w:tr w:rsidR="00965D85" w:rsidRPr="004A3962" w:rsidTr="008B46DF">
        <w:tc>
          <w:tcPr>
            <w:tcW w:w="3969" w:type="dxa"/>
            <w:tcBorders>
              <w:top w:val="nil"/>
              <w:left w:val="nil"/>
              <w:right w:val="nil"/>
            </w:tcBorders>
            <w:shd w:val="clear" w:color="auto" w:fill="FFFFFF"/>
          </w:tcPr>
          <w:p w:rsidR="00965D85" w:rsidRPr="004A3962" w:rsidRDefault="00965D85" w:rsidP="008B46DF">
            <w:pPr>
              <w:autoSpaceDE w:val="0"/>
              <w:autoSpaceDN w:val="0"/>
              <w:adjustRightInd w:val="0"/>
              <w:spacing w:after="0"/>
              <w:ind w:left="227" w:hanging="227"/>
              <w:rPr>
                <w:rFonts w:ascii="Calibri" w:eastAsiaTheme="minorEastAsia" w:hAnsi="Calibri" w:cs="Calibri"/>
                <w:color w:val="000000"/>
                <w:sz w:val="20"/>
                <w:vertAlign w:val="superscript"/>
                <w:lang w:eastAsia="en-AU"/>
              </w:rPr>
            </w:pPr>
            <w:r w:rsidRPr="004A3962">
              <w:rPr>
                <w:rFonts w:ascii="Calibri" w:eastAsiaTheme="minorEastAsia" w:hAnsi="Calibri" w:cs="Calibri"/>
                <w:color w:val="000000"/>
                <w:sz w:val="20"/>
                <w:lang w:eastAsia="en-AU"/>
              </w:rPr>
              <w:t xml:space="preserve">Superannuation </w:t>
            </w:r>
            <w:r w:rsidRPr="004A3962">
              <w:rPr>
                <w:rFonts w:ascii="Calibri" w:eastAsiaTheme="minorEastAsia" w:hAnsi="Calibri" w:cs="Calibri"/>
                <w:color w:val="000000"/>
                <w:sz w:val="20"/>
                <w:vertAlign w:val="superscript"/>
                <w:lang w:eastAsia="en-AU"/>
              </w:rPr>
              <w:t>(d)</w:t>
            </w:r>
          </w:p>
        </w:tc>
        <w:tc>
          <w:tcPr>
            <w:tcW w:w="906" w:type="dxa"/>
            <w:gridSpan w:val="2"/>
            <w:tcBorders>
              <w:top w:val="nil"/>
              <w:left w:val="nil"/>
              <w:right w:val="nil"/>
            </w:tcBorders>
            <w:shd w:val="clear" w:color="auto" w:fill="FFFFFF"/>
          </w:tcPr>
          <w:p w:rsidR="00965D85" w:rsidRPr="004A3962"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4A3962">
              <w:rPr>
                <w:rFonts w:ascii="Calibri" w:eastAsiaTheme="minorEastAsia" w:hAnsi="Calibri" w:cs="Calibri"/>
                <w:color w:val="000000"/>
                <w:sz w:val="20"/>
                <w:lang w:eastAsia="en-AU"/>
              </w:rPr>
              <w:t>2 927</w:t>
            </w:r>
          </w:p>
        </w:tc>
        <w:tc>
          <w:tcPr>
            <w:tcW w:w="964" w:type="dxa"/>
            <w:tcBorders>
              <w:top w:val="nil"/>
              <w:left w:val="nil"/>
              <w:right w:val="nil"/>
            </w:tcBorders>
            <w:shd w:val="clear" w:color="auto" w:fill="FFFFFF"/>
          </w:tcPr>
          <w:p w:rsidR="00965D85" w:rsidRPr="004A3962"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4A3962">
              <w:rPr>
                <w:rFonts w:ascii="Calibri" w:eastAsiaTheme="minorEastAsia" w:hAnsi="Calibri" w:cs="Calibri"/>
                <w:color w:val="000000"/>
                <w:sz w:val="20"/>
                <w:lang w:eastAsia="en-AU"/>
              </w:rPr>
              <w:t>2 909</w:t>
            </w:r>
          </w:p>
        </w:tc>
        <w:tc>
          <w:tcPr>
            <w:tcW w:w="964" w:type="dxa"/>
            <w:tcBorders>
              <w:top w:val="nil"/>
              <w:left w:val="nil"/>
              <w:right w:val="nil"/>
            </w:tcBorders>
            <w:shd w:val="clear" w:color="auto" w:fill="FFFFFF"/>
          </w:tcPr>
          <w:p w:rsidR="00965D85" w:rsidRPr="004A3962"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4A3962">
              <w:rPr>
                <w:rFonts w:ascii="Calibri" w:eastAsiaTheme="minorEastAsia" w:hAnsi="Calibri" w:cs="Calibri"/>
                <w:color w:val="000000"/>
                <w:sz w:val="20"/>
                <w:lang w:eastAsia="en-AU"/>
              </w:rPr>
              <w:t>2 909</w:t>
            </w:r>
          </w:p>
        </w:tc>
        <w:tc>
          <w:tcPr>
            <w:tcW w:w="964" w:type="dxa"/>
            <w:tcBorders>
              <w:top w:val="nil"/>
              <w:left w:val="nil"/>
              <w:right w:val="nil"/>
            </w:tcBorders>
            <w:shd w:val="clear" w:color="auto" w:fill="FFFFFF"/>
          </w:tcPr>
          <w:p w:rsidR="00965D85" w:rsidRPr="004A3962"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4A3962">
              <w:rPr>
                <w:rFonts w:ascii="Calibri" w:eastAsiaTheme="minorEastAsia" w:hAnsi="Calibri" w:cs="Calibri"/>
                <w:color w:val="000000"/>
                <w:sz w:val="20"/>
                <w:lang w:eastAsia="en-AU"/>
              </w:rPr>
              <w:t>2 942</w:t>
            </w:r>
          </w:p>
        </w:tc>
      </w:tr>
      <w:tr w:rsidR="00965D85" w:rsidRPr="004A3962" w:rsidTr="008B46DF">
        <w:tc>
          <w:tcPr>
            <w:tcW w:w="3969" w:type="dxa"/>
            <w:tcBorders>
              <w:top w:val="nil"/>
              <w:left w:val="nil"/>
              <w:right w:val="nil"/>
            </w:tcBorders>
            <w:shd w:val="clear" w:color="auto" w:fill="FFFFFF"/>
          </w:tcPr>
          <w:p w:rsidR="00965D85" w:rsidRPr="004A3962"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4A3962">
              <w:rPr>
                <w:rFonts w:ascii="Calibri" w:eastAsiaTheme="minorEastAsia" w:hAnsi="Calibri" w:cs="Calibri"/>
                <w:color w:val="000000"/>
                <w:sz w:val="20"/>
                <w:lang w:eastAsia="en-AU"/>
              </w:rPr>
              <w:t>Depreciation</w:t>
            </w:r>
          </w:p>
        </w:tc>
        <w:tc>
          <w:tcPr>
            <w:tcW w:w="906" w:type="dxa"/>
            <w:gridSpan w:val="2"/>
            <w:tcBorders>
              <w:top w:val="nil"/>
              <w:left w:val="nil"/>
              <w:right w:val="nil"/>
            </w:tcBorders>
            <w:shd w:val="clear" w:color="auto" w:fill="FFFFFF"/>
          </w:tcPr>
          <w:p w:rsidR="00965D85" w:rsidRPr="004A3962"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4A3962">
              <w:rPr>
                <w:rFonts w:ascii="Calibri" w:eastAsiaTheme="minorEastAsia" w:hAnsi="Calibri" w:cs="Calibri"/>
                <w:color w:val="000000"/>
                <w:sz w:val="20"/>
                <w:lang w:eastAsia="en-AU"/>
              </w:rPr>
              <w:t>2 510</w:t>
            </w:r>
          </w:p>
        </w:tc>
        <w:tc>
          <w:tcPr>
            <w:tcW w:w="964" w:type="dxa"/>
            <w:tcBorders>
              <w:top w:val="nil"/>
              <w:left w:val="nil"/>
              <w:right w:val="nil"/>
            </w:tcBorders>
            <w:shd w:val="clear" w:color="auto" w:fill="FFFFFF"/>
          </w:tcPr>
          <w:p w:rsidR="00965D85" w:rsidRPr="004A3962"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4A3962">
              <w:rPr>
                <w:rFonts w:ascii="Calibri" w:eastAsiaTheme="minorEastAsia" w:hAnsi="Calibri" w:cs="Calibri"/>
                <w:color w:val="000000"/>
                <w:sz w:val="20"/>
                <w:lang w:eastAsia="en-AU"/>
              </w:rPr>
              <w:t>2 657</w:t>
            </w:r>
          </w:p>
        </w:tc>
        <w:tc>
          <w:tcPr>
            <w:tcW w:w="964" w:type="dxa"/>
            <w:tcBorders>
              <w:top w:val="nil"/>
              <w:left w:val="nil"/>
              <w:right w:val="nil"/>
            </w:tcBorders>
            <w:shd w:val="clear" w:color="auto" w:fill="FFFFFF"/>
          </w:tcPr>
          <w:p w:rsidR="00965D85" w:rsidRPr="004A3962"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4A3962">
              <w:rPr>
                <w:rFonts w:ascii="Calibri" w:eastAsiaTheme="minorEastAsia" w:hAnsi="Calibri" w:cs="Calibri"/>
                <w:color w:val="000000"/>
                <w:sz w:val="20"/>
                <w:lang w:eastAsia="en-AU"/>
              </w:rPr>
              <w:t>2 820</w:t>
            </w:r>
          </w:p>
        </w:tc>
        <w:tc>
          <w:tcPr>
            <w:tcW w:w="964" w:type="dxa"/>
            <w:tcBorders>
              <w:top w:val="nil"/>
              <w:left w:val="nil"/>
              <w:right w:val="nil"/>
            </w:tcBorders>
            <w:shd w:val="clear" w:color="auto" w:fill="FFFFFF"/>
          </w:tcPr>
          <w:p w:rsidR="00965D85" w:rsidRPr="004A3962"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4A3962">
              <w:rPr>
                <w:rFonts w:ascii="Calibri" w:eastAsiaTheme="minorEastAsia" w:hAnsi="Calibri" w:cs="Calibri"/>
                <w:color w:val="000000"/>
                <w:sz w:val="20"/>
                <w:lang w:eastAsia="en-AU"/>
              </w:rPr>
              <w:t>3 070</w:t>
            </w:r>
          </w:p>
        </w:tc>
      </w:tr>
      <w:tr w:rsidR="00965D85" w:rsidRPr="004A3962" w:rsidTr="008B46DF">
        <w:tc>
          <w:tcPr>
            <w:tcW w:w="3969" w:type="dxa"/>
            <w:tcBorders>
              <w:top w:val="nil"/>
              <w:left w:val="nil"/>
              <w:right w:val="nil"/>
            </w:tcBorders>
            <w:shd w:val="clear" w:color="auto" w:fill="FFFFFF"/>
          </w:tcPr>
          <w:p w:rsidR="00965D85" w:rsidRPr="004A3962"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4A3962">
              <w:rPr>
                <w:rFonts w:ascii="Calibri" w:eastAsiaTheme="minorEastAsia" w:hAnsi="Calibri" w:cs="Calibri"/>
                <w:color w:val="000000"/>
                <w:sz w:val="20"/>
                <w:lang w:eastAsia="en-AU"/>
              </w:rPr>
              <w:t>Interest expense</w:t>
            </w:r>
          </w:p>
        </w:tc>
        <w:tc>
          <w:tcPr>
            <w:tcW w:w="906" w:type="dxa"/>
            <w:gridSpan w:val="2"/>
            <w:tcBorders>
              <w:top w:val="nil"/>
              <w:left w:val="nil"/>
              <w:right w:val="nil"/>
            </w:tcBorders>
            <w:shd w:val="clear" w:color="auto" w:fill="FFFFFF"/>
          </w:tcPr>
          <w:p w:rsidR="00965D85" w:rsidRPr="004A3962"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4A3962">
              <w:rPr>
                <w:rFonts w:ascii="Calibri" w:eastAsiaTheme="minorEastAsia" w:hAnsi="Calibri" w:cs="Calibri"/>
                <w:color w:val="000000"/>
                <w:sz w:val="20"/>
                <w:lang w:eastAsia="en-AU"/>
              </w:rPr>
              <w:t>2 132</w:t>
            </w:r>
          </w:p>
        </w:tc>
        <w:tc>
          <w:tcPr>
            <w:tcW w:w="964" w:type="dxa"/>
            <w:tcBorders>
              <w:top w:val="nil"/>
              <w:left w:val="nil"/>
              <w:right w:val="nil"/>
            </w:tcBorders>
            <w:shd w:val="clear" w:color="auto" w:fill="FFFFFF"/>
          </w:tcPr>
          <w:p w:rsidR="00965D85" w:rsidRPr="004A3962"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4A3962">
              <w:rPr>
                <w:rFonts w:ascii="Calibri" w:eastAsiaTheme="minorEastAsia" w:hAnsi="Calibri" w:cs="Calibri"/>
                <w:color w:val="000000"/>
                <w:sz w:val="20"/>
                <w:lang w:eastAsia="en-AU"/>
              </w:rPr>
              <w:t>2 108</w:t>
            </w:r>
          </w:p>
        </w:tc>
        <w:tc>
          <w:tcPr>
            <w:tcW w:w="964" w:type="dxa"/>
            <w:tcBorders>
              <w:top w:val="nil"/>
              <w:left w:val="nil"/>
              <w:right w:val="nil"/>
            </w:tcBorders>
            <w:shd w:val="clear" w:color="auto" w:fill="FFFFFF"/>
          </w:tcPr>
          <w:p w:rsidR="00965D85" w:rsidRPr="004A3962"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4A3962">
              <w:rPr>
                <w:rFonts w:ascii="Calibri" w:eastAsiaTheme="minorEastAsia" w:hAnsi="Calibri" w:cs="Calibri"/>
                <w:color w:val="000000"/>
                <w:sz w:val="20"/>
                <w:lang w:eastAsia="en-AU"/>
              </w:rPr>
              <w:t>2 167</w:t>
            </w:r>
          </w:p>
        </w:tc>
        <w:tc>
          <w:tcPr>
            <w:tcW w:w="964" w:type="dxa"/>
            <w:tcBorders>
              <w:top w:val="nil"/>
              <w:left w:val="nil"/>
              <w:right w:val="nil"/>
            </w:tcBorders>
            <w:shd w:val="clear" w:color="auto" w:fill="FFFFFF"/>
          </w:tcPr>
          <w:p w:rsidR="00965D85" w:rsidRPr="004A3962"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4A3962">
              <w:rPr>
                <w:rFonts w:ascii="Calibri" w:eastAsiaTheme="minorEastAsia" w:hAnsi="Calibri" w:cs="Calibri"/>
                <w:color w:val="000000"/>
                <w:sz w:val="20"/>
                <w:lang w:eastAsia="en-AU"/>
              </w:rPr>
              <w:t>2 160</w:t>
            </w:r>
          </w:p>
        </w:tc>
      </w:tr>
      <w:tr w:rsidR="00965D85" w:rsidRPr="004A3962" w:rsidTr="008B46DF">
        <w:tc>
          <w:tcPr>
            <w:tcW w:w="3969" w:type="dxa"/>
            <w:tcBorders>
              <w:top w:val="nil"/>
              <w:left w:val="nil"/>
              <w:right w:val="nil"/>
            </w:tcBorders>
            <w:shd w:val="clear" w:color="auto" w:fill="FFFFFF"/>
          </w:tcPr>
          <w:p w:rsidR="00965D85" w:rsidRPr="004A3962"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4A3962">
              <w:rPr>
                <w:rFonts w:ascii="Calibri" w:eastAsiaTheme="minorEastAsia" w:hAnsi="Calibri" w:cs="Calibri"/>
                <w:color w:val="000000"/>
                <w:sz w:val="20"/>
                <w:lang w:eastAsia="en-AU"/>
              </w:rPr>
              <w:t>Other operating expenses</w:t>
            </w:r>
          </w:p>
        </w:tc>
        <w:tc>
          <w:tcPr>
            <w:tcW w:w="906" w:type="dxa"/>
            <w:gridSpan w:val="2"/>
            <w:tcBorders>
              <w:top w:val="nil"/>
              <w:left w:val="nil"/>
              <w:right w:val="nil"/>
            </w:tcBorders>
            <w:shd w:val="clear" w:color="auto" w:fill="FFFFFF"/>
          </w:tcPr>
          <w:p w:rsidR="00965D85" w:rsidRPr="004A3962"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4A3962">
              <w:rPr>
                <w:rFonts w:ascii="Calibri" w:eastAsiaTheme="minorEastAsia" w:hAnsi="Calibri" w:cs="Calibri"/>
                <w:color w:val="000000"/>
                <w:sz w:val="20"/>
                <w:lang w:eastAsia="en-AU"/>
              </w:rPr>
              <w:t>18 271</w:t>
            </w:r>
          </w:p>
        </w:tc>
        <w:tc>
          <w:tcPr>
            <w:tcW w:w="964" w:type="dxa"/>
            <w:tcBorders>
              <w:top w:val="nil"/>
              <w:left w:val="nil"/>
              <w:right w:val="nil"/>
            </w:tcBorders>
            <w:shd w:val="clear" w:color="auto" w:fill="FFFFFF"/>
          </w:tcPr>
          <w:p w:rsidR="00965D85" w:rsidRPr="004A3962"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4A3962">
              <w:rPr>
                <w:rFonts w:ascii="Calibri" w:eastAsiaTheme="minorEastAsia" w:hAnsi="Calibri" w:cs="Calibri"/>
                <w:color w:val="000000"/>
                <w:sz w:val="20"/>
                <w:lang w:eastAsia="en-AU"/>
              </w:rPr>
              <w:t>18 080</w:t>
            </w:r>
          </w:p>
        </w:tc>
        <w:tc>
          <w:tcPr>
            <w:tcW w:w="964" w:type="dxa"/>
            <w:tcBorders>
              <w:top w:val="nil"/>
              <w:left w:val="nil"/>
              <w:right w:val="nil"/>
            </w:tcBorders>
            <w:shd w:val="clear" w:color="auto" w:fill="FFFFFF"/>
          </w:tcPr>
          <w:p w:rsidR="00965D85" w:rsidRPr="004A3962"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4A3962">
              <w:rPr>
                <w:rFonts w:ascii="Calibri" w:eastAsiaTheme="minorEastAsia" w:hAnsi="Calibri" w:cs="Calibri"/>
                <w:color w:val="000000"/>
                <w:sz w:val="20"/>
                <w:lang w:eastAsia="en-AU"/>
              </w:rPr>
              <w:t>18 664</w:t>
            </w:r>
          </w:p>
        </w:tc>
        <w:tc>
          <w:tcPr>
            <w:tcW w:w="964" w:type="dxa"/>
            <w:tcBorders>
              <w:top w:val="nil"/>
              <w:left w:val="nil"/>
              <w:right w:val="nil"/>
            </w:tcBorders>
            <w:shd w:val="clear" w:color="auto" w:fill="FFFFFF"/>
          </w:tcPr>
          <w:p w:rsidR="00965D85" w:rsidRPr="004A3962"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4A3962">
              <w:rPr>
                <w:rFonts w:ascii="Calibri" w:eastAsiaTheme="minorEastAsia" w:hAnsi="Calibri" w:cs="Calibri"/>
                <w:color w:val="000000"/>
                <w:sz w:val="20"/>
                <w:lang w:eastAsia="en-AU"/>
              </w:rPr>
              <w:t>18 917</w:t>
            </w:r>
          </w:p>
        </w:tc>
      </w:tr>
      <w:tr w:rsidR="00965D85" w:rsidRPr="004A3962" w:rsidTr="008B46DF">
        <w:tc>
          <w:tcPr>
            <w:tcW w:w="3969" w:type="dxa"/>
            <w:tcBorders>
              <w:top w:val="nil"/>
              <w:left w:val="nil"/>
              <w:bottom w:val="single" w:sz="6" w:space="0" w:color="000000"/>
              <w:right w:val="nil"/>
            </w:tcBorders>
            <w:shd w:val="clear" w:color="auto" w:fill="FFFFFF"/>
          </w:tcPr>
          <w:p w:rsidR="00965D85" w:rsidRPr="004A3962"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4A3962">
              <w:rPr>
                <w:rFonts w:ascii="Calibri" w:eastAsiaTheme="minorEastAsia" w:hAnsi="Calibri" w:cs="Calibri"/>
                <w:color w:val="000000"/>
                <w:sz w:val="20"/>
                <w:lang w:eastAsia="en-AU"/>
              </w:rPr>
              <w:t>Grants and other transfers</w:t>
            </w:r>
          </w:p>
        </w:tc>
        <w:tc>
          <w:tcPr>
            <w:tcW w:w="906" w:type="dxa"/>
            <w:gridSpan w:val="2"/>
            <w:tcBorders>
              <w:top w:val="nil"/>
              <w:left w:val="nil"/>
              <w:bottom w:val="single" w:sz="6" w:space="0" w:color="000000"/>
              <w:right w:val="nil"/>
            </w:tcBorders>
            <w:shd w:val="clear" w:color="auto" w:fill="FFFFFF"/>
          </w:tcPr>
          <w:p w:rsidR="00965D85" w:rsidRPr="004A3962"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4A3962">
              <w:rPr>
                <w:rFonts w:ascii="Calibri" w:eastAsiaTheme="minorEastAsia" w:hAnsi="Calibri" w:cs="Calibri"/>
                <w:color w:val="000000"/>
                <w:sz w:val="20"/>
                <w:lang w:eastAsia="en-AU"/>
              </w:rPr>
              <w:t>8 446</w:t>
            </w:r>
          </w:p>
        </w:tc>
        <w:tc>
          <w:tcPr>
            <w:tcW w:w="964" w:type="dxa"/>
            <w:tcBorders>
              <w:top w:val="nil"/>
              <w:left w:val="nil"/>
              <w:bottom w:val="single" w:sz="6" w:space="0" w:color="000000"/>
              <w:right w:val="nil"/>
            </w:tcBorders>
            <w:shd w:val="clear" w:color="auto" w:fill="FFFFFF"/>
          </w:tcPr>
          <w:p w:rsidR="00965D85" w:rsidRPr="004A3962"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4A3962">
              <w:rPr>
                <w:rFonts w:ascii="Calibri" w:eastAsiaTheme="minorEastAsia" w:hAnsi="Calibri" w:cs="Calibri"/>
                <w:color w:val="000000"/>
                <w:sz w:val="20"/>
                <w:lang w:eastAsia="en-AU"/>
              </w:rPr>
              <w:t>9 170</w:t>
            </w:r>
          </w:p>
        </w:tc>
        <w:tc>
          <w:tcPr>
            <w:tcW w:w="964" w:type="dxa"/>
            <w:tcBorders>
              <w:top w:val="nil"/>
              <w:left w:val="nil"/>
              <w:bottom w:val="single" w:sz="6" w:space="0" w:color="000000"/>
              <w:right w:val="nil"/>
            </w:tcBorders>
            <w:shd w:val="clear" w:color="auto" w:fill="FFFFFF"/>
          </w:tcPr>
          <w:p w:rsidR="00965D85" w:rsidRPr="004A3962"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4A3962">
              <w:rPr>
                <w:rFonts w:ascii="Calibri" w:eastAsiaTheme="minorEastAsia" w:hAnsi="Calibri" w:cs="Calibri"/>
                <w:color w:val="000000"/>
                <w:sz w:val="20"/>
                <w:lang w:eastAsia="en-AU"/>
              </w:rPr>
              <w:t>9 499</w:t>
            </w:r>
          </w:p>
        </w:tc>
        <w:tc>
          <w:tcPr>
            <w:tcW w:w="964" w:type="dxa"/>
            <w:tcBorders>
              <w:top w:val="nil"/>
              <w:left w:val="nil"/>
              <w:bottom w:val="single" w:sz="6" w:space="0" w:color="000000"/>
              <w:right w:val="nil"/>
            </w:tcBorders>
            <w:shd w:val="clear" w:color="auto" w:fill="FFFFFF"/>
          </w:tcPr>
          <w:p w:rsidR="00965D85" w:rsidRPr="004A3962"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4A3962">
              <w:rPr>
                <w:rFonts w:ascii="Calibri" w:eastAsiaTheme="minorEastAsia" w:hAnsi="Calibri" w:cs="Calibri"/>
                <w:color w:val="000000"/>
                <w:sz w:val="20"/>
                <w:lang w:eastAsia="en-AU"/>
              </w:rPr>
              <w:t>9 767</w:t>
            </w:r>
          </w:p>
        </w:tc>
      </w:tr>
      <w:tr w:rsidR="00965D85" w:rsidRPr="004A3962" w:rsidTr="008B46DF">
        <w:tc>
          <w:tcPr>
            <w:tcW w:w="3969" w:type="dxa"/>
            <w:tcBorders>
              <w:top w:val="single" w:sz="6" w:space="0" w:color="000000"/>
              <w:left w:val="nil"/>
              <w:right w:val="nil"/>
            </w:tcBorders>
            <w:shd w:val="clear" w:color="auto" w:fill="FFFFFF"/>
          </w:tcPr>
          <w:p w:rsidR="00965D85" w:rsidRPr="004A3962" w:rsidRDefault="00965D85" w:rsidP="008B46DF">
            <w:pPr>
              <w:autoSpaceDE w:val="0"/>
              <w:autoSpaceDN w:val="0"/>
              <w:adjustRightInd w:val="0"/>
              <w:spacing w:after="0"/>
              <w:ind w:left="227" w:hanging="227"/>
              <w:rPr>
                <w:rFonts w:ascii="Calibri" w:eastAsiaTheme="minorEastAsia" w:hAnsi="Calibri" w:cs="Calibri"/>
                <w:b/>
                <w:bCs/>
                <w:color w:val="000000"/>
                <w:sz w:val="20"/>
                <w:lang w:eastAsia="en-AU"/>
              </w:rPr>
            </w:pPr>
            <w:r w:rsidRPr="004A3962">
              <w:rPr>
                <w:rFonts w:ascii="Calibri" w:eastAsiaTheme="minorEastAsia" w:hAnsi="Calibri" w:cs="Calibri"/>
                <w:b/>
                <w:bCs/>
                <w:color w:val="000000"/>
                <w:sz w:val="20"/>
                <w:lang w:eastAsia="en-AU"/>
              </w:rPr>
              <w:t>Total expenses</w:t>
            </w:r>
          </w:p>
        </w:tc>
        <w:tc>
          <w:tcPr>
            <w:tcW w:w="906" w:type="dxa"/>
            <w:gridSpan w:val="2"/>
            <w:tcBorders>
              <w:top w:val="single" w:sz="6" w:space="0" w:color="000000"/>
              <w:left w:val="nil"/>
              <w:right w:val="nil"/>
            </w:tcBorders>
            <w:shd w:val="clear" w:color="auto" w:fill="FFFFFF"/>
          </w:tcPr>
          <w:p w:rsidR="00965D85" w:rsidRPr="004A3962"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4A3962">
              <w:rPr>
                <w:rFonts w:ascii="Calibri" w:eastAsiaTheme="minorEastAsia" w:hAnsi="Calibri" w:cs="Calibri"/>
                <w:b/>
                <w:bCs/>
                <w:color w:val="000000"/>
                <w:sz w:val="20"/>
                <w:lang w:eastAsia="en-AU"/>
              </w:rPr>
              <w:t>54 355</w:t>
            </w:r>
          </w:p>
        </w:tc>
        <w:tc>
          <w:tcPr>
            <w:tcW w:w="964" w:type="dxa"/>
            <w:tcBorders>
              <w:top w:val="single" w:sz="6" w:space="0" w:color="000000"/>
              <w:left w:val="nil"/>
              <w:right w:val="nil"/>
            </w:tcBorders>
            <w:shd w:val="clear" w:color="auto" w:fill="FFFFFF"/>
          </w:tcPr>
          <w:p w:rsidR="00965D85" w:rsidRPr="004A3962"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4A3962">
              <w:rPr>
                <w:rFonts w:ascii="Calibri" w:eastAsiaTheme="minorEastAsia" w:hAnsi="Calibri" w:cs="Calibri"/>
                <w:b/>
                <w:bCs/>
                <w:color w:val="000000"/>
                <w:sz w:val="20"/>
                <w:lang w:eastAsia="en-AU"/>
              </w:rPr>
              <w:t>55 691</w:t>
            </w:r>
          </w:p>
        </w:tc>
        <w:tc>
          <w:tcPr>
            <w:tcW w:w="964" w:type="dxa"/>
            <w:tcBorders>
              <w:top w:val="single" w:sz="6" w:space="0" w:color="000000"/>
              <w:left w:val="nil"/>
              <w:right w:val="nil"/>
            </w:tcBorders>
            <w:shd w:val="clear" w:color="auto" w:fill="FFFFFF"/>
          </w:tcPr>
          <w:p w:rsidR="00965D85" w:rsidRPr="004A3962"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4A3962">
              <w:rPr>
                <w:rFonts w:ascii="Calibri" w:eastAsiaTheme="minorEastAsia" w:hAnsi="Calibri" w:cs="Calibri"/>
                <w:b/>
                <w:bCs/>
                <w:color w:val="000000"/>
                <w:sz w:val="20"/>
                <w:lang w:eastAsia="en-AU"/>
              </w:rPr>
              <w:t>57 756</w:t>
            </w:r>
          </w:p>
        </w:tc>
        <w:tc>
          <w:tcPr>
            <w:tcW w:w="964" w:type="dxa"/>
            <w:tcBorders>
              <w:top w:val="single" w:sz="6" w:space="0" w:color="000000"/>
              <w:left w:val="nil"/>
              <w:right w:val="nil"/>
            </w:tcBorders>
            <w:shd w:val="clear" w:color="auto" w:fill="FFFFFF"/>
          </w:tcPr>
          <w:p w:rsidR="00965D85" w:rsidRPr="004A3962"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4A3962">
              <w:rPr>
                <w:rFonts w:ascii="Calibri" w:eastAsiaTheme="minorEastAsia" w:hAnsi="Calibri" w:cs="Calibri"/>
                <w:b/>
                <w:bCs/>
                <w:color w:val="000000"/>
                <w:sz w:val="20"/>
                <w:lang w:eastAsia="en-AU"/>
              </w:rPr>
              <w:t>59 443</w:t>
            </w:r>
          </w:p>
        </w:tc>
      </w:tr>
      <w:tr w:rsidR="00965D85" w:rsidRPr="004A3962" w:rsidTr="008B46DF">
        <w:tc>
          <w:tcPr>
            <w:tcW w:w="3969" w:type="dxa"/>
            <w:tcBorders>
              <w:top w:val="nil"/>
              <w:left w:val="nil"/>
              <w:right w:val="nil"/>
            </w:tcBorders>
            <w:shd w:val="clear" w:color="auto" w:fill="FFFFFF"/>
          </w:tcPr>
          <w:p w:rsidR="00965D85" w:rsidRPr="004A3962" w:rsidRDefault="00965D85" w:rsidP="008B46DF">
            <w:pPr>
              <w:autoSpaceDE w:val="0"/>
              <w:autoSpaceDN w:val="0"/>
              <w:adjustRightInd w:val="0"/>
              <w:spacing w:after="0"/>
              <w:ind w:left="227" w:hanging="227"/>
              <w:rPr>
                <w:rFonts w:ascii="Calibri" w:eastAsiaTheme="minorEastAsia" w:hAnsi="Calibri" w:cs="Calibri"/>
                <w:i/>
                <w:color w:val="000000"/>
                <w:sz w:val="20"/>
                <w:vertAlign w:val="superscript"/>
                <w:lang w:eastAsia="en-AU"/>
              </w:rPr>
            </w:pPr>
            <w:r w:rsidRPr="004A3962">
              <w:rPr>
                <w:rFonts w:ascii="Calibri" w:eastAsiaTheme="minorEastAsia" w:hAnsi="Calibri" w:cs="Calibri"/>
                <w:i/>
                <w:color w:val="000000"/>
                <w:sz w:val="20"/>
                <w:lang w:eastAsia="en-AU"/>
              </w:rPr>
              <w:t xml:space="preserve">% change </w:t>
            </w:r>
            <w:r w:rsidRPr="004A3962">
              <w:rPr>
                <w:rFonts w:ascii="Calibri" w:eastAsiaTheme="minorEastAsia" w:hAnsi="Calibri" w:cs="Calibri"/>
                <w:i/>
                <w:color w:val="000000"/>
                <w:sz w:val="20"/>
                <w:vertAlign w:val="superscript"/>
                <w:lang w:eastAsia="en-AU"/>
              </w:rPr>
              <w:t>(c)</w:t>
            </w:r>
          </w:p>
        </w:tc>
        <w:tc>
          <w:tcPr>
            <w:tcW w:w="906" w:type="dxa"/>
            <w:gridSpan w:val="2"/>
            <w:tcBorders>
              <w:top w:val="nil"/>
              <w:left w:val="nil"/>
              <w:right w:val="nil"/>
            </w:tcBorders>
            <w:shd w:val="clear" w:color="auto" w:fill="FFFFFF"/>
          </w:tcPr>
          <w:p w:rsidR="00965D85" w:rsidRPr="004A3962" w:rsidRDefault="00965D85" w:rsidP="008B46DF">
            <w:pPr>
              <w:autoSpaceDE w:val="0"/>
              <w:autoSpaceDN w:val="0"/>
              <w:adjustRightInd w:val="0"/>
              <w:spacing w:after="0"/>
              <w:jc w:val="right"/>
              <w:rPr>
                <w:rFonts w:ascii="Calibri" w:eastAsiaTheme="minorEastAsia" w:hAnsi="Calibri" w:cs="Calibri"/>
                <w:i/>
                <w:iCs/>
                <w:color w:val="000000"/>
                <w:sz w:val="20"/>
                <w:lang w:eastAsia="en-AU"/>
              </w:rPr>
            </w:pPr>
            <w:r>
              <w:rPr>
                <w:rFonts w:ascii="Calibri" w:eastAsiaTheme="minorEastAsia" w:hAnsi="Calibri" w:cs="Calibri"/>
                <w:i/>
                <w:color w:val="000000"/>
                <w:sz w:val="20"/>
                <w:lang w:eastAsia="en-AU"/>
              </w:rPr>
              <w:t>3.4</w:t>
            </w:r>
          </w:p>
        </w:tc>
        <w:tc>
          <w:tcPr>
            <w:tcW w:w="964" w:type="dxa"/>
            <w:tcBorders>
              <w:top w:val="nil"/>
              <w:left w:val="nil"/>
              <w:right w:val="nil"/>
            </w:tcBorders>
            <w:shd w:val="clear" w:color="auto" w:fill="FFFFFF"/>
          </w:tcPr>
          <w:p w:rsidR="00965D85" w:rsidRPr="004A3962" w:rsidRDefault="00965D85" w:rsidP="008B46DF">
            <w:pPr>
              <w:autoSpaceDE w:val="0"/>
              <w:autoSpaceDN w:val="0"/>
              <w:adjustRightInd w:val="0"/>
              <w:spacing w:after="0"/>
              <w:jc w:val="right"/>
              <w:rPr>
                <w:rFonts w:ascii="Calibri" w:eastAsiaTheme="minorEastAsia" w:hAnsi="Calibri" w:cs="Calibri"/>
                <w:i/>
                <w:iCs/>
                <w:color w:val="000000"/>
                <w:sz w:val="20"/>
                <w:lang w:eastAsia="en-AU"/>
              </w:rPr>
            </w:pPr>
            <w:r>
              <w:rPr>
                <w:rFonts w:ascii="Calibri" w:eastAsiaTheme="minorEastAsia" w:hAnsi="Calibri" w:cs="Calibri"/>
                <w:i/>
                <w:color w:val="000000"/>
                <w:sz w:val="20"/>
                <w:lang w:eastAsia="en-AU"/>
              </w:rPr>
              <w:t>2.5</w:t>
            </w:r>
          </w:p>
        </w:tc>
        <w:tc>
          <w:tcPr>
            <w:tcW w:w="964" w:type="dxa"/>
            <w:tcBorders>
              <w:top w:val="nil"/>
              <w:left w:val="nil"/>
              <w:right w:val="nil"/>
            </w:tcBorders>
            <w:shd w:val="clear" w:color="auto" w:fill="FFFFFF"/>
          </w:tcPr>
          <w:p w:rsidR="00965D85" w:rsidRPr="004A3962" w:rsidRDefault="00965D85" w:rsidP="008B46DF">
            <w:pPr>
              <w:autoSpaceDE w:val="0"/>
              <w:autoSpaceDN w:val="0"/>
              <w:adjustRightInd w:val="0"/>
              <w:spacing w:after="0"/>
              <w:jc w:val="right"/>
              <w:rPr>
                <w:rFonts w:ascii="Calibri" w:eastAsiaTheme="minorEastAsia" w:hAnsi="Calibri" w:cs="Calibri"/>
                <w:i/>
                <w:iCs/>
                <w:color w:val="000000"/>
                <w:sz w:val="20"/>
                <w:lang w:eastAsia="en-AU"/>
              </w:rPr>
            </w:pPr>
            <w:r>
              <w:rPr>
                <w:rFonts w:ascii="Calibri" w:eastAsiaTheme="minorEastAsia" w:hAnsi="Calibri" w:cs="Calibri"/>
                <w:i/>
                <w:color w:val="000000"/>
                <w:sz w:val="20"/>
                <w:lang w:eastAsia="en-AU"/>
              </w:rPr>
              <w:t>3.7</w:t>
            </w:r>
          </w:p>
        </w:tc>
        <w:tc>
          <w:tcPr>
            <w:tcW w:w="964" w:type="dxa"/>
            <w:tcBorders>
              <w:top w:val="nil"/>
              <w:left w:val="nil"/>
              <w:right w:val="nil"/>
            </w:tcBorders>
            <w:shd w:val="clear" w:color="auto" w:fill="FFFFFF"/>
          </w:tcPr>
          <w:p w:rsidR="00965D85" w:rsidRPr="004A3962" w:rsidRDefault="00965D85" w:rsidP="008B46DF">
            <w:pPr>
              <w:autoSpaceDE w:val="0"/>
              <w:autoSpaceDN w:val="0"/>
              <w:adjustRightInd w:val="0"/>
              <w:spacing w:after="0"/>
              <w:jc w:val="right"/>
              <w:rPr>
                <w:rFonts w:ascii="Calibri" w:eastAsiaTheme="minorEastAsia" w:hAnsi="Calibri" w:cs="Calibri"/>
                <w:i/>
                <w:iCs/>
                <w:color w:val="000000"/>
                <w:sz w:val="20"/>
                <w:lang w:eastAsia="en-AU"/>
              </w:rPr>
            </w:pPr>
            <w:r>
              <w:rPr>
                <w:rFonts w:ascii="Calibri" w:eastAsiaTheme="minorEastAsia" w:hAnsi="Calibri" w:cs="Calibri"/>
                <w:i/>
                <w:color w:val="000000"/>
                <w:sz w:val="20"/>
                <w:lang w:eastAsia="en-AU"/>
              </w:rPr>
              <w:t>2.9</w:t>
            </w:r>
          </w:p>
        </w:tc>
      </w:tr>
      <w:tr w:rsidR="00965D85" w:rsidRPr="004A3962" w:rsidTr="008B46DF">
        <w:tc>
          <w:tcPr>
            <w:tcW w:w="3969" w:type="dxa"/>
            <w:tcBorders>
              <w:top w:val="nil"/>
              <w:left w:val="nil"/>
              <w:bottom w:val="single" w:sz="6" w:space="0" w:color="000000"/>
              <w:right w:val="nil"/>
            </w:tcBorders>
            <w:shd w:val="clear" w:color="auto" w:fill="FFFFFF"/>
          </w:tcPr>
          <w:p w:rsidR="00965D85" w:rsidRPr="004A3962" w:rsidRDefault="00965D85" w:rsidP="008B46DF">
            <w:pPr>
              <w:autoSpaceDE w:val="0"/>
              <w:autoSpaceDN w:val="0"/>
              <w:adjustRightInd w:val="0"/>
              <w:spacing w:after="0"/>
              <w:ind w:left="227" w:hanging="227"/>
              <w:rPr>
                <w:rFonts w:ascii="Calibri" w:eastAsiaTheme="minorEastAsia" w:hAnsi="Calibri" w:cs="Calibri"/>
                <w:b/>
                <w:bCs/>
                <w:color w:val="000000"/>
                <w:sz w:val="20"/>
                <w:lang w:eastAsia="en-AU"/>
              </w:rPr>
            </w:pPr>
            <w:r w:rsidRPr="004A3962">
              <w:rPr>
                <w:rFonts w:ascii="Calibri" w:eastAsiaTheme="minorEastAsia" w:hAnsi="Calibri" w:cs="Calibri"/>
                <w:b/>
                <w:bCs/>
                <w:color w:val="000000"/>
                <w:sz w:val="20"/>
                <w:lang w:eastAsia="en-AU"/>
              </w:rPr>
              <w:t>Net result from transactions</w:t>
            </w:r>
          </w:p>
        </w:tc>
        <w:tc>
          <w:tcPr>
            <w:tcW w:w="906" w:type="dxa"/>
            <w:gridSpan w:val="2"/>
            <w:tcBorders>
              <w:top w:val="nil"/>
              <w:left w:val="nil"/>
              <w:bottom w:val="single" w:sz="6" w:space="0" w:color="000000"/>
              <w:right w:val="nil"/>
            </w:tcBorders>
            <w:shd w:val="clear" w:color="auto" w:fill="FFFFFF"/>
          </w:tcPr>
          <w:p w:rsidR="00965D85" w:rsidRPr="004A3962"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4A3962">
              <w:rPr>
                <w:rFonts w:ascii="Calibri" w:eastAsiaTheme="minorEastAsia" w:hAnsi="Calibri" w:cs="Calibri"/>
                <w:b/>
                <w:bCs/>
                <w:color w:val="000000"/>
                <w:sz w:val="20"/>
                <w:lang w:eastAsia="en-AU"/>
              </w:rPr>
              <w:t>1 712</w:t>
            </w:r>
          </w:p>
        </w:tc>
        <w:tc>
          <w:tcPr>
            <w:tcW w:w="964" w:type="dxa"/>
            <w:tcBorders>
              <w:top w:val="nil"/>
              <w:left w:val="nil"/>
              <w:bottom w:val="single" w:sz="6" w:space="0" w:color="000000"/>
              <w:right w:val="nil"/>
            </w:tcBorders>
            <w:shd w:val="clear" w:color="auto" w:fill="FFFFFF"/>
          </w:tcPr>
          <w:p w:rsidR="00965D85" w:rsidRPr="004A3962"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4A3962">
              <w:rPr>
                <w:rFonts w:ascii="Calibri" w:eastAsiaTheme="minorEastAsia" w:hAnsi="Calibri" w:cs="Calibri"/>
                <w:b/>
                <w:bCs/>
                <w:color w:val="000000"/>
                <w:sz w:val="20"/>
                <w:lang w:eastAsia="en-AU"/>
              </w:rPr>
              <w:t>1 544</w:t>
            </w:r>
          </w:p>
        </w:tc>
        <w:tc>
          <w:tcPr>
            <w:tcW w:w="964" w:type="dxa"/>
            <w:tcBorders>
              <w:top w:val="nil"/>
              <w:left w:val="nil"/>
              <w:bottom w:val="single" w:sz="6" w:space="0" w:color="000000"/>
              <w:right w:val="nil"/>
            </w:tcBorders>
            <w:shd w:val="clear" w:color="auto" w:fill="FFFFFF"/>
          </w:tcPr>
          <w:p w:rsidR="00965D85" w:rsidRPr="004A3962"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4A3962">
              <w:rPr>
                <w:rFonts w:ascii="Calibri" w:eastAsiaTheme="minorEastAsia" w:hAnsi="Calibri" w:cs="Calibri"/>
                <w:b/>
                <w:bCs/>
                <w:color w:val="000000"/>
                <w:sz w:val="20"/>
                <w:lang w:eastAsia="en-AU"/>
              </w:rPr>
              <w:t>1 845</w:t>
            </w:r>
          </w:p>
        </w:tc>
        <w:tc>
          <w:tcPr>
            <w:tcW w:w="964" w:type="dxa"/>
            <w:tcBorders>
              <w:top w:val="nil"/>
              <w:left w:val="nil"/>
              <w:bottom w:val="single" w:sz="6" w:space="0" w:color="000000"/>
              <w:right w:val="nil"/>
            </w:tcBorders>
            <w:shd w:val="clear" w:color="auto" w:fill="FFFFFF"/>
          </w:tcPr>
          <w:p w:rsidR="00965D85" w:rsidRPr="004A3962"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4A3962">
              <w:rPr>
                <w:rFonts w:ascii="Calibri" w:eastAsiaTheme="minorEastAsia" w:hAnsi="Calibri" w:cs="Calibri"/>
                <w:b/>
                <w:bCs/>
                <w:color w:val="000000"/>
                <w:sz w:val="20"/>
                <w:lang w:eastAsia="en-AU"/>
              </w:rPr>
              <w:t>1 555</w:t>
            </w:r>
          </w:p>
        </w:tc>
      </w:tr>
      <w:tr w:rsidR="00965D85" w:rsidRPr="004A3962" w:rsidTr="008B46DF">
        <w:tc>
          <w:tcPr>
            <w:tcW w:w="4253" w:type="dxa"/>
            <w:gridSpan w:val="2"/>
            <w:tcBorders>
              <w:top w:val="single" w:sz="6" w:space="0" w:color="000000"/>
              <w:left w:val="nil"/>
              <w:bottom w:val="single" w:sz="6" w:space="0" w:color="000000"/>
              <w:right w:val="nil"/>
            </w:tcBorders>
            <w:shd w:val="clear" w:color="auto" w:fill="FFFFFF"/>
          </w:tcPr>
          <w:p w:rsidR="00965D85" w:rsidRPr="004A3962" w:rsidRDefault="00965D85" w:rsidP="008B46DF">
            <w:pPr>
              <w:autoSpaceDE w:val="0"/>
              <w:autoSpaceDN w:val="0"/>
              <w:adjustRightInd w:val="0"/>
              <w:spacing w:after="0"/>
              <w:ind w:left="227" w:hanging="227"/>
              <w:rPr>
                <w:rFonts w:ascii="Calibri" w:eastAsiaTheme="minorEastAsia" w:hAnsi="Calibri" w:cs="Calibri"/>
                <w:b/>
                <w:bCs/>
                <w:color w:val="000000"/>
                <w:sz w:val="20"/>
                <w:lang w:eastAsia="en-AU"/>
              </w:rPr>
            </w:pPr>
            <w:r w:rsidRPr="004A3962">
              <w:rPr>
                <w:rFonts w:ascii="Calibri" w:eastAsiaTheme="minorEastAsia" w:hAnsi="Calibri" w:cs="Calibri"/>
                <w:b/>
                <w:bCs/>
                <w:color w:val="000000"/>
                <w:sz w:val="20"/>
                <w:lang w:eastAsia="en-AU"/>
              </w:rPr>
              <w:t>Total other economic flows included in net result</w:t>
            </w:r>
          </w:p>
        </w:tc>
        <w:tc>
          <w:tcPr>
            <w:tcW w:w="622" w:type="dxa"/>
            <w:tcBorders>
              <w:top w:val="single" w:sz="6" w:space="0" w:color="000000"/>
              <w:left w:val="nil"/>
              <w:bottom w:val="single" w:sz="6" w:space="0" w:color="000000"/>
              <w:right w:val="nil"/>
            </w:tcBorders>
            <w:shd w:val="clear" w:color="auto" w:fill="FFFFFF"/>
          </w:tcPr>
          <w:p w:rsidR="00965D85" w:rsidRPr="004A3962"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4A3962">
              <w:rPr>
                <w:rFonts w:ascii="Calibri" w:eastAsiaTheme="minorEastAsia" w:hAnsi="Calibri" w:cs="Calibri"/>
                <w:b/>
                <w:bCs/>
                <w:color w:val="000000"/>
                <w:sz w:val="20"/>
                <w:lang w:eastAsia="en-AU"/>
              </w:rPr>
              <w:t>3 479</w:t>
            </w:r>
          </w:p>
        </w:tc>
        <w:tc>
          <w:tcPr>
            <w:tcW w:w="964" w:type="dxa"/>
            <w:tcBorders>
              <w:top w:val="single" w:sz="6" w:space="0" w:color="000000"/>
              <w:left w:val="nil"/>
              <w:bottom w:val="single" w:sz="6" w:space="0" w:color="000000"/>
              <w:right w:val="nil"/>
            </w:tcBorders>
            <w:shd w:val="clear" w:color="auto" w:fill="FFFFFF"/>
          </w:tcPr>
          <w:p w:rsidR="00965D85" w:rsidRPr="004A3962"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20"/>
                <w:lang w:eastAsia="en-AU"/>
              </w:rPr>
              <w:t>(239)</w:t>
            </w:r>
          </w:p>
        </w:tc>
        <w:tc>
          <w:tcPr>
            <w:tcW w:w="964" w:type="dxa"/>
            <w:tcBorders>
              <w:top w:val="single" w:sz="6" w:space="0" w:color="000000"/>
              <w:left w:val="nil"/>
              <w:bottom w:val="single" w:sz="6" w:space="0" w:color="000000"/>
              <w:right w:val="nil"/>
            </w:tcBorders>
            <w:shd w:val="clear" w:color="auto" w:fill="FFFFFF"/>
          </w:tcPr>
          <w:p w:rsidR="00965D85" w:rsidRPr="004A3962"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20"/>
                <w:lang w:eastAsia="en-AU"/>
              </w:rPr>
              <w:t>(238)</w:t>
            </w:r>
          </w:p>
        </w:tc>
        <w:tc>
          <w:tcPr>
            <w:tcW w:w="964" w:type="dxa"/>
            <w:tcBorders>
              <w:top w:val="single" w:sz="6" w:space="0" w:color="000000"/>
              <w:left w:val="nil"/>
              <w:bottom w:val="single" w:sz="6" w:space="0" w:color="000000"/>
              <w:right w:val="nil"/>
            </w:tcBorders>
            <w:shd w:val="clear" w:color="auto" w:fill="FFFFFF"/>
          </w:tcPr>
          <w:p w:rsidR="00965D85" w:rsidRPr="004A3962"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20"/>
                <w:lang w:eastAsia="en-AU"/>
              </w:rPr>
              <w:t>(280)</w:t>
            </w:r>
          </w:p>
        </w:tc>
      </w:tr>
      <w:tr w:rsidR="00965D85" w:rsidRPr="004A3962" w:rsidTr="008B46DF">
        <w:tc>
          <w:tcPr>
            <w:tcW w:w="3969" w:type="dxa"/>
            <w:tcBorders>
              <w:top w:val="single" w:sz="6" w:space="0" w:color="000000"/>
              <w:left w:val="nil"/>
              <w:bottom w:val="single" w:sz="12" w:space="0" w:color="000000"/>
              <w:right w:val="nil"/>
            </w:tcBorders>
            <w:shd w:val="clear" w:color="auto" w:fill="FFFFFF"/>
          </w:tcPr>
          <w:p w:rsidR="00965D85" w:rsidRPr="004A3962" w:rsidRDefault="00965D85" w:rsidP="008B46DF">
            <w:pPr>
              <w:autoSpaceDE w:val="0"/>
              <w:autoSpaceDN w:val="0"/>
              <w:adjustRightInd w:val="0"/>
              <w:spacing w:after="0"/>
              <w:ind w:left="227" w:hanging="227"/>
              <w:rPr>
                <w:rFonts w:ascii="Calibri" w:eastAsiaTheme="minorEastAsia" w:hAnsi="Calibri" w:cs="Calibri"/>
                <w:b/>
                <w:bCs/>
                <w:color w:val="000000"/>
                <w:sz w:val="20"/>
                <w:lang w:eastAsia="en-AU"/>
              </w:rPr>
            </w:pPr>
            <w:r>
              <w:rPr>
                <w:rFonts w:ascii="Calibri" w:eastAsiaTheme="minorEastAsia" w:hAnsi="Calibri" w:cs="Calibri"/>
                <w:b/>
                <w:bCs/>
                <w:color w:val="000000"/>
                <w:sz w:val="20"/>
                <w:lang w:eastAsia="en-AU"/>
              </w:rPr>
              <w:t>Net result</w:t>
            </w:r>
          </w:p>
        </w:tc>
        <w:tc>
          <w:tcPr>
            <w:tcW w:w="906" w:type="dxa"/>
            <w:gridSpan w:val="2"/>
            <w:tcBorders>
              <w:top w:val="single" w:sz="6" w:space="0" w:color="000000"/>
              <w:left w:val="nil"/>
              <w:bottom w:val="single" w:sz="12" w:space="0" w:color="000000"/>
              <w:right w:val="nil"/>
            </w:tcBorders>
            <w:shd w:val="clear" w:color="auto" w:fill="FFFFFF"/>
          </w:tcPr>
          <w:p w:rsidR="00965D85" w:rsidRPr="004A3962"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4A3962">
              <w:rPr>
                <w:rFonts w:ascii="Calibri" w:eastAsiaTheme="minorEastAsia" w:hAnsi="Calibri" w:cs="Calibri"/>
                <w:b/>
                <w:bCs/>
                <w:color w:val="000000"/>
                <w:sz w:val="20"/>
                <w:lang w:eastAsia="en-AU"/>
              </w:rPr>
              <w:t>5 191</w:t>
            </w:r>
          </w:p>
        </w:tc>
        <w:tc>
          <w:tcPr>
            <w:tcW w:w="964" w:type="dxa"/>
            <w:tcBorders>
              <w:top w:val="single" w:sz="6" w:space="0" w:color="000000"/>
              <w:left w:val="nil"/>
              <w:bottom w:val="single" w:sz="12" w:space="0" w:color="000000"/>
              <w:right w:val="nil"/>
            </w:tcBorders>
            <w:shd w:val="clear" w:color="auto" w:fill="FFFFFF"/>
          </w:tcPr>
          <w:p w:rsidR="00965D85" w:rsidRPr="004A3962"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4A3962">
              <w:rPr>
                <w:rFonts w:ascii="Calibri" w:eastAsiaTheme="minorEastAsia" w:hAnsi="Calibri" w:cs="Calibri"/>
                <w:b/>
                <w:bCs/>
                <w:color w:val="000000"/>
                <w:sz w:val="20"/>
                <w:lang w:eastAsia="en-AU"/>
              </w:rPr>
              <w:t>1 306</w:t>
            </w:r>
          </w:p>
        </w:tc>
        <w:tc>
          <w:tcPr>
            <w:tcW w:w="964" w:type="dxa"/>
            <w:tcBorders>
              <w:top w:val="single" w:sz="6" w:space="0" w:color="000000"/>
              <w:left w:val="nil"/>
              <w:bottom w:val="single" w:sz="12" w:space="0" w:color="000000"/>
              <w:right w:val="nil"/>
            </w:tcBorders>
            <w:shd w:val="clear" w:color="auto" w:fill="FFFFFF"/>
          </w:tcPr>
          <w:p w:rsidR="00965D85" w:rsidRPr="004A3962"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4A3962">
              <w:rPr>
                <w:rFonts w:ascii="Calibri" w:eastAsiaTheme="minorEastAsia" w:hAnsi="Calibri" w:cs="Calibri"/>
                <w:b/>
                <w:bCs/>
                <w:color w:val="000000"/>
                <w:sz w:val="20"/>
                <w:lang w:eastAsia="en-AU"/>
              </w:rPr>
              <w:t>1 608</w:t>
            </w:r>
          </w:p>
        </w:tc>
        <w:tc>
          <w:tcPr>
            <w:tcW w:w="964" w:type="dxa"/>
            <w:tcBorders>
              <w:top w:val="single" w:sz="6" w:space="0" w:color="000000"/>
              <w:left w:val="nil"/>
              <w:bottom w:val="single" w:sz="12" w:space="0" w:color="000000"/>
              <w:right w:val="nil"/>
            </w:tcBorders>
            <w:shd w:val="clear" w:color="auto" w:fill="FFFFFF"/>
          </w:tcPr>
          <w:p w:rsidR="00965D85" w:rsidRPr="004A3962"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4A3962">
              <w:rPr>
                <w:rFonts w:ascii="Calibri" w:eastAsiaTheme="minorEastAsia" w:hAnsi="Calibri" w:cs="Calibri"/>
                <w:b/>
                <w:bCs/>
                <w:color w:val="000000"/>
                <w:sz w:val="20"/>
                <w:lang w:eastAsia="en-AU"/>
              </w:rPr>
              <w:t>1 275</w:t>
            </w:r>
          </w:p>
        </w:tc>
      </w:tr>
    </w:tbl>
    <w:p w:rsidR="00965D85" w:rsidRDefault="00965D85" w:rsidP="008B46DF">
      <w:pPr>
        <w:pStyle w:val="Source"/>
      </w:pPr>
      <w:r>
        <w:fldChar w:fldCharType="end"/>
      </w:r>
      <w:r w:rsidRPr="002E2383">
        <w:t>Source: Dep</w:t>
      </w:r>
      <w:r>
        <w:t>artment of Treasury and Finance</w:t>
      </w:r>
    </w:p>
    <w:p w:rsidR="00965D85" w:rsidRPr="002E2383" w:rsidRDefault="00965D85" w:rsidP="008B46DF">
      <w:pPr>
        <w:pStyle w:val="Notes"/>
      </w:pPr>
      <w:r w:rsidRPr="001B3FC5">
        <w:t>Notes</w:t>
      </w:r>
      <w:r w:rsidRPr="002E2383">
        <w:t>:</w:t>
      </w:r>
    </w:p>
    <w:p w:rsidR="00965D85" w:rsidRPr="002E2383" w:rsidRDefault="00965D85" w:rsidP="008B46DF">
      <w:pPr>
        <w:pStyle w:val="Notes"/>
      </w:pPr>
      <w:r>
        <w:t>(a)</w:t>
      </w:r>
      <w:r w:rsidRPr="002E2383">
        <w:tab/>
      </w:r>
      <w:r>
        <w:t>Figures in this table are subject to rounding to the nearest million and may not add up to totals.</w:t>
      </w:r>
    </w:p>
    <w:p w:rsidR="00965D85" w:rsidRPr="002E2383" w:rsidRDefault="00965D85" w:rsidP="008B46DF">
      <w:pPr>
        <w:pStyle w:val="Notes"/>
      </w:pPr>
      <w:r>
        <w:t>(b)</w:t>
      </w:r>
      <w:r w:rsidRPr="002E2383">
        <w:tab/>
      </w:r>
      <w:r w:rsidRPr="001B3FC5">
        <w:t>Comprises</w:t>
      </w:r>
      <w:r w:rsidRPr="002E2383">
        <w:t xml:space="preserve"> dividends, income tax and rate equivalent revenue and interest revenue.</w:t>
      </w:r>
    </w:p>
    <w:p w:rsidR="00965D85" w:rsidRPr="002E2383" w:rsidRDefault="00965D85" w:rsidP="008B46DF">
      <w:pPr>
        <w:pStyle w:val="Notes"/>
      </w:pPr>
      <w:r w:rsidRPr="002E2383">
        <w:t>(c)</w:t>
      </w:r>
      <w:r w:rsidRPr="002E2383">
        <w:tab/>
        <w:t>201</w:t>
      </w:r>
      <w:r>
        <w:t>5</w:t>
      </w:r>
      <w:r>
        <w:noBreakHyphen/>
      </w:r>
      <w:r w:rsidRPr="002E2383">
        <w:t>1</w:t>
      </w:r>
      <w:r>
        <w:t>6</w:t>
      </w:r>
      <w:r w:rsidRPr="002E2383">
        <w:t xml:space="preserve"> revised</w:t>
      </w:r>
      <w:r>
        <w:t> per cent</w:t>
      </w:r>
      <w:r w:rsidRPr="002E2383">
        <w:t xml:space="preserve"> change figures refer to 201</w:t>
      </w:r>
      <w:r>
        <w:t>4</w:t>
      </w:r>
      <w:r>
        <w:noBreakHyphen/>
      </w:r>
      <w:r w:rsidRPr="002E2383">
        <w:t>1</w:t>
      </w:r>
      <w:r>
        <w:t>5</w:t>
      </w:r>
      <w:r w:rsidRPr="002E2383">
        <w:t xml:space="preserve"> actual figures.</w:t>
      </w:r>
    </w:p>
    <w:p w:rsidR="00965D85" w:rsidRDefault="00965D85" w:rsidP="008B46DF">
      <w:pPr>
        <w:pStyle w:val="Notes"/>
        <w:rPr>
          <w:b/>
          <w:kern w:val="28"/>
          <w:sz w:val="26"/>
          <w:szCs w:val="22"/>
        </w:rPr>
      </w:pPr>
      <w:r w:rsidRPr="009E4CD9">
        <w:t>(d)</w:t>
      </w:r>
      <w:r w:rsidRPr="009E4CD9">
        <w:tab/>
        <w:t>Comprises superannuation interest expense and other superannuation expenses.</w:t>
      </w:r>
    </w:p>
    <w:p w:rsidR="00965D85" w:rsidRPr="002E2383" w:rsidRDefault="00965D85" w:rsidP="008B46DF">
      <w:pPr>
        <w:pStyle w:val="Heading2"/>
      </w:pPr>
      <w:r w:rsidRPr="002E2383">
        <w:lastRenderedPageBreak/>
        <w:t xml:space="preserve">Revenue </w:t>
      </w:r>
      <w:r w:rsidRPr="001B3FC5">
        <w:t>outlook</w:t>
      </w:r>
    </w:p>
    <w:p w:rsidR="00965D85" w:rsidRDefault="00965D85" w:rsidP="008B46DF">
      <w:r>
        <w:t>Victoria is expected to collect $56 billion in total revenue in 2015</w:t>
      </w:r>
      <w:r>
        <w:noBreakHyphen/>
        <w:t xml:space="preserve">16, with revenue growth averaging 3.2 per cent over the budget and forward estimates. This is below the projected growth of 3.4 per cent in the </w:t>
      </w:r>
      <w:r w:rsidRPr="00BB1FF5">
        <w:rPr>
          <w:i/>
        </w:rPr>
        <w:t>2015</w:t>
      </w:r>
      <w:r>
        <w:rPr>
          <w:i/>
        </w:rPr>
        <w:noBreakHyphen/>
      </w:r>
      <w:r w:rsidRPr="00BB1FF5">
        <w:rPr>
          <w:i/>
        </w:rPr>
        <w:t>16 Budget</w:t>
      </w:r>
      <w:r>
        <w:rPr>
          <w:i/>
        </w:rPr>
        <w:t>,</w:t>
      </w:r>
      <w:r>
        <w:t xml:space="preserve"> largely due to the removal of the $1.5 billion in previously expected </w:t>
      </w:r>
      <w:r w:rsidRPr="00482AFE">
        <w:t>Commonwealth grant</w:t>
      </w:r>
      <w:r>
        <w:t>s</w:t>
      </w:r>
      <w:r w:rsidRPr="00482AFE">
        <w:t xml:space="preserve"> </w:t>
      </w:r>
      <w:r>
        <w:t xml:space="preserve">for the former East West Link project that will not be received, following the release of the </w:t>
      </w:r>
      <w:r w:rsidRPr="00886C76">
        <w:rPr>
          <w:i/>
        </w:rPr>
        <w:t>2</w:t>
      </w:r>
      <w:r>
        <w:rPr>
          <w:i/>
        </w:rPr>
        <w:t>01</w:t>
      </w:r>
      <w:r w:rsidRPr="00886C76">
        <w:rPr>
          <w:i/>
        </w:rPr>
        <w:t>5</w:t>
      </w:r>
      <w:r>
        <w:rPr>
          <w:i/>
        </w:rPr>
        <w:noBreakHyphen/>
      </w:r>
      <w:r w:rsidRPr="00886C76">
        <w:rPr>
          <w:i/>
        </w:rPr>
        <w:t>16 Commonwealth Budget</w:t>
      </w:r>
      <w:r>
        <w:t>.</w:t>
      </w:r>
    </w:p>
    <w:p w:rsidR="00965D85" w:rsidRDefault="00965D85" w:rsidP="008B46DF">
      <w:r>
        <w:t>T</w:t>
      </w:r>
      <w:r w:rsidRPr="00916A0D">
        <w:t>he initial $1.5 billion already provided</w:t>
      </w:r>
      <w:r>
        <w:t xml:space="preserve"> by the Commonwealth</w:t>
      </w:r>
      <w:r w:rsidRPr="00916A0D">
        <w:t xml:space="preserve"> in 2013</w:t>
      </w:r>
      <w:r w:rsidRPr="00916A0D">
        <w:noBreakHyphen/>
        <w:t>14 for the</w:t>
      </w:r>
      <w:r>
        <w:t xml:space="preserve"> former</w:t>
      </w:r>
      <w:r w:rsidRPr="00916A0D">
        <w:t xml:space="preserve"> East West Link project w</w:t>
      </w:r>
      <w:r>
        <w:t xml:space="preserve">ill be retained by Victoria for </w:t>
      </w:r>
      <w:r w:rsidRPr="00916A0D">
        <w:t>infrastructure</w:t>
      </w:r>
      <w:r>
        <w:t xml:space="preserve"> projects.</w:t>
      </w:r>
    </w:p>
    <w:p w:rsidR="00965D85" w:rsidRPr="002E2383" w:rsidRDefault="00965D85" w:rsidP="008B46DF">
      <w:pPr>
        <w:pStyle w:val="Heading3"/>
      </w:pPr>
      <w:r w:rsidRPr="001B3FC5">
        <w:t>Taxation</w:t>
      </w:r>
    </w:p>
    <w:p w:rsidR="00965D85" w:rsidRPr="008D791C" w:rsidRDefault="00965D85" w:rsidP="008B46DF">
      <w:pPr>
        <w:rPr>
          <w:lang w:eastAsia="en-AU"/>
        </w:rPr>
      </w:pPr>
      <w:r w:rsidRPr="008D791C">
        <w:rPr>
          <w:lang w:eastAsia="en-AU"/>
        </w:rPr>
        <w:t xml:space="preserve">State taxation revenue is expected to grow by </w:t>
      </w:r>
      <w:r w:rsidRPr="00A258E6">
        <w:rPr>
          <w:lang w:eastAsia="en-AU"/>
        </w:rPr>
        <w:t>6.0</w:t>
      </w:r>
      <w:r>
        <w:rPr>
          <w:lang w:eastAsia="en-AU"/>
        </w:rPr>
        <w:t> per cent</w:t>
      </w:r>
      <w:r w:rsidRPr="008D791C">
        <w:rPr>
          <w:lang w:eastAsia="en-AU"/>
        </w:rPr>
        <w:t xml:space="preserve"> in 2015</w:t>
      </w:r>
      <w:r>
        <w:rPr>
          <w:lang w:eastAsia="en-AU"/>
        </w:rPr>
        <w:noBreakHyphen/>
      </w:r>
      <w:r w:rsidRPr="008D791C">
        <w:rPr>
          <w:lang w:eastAsia="en-AU"/>
        </w:rPr>
        <w:t>16 to $19.4</w:t>
      </w:r>
      <w:r>
        <w:rPr>
          <w:lang w:eastAsia="en-AU"/>
        </w:rPr>
        <w:t> billion</w:t>
      </w:r>
      <w:r w:rsidRPr="008D791C">
        <w:rPr>
          <w:lang w:eastAsia="en-AU"/>
        </w:rPr>
        <w:t>, and average 3.3</w:t>
      </w:r>
      <w:r>
        <w:rPr>
          <w:lang w:eastAsia="en-AU"/>
        </w:rPr>
        <w:t> per cent</w:t>
      </w:r>
      <w:r w:rsidRPr="008D791C">
        <w:rPr>
          <w:lang w:eastAsia="en-AU"/>
        </w:rPr>
        <w:t xml:space="preserve"> a year over the forward estimates. Strong land transfer duty revenue offsets relative weakness in income and consumption based taxes. Specifically:</w:t>
      </w:r>
    </w:p>
    <w:p w:rsidR="00965D85" w:rsidRPr="008D791C" w:rsidRDefault="00965D85" w:rsidP="008B46DF">
      <w:pPr>
        <w:pStyle w:val="BulletText"/>
        <w:rPr>
          <w:lang w:eastAsia="en-AU"/>
        </w:rPr>
      </w:pPr>
      <w:r w:rsidRPr="008D791C">
        <w:rPr>
          <w:lang w:eastAsia="en-AU"/>
        </w:rPr>
        <w:t>land transfer duty revenue has been stronger than expected</w:t>
      </w:r>
      <w:r>
        <w:rPr>
          <w:lang w:eastAsia="en-AU"/>
        </w:rPr>
        <w:t>,</w:t>
      </w:r>
      <w:r w:rsidRPr="008D791C">
        <w:rPr>
          <w:lang w:eastAsia="en-AU"/>
        </w:rPr>
        <w:t xml:space="preserve"> relative to the </w:t>
      </w:r>
      <w:r>
        <w:rPr>
          <w:i/>
          <w:lang w:eastAsia="en-AU"/>
        </w:rPr>
        <w:t>2015</w:t>
      </w:r>
      <w:r>
        <w:rPr>
          <w:i/>
          <w:lang w:eastAsia="en-AU"/>
        </w:rPr>
        <w:noBreakHyphen/>
      </w:r>
      <w:r w:rsidRPr="008D791C">
        <w:rPr>
          <w:i/>
          <w:lang w:eastAsia="en-AU"/>
        </w:rPr>
        <w:t>16</w:t>
      </w:r>
      <w:r>
        <w:rPr>
          <w:i/>
          <w:lang w:eastAsia="en-AU"/>
        </w:rPr>
        <w:t> </w:t>
      </w:r>
      <w:r w:rsidRPr="008D791C">
        <w:rPr>
          <w:i/>
          <w:lang w:eastAsia="en-AU"/>
        </w:rPr>
        <w:t>Budget</w:t>
      </w:r>
      <w:r w:rsidRPr="008D791C">
        <w:rPr>
          <w:lang w:eastAsia="en-AU"/>
        </w:rPr>
        <w:t xml:space="preserve">. The momentum observed in the first half of 2015 has continued into the September quarter. Growth is forecast </w:t>
      </w:r>
      <w:r w:rsidRPr="00A258E6">
        <w:rPr>
          <w:lang w:eastAsia="en-AU"/>
        </w:rPr>
        <w:t>at 9.7</w:t>
      </w:r>
      <w:r>
        <w:rPr>
          <w:lang w:eastAsia="en-AU"/>
        </w:rPr>
        <w:t> per cent</w:t>
      </w:r>
      <w:r w:rsidRPr="008D791C">
        <w:rPr>
          <w:lang w:eastAsia="en-AU"/>
        </w:rPr>
        <w:t xml:space="preserve"> in 2015</w:t>
      </w:r>
      <w:r>
        <w:rPr>
          <w:lang w:eastAsia="en-AU"/>
        </w:rPr>
        <w:noBreakHyphen/>
      </w:r>
      <w:r w:rsidRPr="008D791C">
        <w:rPr>
          <w:lang w:eastAsia="en-AU"/>
        </w:rPr>
        <w:t xml:space="preserve">16, delivering </w:t>
      </w:r>
      <w:r>
        <w:rPr>
          <w:lang w:eastAsia="en-AU"/>
        </w:rPr>
        <w:t>$5.4 billion</w:t>
      </w:r>
      <w:r w:rsidRPr="008D791C">
        <w:rPr>
          <w:lang w:eastAsia="en-AU"/>
        </w:rPr>
        <w:t>, decreasing by 0.</w:t>
      </w:r>
      <w:r>
        <w:rPr>
          <w:lang w:eastAsia="en-AU"/>
        </w:rPr>
        <w:t>6 per cent</w:t>
      </w:r>
      <w:r w:rsidRPr="008D791C">
        <w:rPr>
          <w:lang w:eastAsia="en-AU"/>
        </w:rPr>
        <w:t xml:space="preserve"> a year on average over the forward estimates as the property market cools following successive years of strong growth;</w:t>
      </w:r>
    </w:p>
    <w:p w:rsidR="00965D85" w:rsidRPr="008D791C" w:rsidRDefault="00965D85" w:rsidP="008B46DF">
      <w:pPr>
        <w:pStyle w:val="BulletText"/>
        <w:rPr>
          <w:lang w:eastAsia="en-AU"/>
        </w:rPr>
      </w:pPr>
      <w:r w:rsidRPr="008D791C">
        <w:rPr>
          <w:lang w:eastAsia="en-AU"/>
        </w:rPr>
        <w:t>land tax revenue is expected to decline by 0.7</w:t>
      </w:r>
      <w:r>
        <w:rPr>
          <w:lang w:eastAsia="en-AU"/>
        </w:rPr>
        <w:t> per cent</w:t>
      </w:r>
      <w:r w:rsidRPr="008D791C">
        <w:rPr>
          <w:lang w:eastAsia="en-AU"/>
        </w:rPr>
        <w:t xml:space="preserve"> in 2015</w:t>
      </w:r>
      <w:r>
        <w:rPr>
          <w:lang w:eastAsia="en-AU"/>
        </w:rPr>
        <w:noBreakHyphen/>
      </w:r>
      <w:r w:rsidRPr="008D791C">
        <w:rPr>
          <w:lang w:eastAsia="en-AU"/>
        </w:rPr>
        <w:t>16 to $1.7</w:t>
      </w:r>
      <w:r>
        <w:rPr>
          <w:lang w:eastAsia="en-AU"/>
        </w:rPr>
        <w:t> billion</w:t>
      </w:r>
      <w:r w:rsidRPr="008D791C">
        <w:rPr>
          <w:lang w:eastAsia="en-AU"/>
        </w:rPr>
        <w:t xml:space="preserve">, reflecting the biennial land tax revaluation cycle. Growth is expected to broadly track </w:t>
      </w:r>
      <w:r>
        <w:rPr>
          <w:lang w:eastAsia="en-AU"/>
        </w:rPr>
        <w:t>nominal</w:t>
      </w:r>
      <w:r w:rsidRPr="008D791C">
        <w:rPr>
          <w:lang w:eastAsia="en-AU"/>
        </w:rPr>
        <w:t xml:space="preserve"> growth in the economy over the forward estimates period;</w:t>
      </w:r>
    </w:p>
    <w:p w:rsidR="00965D85" w:rsidRPr="008D791C" w:rsidRDefault="00965D85" w:rsidP="008B46DF">
      <w:pPr>
        <w:pStyle w:val="BulletText"/>
        <w:rPr>
          <w:lang w:eastAsia="en-AU"/>
        </w:rPr>
      </w:pPr>
      <w:r>
        <w:rPr>
          <w:lang w:eastAsia="en-AU"/>
        </w:rPr>
        <w:t>payroll tax is expected to grow slightly below trend, by 5.0 per cent in 2015</w:t>
      </w:r>
      <w:r>
        <w:rPr>
          <w:lang w:eastAsia="en-AU"/>
        </w:rPr>
        <w:noBreakHyphen/>
        <w:t xml:space="preserve">16 to $5.4 billion, reflecting softer wages growth relative to the </w:t>
      </w:r>
      <w:r w:rsidRPr="00BB1FF5">
        <w:rPr>
          <w:i/>
          <w:lang w:eastAsia="en-AU"/>
        </w:rPr>
        <w:t>2015</w:t>
      </w:r>
      <w:r>
        <w:rPr>
          <w:i/>
          <w:lang w:eastAsia="en-AU"/>
        </w:rPr>
        <w:noBreakHyphen/>
      </w:r>
      <w:r w:rsidRPr="00BB1FF5">
        <w:rPr>
          <w:i/>
          <w:lang w:eastAsia="en-AU"/>
        </w:rPr>
        <w:t>16 Budget</w:t>
      </w:r>
      <w:r>
        <w:rPr>
          <w:lang w:eastAsia="en-AU"/>
        </w:rPr>
        <w:t>. Over the forward estimates, growth is expected to average 5.9 per cent as labour market conditions improve;</w:t>
      </w:r>
    </w:p>
    <w:p w:rsidR="00965D85" w:rsidRPr="008D791C" w:rsidRDefault="00965D85" w:rsidP="008B46DF">
      <w:pPr>
        <w:pStyle w:val="BulletText"/>
        <w:rPr>
          <w:lang w:eastAsia="en-AU"/>
        </w:rPr>
      </w:pPr>
      <w:r w:rsidRPr="008D791C">
        <w:rPr>
          <w:lang w:eastAsia="en-AU"/>
        </w:rPr>
        <w:t>gambling taxes are expected to grow by 4.7</w:t>
      </w:r>
      <w:r>
        <w:rPr>
          <w:lang w:eastAsia="en-AU"/>
        </w:rPr>
        <w:t> per cent</w:t>
      </w:r>
      <w:r w:rsidRPr="008D791C">
        <w:rPr>
          <w:lang w:eastAsia="en-AU"/>
        </w:rPr>
        <w:t xml:space="preserve"> in 2015</w:t>
      </w:r>
      <w:r>
        <w:rPr>
          <w:lang w:eastAsia="en-AU"/>
        </w:rPr>
        <w:noBreakHyphen/>
      </w:r>
      <w:r w:rsidRPr="008D791C">
        <w:rPr>
          <w:lang w:eastAsia="en-AU"/>
        </w:rPr>
        <w:t>16 to $1.9</w:t>
      </w:r>
      <w:r>
        <w:rPr>
          <w:lang w:eastAsia="en-AU"/>
        </w:rPr>
        <w:t> billion</w:t>
      </w:r>
      <w:r w:rsidRPr="008D791C">
        <w:rPr>
          <w:lang w:eastAsia="en-AU"/>
        </w:rPr>
        <w:t>. Growth in gambling tax revenue reflects general weakness in nominal consumption expenditure. Despite an expected recovery in household income, spending on electronic gaming machines is expected to decline as a share of consumption, limiti</w:t>
      </w:r>
      <w:r>
        <w:rPr>
          <w:lang w:eastAsia="en-AU"/>
        </w:rPr>
        <w:t>ng revenue growth;</w:t>
      </w:r>
    </w:p>
    <w:p w:rsidR="00965D85" w:rsidRPr="008D791C" w:rsidRDefault="00965D85" w:rsidP="008B46DF">
      <w:pPr>
        <w:pStyle w:val="BulletText"/>
        <w:rPr>
          <w:lang w:eastAsia="en-AU"/>
        </w:rPr>
      </w:pPr>
      <w:r w:rsidRPr="008D791C">
        <w:rPr>
          <w:lang w:eastAsia="en-AU"/>
        </w:rPr>
        <w:t>taxes on insurance are expected to grow by 5.7</w:t>
      </w:r>
      <w:r>
        <w:rPr>
          <w:lang w:eastAsia="en-AU"/>
        </w:rPr>
        <w:t> per cent</w:t>
      </w:r>
      <w:r w:rsidRPr="008D791C">
        <w:rPr>
          <w:lang w:eastAsia="en-AU"/>
        </w:rPr>
        <w:t xml:space="preserve"> in 2015</w:t>
      </w:r>
      <w:r>
        <w:rPr>
          <w:lang w:eastAsia="en-AU"/>
        </w:rPr>
        <w:noBreakHyphen/>
      </w:r>
      <w:r w:rsidRPr="008D791C">
        <w:rPr>
          <w:lang w:eastAsia="en-AU"/>
        </w:rPr>
        <w:t>16 to $1.1</w:t>
      </w:r>
      <w:r>
        <w:rPr>
          <w:lang w:eastAsia="en-AU"/>
        </w:rPr>
        <w:t> billion</w:t>
      </w:r>
      <w:r w:rsidRPr="008D791C">
        <w:rPr>
          <w:lang w:eastAsia="en-AU"/>
        </w:rPr>
        <w:t xml:space="preserve"> and 7.0</w:t>
      </w:r>
      <w:r>
        <w:rPr>
          <w:lang w:eastAsia="en-AU"/>
        </w:rPr>
        <w:t> per cent</w:t>
      </w:r>
      <w:r w:rsidRPr="008D791C">
        <w:rPr>
          <w:lang w:eastAsia="en-AU"/>
        </w:rPr>
        <w:t xml:space="preserve"> a year on average over the forward estimates; and</w:t>
      </w:r>
    </w:p>
    <w:p w:rsidR="00965D85" w:rsidRPr="008D791C" w:rsidRDefault="00965D85" w:rsidP="008B46DF">
      <w:pPr>
        <w:pStyle w:val="BulletText"/>
        <w:rPr>
          <w:lang w:eastAsia="en-AU"/>
        </w:rPr>
      </w:pPr>
      <w:r w:rsidRPr="008D791C">
        <w:rPr>
          <w:lang w:eastAsia="en-AU"/>
        </w:rPr>
        <w:t>motor vehicle taxes are expected to grow by 4.5</w:t>
      </w:r>
      <w:r>
        <w:rPr>
          <w:lang w:eastAsia="en-AU"/>
        </w:rPr>
        <w:t> per cent</w:t>
      </w:r>
      <w:r w:rsidRPr="008D791C">
        <w:rPr>
          <w:lang w:eastAsia="en-AU"/>
        </w:rPr>
        <w:t xml:space="preserve"> in 2015</w:t>
      </w:r>
      <w:r>
        <w:rPr>
          <w:lang w:eastAsia="en-AU"/>
        </w:rPr>
        <w:noBreakHyphen/>
      </w:r>
      <w:r w:rsidRPr="008D791C">
        <w:rPr>
          <w:lang w:eastAsia="en-AU"/>
        </w:rPr>
        <w:t>16 to $2.2</w:t>
      </w:r>
      <w:r>
        <w:rPr>
          <w:lang w:eastAsia="en-AU"/>
        </w:rPr>
        <w:t> billion</w:t>
      </w:r>
      <w:r w:rsidRPr="008D791C">
        <w:rPr>
          <w:lang w:eastAsia="en-AU"/>
        </w:rPr>
        <w:t>. Thereafter, growth is expected to average 4.1</w:t>
      </w:r>
      <w:r>
        <w:rPr>
          <w:lang w:eastAsia="en-AU"/>
        </w:rPr>
        <w:t> per cent</w:t>
      </w:r>
      <w:r w:rsidRPr="008D791C">
        <w:rPr>
          <w:lang w:eastAsia="en-AU"/>
        </w:rPr>
        <w:t xml:space="preserve"> a </w:t>
      </w:r>
      <w:r>
        <w:rPr>
          <w:lang w:eastAsia="en-AU"/>
        </w:rPr>
        <w:t>year over the forward estimates</w:t>
      </w:r>
      <w:r w:rsidRPr="008D791C">
        <w:rPr>
          <w:lang w:eastAsia="en-AU"/>
        </w:rPr>
        <w:t>.</w:t>
      </w:r>
    </w:p>
    <w:p w:rsidR="00965D85" w:rsidRDefault="00965D85">
      <w:pPr>
        <w:spacing w:after="0"/>
        <w:rPr>
          <w:rFonts w:ascii="Calibri" w:hAnsi="Calibri"/>
          <w:b/>
          <w:i/>
          <w:kern w:val="28"/>
          <w:sz w:val="24"/>
          <w:szCs w:val="22"/>
        </w:rPr>
      </w:pPr>
      <w:r>
        <w:br w:type="page"/>
      </w:r>
    </w:p>
    <w:p w:rsidR="00965D85" w:rsidRPr="002E2383" w:rsidRDefault="00965D85" w:rsidP="008B46DF">
      <w:pPr>
        <w:pStyle w:val="Heading3"/>
      </w:pPr>
      <w:r w:rsidRPr="002E2383">
        <w:lastRenderedPageBreak/>
        <w:t xml:space="preserve">Dividends, </w:t>
      </w:r>
      <w:r w:rsidRPr="00790F73">
        <w:t>income</w:t>
      </w:r>
      <w:r w:rsidRPr="002E2383">
        <w:t xml:space="preserve"> tax equivalent and interest</w:t>
      </w:r>
    </w:p>
    <w:p w:rsidR="00965D85" w:rsidRDefault="00965D85" w:rsidP="008B46DF">
      <w:r w:rsidRPr="00DC3F4A">
        <w:t xml:space="preserve">Dividend and income tax equivalent </w:t>
      </w:r>
      <w:r>
        <w:t xml:space="preserve">(ITE) </w:t>
      </w:r>
      <w:r w:rsidRPr="00DC3F4A">
        <w:t>r</w:t>
      </w:r>
      <w:r>
        <w:t xml:space="preserve">evenue is projected </w:t>
      </w:r>
      <w:r w:rsidRPr="00BC46F9">
        <w:t xml:space="preserve">to </w:t>
      </w:r>
      <w:r>
        <w:t>increase by 0.7 per cent in 2015</w:t>
      </w:r>
      <w:r>
        <w:noBreakHyphen/>
        <w:t>16 to $1.1 billion. These revenues are expected to decline in 2016</w:t>
      </w:r>
      <w:r>
        <w:noBreakHyphen/>
        <w:t>17 by 13.5 per cent, and fall by 9.5 per cent between 2017</w:t>
      </w:r>
      <w:r>
        <w:noBreakHyphen/>
        <w:t>18 and 2018</w:t>
      </w:r>
      <w:r>
        <w:noBreakHyphen/>
        <w:t>19 largely due to the impact of lower</w:t>
      </w:r>
      <w:r w:rsidRPr="00DC3F4A">
        <w:t xml:space="preserve"> </w:t>
      </w:r>
      <w:r>
        <w:t xml:space="preserve">investment returns forecast and higher revaluation of </w:t>
      </w:r>
      <w:r w:rsidRPr="00DC3F4A">
        <w:t>liabilities</w:t>
      </w:r>
      <w:r>
        <w:t xml:space="preserve"> on the projected profitability of</w:t>
      </w:r>
      <w:r w:rsidRPr="00DC3F4A">
        <w:t xml:space="preserve"> the Transport Accident Commission</w:t>
      </w:r>
      <w:r>
        <w:t xml:space="preserve"> and WorkSafe</w:t>
      </w:r>
      <w:r w:rsidRPr="00BC46F9">
        <w:t xml:space="preserve"> </w:t>
      </w:r>
      <w:r w:rsidRPr="00315205">
        <w:t>Victoria</w:t>
      </w:r>
      <w:r>
        <w:t xml:space="preserve">. </w:t>
      </w:r>
    </w:p>
    <w:p w:rsidR="00965D85" w:rsidRDefault="00965D85" w:rsidP="008B46DF">
      <w:r>
        <w:t>Consistent with previous commitments, the Government is not taking a dividend from WorkSafe</w:t>
      </w:r>
      <w:r w:rsidRPr="00BC46F9">
        <w:t xml:space="preserve"> </w:t>
      </w:r>
      <w:r w:rsidRPr="00315205">
        <w:t>Victoria</w:t>
      </w:r>
      <w:r>
        <w:t xml:space="preserve"> across the budget and forward estimates. Instead, accumulated surpluses will be used to fund improvements to benefits and access to benefits for injured workers, lower WorkCover premiums for Victorian businesses and programs to improve workplace safety and the health of the Victorian workforce. </w:t>
      </w:r>
    </w:p>
    <w:p w:rsidR="00965D85" w:rsidRPr="00ED4535" w:rsidRDefault="00965D85" w:rsidP="008B46DF">
      <w:pPr>
        <w:rPr>
          <w:rFonts w:ascii="Calibri" w:hAnsi="Calibri"/>
          <w:kern w:val="28"/>
          <w:sz w:val="24"/>
          <w:szCs w:val="22"/>
        </w:rPr>
      </w:pPr>
      <w:r w:rsidRPr="00BC46F9">
        <w:t>Across the forward estimates, interest income is projected to grow by 0.8</w:t>
      </w:r>
      <w:r>
        <w:t> per cent</w:t>
      </w:r>
      <w:r w:rsidRPr="00BC46F9">
        <w:t xml:space="preserve"> a year on average to $825 million by 2018</w:t>
      </w:r>
      <w:r>
        <w:noBreakHyphen/>
      </w:r>
      <w:r w:rsidRPr="00BC46F9">
        <w:t>19.</w:t>
      </w:r>
    </w:p>
    <w:p w:rsidR="00965D85" w:rsidRPr="00DC3F4A" w:rsidRDefault="00965D85" w:rsidP="008B46DF">
      <w:pPr>
        <w:pStyle w:val="Heading3"/>
      </w:pPr>
      <w:r w:rsidRPr="00DC3F4A">
        <w:t>Sales of goods and services</w:t>
      </w:r>
    </w:p>
    <w:p w:rsidR="00965D85" w:rsidRPr="00DC3F4A" w:rsidRDefault="00965D85" w:rsidP="008B46DF">
      <w:r w:rsidRPr="00DC3F4A">
        <w:t>Revenue from the sales of goods and services is expected to grow by 5.</w:t>
      </w:r>
      <w:r>
        <w:t>0 per cent</w:t>
      </w:r>
      <w:r w:rsidRPr="00DC3F4A">
        <w:t xml:space="preserve"> to $</w:t>
      </w:r>
      <w:r>
        <w:t>6.8 billion</w:t>
      </w:r>
      <w:r w:rsidRPr="00DC3F4A">
        <w:t xml:space="preserve"> in 2015</w:t>
      </w:r>
      <w:r>
        <w:noBreakHyphen/>
      </w:r>
      <w:r w:rsidRPr="00DC3F4A">
        <w:t xml:space="preserve">16. This growth </w:t>
      </w:r>
      <w:r>
        <w:t xml:space="preserve">largely </w:t>
      </w:r>
      <w:r w:rsidRPr="00DC3F4A">
        <w:t>reflects an increase in the capital asset charge from VicTrack associated with an increase in the capital asset base for which there is an offset in grant expenses. Thereafter, growth moderates to an average of 1.</w:t>
      </w:r>
      <w:r>
        <w:t>0 per cent</w:t>
      </w:r>
      <w:r w:rsidRPr="00DC3F4A">
        <w:t xml:space="preserve"> a y</w:t>
      </w:r>
      <w:r>
        <w:t>ear over the forward estimates.</w:t>
      </w:r>
    </w:p>
    <w:p w:rsidR="00965D85" w:rsidRPr="00DC3F4A" w:rsidRDefault="00965D85" w:rsidP="008B46DF">
      <w:pPr>
        <w:pStyle w:val="Heading3"/>
      </w:pPr>
      <w:r w:rsidRPr="00DC3F4A">
        <w:t>Grants</w:t>
      </w:r>
    </w:p>
    <w:p w:rsidR="00965D85" w:rsidRPr="00DC3F4A" w:rsidRDefault="00965D85" w:rsidP="008B46DF">
      <w:r w:rsidRPr="00DC3F4A">
        <w:t>Total grants revenue is expected to grow by 3.9</w:t>
      </w:r>
      <w:r>
        <w:t> per cent</w:t>
      </w:r>
      <w:r w:rsidRPr="00DC3F4A">
        <w:t xml:space="preserve"> to $25</w:t>
      </w:r>
      <w:r>
        <w:t> billion</w:t>
      </w:r>
      <w:r w:rsidRPr="00DC3F4A">
        <w:t xml:space="preserve"> in 2015</w:t>
      </w:r>
      <w:r>
        <w:noBreakHyphen/>
      </w:r>
      <w:r w:rsidRPr="00DC3F4A">
        <w:t>16 and by 3.7</w:t>
      </w:r>
      <w:r>
        <w:t> per cent</w:t>
      </w:r>
      <w:r w:rsidRPr="00DC3F4A">
        <w:t xml:space="preserve"> a year on average to $28</w:t>
      </w:r>
      <w:r>
        <w:t> billion</w:t>
      </w:r>
      <w:r w:rsidRPr="00DC3F4A">
        <w:t xml:space="preserve"> in 2018</w:t>
      </w:r>
      <w:r>
        <w:noBreakHyphen/>
      </w:r>
      <w:r w:rsidRPr="00DC3F4A">
        <w:t xml:space="preserve">19. The </w:t>
      </w:r>
      <w:r>
        <w:t>growth</w:t>
      </w:r>
      <w:r w:rsidRPr="00DC3F4A">
        <w:t xml:space="preserve"> in total grants revenue is largely driven by </w:t>
      </w:r>
      <w:r>
        <w:t>higher GST receipts</w:t>
      </w:r>
      <w:r w:rsidRPr="00DC3F4A">
        <w:t>.</w:t>
      </w:r>
    </w:p>
    <w:p w:rsidR="00965D85" w:rsidRPr="00DC3F4A" w:rsidRDefault="00965D85" w:rsidP="008B46DF">
      <w:r w:rsidRPr="00DC3F4A">
        <w:t>GST grants revenue is projected to grow by 8.6</w:t>
      </w:r>
      <w:r>
        <w:t> per cent</w:t>
      </w:r>
      <w:r w:rsidRPr="00DC3F4A">
        <w:t xml:space="preserve"> in 2015</w:t>
      </w:r>
      <w:r>
        <w:noBreakHyphen/>
      </w:r>
      <w:r w:rsidRPr="00DC3F4A">
        <w:t>16 to $13</w:t>
      </w:r>
      <w:r>
        <w:t> billion</w:t>
      </w:r>
      <w:r w:rsidRPr="00DC3F4A">
        <w:t xml:space="preserve"> and by an average of 6.9</w:t>
      </w:r>
      <w:r>
        <w:t> per cent</w:t>
      </w:r>
      <w:r w:rsidRPr="00DC3F4A">
        <w:t xml:space="preserve"> a year over the forward estimates. This reflects an improvement in expected growth in the national GST pool over the forward estimates as the national economy transitions towards household consumption and reflects the </w:t>
      </w:r>
      <w:r>
        <w:t xml:space="preserve">expected </w:t>
      </w:r>
      <w:r w:rsidRPr="00DC3F4A">
        <w:t xml:space="preserve">positive impact </w:t>
      </w:r>
      <w:r>
        <w:t xml:space="preserve">on receipts </w:t>
      </w:r>
      <w:r w:rsidRPr="00DC3F4A">
        <w:t>of further compliance measures by the Australian Taxation Office</w:t>
      </w:r>
      <w:r>
        <w:t xml:space="preserve"> (ATO)</w:t>
      </w:r>
      <w:r w:rsidRPr="00DC3F4A">
        <w:t xml:space="preserve">. Victoria also has a slightly larger share of </w:t>
      </w:r>
      <w:r>
        <w:t xml:space="preserve">the </w:t>
      </w:r>
      <w:r w:rsidRPr="00DC3F4A">
        <w:t>national population than previously expected, increasing GST revenue</w:t>
      </w:r>
      <w:r>
        <w:t xml:space="preserve"> allocated to the State</w:t>
      </w:r>
      <w:r w:rsidRPr="00DC3F4A">
        <w:t>.</w:t>
      </w:r>
    </w:p>
    <w:p w:rsidR="00965D85" w:rsidRDefault="00965D85" w:rsidP="008B46DF">
      <w:r w:rsidRPr="00907612">
        <w:t>Commonwealth grants for specific policy purposes</w:t>
      </w:r>
      <w:r>
        <w:t xml:space="preserve"> are</w:t>
      </w:r>
      <w:r w:rsidRPr="00907612">
        <w:t xml:space="preserve"> projected to be $12.</w:t>
      </w:r>
      <w:r>
        <w:t>5 billion</w:t>
      </w:r>
      <w:r w:rsidRPr="00907612">
        <w:t xml:space="preserve"> </w:t>
      </w:r>
      <w:r>
        <w:t xml:space="preserve">a year </w:t>
      </w:r>
      <w:r w:rsidRPr="00907612">
        <w:t>on average across the budget and forward estimates. The Commonwealth provides these grants as contributions towards healthcare, education, disability</w:t>
      </w:r>
      <w:r>
        <w:t xml:space="preserve"> and other</w:t>
      </w:r>
      <w:r w:rsidRPr="00907612">
        <w:t xml:space="preserve"> services, and major infrastructure investment. While the outlook is relatively stable across the forward estimates there is significant movement in the underlying components of </w:t>
      </w:r>
      <w:r>
        <w:t xml:space="preserve">the </w:t>
      </w:r>
      <w:r w:rsidRPr="00907612">
        <w:t xml:space="preserve">grants. </w:t>
      </w:r>
    </w:p>
    <w:p w:rsidR="00965D85" w:rsidRDefault="00965D85" w:rsidP="008B46DF">
      <w:r>
        <w:t xml:space="preserve">Growth in Commonwealth grants is lower than the </w:t>
      </w:r>
      <w:r w:rsidRPr="006B73C1">
        <w:rPr>
          <w:i/>
        </w:rPr>
        <w:t>2015</w:t>
      </w:r>
      <w:r>
        <w:rPr>
          <w:i/>
        </w:rPr>
        <w:noBreakHyphen/>
      </w:r>
      <w:r w:rsidRPr="006B73C1">
        <w:rPr>
          <w:i/>
        </w:rPr>
        <w:t>16 Budget</w:t>
      </w:r>
      <w:r>
        <w:t xml:space="preserve"> estimate due to the removal of the $1.5 billion in previously expected </w:t>
      </w:r>
      <w:r w:rsidRPr="00482AFE">
        <w:t>Commonwealth grant</w:t>
      </w:r>
      <w:r>
        <w:t>s</w:t>
      </w:r>
      <w:r w:rsidRPr="00482AFE">
        <w:t xml:space="preserve"> </w:t>
      </w:r>
      <w:r>
        <w:t xml:space="preserve">for the former East West Link project that will not be received, following the release of the </w:t>
      </w:r>
      <w:r w:rsidRPr="00886C76">
        <w:rPr>
          <w:i/>
        </w:rPr>
        <w:t>2</w:t>
      </w:r>
      <w:r>
        <w:rPr>
          <w:i/>
        </w:rPr>
        <w:t>01</w:t>
      </w:r>
      <w:r w:rsidRPr="00886C76">
        <w:rPr>
          <w:i/>
        </w:rPr>
        <w:t>5</w:t>
      </w:r>
      <w:r>
        <w:rPr>
          <w:i/>
        </w:rPr>
        <w:noBreakHyphen/>
      </w:r>
      <w:r w:rsidRPr="00886C76">
        <w:rPr>
          <w:i/>
        </w:rPr>
        <w:t>16 Commonwealth Budget</w:t>
      </w:r>
      <w:r>
        <w:t>.</w:t>
      </w:r>
    </w:p>
    <w:p w:rsidR="00965D85" w:rsidRDefault="00965D85" w:rsidP="008B46DF">
      <w:r>
        <w:t>T</w:t>
      </w:r>
      <w:r w:rsidRPr="00916A0D">
        <w:t>he initial $1.5 billion already provided</w:t>
      </w:r>
      <w:r>
        <w:t xml:space="preserve"> by the Commonwealth</w:t>
      </w:r>
      <w:r w:rsidRPr="00916A0D">
        <w:t xml:space="preserve"> in 2013</w:t>
      </w:r>
      <w:r w:rsidRPr="00916A0D">
        <w:noBreakHyphen/>
        <w:t xml:space="preserve">14 for the </w:t>
      </w:r>
      <w:r>
        <w:t xml:space="preserve">former </w:t>
      </w:r>
      <w:r w:rsidRPr="00916A0D">
        <w:t>East West Link project w</w:t>
      </w:r>
      <w:r>
        <w:t xml:space="preserve">ill be retained by Victoria for </w:t>
      </w:r>
      <w:r w:rsidRPr="00916A0D">
        <w:t>infrastructure</w:t>
      </w:r>
      <w:r>
        <w:t xml:space="preserve"> projects.</w:t>
      </w:r>
    </w:p>
    <w:p w:rsidR="00965D85" w:rsidRPr="00DC3F4A" w:rsidRDefault="00965D85" w:rsidP="008B46DF">
      <w:pPr>
        <w:pStyle w:val="Heading3"/>
      </w:pPr>
      <w:r w:rsidRPr="00DC3F4A">
        <w:lastRenderedPageBreak/>
        <w:t>Other current revenue</w:t>
      </w:r>
    </w:p>
    <w:p w:rsidR="00965D85" w:rsidRPr="007E4E2E" w:rsidRDefault="00965D85" w:rsidP="008B46DF">
      <w:r w:rsidRPr="007E4E2E">
        <w:t>Other current revenue includes fines, royalties, donations and gifts</w:t>
      </w:r>
      <w:r>
        <w:t>,</w:t>
      </w:r>
      <w:r w:rsidRPr="007E4E2E">
        <w:t xml:space="preserve"> assets received free of charge and other miscellaneous revenues. Other current revenue is projected to</w:t>
      </w:r>
      <w:r>
        <w:t xml:space="preserve"> decrease by 2.7 per cent to $2.4 billion</w:t>
      </w:r>
      <w:r w:rsidRPr="007E4E2E">
        <w:t xml:space="preserve"> </w:t>
      </w:r>
      <w:r>
        <w:t>in 2015</w:t>
      </w:r>
      <w:r>
        <w:noBreakHyphen/>
        <w:t xml:space="preserve">16 largely due to a reduction in </w:t>
      </w:r>
      <w:r w:rsidRPr="00175531">
        <w:t>revenue</w:t>
      </w:r>
      <w:r>
        <w:t xml:space="preserve"> received from the developers for the Kew residential services redevelopment, which was completed in 2014</w:t>
      </w:r>
      <w:r>
        <w:noBreakHyphen/>
        <w:t xml:space="preserve">15. </w:t>
      </w:r>
      <w:r w:rsidRPr="007E4E2E">
        <w:t xml:space="preserve">Other current revenue </w:t>
      </w:r>
      <w:r>
        <w:t>is projected to grow by an average of 0.3 per cent a year</w:t>
      </w:r>
      <w:r w:rsidRPr="007E4E2E">
        <w:t xml:space="preserve"> across the forward estimates.</w:t>
      </w:r>
    </w:p>
    <w:p w:rsidR="00965D85" w:rsidRPr="00DC3F4A" w:rsidRDefault="00965D85" w:rsidP="008B46DF">
      <w:pPr>
        <w:pStyle w:val="Heading2"/>
      </w:pPr>
      <w:r w:rsidRPr="00DC3F4A">
        <w:t>Expenses outlook</w:t>
      </w:r>
    </w:p>
    <w:p w:rsidR="00965D85" w:rsidRPr="007E4E2E" w:rsidRDefault="00965D85" w:rsidP="008B46DF">
      <w:r w:rsidRPr="007E4E2E">
        <w:t xml:space="preserve">The Government </w:t>
      </w:r>
      <w:r>
        <w:t>is expected to</w:t>
      </w:r>
      <w:r w:rsidRPr="007E4E2E">
        <w:t xml:space="preserve"> spend $</w:t>
      </w:r>
      <w:r>
        <w:t>54 billion in 2015</w:t>
      </w:r>
      <w:r>
        <w:noBreakHyphen/>
        <w:t>16</w:t>
      </w:r>
      <w:r w:rsidRPr="007E4E2E">
        <w:t xml:space="preserve"> </w:t>
      </w:r>
      <w:r>
        <w:t>providing services</w:t>
      </w:r>
      <w:r w:rsidRPr="007E4E2E">
        <w:t xml:space="preserve"> </w:t>
      </w:r>
      <w:r>
        <w:t>to the community</w:t>
      </w:r>
      <w:r w:rsidRPr="007E4E2E">
        <w:t xml:space="preserve">. </w:t>
      </w:r>
      <w:r>
        <w:t>Total expenses are</w:t>
      </w:r>
      <w:r w:rsidRPr="007E4E2E">
        <w:t xml:space="preserve"> expected to grow by </w:t>
      </w:r>
      <w:r>
        <w:t>3.1 per cent</w:t>
      </w:r>
      <w:r w:rsidRPr="007E4E2E">
        <w:t xml:space="preserve"> a year on average</w:t>
      </w:r>
      <w:r>
        <w:t xml:space="preserve"> over the budget and forward estimates </w:t>
      </w:r>
      <w:r w:rsidRPr="00DC3F4A">
        <w:t>to $59</w:t>
      </w:r>
      <w:r>
        <w:t> billion</w:t>
      </w:r>
      <w:r w:rsidRPr="00DC3F4A">
        <w:t xml:space="preserve"> in 2018</w:t>
      </w:r>
      <w:r>
        <w:noBreakHyphen/>
      </w:r>
      <w:r w:rsidRPr="00DC3F4A">
        <w:t>19</w:t>
      </w:r>
      <w:r>
        <w:t>.</w:t>
      </w:r>
    </w:p>
    <w:p w:rsidR="00965D85" w:rsidRPr="00DC3F4A" w:rsidRDefault="00965D85" w:rsidP="008B46DF">
      <w:r w:rsidRPr="00DC3F4A">
        <w:t>The level and expected growth in expenses is</w:t>
      </w:r>
      <w:r>
        <w:t xml:space="preserve"> broadly</w:t>
      </w:r>
      <w:r w:rsidRPr="00DC3F4A">
        <w:t xml:space="preserve"> comparable with the estimates forecast in </w:t>
      </w:r>
      <w:r>
        <w:t xml:space="preserve">the </w:t>
      </w:r>
      <w:r w:rsidRPr="00DC3F4A">
        <w:rPr>
          <w:i/>
        </w:rPr>
        <w:t>2015</w:t>
      </w:r>
      <w:r>
        <w:rPr>
          <w:i/>
        </w:rPr>
        <w:noBreakHyphen/>
      </w:r>
      <w:r w:rsidRPr="00DC3F4A">
        <w:rPr>
          <w:i/>
        </w:rPr>
        <w:t>16 Budget,</w:t>
      </w:r>
      <w:r w:rsidRPr="00DC3F4A">
        <w:t xml:space="preserve"> </w:t>
      </w:r>
      <w:r>
        <w:t xml:space="preserve">which incorporated </w:t>
      </w:r>
      <w:r w:rsidRPr="00DC3F4A">
        <w:t>the Government</w:t>
      </w:r>
      <w:r>
        <w:t>’</w:t>
      </w:r>
      <w:r w:rsidRPr="00DC3F4A">
        <w:t>s decision to invest more to meet the growing demand on core services for families, including on health, education and frontline social services.</w:t>
      </w:r>
      <w:r>
        <w:t xml:space="preserve"> </w:t>
      </w:r>
      <w:r w:rsidRPr="00DC3F4A">
        <w:t>Specifically:</w:t>
      </w:r>
    </w:p>
    <w:p w:rsidR="00965D85" w:rsidRPr="001161F8" w:rsidRDefault="00965D85" w:rsidP="008B46DF">
      <w:pPr>
        <w:pStyle w:val="BulletText"/>
      </w:pPr>
      <w:r w:rsidRPr="00DC3F4A">
        <w:t>employee expenses (including superannuation), which account for 42</w:t>
      </w:r>
      <w:r>
        <w:t> per cent</w:t>
      </w:r>
      <w:r w:rsidRPr="00DC3F4A">
        <w:t xml:space="preserve"> of operating expenditure in 2015</w:t>
      </w:r>
      <w:r>
        <w:noBreakHyphen/>
      </w:r>
      <w:r w:rsidRPr="00DC3F4A">
        <w:t xml:space="preserve">16, </w:t>
      </w:r>
      <w:r>
        <w:t>are</w:t>
      </w:r>
      <w:r w:rsidRPr="00DC3F4A">
        <w:t xml:space="preserve"> projected to grow by </w:t>
      </w:r>
      <w:r>
        <w:t>5.2 per cent</w:t>
      </w:r>
      <w:r w:rsidRPr="00DC3F4A">
        <w:t xml:space="preserve"> to $23</w:t>
      </w:r>
      <w:r>
        <w:t> billion</w:t>
      </w:r>
      <w:r w:rsidRPr="00DC3F4A">
        <w:t xml:space="preserve"> in 2015</w:t>
      </w:r>
      <w:r>
        <w:noBreakHyphen/>
      </w:r>
      <w:r w:rsidRPr="00DC3F4A">
        <w:t>16 and by 3.</w:t>
      </w:r>
      <w:r>
        <w:t>5 per cent</w:t>
      </w:r>
      <w:r w:rsidRPr="00DC3F4A">
        <w:t xml:space="preserve"> a year on average over the forward estimates. The growth in 2015</w:t>
      </w:r>
      <w:r>
        <w:noBreakHyphen/>
      </w:r>
      <w:r w:rsidRPr="00DC3F4A">
        <w:t>16 is driven by annual growth in wages</w:t>
      </w:r>
      <w:r>
        <w:t>, consistent with the Government’s wages policy</w:t>
      </w:r>
      <w:r w:rsidRPr="00DC3F4A">
        <w:t xml:space="preserve">, growth in staffing numbers associated with growing </w:t>
      </w:r>
      <w:r>
        <w:t xml:space="preserve">hospital </w:t>
      </w:r>
      <w:r w:rsidRPr="00DC3F4A">
        <w:t xml:space="preserve">demand and increased investment in the education sector as part of the </w:t>
      </w:r>
      <w:r w:rsidRPr="00FA7B4A">
        <w:t>Education State</w:t>
      </w:r>
      <w:r w:rsidRPr="00DC3F4A">
        <w:t xml:space="preserve"> initiative</w:t>
      </w:r>
      <w:r w:rsidRPr="001161F8">
        <w:t>;</w:t>
      </w:r>
    </w:p>
    <w:p w:rsidR="00965D85" w:rsidRPr="00DC3F4A" w:rsidRDefault="00965D85" w:rsidP="008B46DF">
      <w:pPr>
        <w:pStyle w:val="BulletText"/>
      </w:pPr>
      <w:r w:rsidRPr="00DC3F4A">
        <w:t>grants and other tra</w:t>
      </w:r>
      <w:r>
        <w:t xml:space="preserve">nsfer expenses include funding </w:t>
      </w:r>
      <w:r w:rsidRPr="00DC3F4A">
        <w:t>provided to non</w:t>
      </w:r>
      <w:r>
        <w:noBreakHyphen/>
      </w:r>
      <w:r w:rsidRPr="00DC3F4A">
        <w:t>government schools, VicTrack and V</w:t>
      </w:r>
      <w:r>
        <w:t>/</w:t>
      </w:r>
      <w:r w:rsidRPr="00DC3F4A">
        <w:t xml:space="preserve">Line for operational costs incurred in the provision of transport services, and local governments. Expenditure is forecast to fall by </w:t>
      </w:r>
      <w:r>
        <w:t>1.0 per cent</w:t>
      </w:r>
      <w:r w:rsidRPr="00DC3F4A">
        <w:t xml:space="preserve"> to $8.</w:t>
      </w:r>
      <w:r>
        <w:t>5 billion</w:t>
      </w:r>
      <w:r w:rsidRPr="00DC3F4A">
        <w:t xml:space="preserve"> in 2015</w:t>
      </w:r>
      <w:r>
        <w:noBreakHyphen/>
      </w:r>
      <w:r w:rsidRPr="00DC3F4A">
        <w:t xml:space="preserve">16 primarily due to </w:t>
      </w:r>
      <w:r>
        <w:t xml:space="preserve">the </w:t>
      </w:r>
      <w:r w:rsidRPr="00DC3F4A">
        <w:t>early receipt of Commonwealth grants for on</w:t>
      </w:r>
      <w:r>
        <w:noBreakHyphen/>
      </w:r>
      <w:r w:rsidRPr="00DC3F4A">
        <w:t>passing to local government</w:t>
      </w:r>
      <w:r>
        <w:t>s</w:t>
      </w:r>
      <w:r w:rsidRPr="00DC3F4A">
        <w:t xml:space="preserve"> in 2014</w:t>
      </w:r>
      <w:r>
        <w:noBreakHyphen/>
      </w:r>
      <w:r w:rsidRPr="00DC3F4A">
        <w:t xml:space="preserve">15. </w:t>
      </w:r>
      <w:r>
        <w:t>Growth is</w:t>
      </w:r>
      <w:r w:rsidRPr="00DC3F4A">
        <w:t xml:space="preserve"> expected to</w:t>
      </w:r>
      <w:r>
        <w:t xml:space="preserve"> return closer to trend levels at 5.0 per cent</w:t>
      </w:r>
      <w:r w:rsidRPr="00DC3F4A">
        <w:t xml:space="preserve"> a year on ave</w:t>
      </w:r>
      <w:r>
        <w:t>rage over the forward estimates;</w:t>
      </w:r>
    </w:p>
    <w:p w:rsidR="00965D85" w:rsidRPr="00DC3F4A" w:rsidRDefault="00965D85" w:rsidP="008B46DF">
      <w:pPr>
        <w:pStyle w:val="BulletText"/>
      </w:pPr>
      <w:r w:rsidRPr="00DC3F4A">
        <w:t>other operating expenses include the purchase of supplies and services in the human services, health and tra</w:t>
      </w:r>
      <w:r>
        <w:t>nsport sectors, and maintenance expenses</w:t>
      </w:r>
      <w:r w:rsidRPr="00DC3F4A">
        <w:t xml:space="preserve">. Other operating expenses are projected to increase by </w:t>
      </w:r>
      <w:r>
        <w:t>3.5 per cent</w:t>
      </w:r>
      <w:r w:rsidRPr="00DC3F4A">
        <w:t xml:space="preserve"> in 2015</w:t>
      </w:r>
      <w:r>
        <w:noBreakHyphen/>
      </w:r>
      <w:r w:rsidRPr="00DC3F4A">
        <w:t>16 and grow by an average of 1.</w:t>
      </w:r>
      <w:r>
        <w:t>2 per cent</w:t>
      </w:r>
      <w:r w:rsidRPr="00DC3F4A">
        <w:t xml:space="preserve"> a year to $19</w:t>
      </w:r>
      <w:r>
        <w:t> billion</w:t>
      </w:r>
      <w:r w:rsidRPr="00DC3F4A">
        <w:t xml:space="preserve"> in 2018</w:t>
      </w:r>
      <w:r>
        <w:noBreakHyphen/>
      </w:r>
      <w:r w:rsidRPr="00DC3F4A">
        <w:t>19;</w:t>
      </w:r>
    </w:p>
    <w:p w:rsidR="00965D85" w:rsidRPr="00DC3F4A" w:rsidRDefault="00965D85" w:rsidP="008B46DF">
      <w:pPr>
        <w:pStyle w:val="BulletText"/>
      </w:pPr>
      <w:r w:rsidRPr="00DC3F4A">
        <w:t>depreciation expense</w:t>
      </w:r>
      <w:r>
        <w:t xml:space="preserve"> is</w:t>
      </w:r>
      <w:r w:rsidRPr="00DC3F4A">
        <w:t xml:space="preserve"> projected to grow by 3.5</w:t>
      </w:r>
      <w:r>
        <w:t> per cent</w:t>
      </w:r>
      <w:r w:rsidRPr="00DC3F4A">
        <w:t xml:space="preserve"> to $2.5</w:t>
      </w:r>
      <w:r>
        <w:t> billion</w:t>
      </w:r>
      <w:r w:rsidRPr="00DC3F4A">
        <w:t xml:space="preserve"> in 2015</w:t>
      </w:r>
      <w:r>
        <w:noBreakHyphen/>
      </w:r>
      <w:r w:rsidRPr="00DC3F4A">
        <w:t>16, increasing by 6.9</w:t>
      </w:r>
      <w:r>
        <w:t> per cent</w:t>
      </w:r>
      <w:r w:rsidRPr="00DC3F4A">
        <w:t xml:space="preserve"> a year on average over the forward estimates to $3.1</w:t>
      </w:r>
      <w:r>
        <w:t> billion</w:t>
      </w:r>
      <w:r w:rsidRPr="00DC3F4A">
        <w:t xml:space="preserve"> in 2018</w:t>
      </w:r>
      <w:r>
        <w:noBreakHyphen/>
      </w:r>
      <w:r w:rsidRPr="00DC3F4A">
        <w:t>19. Growth in the depreciable asset base over the forward estimates reflects the Government</w:t>
      </w:r>
      <w:r>
        <w:t>’</w:t>
      </w:r>
      <w:r w:rsidRPr="00DC3F4A">
        <w:t>s commitm</w:t>
      </w:r>
      <w:r>
        <w:t>ent to invest in infrastructure; and</w:t>
      </w:r>
    </w:p>
    <w:p w:rsidR="00965D85" w:rsidRPr="00DC3F4A" w:rsidRDefault="00965D85" w:rsidP="008B46DF">
      <w:pPr>
        <w:pStyle w:val="BulletText"/>
      </w:pPr>
      <w:r w:rsidRPr="00DC3F4A">
        <w:t>interest expense</w:t>
      </w:r>
      <w:r>
        <w:t xml:space="preserve"> is</w:t>
      </w:r>
      <w:r w:rsidRPr="00DC3F4A">
        <w:t xml:space="preserve"> forecast to be $2.1</w:t>
      </w:r>
      <w:r>
        <w:t> billion</w:t>
      </w:r>
      <w:r w:rsidRPr="00DC3F4A">
        <w:t xml:space="preserve"> in 2015</w:t>
      </w:r>
      <w:r>
        <w:noBreakHyphen/>
      </w:r>
      <w:r w:rsidRPr="00DC3F4A">
        <w:t xml:space="preserve">16, an increase of </w:t>
      </w:r>
      <w:r>
        <w:t>1.4 per cent</w:t>
      </w:r>
      <w:r w:rsidRPr="00DC3F4A">
        <w:t xml:space="preserve"> and grow by an average of 0.</w:t>
      </w:r>
      <w:r>
        <w:t>4 per cent</w:t>
      </w:r>
      <w:r w:rsidRPr="00DC3F4A">
        <w:t xml:space="preserve"> a year on average over the forward estimates.</w:t>
      </w:r>
    </w:p>
    <w:p w:rsidR="00965D85" w:rsidRPr="00DC3F4A" w:rsidRDefault="00965D85" w:rsidP="008B46DF">
      <w:pPr>
        <w:pStyle w:val="Heading2"/>
      </w:pPr>
      <w:r w:rsidRPr="00DC3F4A">
        <w:lastRenderedPageBreak/>
        <w:t>Other economic flows</w:t>
      </w:r>
    </w:p>
    <w:p w:rsidR="00965D85" w:rsidRPr="00DC3F4A" w:rsidRDefault="00965D85" w:rsidP="008B46DF">
      <w:r w:rsidRPr="00DC3F4A">
        <w:t>The difference between the net result from transactions and the net result is other economic flows included in the net result. This typically includes gains and losses from the disposal of non</w:t>
      </w:r>
      <w:r>
        <w:noBreakHyphen/>
      </w:r>
      <w:r w:rsidRPr="00DC3F4A">
        <w:t>financial assets, adjustments for bad and doubtful debts and revaluations of financial assets and liabilities.</w:t>
      </w:r>
    </w:p>
    <w:p w:rsidR="00965D85" w:rsidRPr="009F52A4" w:rsidRDefault="00965D85" w:rsidP="008B46DF">
      <w:r w:rsidRPr="00DC3F4A">
        <w:t>The revised gain in other economic flows of $</w:t>
      </w:r>
      <w:r>
        <w:t>3.5 billion</w:t>
      </w:r>
      <w:r w:rsidRPr="00DC3F4A">
        <w:t xml:space="preserve"> in 2015</w:t>
      </w:r>
      <w:r>
        <w:noBreakHyphen/>
      </w:r>
      <w:r w:rsidRPr="00DC3F4A">
        <w:t>16 largely reflects forecast gains of entering into a medium</w:t>
      </w:r>
      <w:r>
        <w:noBreakHyphen/>
      </w:r>
      <w:r w:rsidRPr="00DC3F4A">
        <w:t>term lease over the operations of the Port of Melbourne</w:t>
      </w:r>
      <w:r>
        <w:t>,</w:t>
      </w:r>
      <w:r w:rsidRPr="00DC3F4A">
        <w:t xml:space="preserve"> partly offset by the impact of bad and doubtful debts.</w:t>
      </w:r>
    </w:p>
    <w:p w:rsidR="00965D85" w:rsidRPr="00AD3BB8" w:rsidRDefault="00965D85" w:rsidP="008B46DF">
      <w:pPr>
        <w:pStyle w:val="Heading2"/>
      </w:pPr>
      <w:r w:rsidRPr="00AD3BB8">
        <w:t xml:space="preserve">Reconciliation of estimates to the </w:t>
      </w:r>
      <w:r w:rsidRPr="000B1CD6">
        <w:rPr>
          <w:i/>
        </w:rPr>
        <w:t>201</w:t>
      </w:r>
      <w:r>
        <w:rPr>
          <w:i/>
        </w:rPr>
        <w:t>5</w:t>
      </w:r>
      <w:r>
        <w:rPr>
          <w:i/>
        </w:rPr>
        <w:noBreakHyphen/>
        <w:t>16 </w:t>
      </w:r>
      <w:r w:rsidRPr="000B1CD6">
        <w:rPr>
          <w:i/>
        </w:rPr>
        <w:t>Budget</w:t>
      </w:r>
    </w:p>
    <w:p w:rsidR="00965D85" w:rsidRDefault="00965D85" w:rsidP="008B46DF">
      <w:r>
        <w:t xml:space="preserve">Relative to the </w:t>
      </w:r>
      <w:r w:rsidRPr="00482AFE">
        <w:rPr>
          <w:i/>
        </w:rPr>
        <w:t>2015</w:t>
      </w:r>
      <w:r>
        <w:rPr>
          <w:i/>
        </w:rPr>
        <w:noBreakHyphen/>
      </w:r>
      <w:r w:rsidRPr="00482AFE">
        <w:rPr>
          <w:i/>
        </w:rPr>
        <w:t>16 Budget</w:t>
      </w:r>
      <w:r w:rsidRPr="00482AFE">
        <w:t xml:space="preserve">, </w:t>
      </w:r>
      <w:r>
        <w:t>t</w:t>
      </w:r>
      <w:r w:rsidRPr="00BF4F50">
        <w:t xml:space="preserve">he net result from transactions </w:t>
      </w:r>
      <w:r w:rsidRPr="002E2383">
        <w:t xml:space="preserve">has been revised </w:t>
      </w:r>
      <w:r>
        <w:t>up</w:t>
      </w:r>
      <w:r w:rsidRPr="002E2383">
        <w:t xml:space="preserve"> by </w:t>
      </w:r>
      <w:r>
        <w:t>an average of $374 million a year from 2015</w:t>
      </w:r>
      <w:r>
        <w:noBreakHyphen/>
        <w:t>16 to 2017</w:t>
      </w:r>
      <w:r>
        <w:noBreakHyphen/>
        <w:t>18, but decreases by $274 million in 2018</w:t>
      </w:r>
      <w:r>
        <w:noBreakHyphen/>
        <w:t>19.</w:t>
      </w:r>
    </w:p>
    <w:p w:rsidR="00965D85" w:rsidRPr="00E93428" w:rsidRDefault="00965D85" w:rsidP="008B46DF">
      <w:pPr>
        <w:pStyle w:val="Tableheading"/>
        <w:rPr>
          <w:bCs/>
          <w:vertAlign w:val="superscript"/>
          <w:lang w:val="en-US"/>
        </w:rPr>
      </w:pPr>
      <w:r w:rsidRPr="002E2383">
        <w:t xml:space="preserve">Table </w:t>
      </w:r>
      <w:r>
        <w:t>3.</w:t>
      </w:r>
      <w:r w:rsidRPr="002E2383">
        <w:t>3:</w:t>
      </w:r>
      <w:r w:rsidRPr="002E2383">
        <w:tab/>
      </w:r>
      <w:r w:rsidRPr="001B3FC5">
        <w:t>Reconciliation</w:t>
      </w:r>
      <w:r w:rsidRPr="002E2383">
        <w:t xml:space="preserve"> of estimates to the </w:t>
      </w:r>
      <w:r>
        <w:t>2015</w:t>
      </w:r>
      <w:r>
        <w:noBreakHyphen/>
        <w:t xml:space="preserve">16 Budget </w:t>
      </w:r>
      <w:r w:rsidRPr="00C13EED">
        <w:rPr>
          <w:vertAlign w:val="superscript"/>
        </w:rPr>
        <w:t>(a)</w:t>
      </w:r>
      <w:r>
        <w:rPr>
          <w:vertAlign w:val="superscript"/>
        </w:rPr>
        <w:fldChar w:fldCharType="begin"/>
      </w:r>
      <w:r>
        <w:rPr>
          <w:vertAlign w:val="superscript"/>
        </w:rPr>
        <w:instrText xml:space="preserve"> LINK Excel.Sheet.12 \\\\PDCPTPRDFIL01\\DTFDATA02$\\SECURED\\Budget\\BudgetUpdate\\Chapter3\\BU_Fiscal_Chp3_additional.xlsx Reconciliation!Reconciliation \f 4 \r  \* MERGEFORMAT </w:instrText>
      </w:r>
      <w:r>
        <w:rPr>
          <w:vertAlign w:val="superscript"/>
        </w:rPr>
        <w:fldChar w:fldCharType="separate"/>
      </w:r>
    </w:p>
    <w:tbl>
      <w:tblPr>
        <w:tblW w:w="7765" w:type="dxa"/>
        <w:tblInd w:w="45" w:type="dxa"/>
        <w:tblLayout w:type="fixed"/>
        <w:tblCellMar>
          <w:left w:w="45" w:type="dxa"/>
          <w:right w:w="45" w:type="dxa"/>
        </w:tblCellMar>
        <w:tblLook w:val="0000" w:firstRow="0" w:lastRow="0" w:firstColumn="0" w:lastColumn="0" w:noHBand="0" w:noVBand="0"/>
      </w:tblPr>
      <w:tblGrid>
        <w:gridCol w:w="4395"/>
        <w:gridCol w:w="818"/>
        <w:gridCol w:w="850"/>
        <w:gridCol w:w="850"/>
        <w:gridCol w:w="852"/>
      </w:tblGrid>
      <w:tr w:rsidR="00965D85" w:rsidRPr="00E93428" w:rsidTr="008B46DF">
        <w:tc>
          <w:tcPr>
            <w:tcW w:w="7765" w:type="dxa"/>
            <w:gridSpan w:val="5"/>
            <w:tcBorders>
              <w:top w:val="nil"/>
              <w:left w:val="nil"/>
              <w:bottom w:val="nil"/>
              <w:right w:val="nil"/>
            </w:tcBorders>
          </w:tcPr>
          <w:p w:rsidR="00965D85" w:rsidRPr="00E93428" w:rsidRDefault="00965D85" w:rsidP="008B46DF">
            <w:pPr>
              <w:pStyle w:val="million"/>
              <w:rPr>
                <w:rFonts w:eastAsiaTheme="minorEastAsia"/>
                <w:lang w:eastAsia="en-AU"/>
              </w:rPr>
            </w:pPr>
            <w:r w:rsidRPr="00E93428">
              <w:rPr>
                <w:rFonts w:eastAsiaTheme="minorEastAsia"/>
                <w:lang w:eastAsia="en-AU"/>
              </w:rPr>
              <w:t>($ million)</w:t>
            </w:r>
          </w:p>
        </w:tc>
      </w:tr>
      <w:tr w:rsidR="00965D85" w:rsidRPr="00E93428" w:rsidTr="008B46DF">
        <w:trPr>
          <w:trHeight w:val="488"/>
        </w:trPr>
        <w:tc>
          <w:tcPr>
            <w:tcW w:w="4395" w:type="dxa"/>
            <w:tcBorders>
              <w:top w:val="nil"/>
              <w:left w:val="nil"/>
              <w:right w:val="nil"/>
            </w:tcBorders>
            <w:shd w:val="solid" w:color="000000" w:fill="auto"/>
          </w:tcPr>
          <w:p w:rsidR="00965D85" w:rsidRPr="00E93428" w:rsidRDefault="00965D85" w:rsidP="008B46DF">
            <w:pPr>
              <w:autoSpaceDE w:val="0"/>
              <w:autoSpaceDN w:val="0"/>
              <w:adjustRightInd w:val="0"/>
              <w:spacing w:after="0"/>
              <w:rPr>
                <w:rFonts w:ascii="Calibri" w:eastAsiaTheme="minorEastAsia" w:hAnsi="Calibri" w:cs="Calibri"/>
                <w:b/>
                <w:bCs/>
                <w:color w:val="FFFFFF"/>
                <w:sz w:val="20"/>
                <w:lang w:eastAsia="en-AU"/>
              </w:rPr>
            </w:pPr>
            <w:r w:rsidRPr="00E93428">
              <w:rPr>
                <w:rFonts w:ascii="Calibri" w:eastAsiaTheme="minorEastAsia" w:hAnsi="Calibri" w:cs="Calibri"/>
                <w:b/>
                <w:bCs/>
                <w:color w:val="FFFFFF"/>
                <w:sz w:val="20"/>
                <w:lang w:eastAsia="en-AU"/>
              </w:rPr>
              <w:t xml:space="preserve"> </w:t>
            </w:r>
          </w:p>
          <w:p w:rsidR="00965D85" w:rsidRPr="00E93428" w:rsidRDefault="00965D85" w:rsidP="008B46DF">
            <w:pPr>
              <w:autoSpaceDE w:val="0"/>
              <w:autoSpaceDN w:val="0"/>
              <w:adjustRightInd w:val="0"/>
              <w:spacing w:after="0"/>
              <w:rPr>
                <w:rFonts w:ascii="Calibri" w:eastAsiaTheme="minorEastAsia" w:hAnsi="Calibri" w:cs="Calibri"/>
                <w:b/>
                <w:bCs/>
                <w:color w:val="FFFFFF"/>
                <w:sz w:val="20"/>
                <w:lang w:eastAsia="en-AU"/>
              </w:rPr>
            </w:pPr>
            <w:r w:rsidRPr="00E93428">
              <w:rPr>
                <w:rFonts w:ascii="Calibri" w:eastAsiaTheme="minorEastAsia" w:hAnsi="Calibri" w:cs="Calibri"/>
                <w:b/>
                <w:bCs/>
                <w:color w:val="FFFFFF"/>
                <w:sz w:val="20"/>
                <w:lang w:eastAsia="en-AU"/>
              </w:rPr>
              <w:t xml:space="preserve"> </w:t>
            </w:r>
          </w:p>
        </w:tc>
        <w:tc>
          <w:tcPr>
            <w:tcW w:w="818" w:type="dxa"/>
            <w:tcBorders>
              <w:top w:val="nil"/>
              <w:left w:val="nil"/>
              <w:right w:val="nil"/>
            </w:tcBorders>
            <w:shd w:val="solid" w:color="000000" w:fill="FFFFFF"/>
          </w:tcPr>
          <w:p w:rsidR="00965D85" w:rsidRPr="00E93428"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E93428">
              <w:rPr>
                <w:rFonts w:ascii="Calibri" w:eastAsiaTheme="minorEastAsia" w:hAnsi="Calibri" w:cs="Calibri"/>
                <w:i/>
                <w:iCs/>
                <w:color w:val="FFFFFF"/>
                <w:sz w:val="20"/>
                <w:lang w:eastAsia="en-AU"/>
              </w:rPr>
              <w:t>2015-16</w:t>
            </w:r>
          </w:p>
          <w:p w:rsidR="00965D85" w:rsidRPr="00E93428"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E93428">
              <w:rPr>
                <w:rFonts w:ascii="Calibri" w:eastAsiaTheme="minorEastAsia" w:hAnsi="Calibri" w:cs="Calibri"/>
                <w:i/>
                <w:iCs/>
                <w:color w:val="FFFFFF"/>
                <w:sz w:val="20"/>
                <w:lang w:eastAsia="en-AU"/>
              </w:rPr>
              <w:t>revised</w:t>
            </w:r>
          </w:p>
        </w:tc>
        <w:tc>
          <w:tcPr>
            <w:tcW w:w="850" w:type="dxa"/>
            <w:tcBorders>
              <w:top w:val="nil"/>
              <w:left w:val="nil"/>
              <w:right w:val="nil"/>
            </w:tcBorders>
            <w:shd w:val="solid" w:color="000000" w:fill="FFFFFF"/>
          </w:tcPr>
          <w:p w:rsidR="00965D85" w:rsidRPr="00E93428"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E93428">
              <w:rPr>
                <w:rFonts w:ascii="Calibri" w:eastAsiaTheme="minorEastAsia" w:hAnsi="Calibri" w:cs="Calibri"/>
                <w:i/>
                <w:iCs/>
                <w:color w:val="FFFFFF"/>
                <w:sz w:val="20"/>
                <w:lang w:eastAsia="en-AU"/>
              </w:rPr>
              <w:t>2016-17</w:t>
            </w:r>
          </w:p>
          <w:p w:rsidR="00965D85" w:rsidRPr="00E93428"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E93428">
              <w:rPr>
                <w:rFonts w:ascii="Calibri" w:eastAsiaTheme="minorEastAsia" w:hAnsi="Calibri" w:cs="Calibri"/>
                <w:i/>
                <w:iCs/>
                <w:color w:val="FFFFFF"/>
                <w:sz w:val="20"/>
                <w:lang w:eastAsia="en-AU"/>
              </w:rPr>
              <w:t>estimate</w:t>
            </w:r>
          </w:p>
        </w:tc>
        <w:tc>
          <w:tcPr>
            <w:tcW w:w="850" w:type="dxa"/>
            <w:tcBorders>
              <w:top w:val="nil"/>
              <w:left w:val="nil"/>
              <w:right w:val="nil"/>
            </w:tcBorders>
            <w:shd w:val="solid" w:color="000000" w:fill="FFFFFF"/>
          </w:tcPr>
          <w:p w:rsidR="00965D85" w:rsidRPr="00E93428"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E93428">
              <w:rPr>
                <w:rFonts w:ascii="Calibri" w:eastAsiaTheme="minorEastAsia" w:hAnsi="Calibri" w:cs="Calibri"/>
                <w:i/>
                <w:iCs/>
                <w:color w:val="FFFFFF"/>
                <w:sz w:val="20"/>
                <w:lang w:eastAsia="en-AU"/>
              </w:rPr>
              <w:t>2017-18</w:t>
            </w:r>
          </w:p>
          <w:p w:rsidR="00965D85" w:rsidRPr="00E93428"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E93428">
              <w:rPr>
                <w:rFonts w:ascii="Calibri" w:eastAsiaTheme="minorEastAsia" w:hAnsi="Calibri" w:cs="Calibri"/>
                <w:i/>
                <w:iCs/>
                <w:color w:val="FFFFFF"/>
                <w:sz w:val="20"/>
                <w:lang w:eastAsia="en-AU"/>
              </w:rPr>
              <w:t>estimate</w:t>
            </w:r>
          </w:p>
        </w:tc>
        <w:tc>
          <w:tcPr>
            <w:tcW w:w="852" w:type="dxa"/>
            <w:tcBorders>
              <w:top w:val="nil"/>
              <w:left w:val="nil"/>
              <w:right w:val="nil"/>
            </w:tcBorders>
            <w:shd w:val="solid" w:color="000000" w:fill="FFFFFF"/>
          </w:tcPr>
          <w:p w:rsidR="00965D85" w:rsidRPr="00E93428"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E93428">
              <w:rPr>
                <w:rFonts w:ascii="Calibri" w:eastAsiaTheme="minorEastAsia" w:hAnsi="Calibri" w:cs="Calibri"/>
                <w:i/>
                <w:iCs/>
                <w:color w:val="FFFFFF"/>
                <w:sz w:val="20"/>
                <w:lang w:eastAsia="en-AU"/>
              </w:rPr>
              <w:t>2018-19</w:t>
            </w:r>
          </w:p>
          <w:p w:rsidR="00965D85" w:rsidRPr="00E93428"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E93428">
              <w:rPr>
                <w:rFonts w:ascii="Calibri" w:eastAsiaTheme="minorEastAsia" w:hAnsi="Calibri" w:cs="Calibri"/>
                <w:i/>
                <w:iCs/>
                <w:color w:val="FFFFFF"/>
                <w:sz w:val="20"/>
                <w:lang w:eastAsia="en-AU"/>
              </w:rPr>
              <w:t>estimate</w:t>
            </w:r>
          </w:p>
        </w:tc>
      </w:tr>
      <w:tr w:rsidR="00965D85" w:rsidRPr="00E93428" w:rsidTr="008B46DF">
        <w:tc>
          <w:tcPr>
            <w:tcW w:w="4395" w:type="dxa"/>
            <w:tcBorders>
              <w:top w:val="nil"/>
              <w:left w:val="nil"/>
              <w:right w:val="nil"/>
            </w:tcBorders>
            <w:shd w:val="clear" w:color="auto" w:fill="FFFFFF"/>
          </w:tcPr>
          <w:p w:rsidR="00965D85" w:rsidRPr="00E93428" w:rsidRDefault="00965D85" w:rsidP="008B46DF">
            <w:pPr>
              <w:autoSpaceDE w:val="0"/>
              <w:autoSpaceDN w:val="0"/>
              <w:adjustRightInd w:val="0"/>
              <w:spacing w:after="0"/>
              <w:ind w:left="227" w:hanging="227"/>
              <w:rPr>
                <w:rFonts w:ascii="Calibri" w:eastAsiaTheme="minorEastAsia" w:hAnsi="Calibri" w:cs="Calibri"/>
                <w:b/>
                <w:bCs/>
                <w:i/>
                <w:iCs/>
                <w:color w:val="000000"/>
                <w:sz w:val="20"/>
                <w:lang w:eastAsia="en-AU"/>
              </w:rPr>
            </w:pPr>
            <w:r w:rsidRPr="00E93428">
              <w:rPr>
                <w:rFonts w:ascii="Calibri" w:eastAsiaTheme="minorEastAsia" w:hAnsi="Calibri" w:cs="Calibri"/>
                <w:b/>
                <w:bCs/>
                <w:color w:val="000000"/>
                <w:sz w:val="20"/>
                <w:lang w:eastAsia="en-AU"/>
              </w:rPr>
              <w:t>Net result from transactions:</w:t>
            </w:r>
            <w:r w:rsidRPr="00E93428">
              <w:rPr>
                <w:rFonts w:ascii="Calibri" w:eastAsiaTheme="minorEastAsia" w:hAnsi="Calibri" w:cs="Calibri"/>
                <w:b/>
                <w:bCs/>
                <w:i/>
                <w:iCs/>
                <w:color w:val="000000"/>
                <w:sz w:val="20"/>
                <w:lang w:eastAsia="en-AU"/>
              </w:rPr>
              <w:t xml:space="preserve"> 2015-16 Budget</w:t>
            </w:r>
          </w:p>
        </w:tc>
        <w:tc>
          <w:tcPr>
            <w:tcW w:w="818" w:type="dxa"/>
            <w:tcBorders>
              <w:top w:val="single" w:sz="6" w:space="0" w:color="auto"/>
              <w:left w:val="nil"/>
              <w:right w:val="nil"/>
            </w:tcBorders>
            <w:shd w:val="clear" w:color="auto" w:fill="FFFFFF"/>
          </w:tcPr>
          <w:p w:rsidR="00965D85" w:rsidRPr="00E93428"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93428">
              <w:rPr>
                <w:rFonts w:ascii="Calibri" w:eastAsiaTheme="minorEastAsia" w:hAnsi="Calibri" w:cs="Calibri"/>
                <w:b/>
                <w:bCs/>
                <w:color w:val="000000"/>
                <w:sz w:val="20"/>
                <w:lang w:eastAsia="en-AU"/>
              </w:rPr>
              <w:t>1 219</w:t>
            </w:r>
          </w:p>
        </w:tc>
        <w:tc>
          <w:tcPr>
            <w:tcW w:w="850" w:type="dxa"/>
            <w:tcBorders>
              <w:top w:val="single" w:sz="6" w:space="0" w:color="auto"/>
              <w:left w:val="nil"/>
              <w:right w:val="nil"/>
            </w:tcBorders>
            <w:shd w:val="clear" w:color="auto" w:fill="FFFFFF"/>
          </w:tcPr>
          <w:p w:rsidR="00965D85" w:rsidRPr="00E93428"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93428">
              <w:rPr>
                <w:rFonts w:ascii="Calibri" w:eastAsiaTheme="minorEastAsia" w:hAnsi="Calibri" w:cs="Calibri"/>
                <w:b/>
                <w:bCs/>
                <w:color w:val="000000"/>
                <w:sz w:val="20"/>
                <w:lang w:eastAsia="en-AU"/>
              </w:rPr>
              <w:t>1 397</w:t>
            </w:r>
          </w:p>
        </w:tc>
        <w:tc>
          <w:tcPr>
            <w:tcW w:w="850" w:type="dxa"/>
            <w:tcBorders>
              <w:top w:val="single" w:sz="6" w:space="0" w:color="auto"/>
              <w:left w:val="nil"/>
              <w:right w:val="nil"/>
            </w:tcBorders>
            <w:shd w:val="clear" w:color="auto" w:fill="FFFFFF"/>
          </w:tcPr>
          <w:p w:rsidR="00965D85" w:rsidRPr="00E93428"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93428">
              <w:rPr>
                <w:rFonts w:ascii="Calibri" w:eastAsiaTheme="minorEastAsia" w:hAnsi="Calibri" w:cs="Calibri"/>
                <w:b/>
                <w:bCs/>
                <w:color w:val="000000"/>
                <w:sz w:val="20"/>
                <w:lang w:eastAsia="en-AU"/>
              </w:rPr>
              <w:t>1 366</w:t>
            </w:r>
          </w:p>
        </w:tc>
        <w:tc>
          <w:tcPr>
            <w:tcW w:w="852" w:type="dxa"/>
            <w:tcBorders>
              <w:top w:val="single" w:sz="6" w:space="0" w:color="auto"/>
              <w:left w:val="nil"/>
              <w:right w:val="nil"/>
            </w:tcBorders>
            <w:shd w:val="clear" w:color="auto" w:fill="FFFFFF"/>
          </w:tcPr>
          <w:p w:rsidR="00965D85" w:rsidRPr="00E93428"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93428">
              <w:rPr>
                <w:rFonts w:ascii="Calibri" w:eastAsiaTheme="minorEastAsia" w:hAnsi="Calibri" w:cs="Calibri"/>
                <w:b/>
                <w:bCs/>
                <w:color w:val="000000"/>
                <w:sz w:val="20"/>
                <w:lang w:eastAsia="en-AU"/>
              </w:rPr>
              <w:t>1 828</w:t>
            </w:r>
          </w:p>
        </w:tc>
      </w:tr>
      <w:tr w:rsidR="00965D85" w:rsidRPr="00E93428" w:rsidTr="008B46DF">
        <w:tc>
          <w:tcPr>
            <w:tcW w:w="4395" w:type="dxa"/>
            <w:tcBorders>
              <w:top w:val="nil"/>
              <w:left w:val="nil"/>
              <w:right w:val="nil"/>
            </w:tcBorders>
            <w:shd w:val="clear" w:color="auto" w:fill="FFFFFF"/>
          </w:tcPr>
          <w:p w:rsidR="00965D85" w:rsidRPr="00E93428" w:rsidRDefault="00965D85" w:rsidP="008B46DF">
            <w:pPr>
              <w:autoSpaceDE w:val="0"/>
              <w:autoSpaceDN w:val="0"/>
              <w:adjustRightInd w:val="0"/>
              <w:spacing w:after="0"/>
              <w:ind w:left="227" w:hanging="227"/>
              <w:rPr>
                <w:rFonts w:ascii="Calibri" w:eastAsiaTheme="minorEastAsia" w:hAnsi="Calibri" w:cs="Calibri"/>
                <w:b/>
                <w:bCs/>
                <w:color w:val="000000"/>
                <w:sz w:val="20"/>
                <w:lang w:eastAsia="en-AU"/>
              </w:rPr>
            </w:pPr>
            <w:r w:rsidRPr="00E93428">
              <w:rPr>
                <w:rFonts w:ascii="Calibri" w:eastAsiaTheme="minorEastAsia" w:hAnsi="Calibri" w:cs="Calibri"/>
                <w:b/>
                <w:bCs/>
                <w:color w:val="000000"/>
                <w:sz w:val="20"/>
                <w:lang w:eastAsia="en-AU"/>
              </w:rPr>
              <w:t>Policy decision variations</w:t>
            </w:r>
          </w:p>
        </w:tc>
        <w:tc>
          <w:tcPr>
            <w:tcW w:w="818" w:type="dxa"/>
            <w:tcBorders>
              <w:top w:val="nil"/>
              <w:left w:val="nil"/>
              <w:right w:val="nil"/>
            </w:tcBorders>
            <w:shd w:val="clear" w:color="auto" w:fill="FFFFFF"/>
          </w:tcPr>
          <w:p w:rsidR="00965D85" w:rsidRPr="00E93428" w:rsidRDefault="00965D85" w:rsidP="008B46DF">
            <w:pPr>
              <w:autoSpaceDE w:val="0"/>
              <w:autoSpaceDN w:val="0"/>
              <w:adjustRightInd w:val="0"/>
              <w:spacing w:after="0"/>
              <w:jc w:val="right"/>
              <w:rPr>
                <w:rFonts w:ascii="Calibri" w:eastAsiaTheme="minorEastAsia" w:hAnsi="Calibri" w:cs="Calibri"/>
                <w:color w:val="000000"/>
                <w:sz w:val="20"/>
                <w:lang w:eastAsia="en-AU"/>
              </w:rPr>
            </w:pPr>
          </w:p>
        </w:tc>
        <w:tc>
          <w:tcPr>
            <w:tcW w:w="850" w:type="dxa"/>
            <w:tcBorders>
              <w:top w:val="nil"/>
              <w:left w:val="nil"/>
              <w:right w:val="nil"/>
            </w:tcBorders>
            <w:shd w:val="clear" w:color="auto" w:fill="FFFFFF"/>
          </w:tcPr>
          <w:p w:rsidR="00965D85" w:rsidRPr="00E93428" w:rsidRDefault="00965D85" w:rsidP="008B46DF">
            <w:pPr>
              <w:autoSpaceDE w:val="0"/>
              <w:autoSpaceDN w:val="0"/>
              <w:adjustRightInd w:val="0"/>
              <w:spacing w:after="0"/>
              <w:jc w:val="right"/>
              <w:rPr>
                <w:rFonts w:ascii="Calibri" w:eastAsiaTheme="minorEastAsia" w:hAnsi="Calibri" w:cs="Calibri"/>
                <w:color w:val="000000"/>
                <w:sz w:val="20"/>
                <w:lang w:eastAsia="en-AU"/>
              </w:rPr>
            </w:pPr>
          </w:p>
        </w:tc>
        <w:tc>
          <w:tcPr>
            <w:tcW w:w="850" w:type="dxa"/>
            <w:tcBorders>
              <w:top w:val="nil"/>
              <w:left w:val="nil"/>
              <w:right w:val="nil"/>
            </w:tcBorders>
            <w:shd w:val="clear" w:color="auto" w:fill="FFFFFF"/>
          </w:tcPr>
          <w:p w:rsidR="00965D85" w:rsidRPr="00E93428" w:rsidRDefault="00965D85" w:rsidP="008B46DF">
            <w:pPr>
              <w:autoSpaceDE w:val="0"/>
              <w:autoSpaceDN w:val="0"/>
              <w:adjustRightInd w:val="0"/>
              <w:spacing w:after="0"/>
              <w:jc w:val="right"/>
              <w:rPr>
                <w:rFonts w:ascii="Calibri" w:eastAsiaTheme="minorEastAsia" w:hAnsi="Calibri" w:cs="Calibri"/>
                <w:color w:val="000000"/>
                <w:sz w:val="20"/>
                <w:lang w:eastAsia="en-AU"/>
              </w:rPr>
            </w:pPr>
          </w:p>
        </w:tc>
        <w:tc>
          <w:tcPr>
            <w:tcW w:w="852" w:type="dxa"/>
            <w:tcBorders>
              <w:top w:val="nil"/>
              <w:left w:val="nil"/>
              <w:right w:val="nil"/>
            </w:tcBorders>
            <w:shd w:val="clear" w:color="auto" w:fill="FFFFFF"/>
          </w:tcPr>
          <w:p w:rsidR="00965D85" w:rsidRPr="00E93428" w:rsidRDefault="00965D85" w:rsidP="008B46DF">
            <w:pPr>
              <w:autoSpaceDE w:val="0"/>
              <w:autoSpaceDN w:val="0"/>
              <w:adjustRightInd w:val="0"/>
              <w:spacing w:after="0"/>
              <w:jc w:val="right"/>
              <w:rPr>
                <w:rFonts w:ascii="Calibri" w:eastAsiaTheme="minorEastAsia" w:hAnsi="Calibri" w:cs="Calibri"/>
                <w:color w:val="000000"/>
                <w:sz w:val="20"/>
                <w:lang w:eastAsia="en-AU"/>
              </w:rPr>
            </w:pPr>
          </w:p>
        </w:tc>
      </w:tr>
      <w:tr w:rsidR="00965D85" w:rsidRPr="00E93428" w:rsidTr="008B46DF">
        <w:tc>
          <w:tcPr>
            <w:tcW w:w="4395" w:type="dxa"/>
            <w:tcBorders>
              <w:top w:val="nil"/>
              <w:left w:val="nil"/>
              <w:right w:val="nil"/>
            </w:tcBorders>
            <w:shd w:val="clear" w:color="auto" w:fill="FFFFFF"/>
          </w:tcPr>
          <w:p w:rsidR="00965D85" w:rsidRPr="00E93428"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E93428">
              <w:rPr>
                <w:rFonts w:ascii="Calibri" w:eastAsiaTheme="minorEastAsia" w:hAnsi="Calibri" w:cs="Calibri"/>
                <w:color w:val="000000"/>
                <w:sz w:val="20"/>
                <w:lang w:eastAsia="en-AU"/>
              </w:rPr>
              <w:t>Revenue policy decision variations</w:t>
            </w:r>
          </w:p>
        </w:tc>
        <w:tc>
          <w:tcPr>
            <w:tcW w:w="818" w:type="dxa"/>
            <w:tcBorders>
              <w:top w:val="nil"/>
              <w:left w:val="nil"/>
              <w:right w:val="nil"/>
            </w:tcBorders>
            <w:shd w:val="clear" w:color="auto" w:fill="FFFFFF"/>
          </w:tcPr>
          <w:p w:rsidR="00965D85" w:rsidRPr="00E93428"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93428">
              <w:rPr>
                <w:rFonts w:ascii="Calibri" w:eastAsiaTheme="minorEastAsia" w:hAnsi="Calibri" w:cs="Calibri"/>
                <w:color w:val="000000"/>
                <w:sz w:val="20"/>
                <w:lang w:eastAsia="en-AU"/>
              </w:rPr>
              <w:t>..</w:t>
            </w:r>
          </w:p>
        </w:tc>
        <w:tc>
          <w:tcPr>
            <w:tcW w:w="850" w:type="dxa"/>
            <w:tcBorders>
              <w:top w:val="nil"/>
              <w:left w:val="nil"/>
              <w:right w:val="nil"/>
            </w:tcBorders>
            <w:shd w:val="clear" w:color="auto" w:fill="FFFFFF"/>
          </w:tcPr>
          <w:p w:rsidR="00965D85" w:rsidRPr="00E93428"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93428">
              <w:rPr>
                <w:rFonts w:ascii="Calibri" w:eastAsiaTheme="minorEastAsia" w:hAnsi="Calibri" w:cs="Calibri"/>
                <w:color w:val="000000"/>
                <w:sz w:val="20"/>
                <w:lang w:eastAsia="en-AU"/>
              </w:rPr>
              <w:t>..</w:t>
            </w:r>
          </w:p>
        </w:tc>
        <w:tc>
          <w:tcPr>
            <w:tcW w:w="850" w:type="dxa"/>
            <w:tcBorders>
              <w:top w:val="nil"/>
              <w:left w:val="nil"/>
              <w:right w:val="nil"/>
            </w:tcBorders>
            <w:shd w:val="clear" w:color="auto" w:fill="FFFFFF"/>
          </w:tcPr>
          <w:p w:rsidR="00965D85" w:rsidRPr="00E93428"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93428">
              <w:rPr>
                <w:rFonts w:ascii="Calibri" w:eastAsiaTheme="minorEastAsia" w:hAnsi="Calibri" w:cs="Calibri"/>
                <w:color w:val="000000"/>
                <w:sz w:val="20"/>
                <w:lang w:eastAsia="en-AU"/>
              </w:rPr>
              <w:t>..</w:t>
            </w:r>
          </w:p>
        </w:tc>
        <w:tc>
          <w:tcPr>
            <w:tcW w:w="852" w:type="dxa"/>
            <w:tcBorders>
              <w:top w:val="nil"/>
              <w:left w:val="nil"/>
              <w:right w:val="nil"/>
            </w:tcBorders>
            <w:shd w:val="clear" w:color="auto" w:fill="FFFFFF"/>
          </w:tcPr>
          <w:p w:rsidR="00965D85" w:rsidRPr="00E93428"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93428">
              <w:rPr>
                <w:rFonts w:ascii="Calibri" w:eastAsiaTheme="minorEastAsia" w:hAnsi="Calibri" w:cs="Calibri"/>
                <w:color w:val="000000"/>
                <w:sz w:val="20"/>
                <w:lang w:eastAsia="en-AU"/>
              </w:rPr>
              <w:t>..</w:t>
            </w:r>
          </w:p>
        </w:tc>
      </w:tr>
      <w:tr w:rsidR="00965D85" w:rsidRPr="00E93428" w:rsidTr="008B46DF">
        <w:tc>
          <w:tcPr>
            <w:tcW w:w="4395" w:type="dxa"/>
            <w:tcBorders>
              <w:top w:val="nil"/>
              <w:left w:val="nil"/>
              <w:bottom w:val="nil"/>
              <w:right w:val="nil"/>
            </w:tcBorders>
            <w:shd w:val="clear" w:color="auto" w:fill="FFFFFF"/>
          </w:tcPr>
          <w:p w:rsidR="00965D85" w:rsidRPr="00E93428" w:rsidRDefault="00965D85" w:rsidP="008B46DF">
            <w:pPr>
              <w:autoSpaceDE w:val="0"/>
              <w:autoSpaceDN w:val="0"/>
              <w:adjustRightInd w:val="0"/>
              <w:spacing w:after="0"/>
              <w:ind w:left="227" w:hanging="227"/>
              <w:rPr>
                <w:rFonts w:ascii="Calibri" w:eastAsiaTheme="minorEastAsia" w:hAnsi="Calibri" w:cs="Calibri"/>
                <w:color w:val="000000"/>
                <w:sz w:val="20"/>
                <w:vertAlign w:val="superscript"/>
                <w:lang w:eastAsia="en-AU"/>
              </w:rPr>
            </w:pPr>
            <w:r w:rsidRPr="00E93428">
              <w:rPr>
                <w:rFonts w:ascii="Calibri" w:eastAsiaTheme="minorEastAsia" w:hAnsi="Calibri" w:cs="Calibri"/>
                <w:color w:val="000000"/>
                <w:sz w:val="20"/>
                <w:lang w:eastAsia="en-AU"/>
              </w:rPr>
              <w:t>Output policy decision variations</w:t>
            </w:r>
            <w:r w:rsidRPr="00E93428">
              <w:rPr>
                <w:rFonts w:ascii="Calibri" w:eastAsiaTheme="minorEastAsia" w:hAnsi="Calibri" w:cs="Calibri"/>
                <w:color w:val="000000"/>
                <w:sz w:val="20"/>
                <w:vertAlign w:val="superscript"/>
                <w:lang w:eastAsia="en-AU"/>
              </w:rPr>
              <w:t xml:space="preserve"> (b)</w:t>
            </w:r>
          </w:p>
        </w:tc>
        <w:tc>
          <w:tcPr>
            <w:tcW w:w="818" w:type="dxa"/>
            <w:tcBorders>
              <w:top w:val="nil"/>
              <w:left w:val="nil"/>
              <w:bottom w:val="nil"/>
              <w:right w:val="nil"/>
            </w:tcBorders>
            <w:shd w:val="clear" w:color="auto" w:fill="FFFFFF"/>
          </w:tcPr>
          <w:p w:rsidR="00965D85" w:rsidRPr="00E93428"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(88)</w:t>
            </w:r>
          </w:p>
        </w:tc>
        <w:tc>
          <w:tcPr>
            <w:tcW w:w="850" w:type="dxa"/>
            <w:tcBorders>
              <w:top w:val="nil"/>
              <w:left w:val="nil"/>
              <w:bottom w:val="nil"/>
              <w:right w:val="nil"/>
            </w:tcBorders>
            <w:shd w:val="clear" w:color="auto" w:fill="FFFFFF"/>
          </w:tcPr>
          <w:p w:rsidR="00965D85" w:rsidRPr="00E93428"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(58)</w:t>
            </w:r>
          </w:p>
        </w:tc>
        <w:tc>
          <w:tcPr>
            <w:tcW w:w="850" w:type="dxa"/>
            <w:tcBorders>
              <w:top w:val="nil"/>
              <w:left w:val="nil"/>
              <w:bottom w:val="nil"/>
              <w:right w:val="nil"/>
            </w:tcBorders>
            <w:shd w:val="clear" w:color="auto" w:fill="FFFFFF"/>
          </w:tcPr>
          <w:p w:rsidR="00965D85" w:rsidRPr="00E93428"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(24)</w:t>
            </w:r>
          </w:p>
        </w:tc>
        <w:tc>
          <w:tcPr>
            <w:tcW w:w="852" w:type="dxa"/>
            <w:tcBorders>
              <w:top w:val="nil"/>
              <w:left w:val="nil"/>
              <w:bottom w:val="nil"/>
              <w:right w:val="nil"/>
            </w:tcBorders>
            <w:shd w:val="clear" w:color="auto" w:fill="FFFFFF"/>
          </w:tcPr>
          <w:p w:rsidR="00965D85" w:rsidRPr="00E93428"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(13)</w:t>
            </w:r>
          </w:p>
        </w:tc>
      </w:tr>
      <w:tr w:rsidR="00965D85" w:rsidRPr="00E93428" w:rsidTr="008B46DF">
        <w:tc>
          <w:tcPr>
            <w:tcW w:w="4395" w:type="dxa"/>
            <w:tcBorders>
              <w:top w:val="nil"/>
              <w:left w:val="nil"/>
              <w:right w:val="nil"/>
            </w:tcBorders>
            <w:shd w:val="clear" w:color="auto" w:fill="FFFFFF"/>
          </w:tcPr>
          <w:p w:rsidR="00965D85" w:rsidRPr="00E93428"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E93428">
              <w:rPr>
                <w:rFonts w:ascii="Calibri" w:eastAsiaTheme="minorEastAsia" w:hAnsi="Calibri" w:cs="Calibri"/>
                <w:color w:val="000000"/>
                <w:sz w:val="20"/>
                <w:lang w:eastAsia="en-AU"/>
              </w:rPr>
              <w:t xml:space="preserve"> </w:t>
            </w:r>
          </w:p>
        </w:tc>
        <w:tc>
          <w:tcPr>
            <w:tcW w:w="818" w:type="dxa"/>
            <w:tcBorders>
              <w:top w:val="single" w:sz="6" w:space="0" w:color="auto"/>
              <w:left w:val="nil"/>
              <w:right w:val="nil"/>
            </w:tcBorders>
            <w:shd w:val="clear" w:color="auto" w:fill="FFFFFF"/>
          </w:tcPr>
          <w:p w:rsidR="00965D85" w:rsidRPr="00E93428"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20"/>
                <w:lang w:eastAsia="en-AU"/>
              </w:rPr>
              <w:t>(88)</w:t>
            </w:r>
          </w:p>
        </w:tc>
        <w:tc>
          <w:tcPr>
            <w:tcW w:w="850" w:type="dxa"/>
            <w:tcBorders>
              <w:top w:val="single" w:sz="6" w:space="0" w:color="auto"/>
              <w:left w:val="nil"/>
              <w:right w:val="nil"/>
            </w:tcBorders>
            <w:shd w:val="clear" w:color="auto" w:fill="FFFFFF"/>
          </w:tcPr>
          <w:p w:rsidR="00965D85" w:rsidRPr="00E93428"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20"/>
                <w:lang w:eastAsia="en-AU"/>
              </w:rPr>
              <w:t>(58)</w:t>
            </w:r>
          </w:p>
        </w:tc>
        <w:tc>
          <w:tcPr>
            <w:tcW w:w="850" w:type="dxa"/>
            <w:tcBorders>
              <w:top w:val="single" w:sz="6" w:space="0" w:color="auto"/>
              <w:left w:val="nil"/>
              <w:right w:val="nil"/>
            </w:tcBorders>
            <w:shd w:val="clear" w:color="auto" w:fill="FFFFFF"/>
          </w:tcPr>
          <w:p w:rsidR="00965D85" w:rsidRPr="00E93428"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20"/>
                <w:lang w:eastAsia="en-AU"/>
              </w:rPr>
              <w:t>(24)</w:t>
            </w:r>
          </w:p>
        </w:tc>
        <w:tc>
          <w:tcPr>
            <w:tcW w:w="852" w:type="dxa"/>
            <w:tcBorders>
              <w:top w:val="single" w:sz="6" w:space="0" w:color="auto"/>
              <w:left w:val="nil"/>
              <w:right w:val="nil"/>
            </w:tcBorders>
            <w:shd w:val="clear" w:color="auto" w:fill="FFFFFF"/>
          </w:tcPr>
          <w:p w:rsidR="00965D85" w:rsidRPr="00E93428"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20"/>
                <w:lang w:eastAsia="en-AU"/>
              </w:rPr>
              <w:t>(13)</w:t>
            </w:r>
          </w:p>
        </w:tc>
      </w:tr>
      <w:tr w:rsidR="00965D85" w:rsidRPr="00E93428" w:rsidTr="008B46DF">
        <w:tc>
          <w:tcPr>
            <w:tcW w:w="4395" w:type="dxa"/>
            <w:tcBorders>
              <w:top w:val="nil"/>
              <w:left w:val="nil"/>
              <w:right w:val="nil"/>
            </w:tcBorders>
            <w:shd w:val="clear" w:color="auto" w:fill="FFFFFF"/>
          </w:tcPr>
          <w:p w:rsidR="00965D85" w:rsidRPr="00E93428" w:rsidRDefault="00965D85" w:rsidP="008B46DF">
            <w:pPr>
              <w:autoSpaceDE w:val="0"/>
              <w:autoSpaceDN w:val="0"/>
              <w:adjustRightInd w:val="0"/>
              <w:spacing w:after="0"/>
              <w:ind w:left="227" w:hanging="227"/>
              <w:rPr>
                <w:rFonts w:ascii="Calibri" w:eastAsiaTheme="minorEastAsia" w:hAnsi="Calibri" w:cs="Calibri"/>
                <w:b/>
                <w:bCs/>
                <w:color w:val="000000"/>
                <w:sz w:val="20"/>
                <w:lang w:eastAsia="en-AU"/>
              </w:rPr>
            </w:pPr>
            <w:r w:rsidRPr="00E93428">
              <w:rPr>
                <w:rFonts w:ascii="Calibri" w:eastAsiaTheme="minorEastAsia" w:hAnsi="Calibri" w:cs="Calibri"/>
                <w:b/>
                <w:bCs/>
                <w:color w:val="000000"/>
                <w:sz w:val="20"/>
                <w:lang w:eastAsia="en-AU"/>
              </w:rPr>
              <w:t>Economic/demographic variations</w:t>
            </w:r>
          </w:p>
        </w:tc>
        <w:tc>
          <w:tcPr>
            <w:tcW w:w="818" w:type="dxa"/>
            <w:tcBorders>
              <w:top w:val="nil"/>
              <w:left w:val="nil"/>
              <w:right w:val="nil"/>
            </w:tcBorders>
            <w:shd w:val="clear" w:color="auto" w:fill="FFFFFF"/>
          </w:tcPr>
          <w:p w:rsidR="00965D85" w:rsidRPr="00E93428" w:rsidRDefault="00965D85" w:rsidP="008B46DF">
            <w:pPr>
              <w:autoSpaceDE w:val="0"/>
              <w:autoSpaceDN w:val="0"/>
              <w:adjustRightInd w:val="0"/>
              <w:spacing w:after="0"/>
              <w:jc w:val="right"/>
              <w:rPr>
                <w:rFonts w:ascii="Calibri" w:eastAsiaTheme="minorEastAsia" w:hAnsi="Calibri" w:cs="Calibri"/>
                <w:color w:val="000000"/>
                <w:sz w:val="20"/>
                <w:lang w:eastAsia="en-AU"/>
              </w:rPr>
            </w:pPr>
          </w:p>
        </w:tc>
        <w:tc>
          <w:tcPr>
            <w:tcW w:w="850" w:type="dxa"/>
            <w:tcBorders>
              <w:top w:val="nil"/>
              <w:left w:val="nil"/>
              <w:right w:val="nil"/>
            </w:tcBorders>
            <w:shd w:val="clear" w:color="auto" w:fill="FFFFFF"/>
          </w:tcPr>
          <w:p w:rsidR="00965D85" w:rsidRPr="00E93428" w:rsidRDefault="00965D85" w:rsidP="008B46DF">
            <w:pPr>
              <w:autoSpaceDE w:val="0"/>
              <w:autoSpaceDN w:val="0"/>
              <w:adjustRightInd w:val="0"/>
              <w:spacing w:after="0"/>
              <w:jc w:val="right"/>
              <w:rPr>
                <w:rFonts w:ascii="Calibri" w:eastAsiaTheme="minorEastAsia" w:hAnsi="Calibri" w:cs="Calibri"/>
                <w:color w:val="000000"/>
                <w:sz w:val="20"/>
                <w:lang w:eastAsia="en-AU"/>
              </w:rPr>
            </w:pPr>
          </w:p>
        </w:tc>
        <w:tc>
          <w:tcPr>
            <w:tcW w:w="850" w:type="dxa"/>
            <w:tcBorders>
              <w:top w:val="nil"/>
              <w:left w:val="nil"/>
              <w:right w:val="nil"/>
            </w:tcBorders>
            <w:shd w:val="clear" w:color="auto" w:fill="FFFFFF"/>
          </w:tcPr>
          <w:p w:rsidR="00965D85" w:rsidRPr="00E93428" w:rsidRDefault="00965D85" w:rsidP="008B46DF">
            <w:pPr>
              <w:autoSpaceDE w:val="0"/>
              <w:autoSpaceDN w:val="0"/>
              <w:adjustRightInd w:val="0"/>
              <w:spacing w:after="0"/>
              <w:jc w:val="right"/>
              <w:rPr>
                <w:rFonts w:ascii="Calibri" w:eastAsiaTheme="minorEastAsia" w:hAnsi="Calibri" w:cs="Calibri"/>
                <w:color w:val="000000"/>
                <w:sz w:val="20"/>
                <w:lang w:eastAsia="en-AU"/>
              </w:rPr>
            </w:pPr>
          </w:p>
        </w:tc>
        <w:tc>
          <w:tcPr>
            <w:tcW w:w="852" w:type="dxa"/>
            <w:tcBorders>
              <w:top w:val="nil"/>
              <w:left w:val="nil"/>
              <w:right w:val="nil"/>
            </w:tcBorders>
            <w:shd w:val="clear" w:color="auto" w:fill="FFFFFF"/>
          </w:tcPr>
          <w:p w:rsidR="00965D85" w:rsidRPr="00E93428" w:rsidRDefault="00965D85" w:rsidP="008B46DF">
            <w:pPr>
              <w:autoSpaceDE w:val="0"/>
              <w:autoSpaceDN w:val="0"/>
              <w:adjustRightInd w:val="0"/>
              <w:spacing w:after="0"/>
              <w:jc w:val="right"/>
              <w:rPr>
                <w:rFonts w:ascii="Calibri" w:eastAsiaTheme="minorEastAsia" w:hAnsi="Calibri" w:cs="Calibri"/>
                <w:color w:val="000000"/>
                <w:sz w:val="20"/>
                <w:lang w:eastAsia="en-AU"/>
              </w:rPr>
            </w:pPr>
          </w:p>
        </w:tc>
      </w:tr>
      <w:tr w:rsidR="00965D85" w:rsidRPr="00E93428" w:rsidTr="008B46DF">
        <w:tc>
          <w:tcPr>
            <w:tcW w:w="4395" w:type="dxa"/>
            <w:tcBorders>
              <w:top w:val="nil"/>
              <w:left w:val="nil"/>
              <w:right w:val="nil"/>
            </w:tcBorders>
            <w:shd w:val="clear" w:color="auto" w:fill="FFFFFF"/>
          </w:tcPr>
          <w:p w:rsidR="00965D85" w:rsidRPr="00E93428"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E93428">
              <w:rPr>
                <w:rFonts w:ascii="Calibri" w:eastAsiaTheme="minorEastAsia" w:hAnsi="Calibri" w:cs="Calibri"/>
                <w:color w:val="000000"/>
                <w:sz w:val="20"/>
                <w:lang w:eastAsia="en-AU"/>
              </w:rPr>
              <w:t>Taxation</w:t>
            </w:r>
          </w:p>
        </w:tc>
        <w:tc>
          <w:tcPr>
            <w:tcW w:w="818" w:type="dxa"/>
            <w:tcBorders>
              <w:top w:val="nil"/>
              <w:left w:val="nil"/>
              <w:right w:val="nil"/>
            </w:tcBorders>
            <w:shd w:val="clear" w:color="auto" w:fill="FFFFFF"/>
          </w:tcPr>
          <w:p w:rsidR="00965D85" w:rsidRPr="00E93428"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93428">
              <w:rPr>
                <w:rFonts w:ascii="Calibri" w:eastAsiaTheme="minorEastAsia" w:hAnsi="Calibri" w:cs="Calibri"/>
                <w:color w:val="000000"/>
                <w:sz w:val="20"/>
                <w:lang w:eastAsia="en-AU"/>
              </w:rPr>
              <w:t xml:space="preserve"> 411</w:t>
            </w:r>
          </w:p>
        </w:tc>
        <w:tc>
          <w:tcPr>
            <w:tcW w:w="850" w:type="dxa"/>
            <w:tcBorders>
              <w:top w:val="nil"/>
              <w:left w:val="nil"/>
              <w:right w:val="nil"/>
            </w:tcBorders>
            <w:shd w:val="clear" w:color="auto" w:fill="FFFFFF"/>
          </w:tcPr>
          <w:p w:rsidR="00965D85" w:rsidRPr="00E93428"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93428">
              <w:rPr>
                <w:rFonts w:ascii="Calibri" w:eastAsiaTheme="minorEastAsia" w:hAnsi="Calibri" w:cs="Calibri"/>
                <w:color w:val="000000"/>
                <w:sz w:val="20"/>
                <w:lang w:eastAsia="en-AU"/>
              </w:rPr>
              <w:t xml:space="preserve"> 221</w:t>
            </w:r>
          </w:p>
        </w:tc>
        <w:tc>
          <w:tcPr>
            <w:tcW w:w="850" w:type="dxa"/>
            <w:tcBorders>
              <w:top w:val="nil"/>
              <w:left w:val="nil"/>
              <w:right w:val="nil"/>
            </w:tcBorders>
            <w:shd w:val="clear" w:color="auto" w:fill="FFFFFF"/>
          </w:tcPr>
          <w:p w:rsidR="00965D85" w:rsidRPr="00E93428"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93428">
              <w:rPr>
                <w:rFonts w:ascii="Calibri" w:eastAsiaTheme="minorEastAsia" w:hAnsi="Calibri" w:cs="Calibri"/>
                <w:color w:val="000000"/>
                <w:sz w:val="20"/>
                <w:lang w:eastAsia="en-AU"/>
              </w:rPr>
              <w:t xml:space="preserve"> 144</w:t>
            </w:r>
          </w:p>
        </w:tc>
        <w:tc>
          <w:tcPr>
            <w:tcW w:w="852" w:type="dxa"/>
            <w:tcBorders>
              <w:top w:val="nil"/>
              <w:left w:val="nil"/>
              <w:right w:val="nil"/>
            </w:tcBorders>
            <w:shd w:val="clear" w:color="auto" w:fill="FFFFFF"/>
          </w:tcPr>
          <w:p w:rsidR="00965D85" w:rsidRPr="00E93428"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93428">
              <w:rPr>
                <w:rFonts w:ascii="Calibri" w:eastAsiaTheme="minorEastAsia" w:hAnsi="Calibri" w:cs="Calibri"/>
                <w:color w:val="000000"/>
                <w:sz w:val="20"/>
                <w:lang w:eastAsia="en-AU"/>
              </w:rPr>
              <w:t xml:space="preserve"> 103</w:t>
            </w:r>
          </w:p>
        </w:tc>
      </w:tr>
      <w:tr w:rsidR="00965D85" w:rsidRPr="00E93428" w:rsidTr="008B46DF">
        <w:tc>
          <w:tcPr>
            <w:tcW w:w="4395" w:type="dxa"/>
            <w:tcBorders>
              <w:top w:val="nil"/>
              <w:left w:val="nil"/>
              <w:bottom w:val="nil"/>
              <w:right w:val="nil"/>
            </w:tcBorders>
            <w:shd w:val="clear" w:color="auto" w:fill="FFFFFF"/>
          </w:tcPr>
          <w:p w:rsidR="00965D85" w:rsidRPr="00E93428" w:rsidRDefault="00965D85" w:rsidP="008B46DF">
            <w:pPr>
              <w:autoSpaceDE w:val="0"/>
              <w:autoSpaceDN w:val="0"/>
              <w:adjustRightInd w:val="0"/>
              <w:spacing w:after="0"/>
              <w:ind w:left="227" w:hanging="227"/>
              <w:rPr>
                <w:rFonts w:ascii="Calibri" w:eastAsiaTheme="minorEastAsia" w:hAnsi="Calibri" w:cs="Calibri"/>
                <w:color w:val="000000"/>
                <w:sz w:val="20"/>
                <w:vertAlign w:val="superscript"/>
                <w:lang w:eastAsia="en-AU"/>
              </w:rPr>
            </w:pPr>
            <w:r w:rsidRPr="00E93428">
              <w:rPr>
                <w:rFonts w:ascii="Calibri" w:eastAsiaTheme="minorEastAsia" w:hAnsi="Calibri" w:cs="Calibri"/>
                <w:color w:val="000000"/>
                <w:sz w:val="20"/>
                <w:lang w:eastAsia="en-AU"/>
              </w:rPr>
              <w:t xml:space="preserve">Investment income </w:t>
            </w:r>
            <w:r w:rsidRPr="00E93428">
              <w:rPr>
                <w:rFonts w:ascii="Calibri" w:eastAsiaTheme="minorEastAsia" w:hAnsi="Calibri" w:cs="Calibri"/>
                <w:color w:val="000000"/>
                <w:sz w:val="20"/>
                <w:vertAlign w:val="superscript"/>
                <w:lang w:eastAsia="en-AU"/>
              </w:rPr>
              <w:t>(c)</w:t>
            </w:r>
          </w:p>
        </w:tc>
        <w:tc>
          <w:tcPr>
            <w:tcW w:w="818" w:type="dxa"/>
            <w:tcBorders>
              <w:top w:val="nil"/>
              <w:left w:val="nil"/>
              <w:bottom w:val="nil"/>
              <w:right w:val="nil"/>
            </w:tcBorders>
            <w:shd w:val="clear" w:color="auto" w:fill="FFFFFF"/>
          </w:tcPr>
          <w:p w:rsidR="00965D85" w:rsidRPr="00E93428"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(24)</w:t>
            </w:r>
          </w:p>
        </w:tc>
        <w:tc>
          <w:tcPr>
            <w:tcW w:w="850" w:type="dxa"/>
            <w:tcBorders>
              <w:top w:val="nil"/>
              <w:left w:val="nil"/>
              <w:bottom w:val="nil"/>
              <w:right w:val="nil"/>
            </w:tcBorders>
            <w:shd w:val="clear" w:color="auto" w:fill="FFFFFF"/>
          </w:tcPr>
          <w:p w:rsidR="00965D85" w:rsidRPr="00E93428"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(19)</w:t>
            </w:r>
          </w:p>
        </w:tc>
        <w:tc>
          <w:tcPr>
            <w:tcW w:w="850" w:type="dxa"/>
            <w:tcBorders>
              <w:top w:val="nil"/>
              <w:left w:val="nil"/>
              <w:bottom w:val="nil"/>
              <w:right w:val="nil"/>
            </w:tcBorders>
            <w:shd w:val="clear" w:color="auto" w:fill="FFFFFF"/>
          </w:tcPr>
          <w:p w:rsidR="00965D85" w:rsidRPr="00E93428"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(32)</w:t>
            </w:r>
          </w:p>
        </w:tc>
        <w:tc>
          <w:tcPr>
            <w:tcW w:w="852" w:type="dxa"/>
            <w:tcBorders>
              <w:top w:val="nil"/>
              <w:left w:val="nil"/>
              <w:bottom w:val="nil"/>
              <w:right w:val="nil"/>
            </w:tcBorders>
            <w:shd w:val="clear" w:color="auto" w:fill="FFFFFF"/>
          </w:tcPr>
          <w:p w:rsidR="00965D85" w:rsidRPr="00E93428"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(166)</w:t>
            </w:r>
          </w:p>
        </w:tc>
      </w:tr>
      <w:tr w:rsidR="00965D85" w:rsidRPr="00E93428" w:rsidTr="008B46DF">
        <w:tc>
          <w:tcPr>
            <w:tcW w:w="4395" w:type="dxa"/>
            <w:tcBorders>
              <w:top w:val="nil"/>
              <w:left w:val="nil"/>
              <w:right w:val="nil"/>
            </w:tcBorders>
            <w:shd w:val="clear" w:color="auto" w:fill="FFFFFF"/>
          </w:tcPr>
          <w:p w:rsidR="00965D85" w:rsidRPr="00E93428"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E93428">
              <w:rPr>
                <w:rFonts w:ascii="Calibri" w:eastAsiaTheme="minorEastAsia" w:hAnsi="Calibri" w:cs="Calibri"/>
                <w:color w:val="000000"/>
                <w:sz w:val="20"/>
                <w:lang w:eastAsia="en-AU"/>
              </w:rPr>
              <w:t xml:space="preserve"> </w:t>
            </w:r>
          </w:p>
        </w:tc>
        <w:tc>
          <w:tcPr>
            <w:tcW w:w="818" w:type="dxa"/>
            <w:tcBorders>
              <w:top w:val="single" w:sz="6" w:space="0" w:color="auto"/>
              <w:left w:val="nil"/>
              <w:right w:val="nil"/>
            </w:tcBorders>
            <w:shd w:val="clear" w:color="auto" w:fill="FFFFFF"/>
          </w:tcPr>
          <w:p w:rsidR="00965D85" w:rsidRPr="00E93428"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93428">
              <w:rPr>
                <w:rFonts w:ascii="Calibri" w:eastAsiaTheme="minorEastAsia" w:hAnsi="Calibri" w:cs="Calibri"/>
                <w:b/>
                <w:bCs/>
                <w:color w:val="000000"/>
                <w:sz w:val="20"/>
                <w:lang w:eastAsia="en-AU"/>
              </w:rPr>
              <w:t xml:space="preserve"> 388</w:t>
            </w:r>
          </w:p>
        </w:tc>
        <w:tc>
          <w:tcPr>
            <w:tcW w:w="850" w:type="dxa"/>
            <w:tcBorders>
              <w:top w:val="single" w:sz="6" w:space="0" w:color="auto"/>
              <w:left w:val="nil"/>
              <w:right w:val="nil"/>
            </w:tcBorders>
            <w:shd w:val="clear" w:color="auto" w:fill="FFFFFF"/>
          </w:tcPr>
          <w:p w:rsidR="00965D85" w:rsidRPr="00E93428"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93428">
              <w:rPr>
                <w:rFonts w:ascii="Calibri" w:eastAsiaTheme="minorEastAsia" w:hAnsi="Calibri" w:cs="Calibri"/>
                <w:b/>
                <w:bCs/>
                <w:color w:val="000000"/>
                <w:sz w:val="20"/>
                <w:lang w:eastAsia="en-AU"/>
              </w:rPr>
              <w:t xml:space="preserve"> 202</w:t>
            </w:r>
          </w:p>
        </w:tc>
        <w:tc>
          <w:tcPr>
            <w:tcW w:w="850" w:type="dxa"/>
            <w:tcBorders>
              <w:top w:val="single" w:sz="6" w:space="0" w:color="auto"/>
              <w:left w:val="nil"/>
              <w:right w:val="nil"/>
            </w:tcBorders>
            <w:shd w:val="clear" w:color="auto" w:fill="FFFFFF"/>
          </w:tcPr>
          <w:p w:rsidR="00965D85" w:rsidRPr="00E93428"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93428">
              <w:rPr>
                <w:rFonts w:ascii="Calibri" w:eastAsiaTheme="minorEastAsia" w:hAnsi="Calibri" w:cs="Calibri"/>
                <w:b/>
                <w:bCs/>
                <w:color w:val="000000"/>
                <w:sz w:val="20"/>
                <w:lang w:eastAsia="en-AU"/>
              </w:rPr>
              <w:t xml:space="preserve"> 112</w:t>
            </w:r>
          </w:p>
        </w:tc>
        <w:tc>
          <w:tcPr>
            <w:tcW w:w="852" w:type="dxa"/>
            <w:tcBorders>
              <w:top w:val="single" w:sz="6" w:space="0" w:color="auto"/>
              <w:left w:val="nil"/>
              <w:right w:val="nil"/>
            </w:tcBorders>
            <w:shd w:val="clear" w:color="auto" w:fill="FFFFFF"/>
          </w:tcPr>
          <w:p w:rsidR="00965D85" w:rsidRPr="00E93428"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20"/>
                <w:lang w:eastAsia="en-AU"/>
              </w:rPr>
              <w:t>(63)</w:t>
            </w:r>
          </w:p>
        </w:tc>
      </w:tr>
      <w:tr w:rsidR="00965D85" w:rsidRPr="00E93428" w:rsidTr="008B46DF">
        <w:tc>
          <w:tcPr>
            <w:tcW w:w="4395" w:type="dxa"/>
            <w:tcBorders>
              <w:top w:val="nil"/>
              <w:left w:val="nil"/>
              <w:right w:val="nil"/>
            </w:tcBorders>
            <w:shd w:val="clear" w:color="auto" w:fill="FFFFFF"/>
          </w:tcPr>
          <w:p w:rsidR="00965D85" w:rsidRPr="00E93428" w:rsidRDefault="00965D85" w:rsidP="008B46DF">
            <w:pPr>
              <w:autoSpaceDE w:val="0"/>
              <w:autoSpaceDN w:val="0"/>
              <w:adjustRightInd w:val="0"/>
              <w:spacing w:after="0"/>
              <w:ind w:left="227" w:hanging="227"/>
              <w:rPr>
                <w:rFonts w:ascii="Calibri" w:eastAsiaTheme="minorEastAsia" w:hAnsi="Calibri" w:cs="Calibri"/>
                <w:b/>
                <w:bCs/>
                <w:color w:val="000000"/>
                <w:sz w:val="20"/>
                <w:lang w:eastAsia="en-AU"/>
              </w:rPr>
            </w:pPr>
            <w:r w:rsidRPr="00E93428">
              <w:rPr>
                <w:rFonts w:ascii="Calibri" w:eastAsiaTheme="minorEastAsia" w:hAnsi="Calibri" w:cs="Calibri"/>
                <w:b/>
                <w:bCs/>
                <w:color w:val="000000"/>
                <w:sz w:val="20"/>
                <w:lang w:eastAsia="en-AU"/>
              </w:rPr>
              <w:t>Commonwealth grant variations</w:t>
            </w:r>
          </w:p>
        </w:tc>
        <w:tc>
          <w:tcPr>
            <w:tcW w:w="818" w:type="dxa"/>
            <w:tcBorders>
              <w:top w:val="nil"/>
              <w:left w:val="nil"/>
              <w:right w:val="nil"/>
            </w:tcBorders>
            <w:shd w:val="clear" w:color="auto" w:fill="FFFFFF"/>
          </w:tcPr>
          <w:p w:rsidR="00965D85" w:rsidRPr="00E93428" w:rsidRDefault="00965D85" w:rsidP="008B46DF">
            <w:pPr>
              <w:autoSpaceDE w:val="0"/>
              <w:autoSpaceDN w:val="0"/>
              <w:adjustRightInd w:val="0"/>
              <w:spacing w:after="0"/>
              <w:jc w:val="right"/>
              <w:rPr>
                <w:rFonts w:ascii="Calibri" w:eastAsiaTheme="minorEastAsia" w:hAnsi="Calibri" w:cs="Calibri"/>
                <w:color w:val="000000"/>
                <w:sz w:val="20"/>
                <w:lang w:eastAsia="en-AU"/>
              </w:rPr>
            </w:pPr>
          </w:p>
        </w:tc>
        <w:tc>
          <w:tcPr>
            <w:tcW w:w="850" w:type="dxa"/>
            <w:tcBorders>
              <w:top w:val="nil"/>
              <w:left w:val="nil"/>
              <w:right w:val="nil"/>
            </w:tcBorders>
            <w:shd w:val="clear" w:color="auto" w:fill="FFFFFF"/>
          </w:tcPr>
          <w:p w:rsidR="00965D85" w:rsidRPr="00E93428" w:rsidRDefault="00965D85" w:rsidP="008B46DF">
            <w:pPr>
              <w:autoSpaceDE w:val="0"/>
              <w:autoSpaceDN w:val="0"/>
              <w:adjustRightInd w:val="0"/>
              <w:spacing w:after="0"/>
              <w:jc w:val="right"/>
              <w:rPr>
                <w:rFonts w:ascii="Calibri" w:eastAsiaTheme="minorEastAsia" w:hAnsi="Calibri" w:cs="Calibri"/>
                <w:color w:val="000000"/>
                <w:sz w:val="20"/>
                <w:lang w:eastAsia="en-AU"/>
              </w:rPr>
            </w:pPr>
          </w:p>
        </w:tc>
        <w:tc>
          <w:tcPr>
            <w:tcW w:w="850" w:type="dxa"/>
            <w:tcBorders>
              <w:top w:val="nil"/>
              <w:left w:val="nil"/>
              <w:right w:val="nil"/>
            </w:tcBorders>
            <w:shd w:val="clear" w:color="auto" w:fill="FFFFFF"/>
          </w:tcPr>
          <w:p w:rsidR="00965D85" w:rsidRPr="00E93428" w:rsidRDefault="00965D85" w:rsidP="008B46DF">
            <w:pPr>
              <w:autoSpaceDE w:val="0"/>
              <w:autoSpaceDN w:val="0"/>
              <w:adjustRightInd w:val="0"/>
              <w:spacing w:after="0"/>
              <w:jc w:val="right"/>
              <w:rPr>
                <w:rFonts w:ascii="Calibri" w:eastAsiaTheme="minorEastAsia" w:hAnsi="Calibri" w:cs="Calibri"/>
                <w:color w:val="000000"/>
                <w:sz w:val="20"/>
                <w:lang w:eastAsia="en-AU"/>
              </w:rPr>
            </w:pPr>
          </w:p>
        </w:tc>
        <w:tc>
          <w:tcPr>
            <w:tcW w:w="852" w:type="dxa"/>
            <w:tcBorders>
              <w:top w:val="nil"/>
              <w:left w:val="nil"/>
              <w:right w:val="nil"/>
            </w:tcBorders>
            <w:shd w:val="clear" w:color="auto" w:fill="FFFFFF"/>
          </w:tcPr>
          <w:p w:rsidR="00965D85" w:rsidRPr="00E93428" w:rsidRDefault="00965D85" w:rsidP="008B46DF">
            <w:pPr>
              <w:autoSpaceDE w:val="0"/>
              <w:autoSpaceDN w:val="0"/>
              <w:adjustRightInd w:val="0"/>
              <w:spacing w:after="0"/>
              <w:jc w:val="right"/>
              <w:rPr>
                <w:rFonts w:ascii="Calibri" w:eastAsiaTheme="minorEastAsia" w:hAnsi="Calibri" w:cs="Calibri"/>
                <w:color w:val="000000"/>
                <w:sz w:val="20"/>
                <w:lang w:eastAsia="en-AU"/>
              </w:rPr>
            </w:pPr>
          </w:p>
        </w:tc>
      </w:tr>
      <w:tr w:rsidR="00965D85" w:rsidRPr="00E93428" w:rsidTr="008B46DF">
        <w:tc>
          <w:tcPr>
            <w:tcW w:w="4395" w:type="dxa"/>
            <w:tcBorders>
              <w:top w:val="nil"/>
              <w:left w:val="nil"/>
              <w:right w:val="nil"/>
            </w:tcBorders>
            <w:shd w:val="clear" w:color="auto" w:fill="FFFFFF"/>
          </w:tcPr>
          <w:p w:rsidR="00965D85" w:rsidRPr="00E93428"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E93428">
              <w:rPr>
                <w:rFonts w:ascii="Calibri" w:eastAsiaTheme="minorEastAsia" w:hAnsi="Calibri" w:cs="Calibri"/>
                <w:color w:val="000000"/>
                <w:sz w:val="20"/>
                <w:lang w:eastAsia="en-AU"/>
              </w:rPr>
              <w:t>General purpose grants</w:t>
            </w:r>
          </w:p>
        </w:tc>
        <w:tc>
          <w:tcPr>
            <w:tcW w:w="818" w:type="dxa"/>
            <w:tcBorders>
              <w:top w:val="nil"/>
              <w:left w:val="nil"/>
              <w:right w:val="nil"/>
            </w:tcBorders>
            <w:shd w:val="clear" w:color="auto" w:fill="FFFFFF"/>
          </w:tcPr>
          <w:p w:rsidR="00965D85" w:rsidRPr="00E93428"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93428">
              <w:rPr>
                <w:rFonts w:ascii="Calibri" w:eastAsiaTheme="minorEastAsia" w:hAnsi="Calibri" w:cs="Calibri"/>
                <w:color w:val="000000"/>
                <w:sz w:val="20"/>
                <w:lang w:eastAsia="en-AU"/>
              </w:rPr>
              <w:t xml:space="preserve"> 243</w:t>
            </w:r>
          </w:p>
        </w:tc>
        <w:tc>
          <w:tcPr>
            <w:tcW w:w="850" w:type="dxa"/>
            <w:tcBorders>
              <w:top w:val="nil"/>
              <w:left w:val="nil"/>
              <w:right w:val="nil"/>
            </w:tcBorders>
            <w:shd w:val="clear" w:color="auto" w:fill="FFFFFF"/>
          </w:tcPr>
          <w:p w:rsidR="00965D85" w:rsidRPr="00E93428"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93428">
              <w:rPr>
                <w:rFonts w:ascii="Calibri" w:eastAsiaTheme="minorEastAsia" w:hAnsi="Calibri" w:cs="Calibri"/>
                <w:color w:val="000000"/>
                <w:sz w:val="20"/>
                <w:lang w:eastAsia="en-AU"/>
              </w:rPr>
              <w:t xml:space="preserve"> 308</w:t>
            </w:r>
          </w:p>
        </w:tc>
        <w:tc>
          <w:tcPr>
            <w:tcW w:w="850" w:type="dxa"/>
            <w:tcBorders>
              <w:top w:val="nil"/>
              <w:left w:val="nil"/>
              <w:right w:val="nil"/>
            </w:tcBorders>
            <w:shd w:val="clear" w:color="auto" w:fill="FFFFFF"/>
          </w:tcPr>
          <w:p w:rsidR="00965D85" w:rsidRPr="00E93428"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93428">
              <w:rPr>
                <w:rFonts w:ascii="Calibri" w:eastAsiaTheme="minorEastAsia" w:hAnsi="Calibri" w:cs="Calibri"/>
                <w:color w:val="000000"/>
                <w:sz w:val="20"/>
                <w:lang w:eastAsia="en-AU"/>
              </w:rPr>
              <w:t xml:space="preserve"> 108</w:t>
            </w:r>
          </w:p>
        </w:tc>
        <w:tc>
          <w:tcPr>
            <w:tcW w:w="852" w:type="dxa"/>
            <w:tcBorders>
              <w:top w:val="nil"/>
              <w:left w:val="nil"/>
              <w:right w:val="nil"/>
            </w:tcBorders>
            <w:shd w:val="clear" w:color="auto" w:fill="FFFFFF"/>
          </w:tcPr>
          <w:p w:rsidR="00965D85" w:rsidRPr="00E93428"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93428">
              <w:rPr>
                <w:rFonts w:ascii="Calibri" w:eastAsiaTheme="minorEastAsia" w:hAnsi="Calibri" w:cs="Calibri"/>
                <w:color w:val="000000"/>
                <w:sz w:val="20"/>
                <w:lang w:eastAsia="en-AU"/>
              </w:rPr>
              <w:t xml:space="preserve"> 59</w:t>
            </w:r>
          </w:p>
        </w:tc>
      </w:tr>
      <w:tr w:rsidR="00965D85" w:rsidRPr="00E93428" w:rsidTr="008B46DF">
        <w:tc>
          <w:tcPr>
            <w:tcW w:w="4395" w:type="dxa"/>
            <w:tcBorders>
              <w:top w:val="nil"/>
              <w:left w:val="nil"/>
              <w:bottom w:val="nil"/>
              <w:right w:val="nil"/>
            </w:tcBorders>
            <w:shd w:val="clear" w:color="auto" w:fill="FFFFFF"/>
          </w:tcPr>
          <w:p w:rsidR="00965D85" w:rsidRPr="00E93428" w:rsidRDefault="00965D85" w:rsidP="008B46DF">
            <w:pPr>
              <w:autoSpaceDE w:val="0"/>
              <w:autoSpaceDN w:val="0"/>
              <w:adjustRightInd w:val="0"/>
              <w:spacing w:after="0"/>
              <w:ind w:left="227" w:hanging="227"/>
              <w:rPr>
                <w:rFonts w:ascii="Calibri" w:eastAsiaTheme="minorEastAsia" w:hAnsi="Calibri" w:cs="Calibri"/>
                <w:color w:val="000000"/>
                <w:sz w:val="20"/>
                <w:vertAlign w:val="superscript"/>
                <w:lang w:eastAsia="en-AU"/>
              </w:rPr>
            </w:pPr>
            <w:r w:rsidRPr="00E93428">
              <w:rPr>
                <w:rFonts w:ascii="Calibri" w:eastAsiaTheme="minorEastAsia" w:hAnsi="Calibri" w:cs="Calibri"/>
                <w:color w:val="000000"/>
                <w:sz w:val="20"/>
                <w:lang w:eastAsia="en-AU"/>
              </w:rPr>
              <w:t xml:space="preserve">Specific purpose grants </w:t>
            </w:r>
            <w:r w:rsidRPr="00E93428">
              <w:rPr>
                <w:rFonts w:ascii="Calibri" w:eastAsiaTheme="minorEastAsia" w:hAnsi="Calibri" w:cs="Calibri"/>
                <w:color w:val="000000"/>
                <w:sz w:val="20"/>
                <w:vertAlign w:val="superscript"/>
                <w:lang w:eastAsia="en-AU"/>
              </w:rPr>
              <w:t>(d)</w:t>
            </w:r>
          </w:p>
        </w:tc>
        <w:tc>
          <w:tcPr>
            <w:tcW w:w="818" w:type="dxa"/>
            <w:tcBorders>
              <w:top w:val="nil"/>
              <w:left w:val="nil"/>
              <w:bottom w:val="nil"/>
              <w:right w:val="nil"/>
            </w:tcBorders>
            <w:shd w:val="clear" w:color="auto" w:fill="FFFFFF"/>
          </w:tcPr>
          <w:p w:rsidR="00965D85" w:rsidRPr="00E93428"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(179)</w:t>
            </w:r>
          </w:p>
        </w:tc>
        <w:tc>
          <w:tcPr>
            <w:tcW w:w="850" w:type="dxa"/>
            <w:tcBorders>
              <w:top w:val="nil"/>
              <w:left w:val="nil"/>
              <w:bottom w:val="nil"/>
              <w:right w:val="nil"/>
            </w:tcBorders>
            <w:shd w:val="clear" w:color="auto" w:fill="FFFFFF"/>
          </w:tcPr>
          <w:p w:rsidR="00965D85" w:rsidRPr="00E93428"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(427)</w:t>
            </w:r>
          </w:p>
        </w:tc>
        <w:tc>
          <w:tcPr>
            <w:tcW w:w="850" w:type="dxa"/>
            <w:tcBorders>
              <w:top w:val="nil"/>
              <w:left w:val="nil"/>
              <w:bottom w:val="nil"/>
              <w:right w:val="nil"/>
            </w:tcBorders>
            <w:shd w:val="clear" w:color="auto" w:fill="FFFFFF"/>
          </w:tcPr>
          <w:p w:rsidR="00965D85" w:rsidRPr="00E93428"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93428">
              <w:rPr>
                <w:rFonts w:ascii="Calibri" w:eastAsiaTheme="minorEastAsia" w:hAnsi="Calibri" w:cs="Calibri"/>
                <w:color w:val="000000"/>
                <w:sz w:val="20"/>
                <w:lang w:eastAsia="en-AU"/>
              </w:rPr>
              <w:t xml:space="preserve"> 212</w:t>
            </w:r>
          </w:p>
        </w:tc>
        <w:tc>
          <w:tcPr>
            <w:tcW w:w="852" w:type="dxa"/>
            <w:tcBorders>
              <w:top w:val="nil"/>
              <w:left w:val="nil"/>
              <w:bottom w:val="nil"/>
              <w:right w:val="nil"/>
            </w:tcBorders>
            <w:shd w:val="clear" w:color="auto" w:fill="FFFFFF"/>
          </w:tcPr>
          <w:p w:rsidR="00965D85" w:rsidRPr="00E93428"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(283)</w:t>
            </w:r>
          </w:p>
        </w:tc>
      </w:tr>
      <w:tr w:rsidR="00965D85" w:rsidRPr="00E93428" w:rsidTr="008B46DF">
        <w:tc>
          <w:tcPr>
            <w:tcW w:w="4395" w:type="dxa"/>
            <w:tcBorders>
              <w:top w:val="nil"/>
              <w:left w:val="nil"/>
              <w:right w:val="nil"/>
            </w:tcBorders>
            <w:shd w:val="clear" w:color="auto" w:fill="FFFFFF"/>
          </w:tcPr>
          <w:p w:rsidR="00965D85" w:rsidRPr="00E93428"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E93428">
              <w:rPr>
                <w:rFonts w:ascii="Calibri" w:eastAsiaTheme="minorEastAsia" w:hAnsi="Calibri" w:cs="Calibri"/>
                <w:color w:val="000000"/>
                <w:sz w:val="20"/>
                <w:lang w:eastAsia="en-AU"/>
              </w:rPr>
              <w:t xml:space="preserve"> </w:t>
            </w:r>
          </w:p>
        </w:tc>
        <w:tc>
          <w:tcPr>
            <w:tcW w:w="818" w:type="dxa"/>
            <w:tcBorders>
              <w:top w:val="single" w:sz="6" w:space="0" w:color="auto"/>
              <w:left w:val="nil"/>
              <w:right w:val="nil"/>
            </w:tcBorders>
            <w:shd w:val="clear" w:color="auto" w:fill="FFFFFF"/>
          </w:tcPr>
          <w:p w:rsidR="00965D85" w:rsidRPr="00E93428"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93428">
              <w:rPr>
                <w:rFonts w:ascii="Calibri" w:eastAsiaTheme="minorEastAsia" w:hAnsi="Calibri" w:cs="Calibri"/>
                <w:b/>
                <w:bCs/>
                <w:color w:val="000000"/>
                <w:sz w:val="20"/>
                <w:lang w:eastAsia="en-AU"/>
              </w:rPr>
              <w:t xml:space="preserve"> 65</w:t>
            </w:r>
          </w:p>
        </w:tc>
        <w:tc>
          <w:tcPr>
            <w:tcW w:w="850" w:type="dxa"/>
            <w:tcBorders>
              <w:top w:val="single" w:sz="6" w:space="0" w:color="auto"/>
              <w:left w:val="nil"/>
              <w:right w:val="nil"/>
            </w:tcBorders>
            <w:shd w:val="clear" w:color="auto" w:fill="FFFFFF"/>
          </w:tcPr>
          <w:p w:rsidR="00965D85" w:rsidRPr="00E93428"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20"/>
                <w:lang w:eastAsia="en-AU"/>
              </w:rPr>
              <w:t>(118)</w:t>
            </w:r>
          </w:p>
        </w:tc>
        <w:tc>
          <w:tcPr>
            <w:tcW w:w="850" w:type="dxa"/>
            <w:tcBorders>
              <w:top w:val="single" w:sz="6" w:space="0" w:color="auto"/>
              <w:left w:val="nil"/>
              <w:right w:val="nil"/>
            </w:tcBorders>
            <w:shd w:val="clear" w:color="auto" w:fill="FFFFFF"/>
          </w:tcPr>
          <w:p w:rsidR="00965D85" w:rsidRPr="00E93428"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93428">
              <w:rPr>
                <w:rFonts w:ascii="Calibri" w:eastAsiaTheme="minorEastAsia" w:hAnsi="Calibri" w:cs="Calibri"/>
                <w:b/>
                <w:bCs/>
                <w:color w:val="000000"/>
                <w:sz w:val="20"/>
                <w:lang w:eastAsia="en-AU"/>
              </w:rPr>
              <w:t xml:space="preserve"> 320</w:t>
            </w:r>
          </w:p>
        </w:tc>
        <w:tc>
          <w:tcPr>
            <w:tcW w:w="852" w:type="dxa"/>
            <w:tcBorders>
              <w:top w:val="single" w:sz="6" w:space="0" w:color="auto"/>
              <w:left w:val="nil"/>
              <w:right w:val="nil"/>
            </w:tcBorders>
            <w:shd w:val="clear" w:color="auto" w:fill="FFFFFF"/>
          </w:tcPr>
          <w:p w:rsidR="00965D85" w:rsidRPr="00E93428"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20"/>
                <w:lang w:eastAsia="en-AU"/>
              </w:rPr>
              <w:t>(224)</w:t>
            </w:r>
          </w:p>
        </w:tc>
      </w:tr>
      <w:tr w:rsidR="00965D85" w:rsidRPr="00E93428" w:rsidTr="008B46DF">
        <w:tc>
          <w:tcPr>
            <w:tcW w:w="4395" w:type="dxa"/>
            <w:tcBorders>
              <w:top w:val="nil"/>
              <w:left w:val="nil"/>
              <w:right w:val="nil"/>
            </w:tcBorders>
            <w:shd w:val="clear" w:color="auto" w:fill="FFFFFF"/>
          </w:tcPr>
          <w:p w:rsidR="00965D85" w:rsidRPr="00E93428" w:rsidRDefault="00965D85" w:rsidP="008B46DF">
            <w:pPr>
              <w:autoSpaceDE w:val="0"/>
              <w:autoSpaceDN w:val="0"/>
              <w:adjustRightInd w:val="0"/>
              <w:spacing w:after="0"/>
              <w:ind w:left="227" w:hanging="227"/>
              <w:rPr>
                <w:rFonts w:ascii="Calibri" w:eastAsiaTheme="minorEastAsia" w:hAnsi="Calibri" w:cs="Calibri"/>
                <w:b/>
                <w:bCs/>
                <w:color w:val="000000"/>
                <w:sz w:val="20"/>
                <w:lang w:eastAsia="en-AU"/>
              </w:rPr>
            </w:pPr>
            <w:r w:rsidRPr="00E93428">
              <w:rPr>
                <w:rFonts w:ascii="Calibri" w:eastAsiaTheme="minorEastAsia" w:hAnsi="Calibri" w:cs="Calibri"/>
                <w:b/>
                <w:bCs/>
                <w:color w:val="000000"/>
                <w:sz w:val="20"/>
                <w:lang w:eastAsia="en-AU"/>
              </w:rPr>
              <w:t xml:space="preserve">Administrative changes </w:t>
            </w:r>
          </w:p>
        </w:tc>
        <w:tc>
          <w:tcPr>
            <w:tcW w:w="818" w:type="dxa"/>
            <w:tcBorders>
              <w:top w:val="nil"/>
              <w:left w:val="nil"/>
              <w:right w:val="nil"/>
            </w:tcBorders>
            <w:shd w:val="clear" w:color="auto" w:fill="FFFFFF"/>
          </w:tcPr>
          <w:p w:rsidR="00965D85" w:rsidRPr="00E93428" w:rsidRDefault="00965D85" w:rsidP="008B46DF">
            <w:pPr>
              <w:autoSpaceDE w:val="0"/>
              <w:autoSpaceDN w:val="0"/>
              <w:adjustRightInd w:val="0"/>
              <w:spacing w:after="0"/>
              <w:jc w:val="right"/>
              <w:rPr>
                <w:rFonts w:ascii="Calibri" w:eastAsiaTheme="minorEastAsia" w:hAnsi="Calibri" w:cs="Calibri"/>
                <w:color w:val="000000"/>
                <w:sz w:val="20"/>
                <w:lang w:eastAsia="en-AU"/>
              </w:rPr>
            </w:pPr>
          </w:p>
        </w:tc>
        <w:tc>
          <w:tcPr>
            <w:tcW w:w="850" w:type="dxa"/>
            <w:tcBorders>
              <w:top w:val="nil"/>
              <w:left w:val="nil"/>
              <w:right w:val="nil"/>
            </w:tcBorders>
            <w:shd w:val="clear" w:color="auto" w:fill="FFFFFF"/>
          </w:tcPr>
          <w:p w:rsidR="00965D85" w:rsidRPr="00E93428" w:rsidRDefault="00965D85" w:rsidP="008B46DF">
            <w:pPr>
              <w:autoSpaceDE w:val="0"/>
              <w:autoSpaceDN w:val="0"/>
              <w:adjustRightInd w:val="0"/>
              <w:spacing w:after="0"/>
              <w:jc w:val="right"/>
              <w:rPr>
                <w:rFonts w:ascii="Calibri" w:eastAsiaTheme="minorEastAsia" w:hAnsi="Calibri" w:cs="Calibri"/>
                <w:color w:val="000000"/>
                <w:sz w:val="20"/>
                <w:lang w:eastAsia="en-AU"/>
              </w:rPr>
            </w:pPr>
          </w:p>
        </w:tc>
        <w:tc>
          <w:tcPr>
            <w:tcW w:w="850" w:type="dxa"/>
            <w:tcBorders>
              <w:top w:val="nil"/>
              <w:left w:val="nil"/>
              <w:right w:val="nil"/>
            </w:tcBorders>
            <w:shd w:val="clear" w:color="auto" w:fill="FFFFFF"/>
          </w:tcPr>
          <w:p w:rsidR="00965D85" w:rsidRPr="00E93428" w:rsidRDefault="00965D85" w:rsidP="008B46DF">
            <w:pPr>
              <w:autoSpaceDE w:val="0"/>
              <w:autoSpaceDN w:val="0"/>
              <w:adjustRightInd w:val="0"/>
              <w:spacing w:after="0"/>
              <w:jc w:val="right"/>
              <w:rPr>
                <w:rFonts w:ascii="Calibri" w:eastAsiaTheme="minorEastAsia" w:hAnsi="Calibri" w:cs="Calibri"/>
                <w:color w:val="000000"/>
                <w:sz w:val="20"/>
                <w:lang w:eastAsia="en-AU"/>
              </w:rPr>
            </w:pPr>
          </w:p>
        </w:tc>
        <w:tc>
          <w:tcPr>
            <w:tcW w:w="852" w:type="dxa"/>
            <w:tcBorders>
              <w:top w:val="nil"/>
              <w:left w:val="nil"/>
              <w:right w:val="nil"/>
            </w:tcBorders>
            <w:shd w:val="clear" w:color="auto" w:fill="FFFFFF"/>
          </w:tcPr>
          <w:p w:rsidR="00965D85" w:rsidRPr="00E93428" w:rsidRDefault="00965D85" w:rsidP="008B46DF">
            <w:pPr>
              <w:autoSpaceDE w:val="0"/>
              <w:autoSpaceDN w:val="0"/>
              <w:adjustRightInd w:val="0"/>
              <w:spacing w:after="0"/>
              <w:jc w:val="right"/>
              <w:rPr>
                <w:rFonts w:ascii="Calibri" w:eastAsiaTheme="minorEastAsia" w:hAnsi="Calibri" w:cs="Calibri"/>
                <w:color w:val="000000"/>
                <w:sz w:val="20"/>
                <w:lang w:eastAsia="en-AU"/>
              </w:rPr>
            </w:pPr>
          </w:p>
        </w:tc>
      </w:tr>
      <w:tr w:rsidR="00965D85" w:rsidRPr="00E93428" w:rsidTr="008B46DF">
        <w:tc>
          <w:tcPr>
            <w:tcW w:w="4395" w:type="dxa"/>
            <w:tcBorders>
              <w:top w:val="nil"/>
              <w:left w:val="nil"/>
              <w:right w:val="nil"/>
            </w:tcBorders>
            <w:shd w:val="clear" w:color="auto" w:fill="FFFFFF"/>
          </w:tcPr>
          <w:p w:rsidR="00965D85" w:rsidRPr="00E93428" w:rsidRDefault="00965D85" w:rsidP="008B46DF">
            <w:pPr>
              <w:autoSpaceDE w:val="0"/>
              <w:autoSpaceDN w:val="0"/>
              <w:adjustRightInd w:val="0"/>
              <w:spacing w:after="0"/>
              <w:ind w:left="227" w:hanging="227"/>
              <w:rPr>
                <w:rFonts w:ascii="Calibri" w:eastAsiaTheme="minorEastAsia" w:hAnsi="Calibri" w:cs="Calibri"/>
                <w:color w:val="000000"/>
                <w:sz w:val="20"/>
                <w:vertAlign w:val="superscript"/>
                <w:lang w:eastAsia="en-AU"/>
              </w:rPr>
            </w:pPr>
            <w:r w:rsidRPr="00E93428">
              <w:rPr>
                <w:rFonts w:ascii="Calibri" w:eastAsiaTheme="minorEastAsia" w:hAnsi="Calibri" w:cs="Calibri"/>
                <w:color w:val="000000"/>
                <w:sz w:val="20"/>
                <w:lang w:eastAsia="en-AU"/>
              </w:rPr>
              <w:t xml:space="preserve">Contingency offset for new policy </w:t>
            </w:r>
            <w:r w:rsidRPr="00E93428">
              <w:rPr>
                <w:rFonts w:ascii="Calibri" w:eastAsiaTheme="minorEastAsia" w:hAnsi="Calibri" w:cs="Calibri"/>
                <w:color w:val="000000"/>
                <w:sz w:val="20"/>
                <w:vertAlign w:val="superscript"/>
                <w:lang w:eastAsia="en-AU"/>
              </w:rPr>
              <w:t>(e)</w:t>
            </w:r>
          </w:p>
        </w:tc>
        <w:tc>
          <w:tcPr>
            <w:tcW w:w="818" w:type="dxa"/>
            <w:tcBorders>
              <w:top w:val="nil"/>
              <w:left w:val="nil"/>
              <w:right w:val="nil"/>
            </w:tcBorders>
            <w:shd w:val="clear" w:color="auto" w:fill="FFFFFF"/>
          </w:tcPr>
          <w:p w:rsidR="00965D85" w:rsidRPr="00E93428"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93428">
              <w:rPr>
                <w:rFonts w:ascii="Calibri" w:eastAsiaTheme="minorEastAsia" w:hAnsi="Calibri" w:cs="Calibri"/>
                <w:color w:val="000000"/>
                <w:sz w:val="20"/>
                <w:lang w:eastAsia="en-AU"/>
              </w:rPr>
              <w:t xml:space="preserve"> 96</w:t>
            </w:r>
          </w:p>
        </w:tc>
        <w:tc>
          <w:tcPr>
            <w:tcW w:w="850" w:type="dxa"/>
            <w:tcBorders>
              <w:top w:val="nil"/>
              <w:left w:val="nil"/>
              <w:right w:val="nil"/>
            </w:tcBorders>
            <w:shd w:val="clear" w:color="auto" w:fill="FFFFFF"/>
          </w:tcPr>
          <w:p w:rsidR="00965D85" w:rsidRPr="00E93428"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93428">
              <w:rPr>
                <w:rFonts w:ascii="Calibri" w:eastAsiaTheme="minorEastAsia" w:hAnsi="Calibri" w:cs="Calibri"/>
                <w:color w:val="000000"/>
                <w:sz w:val="20"/>
                <w:lang w:eastAsia="en-AU"/>
              </w:rPr>
              <w:t>..</w:t>
            </w:r>
          </w:p>
        </w:tc>
        <w:tc>
          <w:tcPr>
            <w:tcW w:w="850" w:type="dxa"/>
            <w:tcBorders>
              <w:top w:val="nil"/>
              <w:left w:val="nil"/>
              <w:right w:val="nil"/>
            </w:tcBorders>
            <w:shd w:val="clear" w:color="auto" w:fill="FFFFFF"/>
          </w:tcPr>
          <w:p w:rsidR="00965D85" w:rsidRPr="00E93428"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93428">
              <w:rPr>
                <w:rFonts w:ascii="Calibri" w:eastAsiaTheme="minorEastAsia" w:hAnsi="Calibri" w:cs="Calibri"/>
                <w:color w:val="000000"/>
                <w:sz w:val="20"/>
                <w:lang w:eastAsia="en-AU"/>
              </w:rPr>
              <w:t>..</w:t>
            </w:r>
          </w:p>
        </w:tc>
        <w:tc>
          <w:tcPr>
            <w:tcW w:w="852" w:type="dxa"/>
            <w:tcBorders>
              <w:top w:val="nil"/>
              <w:left w:val="nil"/>
              <w:right w:val="nil"/>
            </w:tcBorders>
            <w:shd w:val="clear" w:color="auto" w:fill="FFFFFF"/>
          </w:tcPr>
          <w:p w:rsidR="00965D85" w:rsidRPr="00E93428"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93428">
              <w:rPr>
                <w:rFonts w:ascii="Calibri" w:eastAsiaTheme="minorEastAsia" w:hAnsi="Calibri" w:cs="Calibri"/>
                <w:color w:val="000000"/>
                <w:sz w:val="20"/>
                <w:lang w:eastAsia="en-AU"/>
              </w:rPr>
              <w:t>..</w:t>
            </w:r>
          </w:p>
        </w:tc>
      </w:tr>
      <w:tr w:rsidR="00965D85" w:rsidRPr="00E93428" w:rsidTr="008B46DF">
        <w:tc>
          <w:tcPr>
            <w:tcW w:w="4395" w:type="dxa"/>
            <w:tcBorders>
              <w:top w:val="nil"/>
              <w:left w:val="nil"/>
              <w:bottom w:val="nil"/>
              <w:right w:val="nil"/>
            </w:tcBorders>
            <w:shd w:val="clear" w:color="auto" w:fill="FFFFFF"/>
          </w:tcPr>
          <w:p w:rsidR="00965D85" w:rsidRPr="00E93428"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E93428">
              <w:rPr>
                <w:rFonts w:ascii="Calibri" w:eastAsiaTheme="minorEastAsia" w:hAnsi="Calibri" w:cs="Calibri"/>
                <w:color w:val="000000"/>
                <w:sz w:val="20"/>
                <w:lang w:eastAsia="en-AU"/>
              </w:rPr>
              <w:t>Other administrative variations</w:t>
            </w:r>
          </w:p>
        </w:tc>
        <w:tc>
          <w:tcPr>
            <w:tcW w:w="818" w:type="dxa"/>
            <w:tcBorders>
              <w:top w:val="nil"/>
              <w:left w:val="nil"/>
              <w:bottom w:val="nil"/>
              <w:right w:val="nil"/>
            </w:tcBorders>
            <w:shd w:val="clear" w:color="auto" w:fill="FFFFFF"/>
          </w:tcPr>
          <w:p w:rsidR="00965D85" w:rsidRPr="00E93428"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93428">
              <w:rPr>
                <w:rFonts w:ascii="Calibri" w:eastAsiaTheme="minorEastAsia" w:hAnsi="Calibri" w:cs="Calibri"/>
                <w:color w:val="000000"/>
                <w:sz w:val="20"/>
                <w:lang w:eastAsia="en-AU"/>
              </w:rPr>
              <w:t xml:space="preserve"> 33</w:t>
            </w:r>
          </w:p>
        </w:tc>
        <w:tc>
          <w:tcPr>
            <w:tcW w:w="850" w:type="dxa"/>
            <w:tcBorders>
              <w:top w:val="nil"/>
              <w:left w:val="nil"/>
              <w:bottom w:val="nil"/>
              <w:right w:val="nil"/>
            </w:tcBorders>
            <w:shd w:val="clear" w:color="auto" w:fill="FFFFFF"/>
          </w:tcPr>
          <w:p w:rsidR="00965D85" w:rsidRPr="00E93428"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93428">
              <w:rPr>
                <w:rFonts w:ascii="Calibri" w:eastAsiaTheme="minorEastAsia" w:hAnsi="Calibri" w:cs="Calibri"/>
                <w:color w:val="000000"/>
                <w:sz w:val="20"/>
                <w:lang w:eastAsia="en-AU"/>
              </w:rPr>
              <w:t xml:space="preserve"> 122</w:t>
            </w:r>
          </w:p>
        </w:tc>
        <w:tc>
          <w:tcPr>
            <w:tcW w:w="850" w:type="dxa"/>
            <w:tcBorders>
              <w:top w:val="nil"/>
              <w:left w:val="nil"/>
              <w:bottom w:val="nil"/>
              <w:right w:val="nil"/>
            </w:tcBorders>
            <w:shd w:val="clear" w:color="auto" w:fill="FFFFFF"/>
          </w:tcPr>
          <w:p w:rsidR="00965D85" w:rsidRPr="00E93428"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93428">
              <w:rPr>
                <w:rFonts w:ascii="Calibri" w:eastAsiaTheme="minorEastAsia" w:hAnsi="Calibri" w:cs="Calibri"/>
                <w:color w:val="000000"/>
                <w:sz w:val="20"/>
                <w:lang w:eastAsia="en-AU"/>
              </w:rPr>
              <w:t xml:space="preserve"> 72</w:t>
            </w:r>
          </w:p>
        </w:tc>
        <w:tc>
          <w:tcPr>
            <w:tcW w:w="852" w:type="dxa"/>
            <w:tcBorders>
              <w:top w:val="nil"/>
              <w:left w:val="nil"/>
              <w:bottom w:val="nil"/>
              <w:right w:val="nil"/>
            </w:tcBorders>
            <w:shd w:val="clear" w:color="auto" w:fill="FFFFFF"/>
          </w:tcPr>
          <w:p w:rsidR="00965D85" w:rsidRPr="00E93428"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93428">
              <w:rPr>
                <w:rFonts w:ascii="Calibri" w:eastAsiaTheme="minorEastAsia" w:hAnsi="Calibri" w:cs="Calibri"/>
                <w:color w:val="000000"/>
                <w:sz w:val="20"/>
                <w:lang w:eastAsia="en-AU"/>
              </w:rPr>
              <w:t xml:space="preserve"> 26</w:t>
            </w:r>
          </w:p>
        </w:tc>
      </w:tr>
      <w:tr w:rsidR="00965D85" w:rsidRPr="00E93428" w:rsidTr="008B46DF">
        <w:tc>
          <w:tcPr>
            <w:tcW w:w="4395" w:type="dxa"/>
            <w:tcBorders>
              <w:top w:val="nil"/>
              <w:left w:val="nil"/>
              <w:right w:val="nil"/>
            </w:tcBorders>
            <w:shd w:val="clear" w:color="auto" w:fill="FFFFFF"/>
          </w:tcPr>
          <w:p w:rsidR="00965D85" w:rsidRPr="00E93428"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E93428">
              <w:rPr>
                <w:rFonts w:ascii="Calibri" w:eastAsiaTheme="minorEastAsia" w:hAnsi="Calibri" w:cs="Calibri"/>
                <w:color w:val="000000"/>
                <w:sz w:val="20"/>
                <w:lang w:eastAsia="en-AU"/>
              </w:rPr>
              <w:t xml:space="preserve"> </w:t>
            </w:r>
          </w:p>
        </w:tc>
        <w:tc>
          <w:tcPr>
            <w:tcW w:w="818" w:type="dxa"/>
            <w:tcBorders>
              <w:top w:val="single" w:sz="6" w:space="0" w:color="auto"/>
              <w:left w:val="nil"/>
              <w:right w:val="nil"/>
            </w:tcBorders>
            <w:shd w:val="clear" w:color="auto" w:fill="FFFFFF"/>
          </w:tcPr>
          <w:p w:rsidR="00965D85" w:rsidRPr="00E93428"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93428">
              <w:rPr>
                <w:rFonts w:ascii="Calibri" w:eastAsiaTheme="minorEastAsia" w:hAnsi="Calibri" w:cs="Calibri"/>
                <w:b/>
                <w:bCs/>
                <w:color w:val="000000"/>
                <w:sz w:val="20"/>
                <w:lang w:eastAsia="en-AU"/>
              </w:rPr>
              <w:t xml:space="preserve"> 129</w:t>
            </w:r>
          </w:p>
        </w:tc>
        <w:tc>
          <w:tcPr>
            <w:tcW w:w="850" w:type="dxa"/>
            <w:tcBorders>
              <w:top w:val="single" w:sz="6" w:space="0" w:color="auto"/>
              <w:left w:val="nil"/>
              <w:right w:val="nil"/>
            </w:tcBorders>
            <w:shd w:val="clear" w:color="auto" w:fill="FFFFFF"/>
          </w:tcPr>
          <w:p w:rsidR="00965D85" w:rsidRPr="00E93428"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93428">
              <w:rPr>
                <w:rFonts w:ascii="Calibri" w:eastAsiaTheme="minorEastAsia" w:hAnsi="Calibri" w:cs="Calibri"/>
                <w:b/>
                <w:bCs/>
                <w:color w:val="000000"/>
                <w:sz w:val="20"/>
                <w:lang w:eastAsia="en-AU"/>
              </w:rPr>
              <w:t xml:space="preserve"> 122</w:t>
            </w:r>
          </w:p>
        </w:tc>
        <w:tc>
          <w:tcPr>
            <w:tcW w:w="850" w:type="dxa"/>
            <w:tcBorders>
              <w:top w:val="single" w:sz="6" w:space="0" w:color="auto"/>
              <w:left w:val="nil"/>
              <w:right w:val="nil"/>
            </w:tcBorders>
            <w:shd w:val="clear" w:color="auto" w:fill="FFFFFF"/>
          </w:tcPr>
          <w:p w:rsidR="00965D85" w:rsidRPr="00E93428"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93428">
              <w:rPr>
                <w:rFonts w:ascii="Calibri" w:eastAsiaTheme="minorEastAsia" w:hAnsi="Calibri" w:cs="Calibri"/>
                <w:b/>
                <w:bCs/>
                <w:color w:val="000000"/>
                <w:sz w:val="20"/>
                <w:lang w:eastAsia="en-AU"/>
              </w:rPr>
              <w:t xml:space="preserve"> 72</w:t>
            </w:r>
          </w:p>
        </w:tc>
        <w:tc>
          <w:tcPr>
            <w:tcW w:w="852" w:type="dxa"/>
            <w:tcBorders>
              <w:top w:val="single" w:sz="6" w:space="0" w:color="auto"/>
              <w:left w:val="nil"/>
              <w:right w:val="nil"/>
            </w:tcBorders>
            <w:shd w:val="clear" w:color="auto" w:fill="FFFFFF"/>
          </w:tcPr>
          <w:p w:rsidR="00965D85" w:rsidRPr="00E93428"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93428">
              <w:rPr>
                <w:rFonts w:ascii="Calibri" w:eastAsiaTheme="minorEastAsia" w:hAnsi="Calibri" w:cs="Calibri"/>
                <w:b/>
                <w:bCs/>
                <w:color w:val="000000"/>
                <w:sz w:val="20"/>
                <w:lang w:eastAsia="en-AU"/>
              </w:rPr>
              <w:t xml:space="preserve"> 26</w:t>
            </w:r>
          </w:p>
        </w:tc>
      </w:tr>
      <w:tr w:rsidR="00965D85" w:rsidRPr="00E93428" w:rsidTr="008B46DF">
        <w:trPr>
          <w:trHeight w:hRule="exact" w:val="120"/>
        </w:trPr>
        <w:tc>
          <w:tcPr>
            <w:tcW w:w="4395" w:type="dxa"/>
            <w:tcBorders>
              <w:top w:val="nil"/>
              <w:left w:val="nil"/>
              <w:right w:val="nil"/>
            </w:tcBorders>
            <w:shd w:val="clear" w:color="auto" w:fill="FFFFFF"/>
          </w:tcPr>
          <w:p w:rsidR="00965D85" w:rsidRPr="00E93428"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E93428">
              <w:rPr>
                <w:rFonts w:ascii="Calibri" w:eastAsiaTheme="minorEastAsia" w:hAnsi="Calibri" w:cs="Calibri"/>
                <w:color w:val="000000"/>
                <w:sz w:val="20"/>
                <w:lang w:eastAsia="en-AU"/>
              </w:rPr>
              <w:t xml:space="preserve"> </w:t>
            </w:r>
          </w:p>
        </w:tc>
        <w:tc>
          <w:tcPr>
            <w:tcW w:w="818" w:type="dxa"/>
            <w:tcBorders>
              <w:top w:val="nil"/>
              <w:left w:val="nil"/>
              <w:right w:val="nil"/>
            </w:tcBorders>
            <w:shd w:val="clear" w:color="auto" w:fill="FFFFFF"/>
          </w:tcPr>
          <w:p w:rsidR="00965D85" w:rsidRPr="00E93428" w:rsidRDefault="00965D85" w:rsidP="008B46DF">
            <w:pPr>
              <w:autoSpaceDE w:val="0"/>
              <w:autoSpaceDN w:val="0"/>
              <w:adjustRightInd w:val="0"/>
              <w:spacing w:after="0"/>
              <w:jc w:val="right"/>
              <w:rPr>
                <w:rFonts w:ascii="Calibri" w:eastAsiaTheme="minorEastAsia" w:hAnsi="Calibri" w:cs="Calibri"/>
                <w:color w:val="000000"/>
                <w:sz w:val="20"/>
                <w:lang w:eastAsia="en-AU"/>
              </w:rPr>
            </w:pPr>
          </w:p>
        </w:tc>
        <w:tc>
          <w:tcPr>
            <w:tcW w:w="850" w:type="dxa"/>
            <w:tcBorders>
              <w:top w:val="nil"/>
              <w:left w:val="nil"/>
              <w:right w:val="nil"/>
            </w:tcBorders>
            <w:shd w:val="clear" w:color="auto" w:fill="FFFFFF"/>
          </w:tcPr>
          <w:p w:rsidR="00965D85" w:rsidRPr="00E93428" w:rsidRDefault="00965D85" w:rsidP="008B46DF">
            <w:pPr>
              <w:autoSpaceDE w:val="0"/>
              <w:autoSpaceDN w:val="0"/>
              <w:adjustRightInd w:val="0"/>
              <w:spacing w:after="0"/>
              <w:jc w:val="right"/>
              <w:rPr>
                <w:rFonts w:ascii="Calibri" w:eastAsiaTheme="minorEastAsia" w:hAnsi="Calibri" w:cs="Calibri"/>
                <w:color w:val="000000"/>
                <w:sz w:val="20"/>
                <w:lang w:eastAsia="en-AU"/>
              </w:rPr>
            </w:pPr>
          </w:p>
        </w:tc>
        <w:tc>
          <w:tcPr>
            <w:tcW w:w="850" w:type="dxa"/>
            <w:tcBorders>
              <w:top w:val="nil"/>
              <w:left w:val="nil"/>
              <w:right w:val="nil"/>
            </w:tcBorders>
            <w:shd w:val="clear" w:color="auto" w:fill="FFFFFF"/>
          </w:tcPr>
          <w:p w:rsidR="00965D85" w:rsidRPr="00E93428" w:rsidRDefault="00965D85" w:rsidP="008B46DF">
            <w:pPr>
              <w:autoSpaceDE w:val="0"/>
              <w:autoSpaceDN w:val="0"/>
              <w:adjustRightInd w:val="0"/>
              <w:spacing w:after="0"/>
              <w:jc w:val="right"/>
              <w:rPr>
                <w:rFonts w:ascii="Calibri" w:eastAsiaTheme="minorEastAsia" w:hAnsi="Calibri" w:cs="Calibri"/>
                <w:color w:val="000000"/>
                <w:sz w:val="20"/>
                <w:lang w:eastAsia="en-AU"/>
              </w:rPr>
            </w:pPr>
          </w:p>
        </w:tc>
        <w:tc>
          <w:tcPr>
            <w:tcW w:w="852" w:type="dxa"/>
            <w:tcBorders>
              <w:top w:val="nil"/>
              <w:left w:val="nil"/>
              <w:right w:val="nil"/>
            </w:tcBorders>
            <w:shd w:val="clear" w:color="auto" w:fill="FFFFFF"/>
          </w:tcPr>
          <w:p w:rsidR="00965D85" w:rsidRPr="00E93428" w:rsidRDefault="00965D85" w:rsidP="008B46DF">
            <w:pPr>
              <w:autoSpaceDE w:val="0"/>
              <w:autoSpaceDN w:val="0"/>
              <w:adjustRightInd w:val="0"/>
              <w:spacing w:after="0"/>
              <w:jc w:val="right"/>
              <w:rPr>
                <w:rFonts w:ascii="Calibri" w:eastAsiaTheme="minorEastAsia" w:hAnsi="Calibri" w:cs="Calibri"/>
                <w:color w:val="000000"/>
                <w:sz w:val="20"/>
                <w:lang w:eastAsia="en-AU"/>
              </w:rPr>
            </w:pPr>
          </w:p>
        </w:tc>
      </w:tr>
      <w:tr w:rsidR="00965D85" w:rsidRPr="00E93428" w:rsidTr="008B46DF">
        <w:tc>
          <w:tcPr>
            <w:tcW w:w="4395" w:type="dxa"/>
            <w:tcBorders>
              <w:top w:val="nil"/>
              <w:left w:val="nil"/>
              <w:bottom w:val="single" w:sz="6" w:space="0" w:color="auto"/>
              <w:right w:val="nil"/>
            </w:tcBorders>
            <w:shd w:val="clear" w:color="auto" w:fill="FFFFFF"/>
          </w:tcPr>
          <w:p w:rsidR="00965D85" w:rsidRPr="00E93428" w:rsidRDefault="00965D85" w:rsidP="008B46DF">
            <w:pPr>
              <w:autoSpaceDE w:val="0"/>
              <w:autoSpaceDN w:val="0"/>
              <w:adjustRightInd w:val="0"/>
              <w:spacing w:after="0"/>
              <w:ind w:left="227" w:hanging="227"/>
              <w:rPr>
                <w:rFonts w:ascii="Calibri" w:eastAsiaTheme="minorEastAsia" w:hAnsi="Calibri" w:cs="Calibri"/>
                <w:b/>
                <w:bCs/>
                <w:i/>
                <w:iCs/>
                <w:color w:val="000000"/>
                <w:sz w:val="20"/>
                <w:lang w:eastAsia="en-AU"/>
              </w:rPr>
            </w:pPr>
            <w:r w:rsidRPr="00E93428">
              <w:rPr>
                <w:rFonts w:ascii="Calibri" w:eastAsiaTheme="minorEastAsia" w:hAnsi="Calibri" w:cs="Calibri"/>
                <w:b/>
                <w:bCs/>
                <w:color w:val="000000"/>
                <w:sz w:val="20"/>
                <w:lang w:eastAsia="en-AU"/>
              </w:rPr>
              <w:t>Total variation since</w:t>
            </w:r>
            <w:r w:rsidRPr="00E93428">
              <w:rPr>
                <w:rFonts w:ascii="Calibri" w:eastAsiaTheme="minorEastAsia" w:hAnsi="Calibri" w:cs="Calibri"/>
                <w:b/>
                <w:bCs/>
                <w:i/>
                <w:iCs/>
                <w:color w:val="000000"/>
                <w:sz w:val="20"/>
                <w:lang w:eastAsia="en-AU"/>
              </w:rPr>
              <w:t xml:space="preserve"> 2015-16 Budget</w:t>
            </w:r>
          </w:p>
        </w:tc>
        <w:tc>
          <w:tcPr>
            <w:tcW w:w="818" w:type="dxa"/>
            <w:tcBorders>
              <w:top w:val="nil"/>
              <w:left w:val="nil"/>
              <w:bottom w:val="single" w:sz="6" w:space="0" w:color="auto"/>
              <w:right w:val="nil"/>
            </w:tcBorders>
            <w:shd w:val="clear" w:color="auto" w:fill="FFFFFF"/>
          </w:tcPr>
          <w:p w:rsidR="00965D85" w:rsidRPr="00E93428"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93428">
              <w:rPr>
                <w:rFonts w:ascii="Calibri" w:eastAsiaTheme="minorEastAsia" w:hAnsi="Calibri" w:cs="Calibri"/>
                <w:b/>
                <w:bCs/>
                <w:color w:val="000000"/>
                <w:sz w:val="20"/>
                <w:lang w:eastAsia="en-AU"/>
              </w:rPr>
              <w:t xml:space="preserve"> 493</w:t>
            </w:r>
          </w:p>
        </w:tc>
        <w:tc>
          <w:tcPr>
            <w:tcW w:w="850" w:type="dxa"/>
            <w:tcBorders>
              <w:top w:val="nil"/>
              <w:left w:val="nil"/>
              <w:bottom w:val="single" w:sz="6" w:space="0" w:color="auto"/>
              <w:right w:val="nil"/>
            </w:tcBorders>
            <w:shd w:val="clear" w:color="auto" w:fill="FFFFFF"/>
          </w:tcPr>
          <w:p w:rsidR="00965D85" w:rsidRPr="00E93428"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93428">
              <w:rPr>
                <w:rFonts w:ascii="Calibri" w:eastAsiaTheme="minorEastAsia" w:hAnsi="Calibri" w:cs="Calibri"/>
                <w:b/>
                <w:bCs/>
                <w:color w:val="000000"/>
                <w:sz w:val="20"/>
                <w:lang w:eastAsia="en-AU"/>
              </w:rPr>
              <w:t xml:space="preserve"> 148</w:t>
            </w:r>
          </w:p>
        </w:tc>
        <w:tc>
          <w:tcPr>
            <w:tcW w:w="850" w:type="dxa"/>
            <w:tcBorders>
              <w:top w:val="nil"/>
              <w:left w:val="nil"/>
              <w:bottom w:val="single" w:sz="6" w:space="0" w:color="auto"/>
              <w:right w:val="nil"/>
            </w:tcBorders>
            <w:shd w:val="clear" w:color="auto" w:fill="FFFFFF"/>
          </w:tcPr>
          <w:p w:rsidR="00965D85" w:rsidRPr="00E93428"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93428">
              <w:rPr>
                <w:rFonts w:ascii="Calibri" w:eastAsiaTheme="minorEastAsia" w:hAnsi="Calibri" w:cs="Calibri"/>
                <w:b/>
                <w:bCs/>
                <w:color w:val="000000"/>
                <w:sz w:val="20"/>
                <w:lang w:eastAsia="en-AU"/>
              </w:rPr>
              <w:t xml:space="preserve"> 480</w:t>
            </w:r>
          </w:p>
        </w:tc>
        <w:tc>
          <w:tcPr>
            <w:tcW w:w="852" w:type="dxa"/>
            <w:tcBorders>
              <w:top w:val="nil"/>
              <w:left w:val="nil"/>
              <w:bottom w:val="single" w:sz="6" w:space="0" w:color="auto"/>
              <w:right w:val="nil"/>
            </w:tcBorders>
            <w:shd w:val="clear" w:color="auto" w:fill="FFFFFF"/>
          </w:tcPr>
          <w:p w:rsidR="00965D85" w:rsidRPr="00E93428"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20"/>
                <w:lang w:eastAsia="en-AU"/>
              </w:rPr>
              <w:t>(274)</w:t>
            </w:r>
          </w:p>
        </w:tc>
      </w:tr>
      <w:tr w:rsidR="00965D85" w:rsidRPr="00E93428" w:rsidTr="008B46DF">
        <w:tc>
          <w:tcPr>
            <w:tcW w:w="4395" w:type="dxa"/>
            <w:tcBorders>
              <w:top w:val="single" w:sz="6" w:space="0" w:color="auto"/>
              <w:left w:val="nil"/>
              <w:bottom w:val="single" w:sz="12" w:space="0" w:color="auto"/>
              <w:right w:val="nil"/>
            </w:tcBorders>
            <w:shd w:val="clear" w:color="auto" w:fill="FFFFFF"/>
          </w:tcPr>
          <w:p w:rsidR="00965D85" w:rsidRPr="00E93428" w:rsidRDefault="00965D85" w:rsidP="008B46DF">
            <w:pPr>
              <w:autoSpaceDE w:val="0"/>
              <w:autoSpaceDN w:val="0"/>
              <w:adjustRightInd w:val="0"/>
              <w:spacing w:after="0"/>
              <w:ind w:left="227" w:hanging="227"/>
              <w:rPr>
                <w:rFonts w:ascii="Calibri" w:eastAsiaTheme="minorEastAsia" w:hAnsi="Calibri" w:cs="Calibri"/>
                <w:b/>
                <w:bCs/>
                <w:i/>
                <w:iCs/>
                <w:color w:val="000000"/>
                <w:sz w:val="20"/>
                <w:lang w:eastAsia="en-AU"/>
              </w:rPr>
            </w:pPr>
            <w:r w:rsidRPr="00E93428">
              <w:rPr>
                <w:rFonts w:ascii="Calibri" w:eastAsiaTheme="minorEastAsia" w:hAnsi="Calibri" w:cs="Calibri"/>
                <w:b/>
                <w:bCs/>
                <w:color w:val="000000"/>
                <w:sz w:val="20"/>
                <w:lang w:eastAsia="en-AU"/>
              </w:rPr>
              <w:t xml:space="preserve">Net result from transactions: </w:t>
            </w:r>
            <w:r w:rsidRPr="00E93428">
              <w:rPr>
                <w:rFonts w:ascii="Calibri" w:eastAsiaTheme="minorEastAsia" w:hAnsi="Calibri" w:cs="Calibri"/>
                <w:b/>
                <w:bCs/>
                <w:i/>
                <w:iCs/>
                <w:color w:val="000000"/>
                <w:sz w:val="20"/>
                <w:lang w:eastAsia="en-AU"/>
              </w:rPr>
              <w:t>2015-16 Budget Update</w:t>
            </w:r>
          </w:p>
        </w:tc>
        <w:tc>
          <w:tcPr>
            <w:tcW w:w="818" w:type="dxa"/>
            <w:tcBorders>
              <w:top w:val="single" w:sz="6" w:space="0" w:color="auto"/>
              <w:left w:val="nil"/>
              <w:bottom w:val="single" w:sz="12" w:space="0" w:color="auto"/>
              <w:right w:val="nil"/>
            </w:tcBorders>
            <w:shd w:val="clear" w:color="auto" w:fill="FFFFFF"/>
          </w:tcPr>
          <w:p w:rsidR="00965D85" w:rsidRPr="00E93428"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93428">
              <w:rPr>
                <w:rFonts w:ascii="Calibri" w:eastAsiaTheme="minorEastAsia" w:hAnsi="Calibri" w:cs="Calibri"/>
                <w:b/>
                <w:bCs/>
                <w:color w:val="000000"/>
                <w:sz w:val="20"/>
                <w:lang w:eastAsia="en-AU"/>
              </w:rPr>
              <w:t>1 712</w:t>
            </w:r>
          </w:p>
        </w:tc>
        <w:tc>
          <w:tcPr>
            <w:tcW w:w="850" w:type="dxa"/>
            <w:tcBorders>
              <w:top w:val="single" w:sz="6" w:space="0" w:color="auto"/>
              <w:left w:val="nil"/>
              <w:bottom w:val="single" w:sz="12" w:space="0" w:color="auto"/>
              <w:right w:val="nil"/>
            </w:tcBorders>
            <w:shd w:val="clear" w:color="auto" w:fill="FFFFFF"/>
          </w:tcPr>
          <w:p w:rsidR="00965D85" w:rsidRPr="00E93428"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93428">
              <w:rPr>
                <w:rFonts w:ascii="Calibri" w:eastAsiaTheme="minorEastAsia" w:hAnsi="Calibri" w:cs="Calibri"/>
                <w:b/>
                <w:bCs/>
                <w:color w:val="000000"/>
                <w:sz w:val="20"/>
                <w:lang w:eastAsia="en-AU"/>
              </w:rPr>
              <w:t>1 544</w:t>
            </w:r>
          </w:p>
        </w:tc>
        <w:tc>
          <w:tcPr>
            <w:tcW w:w="850" w:type="dxa"/>
            <w:tcBorders>
              <w:top w:val="single" w:sz="6" w:space="0" w:color="auto"/>
              <w:left w:val="nil"/>
              <w:bottom w:val="single" w:sz="12" w:space="0" w:color="auto"/>
              <w:right w:val="nil"/>
            </w:tcBorders>
            <w:shd w:val="clear" w:color="auto" w:fill="FFFFFF"/>
          </w:tcPr>
          <w:p w:rsidR="00965D85" w:rsidRPr="00E93428"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93428">
              <w:rPr>
                <w:rFonts w:ascii="Calibri" w:eastAsiaTheme="minorEastAsia" w:hAnsi="Calibri" w:cs="Calibri"/>
                <w:b/>
                <w:bCs/>
                <w:color w:val="000000"/>
                <w:sz w:val="20"/>
                <w:lang w:eastAsia="en-AU"/>
              </w:rPr>
              <w:t>1 845</w:t>
            </w:r>
          </w:p>
        </w:tc>
        <w:tc>
          <w:tcPr>
            <w:tcW w:w="852" w:type="dxa"/>
            <w:tcBorders>
              <w:top w:val="single" w:sz="6" w:space="0" w:color="auto"/>
              <w:left w:val="nil"/>
              <w:bottom w:val="single" w:sz="12" w:space="0" w:color="auto"/>
              <w:right w:val="nil"/>
            </w:tcBorders>
            <w:shd w:val="clear" w:color="auto" w:fill="FFFFFF"/>
          </w:tcPr>
          <w:p w:rsidR="00965D85" w:rsidRPr="00E93428"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93428">
              <w:rPr>
                <w:rFonts w:ascii="Calibri" w:eastAsiaTheme="minorEastAsia" w:hAnsi="Calibri" w:cs="Calibri"/>
                <w:b/>
                <w:bCs/>
                <w:color w:val="000000"/>
                <w:sz w:val="20"/>
                <w:lang w:eastAsia="en-AU"/>
              </w:rPr>
              <w:t>1 555</w:t>
            </w:r>
          </w:p>
        </w:tc>
      </w:tr>
    </w:tbl>
    <w:p w:rsidR="00965D85" w:rsidRDefault="00965D85" w:rsidP="008B46DF">
      <w:pPr>
        <w:pStyle w:val="Source"/>
      </w:pPr>
      <w:r>
        <w:rPr>
          <w:vertAlign w:val="superscript"/>
        </w:rPr>
        <w:fldChar w:fldCharType="end"/>
      </w:r>
      <w:r w:rsidRPr="00471B46">
        <w:t>Source: Department of Treasury and Finance</w:t>
      </w:r>
    </w:p>
    <w:p w:rsidR="00965D85" w:rsidRPr="00471B46" w:rsidRDefault="00965D85" w:rsidP="008B46DF">
      <w:pPr>
        <w:pStyle w:val="Notes"/>
      </w:pPr>
      <w:r>
        <w:t>Notes:</w:t>
      </w:r>
    </w:p>
    <w:p w:rsidR="00965D85" w:rsidRDefault="00965D85" w:rsidP="008B46DF">
      <w:pPr>
        <w:pStyle w:val="Notes"/>
      </w:pPr>
      <w:r>
        <w:t>(a)</w:t>
      </w:r>
      <w:r>
        <w:tab/>
        <w:t>Figures in this table are subject to rounding to the nearest million and may not add up to totals.</w:t>
      </w:r>
    </w:p>
    <w:p w:rsidR="00965D85" w:rsidRDefault="00965D85" w:rsidP="008B46DF">
      <w:pPr>
        <w:pStyle w:val="Notes"/>
      </w:pPr>
      <w:r w:rsidRPr="007E4E2E">
        <w:t>(</w:t>
      </w:r>
      <w:r>
        <w:t>b)</w:t>
      </w:r>
      <w:r w:rsidRPr="007E4E2E">
        <w:tab/>
        <w:t xml:space="preserve">This is represented in </w:t>
      </w:r>
      <w:r w:rsidRPr="00C13EED">
        <w:t xml:space="preserve">Appendix A </w:t>
      </w:r>
      <w:r w:rsidRPr="005F2937">
        <w:rPr>
          <w:i w:val="0"/>
        </w:rPr>
        <w:t>Specific policy initiatives affecting the budget position</w:t>
      </w:r>
      <w:r w:rsidRPr="002E2383">
        <w:t>.</w:t>
      </w:r>
    </w:p>
    <w:p w:rsidR="00965D85" w:rsidRDefault="00965D85" w:rsidP="008B46DF">
      <w:pPr>
        <w:pStyle w:val="Notes"/>
      </w:pPr>
      <w:r>
        <w:t>(c)</w:t>
      </w:r>
      <w:r>
        <w:tab/>
      </w:r>
      <w:r w:rsidRPr="007E4E2E">
        <w:t>Inve</w:t>
      </w:r>
      <w:r>
        <w:t>stment income includes dividends and</w:t>
      </w:r>
      <w:r w:rsidRPr="007E4E2E">
        <w:t xml:space="preserve"> income tax and rate equivalent revenue.</w:t>
      </w:r>
    </w:p>
    <w:p w:rsidR="00965D85" w:rsidRDefault="00965D85" w:rsidP="008B46DF">
      <w:pPr>
        <w:pStyle w:val="Notes"/>
      </w:pPr>
      <w:r>
        <w:t>(d)</w:t>
      </w:r>
      <w:r>
        <w:tab/>
      </w:r>
      <w:r w:rsidRPr="00237841">
        <w:t xml:space="preserve">Reflects the change in grant revenue as per Chapter 4 Note 5 </w:t>
      </w:r>
      <w:r w:rsidRPr="009E4CD9">
        <w:rPr>
          <w:i w:val="0"/>
        </w:rPr>
        <w:t xml:space="preserve">Grant </w:t>
      </w:r>
      <w:r>
        <w:rPr>
          <w:i w:val="0"/>
        </w:rPr>
        <w:t>r</w:t>
      </w:r>
      <w:r w:rsidRPr="009E4CD9">
        <w:rPr>
          <w:i w:val="0"/>
        </w:rPr>
        <w:t>evenue</w:t>
      </w:r>
      <w:r w:rsidRPr="00237841">
        <w:t xml:space="preserve"> less associated expense movements.</w:t>
      </w:r>
    </w:p>
    <w:p w:rsidR="00965D85" w:rsidRDefault="00965D85" w:rsidP="008B46DF">
      <w:pPr>
        <w:pStyle w:val="Notes"/>
      </w:pPr>
      <w:r>
        <w:t>(e)</w:t>
      </w:r>
      <w:r>
        <w:tab/>
      </w:r>
      <w:r w:rsidRPr="007E4E2E">
        <w:t xml:space="preserve">Represents release of </w:t>
      </w:r>
      <w:r>
        <w:t>funding not allocated to specific purposes c</w:t>
      </w:r>
      <w:r w:rsidRPr="007E4E2E">
        <w:t>ontingencies associated with d</w:t>
      </w:r>
      <w:r>
        <w:t>emand for government services.</w:t>
      </w:r>
    </w:p>
    <w:p w:rsidR="00965D85" w:rsidRDefault="00965D85" w:rsidP="008B46DF">
      <w:pPr>
        <w:pStyle w:val="Heading3"/>
      </w:pPr>
      <w:r>
        <w:lastRenderedPageBreak/>
        <w:t xml:space="preserve">Policy </w:t>
      </w:r>
      <w:r w:rsidRPr="001B3FC5">
        <w:t>decision</w:t>
      </w:r>
      <w:r>
        <w:t xml:space="preserve"> </w:t>
      </w:r>
      <w:r w:rsidRPr="000B2E2E">
        <w:t>variations</w:t>
      </w:r>
    </w:p>
    <w:p w:rsidR="00965D85" w:rsidRDefault="00965D85" w:rsidP="008B46DF">
      <w:r>
        <w:t xml:space="preserve">There have been no revenue policy decisions since the </w:t>
      </w:r>
      <w:r>
        <w:rPr>
          <w:i/>
        </w:rPr>
        <w:t>2015</w:t>
      </w:r>
      <w:r>
        <w:rPr>
          <w:i/>
        </w:rPr>
        <w:noBreakHyphen/>
        <w:t>16 Budget</w:t>
      </w:r>
      <w:r w:rsidRPr="00AF7D5B">
        <w:t>.</w:t>
      </w:r>
    </w:p>
    <w:p w:rsidR="00965D85" w:rsidRDefault="00965D85" w:rsidP="008B46DF">
      <w:r w:rsidRPr="002E2383">
        <w:t xml:space="preserve">Details of new policy initiatives since the </w:t>
      </w:r>
      <w:r>
        <w:rPr>
          <w:i/>
        </w:rPr>
        <w:t>2015</w:t>
      </w:r>
      <w:r>
        <w:rPr>
          <w:i/>
        </w:rPr>
        <w:noBreakHyphen/>
        <w:t>16 Budget</w:t>
      </w:r>
      <w:r w:rsidRPr="002E2383">
        <w:t xml:space="preserve"> are contained in Appendix</w:t>
      </w:r>
      <w:r>
        <w:t> A </w:t>
      </w:r>
      <w:r w:rsidRPr="002E2383">
        <w:rPr>
          <w:i/>
        </w:rPr>
        <w:t xml:space="preserve">Specific policy initiatives affecting </w:t>
      </w:r>
      <w:r>
        <w:rPr>
          <w:i/>
        </w:rPr>
        <w:t xml:space="preserve">the </w:t>
      </w:r>
      <w:r w:rsidRPr="002E2383">
        <w:rPr>
          <w:i/>
        </w:rPr>
        <w:t>budget position</w:t>
      </w:r>
      <w:r w:rsidRPr="002E2383">
        <w:t>.</w:t>
      </w:r>
      <w:r>
        <w:t xml:space="preserve"> </w:t>
      </w:r>
    </w:p>
    <w:p w:rsidR="00965D85" w:rsidRPr="001161F8" w:rsidRDefault="00965D85" w:rsidP="008B46DF">
      <w:pPr>
        <w:pStyle w:val="Heading4"/>
        <w:rPr>
          <w:b/>
        </w:rPr>
      </w:pPr>
      <w:r w:rsidRPr="001161F8">
        <w:rPr>
          <w:b/>
        </w:rPr>
        <w:t>Economic and demographic variations</w:t>
      </w:r>
    </w:p>
    <w:p w:rsidR="00965D85" w:rsidRPr="00B11BA3" w:rsidRDefault="00965D85" w:rsidP="008B46DF">
      <w:r w:rsidRPr="00B11BA3">
        <w:t>Taxation revenue has been revised up by $41</w:t>
      </w:r>
      <w:r>
        <w:t>1 million</w:t>
      </w:r>
      <w:r w:rsidRPr="00B11BA3">
        <w:t xml:space="preserve"> in 2015</w:t>
      </w:r>
      <w:r>
        <w:noBreakHyphen/>
      </w:r>
      <w:r w:rsidRPr="00B11BA3">
        <w:t>16 and by $1</w:t>
      </w:r>
      <w:r>
        <w:t>56 million</w:t>
      </w:r>
      <w:r w:rsidRPr="00B11BA3">
        <w:t xml:space="preserve"> a year on average over the forward estimates period due to economic and demographic factors, mainly reflecting:</w:t>
      </w:r>
    </w:p>
    <w:p w:rsidR="00965D85" w:rsidRPr="00B11BA3" w:rsidRDefault="00965D85" w:rsidP="008B46DF">
      <w:pPr>
        <w:pStyle w:val="BulletText"/>
      </w:pPr>
      <w:r w:rsidRPr="00B11BA3">
        <w:t xml:space="preserve">an increase in </w:t>
      </w:r>
      <w:r>
        <w:t>l</w:t>
      </w:r>
      <w:r w:rsidRPr="00B11BA3">
        <w:t xml:space="preserve">and </w:t>
      </w:r>
      <w:r>
        <w:t>t</w:t>
      </w:r>
      <w:r w:rsidRPr="00B11BA3">
        <w:t xml:space="preserve">ransfer </w:t>
      </w:r>
      <w:r>
        <w:t>d</w:t>
      </w:r>
      <w:r w:rsidRPr="00B11BA3">
        <w:t>uty of $390</w:t>
      </w:r>
      <w:r>
        <w:t> million</w:t>
      </w:r>
      <w:r w:rsidRPr="00B11BA3">
        <w:t xml:space="preserve"> in 2015</w:t>
      </w:r>
      <w:r>
        <w:noBreakHyphen/>
      </w:r>
      <w:r w:rsidRPr="00B11BA3">
        <w:t>16 due to</w:t>
      </w:r>
      <w:r>
        <w:t xml:space="preserve"> </w:t>
      </w:r>
      <w:r w:rsidRPr="00B11BA3">
        <w:t xml:space="preserve">ongoing strength in the residential, commercial and industrial property markets since </w:t>
      </w:r>
      <w:r>
        <w:t xml:space="preserve">the </w:t>
      </w:r>
      <w:r w:rsidRPr="00EC009F">
        <w:rPr>
          <w:i/>
        </w:rPr>
        <w:t>2015</w:t>
      </w:r>
      <w:r>
        <w:rPr>
          <w:i/>
        </w:rPr>
        <w:noBreakHyphen/>
      </w:r>
      <w:r w:rsidRPr="00EC009F">
        <w:rPr>
          <w:i/>
        </w:rPr>
        <w:t>16 Budget</w:t>
      </w:r>
      <w:r>
        <w:t>;</w:t>
      </w:r>
    </w:p>
    <w:p w:rsidR="00965D85" w:rsidRPr="00B11BA3" w:rsidRDefault="00965D85" w:rsidP="008B46DF">
      <w:pPr>
        <w:pStyle w:val="BulletText"/>
      </w:pPr>
      <w:r w:rsidRPr="00B11BA3">
        <w:t xml:space="preserve">an increase in </w:t>
      </w:r>
      <w:r>
        <w:t>the g</w:t>
      </w:r>
      <w:r w:rsidRPr="00B11BA3">
        <w:t xml:space="preserve">rowth </w:t>
      </w:r>
      <w:r>
        <w:t>a</w:t>
      </w:r>
      <w:r w:rsidRPr="00B11BA3">
        <w:t xml:space="preserve">reas </w:t>
      </w:r>
      <w:r>
        <w:t>in</w:t>
      </w:r>
      <w:r w:rsidRPr="00B11BA3">
        <w:t xml:space="preserve">frastructure </w:t>
      </w:r>
      <w:r>
        <w:t>c</w:t>
      </w:r>
      <w:r w:rsidRPr="00B11BA3">
        <w:t>ontribution of $4</w:t>
      </w:r>
      <w:r>
        <w:t>1 million</w:t>
      </w:r>
      <w:r w:rsidRPr="00B11BA3">
        <w:t xml:space="preserve"> in 2015</w:t>
      </w:r>
      <w:r>
        <w:noBreakHyphen/>
      </w:r>
      <w:r w:rsidRPr="00B11BA3">
        <w:t>16 and $45</w:t>
      </w:r>
      <w:r>
        <w:t> million</w:t>
      </w:r>
      <w:r w:rsidRPr="00B11BA3">
        <w:t xml:space="preserve"> a year on average over the forward estimates period, due to strong commercial conditions for property developers, partially offset by;</w:t>
      </w:r>
    </w:p>
    <w:p w:rsidR="00965D85" w:rsidRPr="00B11BA3" w:rsidRDefault="00965D85" w:rsidP="008B46DF">
      <w:pPr>
        <w:pStyle w:val="BulletText"/>
      </w:pPr>
      <w:r w:rsidRPr="00B11BA3">
        <w:t xml:space="preserve">decreases in forecast revenue from </w:t>
      </w:r>
      <w:r>
        <w:t>l</w:t>
      </w:r>
      <w:r w:rsidRPr="00B11BA3">
        <w:t xml:space="preserve">and </w:t>
      </w:r>
      <w:r>
        <w:t>t</w:t>
      </w:r>
      <w:r w:rsidRPr="00B11BA3">
        <w:t>ax of $29</w:t>
      </w:r>
      <w:r>
        <w:t> million</w:t>
      </w:r>
      <w:r w:rsidRPr="00B11BA3">
        <w:t xml:space="preserve"> in 2015</w:t>
      </w:r>
      <w:r>
        <w:noBreakHyphen/>
      </w:r>
      <w:r w:rsidRPr="00B11BA3">
        <w:t>16, reflecting the biennial land tax revaluation cycle that carries forward the weaker than expected outcome of the 2014 revaluation cycle</w:t>
      </w:r>
      <w:r>
        <w:t>;</w:t>
      </w:r>
      <w:r w:rsidRPr="00B11BA3">
        <w:t xml:space="preserve"> and</w:t>
      </w:r>
    </w:p>
    <w:p w:rsidR="00965D85" w:rsidRDefault="00965D85" w:rsidP="008B46DF">
      <w:pPr>
        <w:pStyle w:val="BulletText"/>
      </w:pPr>
      <w:r w:rsidRPr="00B11BA3">
        <w:t xml:space="preserve">a decrease in forecast </w:t>
      </w:r>
      <w:r>
        <w:t>p</w:t>
      </w:r>
      <w:r w:rsidRPr="00B11BA3">
        <w:t xml:space="preserve">ayroll </w:t>
      </w:r>
      <w:r>
        <w:t>t</w:t>
      </w:r>
      <w:r w:rsidRPr="00B11BA3">
        <w:t>ax revenue of $13</w:t>
      </w:r>
      <w:r>
        <w:t> million</w:t>
      </w:r>
      <w:r w:rsidRPr="00B11BA3">
        <w:t xml:space="preserve"> in 2015</w:t>
      </w:r>
      <w:r>
        <w:noBreakHyphen/>
      </w:r>
      <w:r w:rsidRPr="00B11BA3">
        <w:t>16 and $1</w:t>
      </w:r>
      <w:r>
        <w:t>8 million</w:t>
      </w:r>
      <w:r w:rsidRPr="00B11BA3">
        <w:t xml:space="preserve"> a year on average over the forward estimates, due to a weaker outlook for wages growth.</w:t>
      </w:r>
    </w:p>
    <w:p w:rsidR="00965D85" w:rsidRDefault="00965D85" w:rsidP="008B46DF">
      <w:r w:rsidRPr="00AF440F">
        <w:t xml:space="preserve">Total </w:t>
      </w:r>
      <w:r>
        <w:t>investment income has decreased by an average of $25 million a year from 2015</w:t>
      </w:r>
      <w:r>
        <w:noBreakHyphen/>
        <w:t>16 to 2017</w:t>
      </w:r>
      <w:r>
        <w:noBreakHyphen/>
        <w:t>18 primarily due to the impact of lower investment returns on the expected ITE payments from WorkSafe Victoria. The 2015</w:t>
      </w:r>
      <w:r>
        <w:noBreakHyphen/>
        <w:t xml:space="preserve">16 impact of lower ITE payments from WorkSafe Victoria has been partially offset by higher expected ITE payments from Melbourne Water </w:t>
      </w:r>
      <w:r w:rsidRPr="003E6F74">
        <w:t>as a result of a</w:t>
      </w:r>
      <w:r>
        <w:t>n</w:t>
      </w:r>
      <w:r w:rsidRPr="003E6F74">
        <w:t xml:space="preserve"> </w:t>
      </w:r>
      <w:r>
        <w:t>ATO ruling on</w:t>
      </w:r>
      <w:r w:rsidRPr="003E6F74">
        <w:t xml:space="preserve"> the treatment of desalination plant expenses.</w:t>
      </w:r>
    </w:p>
    <w:p w:rsidR="00965D85" w:rsidRDefault="00965D85" w:rsidP="008B46DF">
      <w:r>
        <w:t>Investment income for 2018</w:t>
      </w:r>
      <w:r>
        <w:noBreakHyphen/>
        <w:t xml:space="preserve">19 is expected to decrease by $166 million largely due to the impact of lower investment returns on the expected ITE payments from the </w:t>
      </w:r>
      <w:r w:rsidRPr="00DC3F4A">
        <w:t>Transport Accident Commission</w:t>
      </w:r>
      <w:r>
        <w:t>.</w:t>
      </w:r>
    </w:p>
    <w:p w:rsidR="00965D85" w:rsidRDefault="00965D85" w:rsidP="008B46DF">
      <w:pPr>
        <w:rPr>
          <w:rFonts w:ascii="Calibri" w:hAnsi="Calibri"/>
          <w:b/>
          <w:i/>
          <w:sz w:val="24"/>
          <w:szCs w:val="22"/>
        </w:rPr>
      </w:pPr>
      <w:r>
        <w:rPr>
          <w:b/>
        </w:rPr>
        <w:br w:type="page"/>
      </w:r>
    </w:p>
    <w:p w:rsidR="00965D85" w:rsidRPr="00B11BA3" w:rsidRDefault="00965D85" w:rsidP="008B46DF">
      <w:pPr>
        <w:pStyle w:val="Heading4"/>
        <w:rPr>
          <w:b/>
        </w:rPr>
      </w:pPr>
      <w:r w:rsidRPr="00B11BA3">
        <w:rPr>
          <w:b/>
        </w:rPr>
        <w:lastRenderedPageBreak/>
        <w:t>Commonwealth grants variations</w:t>
      </w:r>
    </w:p>
    <w:p w:rsidR="00965D85" w:rsidRDefault="00965D85" w:rsidP="008B46DF">
      <w:r w:rsidRPr="00B11BA3">
        <w:t>Commonwealth general purpose grants (or GST grants) ha</w:t>
      </w:r>
      <w:r>
        <w:t>ve</w:t>
      </w:r>
      <w:r w:rsidRPr="00B11BA3">
        <w:t xml:space="preserve"> been revised up in 2015</w:t>
      </w:r>
      <w:r>
        <w:noBreakHyphen/>
      </w:r>
      <w:r w:rsidRPr="00B11BA3">
        <w:t>16 by $243</w:t>
      </w:r>
      <w:r>
        <w:t> million</w:t>
      </w:r>
      <w:r w:rsidRPr="00B11BA3">
        <w:t xml:space="preserve"> and $158</w:t>
      </w:r>
      <w:r>
        <w:t> million</w:t>
      </w:r>
      <w:r w:rsidRPr="00B11BA3">
        <w:t xml:space="preserve"> a year on average over the forward estimates compared to the </w:t>
      </w:r>
      <w:r w:rsidRPr="00AF440F">
        <w:rPr>
          <w:i/>
        </w:rPr>
        <w:t>2015</w:t>
      </w:r>
      <w:r>
        <w:rPr>
          <w:i/>
        </w:rPr>
        <w:noBreakHyphen/>
      </w:r>
      <w:r w:rsidRPr="00AF440F">
        <w:rPr>
          <w:i/>
        </w:rPr>
        <w:t>16 Budget</w:t>
      </w:r>
      <w:r w:rsidRPr="00B11BA3">
        <w:t>. This increase is driven by stronger than expected national GST pool growth and a higher Victoria</w:t>
      </w:r>
      <w:r>
        <w:t>n</w:t>
      </w:r>
      <w:r w:rsidRPr="00B11BA3">
        <w:t xml:space="preserve"> share of the national population.</w:t>
      </w:r>
    </w:p>
    <w:p w:rsidR="00965D85" w:rsidRPr="0085010D" w:rsidRDefault="00965D85" w:rsidP="008B46DF">
      <w:pPr>
        <w:rPr>
          <w:lang w:eastAsia="en-AU"/>
        </w:rPr>
      </w:pPr>
      <w:r>
        <w:t>Changes to specific purpose grants has decreased the operating result by an average of $296 million in 2015</w:t>
      </w:r>
      <w:r>
        <w:noBreakHyphen/>
        <w:t>16, 2016</w:t>
      </w:r>
      <w:r>
        <w:noBreakHyphen/>
        <w:t>17 and 2018</w:t>
      </w:r>
      <w:r>
        <w:noBreakHyphen/>
        <w:t>19, and increased it by $212 million in 2017</w:t>
      </w:r>
      <w:r>
        <w:noBreakHyphen/>
        <w:t>18. These movements are</w:t>
      </w:r>
      <w:r>
        <w:rPr>
          <w:lang w:eastAsia="en-AU"/>
        </w:rPr>
        <w:t xml:space="preserve"> largely due to</w:t>
      </w:r>
      <w:r w:rsidRPr="0085010D">
        <w:rPr>
          <w:lang w:eastAsia="en-AU"/>
        </w:rPr>
        <w:t>:</w:t>
      </w:r>
    </w:p>
    <w:p w:rsidR="00965D85" w:rsidRDefault="00965D85" w:rsidP="008B46DF">
      <w:pPr>
        <w:pStyle w:val="BulletText"/>
        <w:rPr>
          <w:lang w:eastAsia="en-AU"/>
        </w:rPr>
      </w:pPr>
      <w:r w:rsidRPr="0085010D">
        <w:t xml:space="preserve">the removal of </w:t>
      </w:r>
      <w:r>
        <w:t xml:space="preserve">the </w:t>
      </w:r>
      <w:r w:rsidRPr="0085010D">
        <w:t>$1.</w:t>
      </w:r>
      <w:r>
        <w:t>5 billion</w:t>
      </w:r>
      <w:r w:rsidRPr="0085010D">
        <w:t xml:space="preserve"> </w:t>
      </w:r>
      <w:r>
        <w:t>in previously expected Commonwealth grants across 2014</w:t>
      </w:r>
      <w:r>
        <w:noBreakHyphen/>
        <w:t>15, 2015</w:t>
      </w:r>
      <w:r>
        <w:noBreakHyphen/>
        <w:t>16, 2016</w:t>
      </w:r>
      <w:r>
        <w:noBreakHyphen/>
        <w:t>17 and 2018</w:t>
      </w:r>
      <w:r>
        <w:noBreakHyphen/>
        <w:t>19, for</w:t>
      </w:r>
      <w:r w:rsidRPr="0085010D">
        <w:t xml:space="preserve"> </w:t>
      </w:r>
      <w:r>
        <w:t xml:space="preserve">funding that will not be received for the former </w:t>
      </w:r>
      <w:r w:rsidRPr="0085010D">
        <w:t>E</w:t>
      </w:r>
      <w:r>
        <w:t xml:space="preserve">ast </w:t>
      </w:r>
      <w:r w:rsidRPr="0085010D">
        <w:t>W</w:t>
      </w:r>
      <w:r>
        <w:t xml:space="preserve">est </w:t>
      </w:r>
      <w:r w:rsidRPr="0085010D">
        <w:t>L</w:t>
      </w:r>
      <w:r>
        <w:t>ink project (t</w:t>
      </w:r>
      <w:r w:rsidRPr="00F63BC5">
        <w:t>he initial $1.5 billion already provi</w:t>
      </w:r>
      <w:r>
        <w:t>ded by the Commonwealth in 2013-</w:t>
      </w:r>
      <w:r w:rsidRPr="00F63BC5">
        <w:t>14 will be retained by Victoria for infrastructure project</w:t>
      </w:r>
      <w:r>
        <w:t>s); partially offset by</w:t>
      </w:r>
    </w:p>
    <w:p w:rsidR="00965D85" w:rsidRDefault="00965D85" w:rsidP="008B46DF">
      <w:pPr>
        <w:pStyle w:val="BulletText"/>
        <w:rPr>
          <w:lang w:eastAsia="en-AU"/>
        </w:rPr>
      </w:pPr>
      <w:r w:rsidRPr="0092293B">
        <w:t>rescheduling $</w:t>
      </w:r>
      <w:r>
        <w:t>410</w:t>
      </w:r>
      <w:r w:rsidRPr="0092293B">
        <w:t> million</w:t>
      </w:r>
      <w:r>
        <w:t xml:space="preserve"> of capital grants for roads and rail projects from 2014</w:t>
      </w:r>
      <w:r>
        <w:noBreakHyphen/>
        <w:t>15 to across the budget and forward estimates period; and</w:t>
      </w:r>
    </w:p>
    <w:p w:rsidR="00965D85" w:rsidRDefault="00965D85" w:rsidP="008B46DF">
      <w:pPr>
        <w:pStyle w:val="BulletText"/>
        <w:rPr>
          <w:lang w:eastAsia="en-AU"/>
        </w:rPr>
      </w:pPr>
      <w:r w:rsidRPr="000D20A3">
        <w:rPr>
          <w:lang w:eastAsia="en-AU"/>
        </w:rPr>
        <w:t xml:space="preserve">$150 million in additional funding </w:t>
      </w:r>
      <w:r>
        <w:t>across the forward estimates</w:t>
      </w:r>
      <w:r>
        <w:rPr>
          <w:lang w:eastAsia="en-AU"/>
        </w:rPr>
        <w:t xml:space="preserve"> to complete the M80 </w:t>
      </w:r>
      <w:r w:rsidRPr="000D20A3">
        <w:rPr>
          <w:lang w:eastAsia="en-AU"/>
        </w:rPr>
        <w:t>ring road upgrade from Sunshine Avenue to Calder Freeway</w:t>
      </w:r>
      <w:r>
        <w:rPr>
          <w:lang w:eastAsia="en-AU"/>
        </w:rPr>
        <w:t>.</w:t>
      </w:r>
    </w:p>
    <w:p w:rsidR="00965D85" w:rsidRPr="001161F8" w:rsidRDefault="00965D85" w:rsidP="008B46DF">
      <w:pPr>
        <w:pStyle w:val="Heading4"/>
        <w:rPr>
          <w:b/>
        </w:rPr>
      </w:pPr>
      <w:r w:rsidRPr="001161F8">
        <w:rPr>
          <w:b/>
        </w:rPr>
        <w:t>Administrative variations</w:t>
      </w:r>
    </w:p>
    <w:p w:rsidR="00965D85" w:rsidRDefault="00965D85" w:rsidP="008B46DF">
      <w:r>
        <w:t xml:space="preserve">The release of contingency as part of the </w:t>
      </w:r>
      <w:r w:rsidRPr="00600A65">
        <w:rPr>
          <w:i/>
        </w:rPr>
        <w:t>2015</w:t>
      </w:r>
      <w:r>
        <w:rPr>
          <w:i/>
        </w:rPr>
        <w:noBreakHyphen/>
        <w:t xml:space="preserve">16 </w:t>
      </w:r>
      <w:r w:rsidRPr="00600A65">
        <w:rPr>
          <w:i/>
        </w:rPr>
        <w:t>Budget</w:t>
      </w:r>
      <w:r>
        <w:t xml:space="preserve"> </w:t>
      </w:r>
      <w:r w:rsidRPr="00521C2E">
        <w:rPr>
          <w:i/>
        </w:rPr>
        <w:t xml:space="preserve">Update </w:t>
      </w:r>
      <w:r>
        <w:t>to offset new policy decisions totals $96 million for 2015</w:t>
      </w:r>
      <w:r>
        <w:noBreakHyphen/>
        <w:t>16.</w:t>
      </w:r>
    </w:p>
    <w:p w:rsidR="00965D85" w:rsidRDefault="00965D85" w:rsidP="008B46DF">
      <w:r>
        <w:t>Other administrative variations have increased the operating result by $33 million in 2015</w:t>
      </w:r>
      <w:r>
        <w:noBreakHyphen/>
        <w:t>16 and by an average of $74 million a year across the forward estimates. Annual movements are largely driven by:</w:t>
      </w:r>
    </w:p>
    <w:p w:rsidR="00965D85" w:rsidRPr="007E4E2E" w:rsidRDefault="00965D85" w:rsidP="008B46DF">
      <w:pPr>
        <w:pStyle w:val="BulletText"/>
      </w:pPr>
      <w:r>
        <w:t>lower depreciation expense reflecting the implementation of a new departmental asset management system for schools and a revaluations of roads;</w:t>
      </w:r>
    </w:p>
    <w:p w:rsidR="00965D85" w:rsidRPr="00A152CB" w:rsidRDefault="00965D85" w:rsidP="008B46DF">
      <w:pPr>
        <w:pStyle w:val="BulletText"/>
      </w:pPr>
      <w:r w:rsidRPr="00A152CB">
        <w:t>lower superannuation expense, primarily due to movements in the bond yields that underlie the key superannuation valuation assumptions;</w:t>
      </w:r>
    </w:p>
    <w:p w:rsidR="00965D85" w:rsidRDefault="00965D85" w:rsidP="008B46DF">
      <w:pPr>
        <w:pStyle w:val="BulletText"/>
      </w:pPr>
      <w:r>
        <w:t>the recognition of revenue under the Water Purchase Agreement by an average of $46 million a year from 2015-16 to 2017-18; partially offset by</w:t>
      </w:r>
    </w:p>
    <w:p w:rsidR="00965D85" w:rsidRPr="00254DA1" w:rsidRDefault="00965D85" w:rsidP="008B46DF">
      <w:pPr>
        <w:pStyle w:val="BulletText"/>
      </w:pPr>
      <w:r w:rsidRPr="00254DA1">
        <w:t>lower expected revenue from various trust funds due to the impact of weaker investment returns.</w:t>
      </w:r>
    </w:p>
    <w:p w:rsidR="00965D85" w:rsidRDefault="00965D85" w:rsidP="008B46DF">
      <w:r>
        <w:t>The 2015</w:t>
      </w:r>
      <w:r>
        <w:noBreakHyphen/>
        <w:t>16 estimate has also been offset by additional departmental expenditure on government services that was originally planned for 2014</w:t>
      </w:r>
      <w:r>
        <w:noBreakHyphen/>
        <w:t xml:space="preserve">15, and adjustments to the provision for </w:t>
      </w:r>
      <w:r w:rsidRPr="00815DAD">
        <w:t>decisions made but not yet allocated.</w:t>
      </w:r>
    </w:p>
    <w:p w:rsidR="00965D85" w:rsidRDefault="00965D85">
      <w:pPr>
        <w:spacing w:after="0"/>
        <w:rPr>
          <w:rFonts w:ascii="Calibri" w:hAnsi="Calibri"/>
          <w:b/>
          <w:caps/>
          <w:sz w:val="26"/>
          <w:szCs w:val="22"/>
        </w:rPr>
      </w:pPr>
      <w:bookmarkStart w:id="22" w:name="_Toc401056871"/>
      <w:bookmarkStart w:id="23" w:name="_Toc401147493"/>
      <w:bookmarkStart w:id="24" w:name="_Toc403386688"/>
      <w:bookmarkStart w:id="25" w:name="_Toc406162089"/>
      <w:bookmarkStart w:id="26" w:name="_Toc406670372"/>
      <w:r>
        <w:br w:type="page"/>
      </w:r>
    </w:p>
    <w:p w:rsidR="00965D85" w:rsidRDefault="00965D85" w:rsidP="008B46DF">
      <w:pPr>
        <w:pStyle w:val="Heading1"/>
      </w:pPr>
      <w:bookmarkStart w:id="27" w:name="_Toc436147534"/>
      <w:r w:rsidRPr="002E2383">
        <w:lastRenderedPageBreak/>
        <w:t>Cash flows</w:t>
      </w:r>
      <w:bookmarkEnd w:id="22"/>
      <w:bookmarkEnd w:id="23"/>
      <w:bookmarkEnd w:id="24"/>
      <w:bookmarkEnd w:id="25"/>
      <w:bookmarkEnd w:id="26"/>
      <w:bookmarkEnd w:id="27"/>
    </w:p>
    <w:p w:rsidR="00965D85" w:rsidRPr="000F75E2" w:rsidRDefault="00965D85" w:rsidP="008B46DF">
      <w:r w:rsidRPr="002E2383">
        <w:t xml:space="preserve">Total net investment </w:t>
      </w:r>
      <w:r w:rsidRPr="000F75E2">
        <w:t>in fixed assets is projected to be a net negative $2.5</w:t>
      </w:r>
      <w:r>
        <w:t> billion</w:t>
      </w:r>
      <w:r w:rsidRPr="000F75E2">
        <w:t xml:space="preserve"> in 2015</w:t>
      </w:r>
      <w:r>
        <w:noBreakHyphen/>
      </w:r>
      <w:r w:rsidRPr="000F75E2">
        <w:t xml:space="preserve">16 and average </w:t>
      </w:r>
      <w:r>
        <w:t xml:space="preserve">a positive </w:t>
      </w:r>
      <w:r w:rsidRPr="000F75E2">
        <w:t>$4.</w:t>
      </w:r>
      <w:r>
        <w:t>8 billion</w:t>
      </w:r>
      <w:r w:rsidRPr="000F75E2">
        <w:t xml:space="preserve"> a year over the forward estimates. This largely reflects the net impact of additional investments in new assets</w:t>
      </w:r>
      <w:r>
        <w:t>,</w:t>
      </w:r>
      <w:r w:rsidRPr="000F75E2">
        <w:t xml:space="preserve"> including prudent provisioning for future budgets and remaining capital election commitments, and the forecast proceeds from entering into a medium</w:t>
      </w:r>
      <w:r>
        <w:noBreakHyphen/>
      </w:r>
      <w:r w:rsidRPr="000F75E2">
        <w:t>term lease over the operations of the Port of Melbourne.</w:t>
      </w:r>
    </w:p>
    <w:p w:rsidR="00965D85" w:rsidRDefault="00965D85" w:rsidP="008B46DF">
      <w:r w:rsidRPr="000F75E2">
        <w:t xml:space="preserve">In addition to net investment in fixed assets, infrastructure investment is also funded and delivered through public private partnerships. These projects are included in the general government infrastructure investment measure, which is projected to </w:t>
      </w:r>
      <w:r>
        <w:t>average</w:t>
      </w:r>
      <w:r w:rsidRPr="007E4E2E">
        <w:t xml:space="preserve"> $</w:t>
      </w:r>
      <w:r>
        <w:t>5.3 billion a year</w:t>
      </w:r>
      <w:r w:rsidRPr="000F75E2">
        <w:t xml:space="preserve"> over the </w:t>
      </w:r>
      <w:r>
        <w:t xml:space="preserve">budget and </w:t>
      </w:r>
      <w:r w:rsidRPr="000F75E2">
        <w:t xml:space="preserve">forward estimates. </w:t>
      </w:r>
    </w:p>
    <w:p w:rsidR="00965D85" w:rsidRPr="004A3962" w:rsidRDefault="00965D85" w:rsidP="008B46DF">
      <w:pPr>
        <w:pStyle w:val="Tableheading"/>
        <w:rPr>
          <w:rFonts w:ascii="Times New Roman" w:hAnsi="Times New Roman"/>
          <w:sz w:val="20"/>
          <w:lang w:eastAsia="en-AU"/>
        </w:rPr>
      </w:pPr>
      <w:r w:rsidRPr="006F3FE5">
        <w:t xml:space="preserve">Table 3.4: </w:t>
      </w:r>
      <w:r>
        <w:tab/>
      </w:r>
      <w:r w:rsidRPr="006F3FE5">
        <w:t>Application of cash resources for the general government sector</w:t>
      </w:r>
      <w:r>
        <w:t xml:space="preserve"> </w:t>
      </w:r>
      <w:r w:rsidRPr="006F3FE5">
        <w:rPr>
          <w:vertAlign w:val="superscript"/>
        </w:rPr>
        <w:t>(a)</w:t>
      </w:r>
      <w:r>
        <w:fldChar w:fldCharType="begin" w:fldLock="1"/>
      </w:r>
      <w:r>
        <w:instrText xml:space="preserve"> LINK Excel.Sheet.12 \\\\PDCPTPRDFIL01\\DTFDATA02$\\SECURED\\Budget\\BudgetUpdate\\Chapter3\\BUSRIMS_Chapter3_GG.xlsx App_Cash_Fiscal!App_Cash_Fiscal \f 4 \r  \* MERGEFORMAT</w:instrText>
      </w:r>
      <w:r>
        <w:fldChar w:fldCharType="separate"/>
      </w:r>
    </w:p>
    <w:tbl>
      <w:tblPr>
        <w:tblW w:w="7767" w:type="dxa"/>
        <w:tblInd w:w="28" w:type="dxa"/>
        <w:tblLayout w:type="fixed"/>
        <w:tblCellMar>
          <w:left w:w="28" w:type="dxa"/>
          <w:right w:w="28" w:type="dxa"/>
        </w:tblCellMar>
        <w:tblLook w:val="0000" w:firstRow="0" w:lastRow="0" w:firstColumn="0" w:lastColumn="0" w:noHBand="0" w:noVBand="0"/>
      </w:tblPr>
      <w:tblGrid>
        <w:gridCol w:w="4111"/>
        <w:gridCol w:w="89"/>
        <w:gridCol w:w="675"/>
        <w:gridCol w:w="964"/>
        <w:gridCol w:w="964"/>
        <w:gridCol w:w="964"/>
      </w:tblGrid>
      <w:tr w:rsidR="00965D85" w:rsidRPr="004A3962" w:rsidTr="008B46DF">
        <w:trPr>
          <w:tblHeader/>
        </w:trPr>
        <w:tc>
          <w:tcPr>
            <w:tcW w:w="7767" w:type="dxa"/>
            <w:gridSpan w:val="6"/>
            <w:tcBorders>
              <w:top w:val="nil"/>
              <w:left w:val="nil"/>
              <w:bottom w:val="nil"/>
              <w:right w:val="nil"/>
            </w:tcBorders>
          </w:tcPr>
          <w:p w:rsidR="00965D85" w:rsidRPr="004A3962" w:rsidRDefault="00965D85" w:rsidP="008B46DF">
            <w:pPr>
              <w:pStyle w:val="million"/>
              <w:rPr>
                <w:rFonts w:eastAsiaTheme="minorEastAsia"/>
                <w:lang w:eastAsia="en-AU"/>
              </w:rPr>
            </w:pPr>
            <w:r w:rsidRPr="004A3962">
              <w:rPr>
                <w:rFonts w:eastAsiaTheme="minorEastAsia"/>
                <w:lang w:eastAsia="en-AU"/>
              </w:rPr>
              <w:t>($ million)</w:t>
            </w:r>
          </w:p>
        </w:tc>
      </w:tr>
      <w:tr w:rsidR="00965D85" w:rsidRPr="004A3962" w:rsidTr="008B46DF">
        <w:trPr>
          <w:trHeight w:val="488"/>
          <w:tblHeader/>
        </w:trPr>
        <w:tc>
          <w:tcPr>
            <w:tcW w:w="4111" w:type="dxa"/>
            <w:tcBorders>
              <w:top w:val="nil"/>
              <w:left w:val="nil"/>
              <w:right w:val="nil"/>
            </w:tcBorders>
            <w:shd w:val="solid" w:color="000000" w:fill="auto"/>
          </w:tcPr>
          <w:p w:rsidR="00965D85" w:rsidRPr="004A3962" w:rsidRDefault="00965D85" w:rsidP="008B46DF">
            <w:pPr>
              <w:autoSpaceDE w:val="0"/>
              <w:autoSpaceDN w:val="0"/>
              <w:adjustRightInd w:val="0"/>
              <w:spacing w:after="0"/>
              <w:rPr>
                <w:rFonts w:ascii="Calibri" w:eastAsiaTheme="minorEastAsia" w:hAnsi="Calibri" w:cs="Calibri"/>
                <w:color w:val="000000"/>
                <w:sz w:val="20"/>
                <w:lang w:eastAsia="en-AU"/>
              </w:rPr>
            </w:pPr>
            <w:r w:rsidRPr="004A3962">
              <w:rPr>
                <w:rFonts w:ascii="Calibri" w:eastAsiaTheme="minorEastAsia" w:hAnsi="Calibri" w:cs="Calibri"/>
                <w:color w:val="000000"/>
                <w:sz w:val="20"/>
                <w:lang w:eastAsia="en-AU"/>
              </w:rPr>
              <w:t xml:space="preserve"> </w:t>
            </w:r>
          </w:p>
          <w:p w:rsidR="00965D85" w:rsidRPr="004A3962" w:rsidRDefault="00965D85" w:rsidP="008B46DF">
            <w:pPr>
              <w:autoSpaceDE w:val="0"/>
              <w:autoSpaceDN w:val="0"/>
              <w:adjustRightInd w:val="0"/>
              <w:spacing w:after="0"/>
              <w:rPr>
                <w:rFonts w:ascii="Calibri" w:eastAsiaTheme="minorEastAsia" w:hAnsi="Calibri" w:cs="Calibri"/>
                <w:color w:val="000000"/>
                <w:sz w:val="20"/>
                <w:lang w:eastAsia="en-AU"/>
              </w:rPr>
            </w:pPr>
            <w:r w:rsidRPr="004A3962">
              <w:rPr>
                <w:rFonts w:ascii="Calibri" w:eastAsiaTheme="minorEastAsia" w:hAnsi="Calibri" w:cs="Calibri"/>
                <w:color w:val="000000"/>
                <w:sz w:val="20"/>
                <w:lang w:eastAsia="en-AU"/>
              </w:rPr>
              <w:t xml:space="preserve"> </w:t>
            </w:r>
          </w:p>
        </w:tc>
        <w:tc>
          <w:tcPr>
            <w:tcW w:w="764" w:type="dxa"/>
            <w:gridSpan w:val="2"/>
            <w:tcBorders>
              <w:top w:val="nil"/>
              <w:left w:val="nil"/>
              <w:right w:val="nil"/>
            </w:tcBorders>
            <w:shd w:val="solid" w:color="000000" w:fill="auto"/>
          </w:tcPr>
          <w:p w:rsidR="00965D85" w:rsidRPr="004A3962"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4A3962">
              <w:rPr>
                <w:rFonts w:ascii="Calibri" w:eastAsiaTheme="minorEastAsia" w:hAnsi="Calibri" w:cs="Calibri"/>
                <w:i/>
                <w:iCs/>
                <w:color w:val="FFFFFF"/>
                <w:sz w:val="20"/>
                <w:lang w:eastAsia="en-AU"/>
              </w:rPr>
              <w:t>2015-16</w:t>
            </w:r>
          </w:p>
          <w:p w:rsidR="00965D85" w:rsidRPr="004A3962"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4A3962">
              <w:rPr>
                <w:rFonts w:ascii="Calibri" w:eastAsiaTheme="minorEastAsia" w:hAnsi="Calibri" w:cs="Calibri"/>
                <w:i/>
                <w:iCs/>
                <w:color w:val="FFFFFF"/>
                <w:sz w:val="20"/>
                <w:lang w:eastAsia="en-AU"/>
              </w:rPr>
              <w:t>revised</w:t>
            </w:r>
          </w:p>
        </w:tc>
        <w:tc>
          <w:tcPr>
            <w:tcW w:w="964" w:type="dxa"/>
            <w:tcBorders>
              <w:top w:val="nil"/>
              <w:left w:val="nil"/>
              <w:right w:val="nil"/>
            </w:tcBorders>
            <w:shd w:val="solid" w:color="000000" w:fill="auto"/>
          </w:tcPr>
          <w:p w:rsidR="00965D85" w:rsidRPr="004A3962"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4A3962">
              <w:rPr>
                <w:rFonts w:ascii="Calibri" w:eastAsiaTheme="minorEastAsia" w:hAnsi="Calibri" w:cs="Calibri"/>
                <w:i/>
                <w:iCs/>
                <w:color w:val="FFFFFF"/>
                <w:sz w:val="20"/>
                <w:lang w:eastAsia="en-AU"/>
              </w:rPr>
              <w:t>2016-17</w:t>
            </w:r>
          </w:p>
          <w:p w:rsidR="00965D85" w:rsidRPr="004A3962"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4A3962">
              <w:rPr>
                <w:rFonts w:ascii="Calibri" w:eastAsiaTheme="minorEastAsia" w:hAnsi="Calibri" w:cs="Calibri"/>
                <w:i/>
                <w:iCs/>
                <w:color w:val="FFFFFF"/>
                <w:sz w:val="20"/>
                <w:lang w:eastAsia="en-AU"/>
              </w:rPr>
              <w:t>estimate</w:t>
            </w:r>
          </w:p>
        </w:tc>
        <w:tc>
          <w:tcPr>
            <w:tcW w:w="964" w:type="dxa"/>
            <w:tcBorders>
              <w:top w:val="nil"/>
              <w:left w:val="nil"/>
              <w:right w:val="nil"/>
            </w:tcBorders>
            <w:shd w:val="solid" w:color="000000" w:fill="auto"/>
          </w:tcPr>
          <w:p w:rsidR="00965D85" w:rsidRPr="004A3962"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4A3962">
              <w:rPr>
                <w:rFonts w:ascii="Calibri" w:eastAsiaTheme="minorEastAsia" w:hAnsi="Calibri" w:cs="Calibri"/>
                <w:i/>
                <w:iCs/>
                <w:color w:val="FFFFFF"/>
                <w:sz w:val="20"/>
                <w:lang w:eastAsia="en-AU"/>
              </w:rPr>
              <w:t>2017-18</w:t>
            </w:r>
          </w:p>
          <w:p w:rsidR="00965D85" w:rsidRPr="004A3962"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4A3962">
              <w:rPr>
                <w:rFonts w:ascii="Calibri" w:eastAsiaTheme="minorEastAsia" w:hAnsi="Calibri" w:cs="Calibri"/>
                <w:i/>
                <w:iCs/>
                <w:color w:val="FFFFFF"/>
                <w:sz w:val="20"/>
                <w:lang w:eastAsia="en-AU"/>
              </w:rPr>
              <w:t>estimate</w:t>
            </w:r>
          </w:p>
        </w:tc>
        <w:tc>
          <w:tcPr>
            <w:tcW w:w="964" w:type="dxa"/>
            <w:tcBorders>
              <w:top w:val="nil"/>
              <w:left w:val="nil"/>
              <w:right w:val="nil"/>
            </w:tcBorders>
            <w:shd w:val="solid" w:color="000000" w:fill="auto"/>
          </w:tcPr>
          <w:p w:rsidR="00965D85" w:rsidRPr="004A3962"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4A3962">
              <w:rPr>
                <w:rFonts w:ascii="Calibri" w:eastAsiaTheme="minorEastAsia" w:hAnsi="Calibri" w:cs="Calibri"/>
                <w:i/>
                <w:iCs/>
                <w:color w:val="FFFFFF"/>
                <w:sz w:val="20"/>
                <w:lang w:eastAsia="en-AU"/>
              </w:rPr>
              <w:t>2018-19</w:t>
            </w:r>
          </w:p>
          <w:p w:rsidR="00965D85" w:rsidRPr="004A3962"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4A3962">
              <w:rPr>
                <w:rFonts w:ascii="Calibri" w:eastAsiaTheme="minorEastAsia" w:hAnsi="Calibri" w:cs="Calibri"/>
                <w:i/>
                <w:iCs/>
                <w:color w:val="FFFFFF"/>
                <w:sz w:val="20"/>
                <w:lang w:eastAsia="en-AU"/>
              </w:rPr>
              <w:t>estimate</w:t>
            </w:r>
          </w:p>
        </w:tc>
      </w:tr>
      <w:tr w:rsidR="00965D85" w:rsidRPr="004A3962" w:rsidTr="008B46DF">
        <w:tc>
          <w:tcPr>
            <w:tcW w:w="4111" w:type="dxa"/>
            <w:tcBorders>
              <w:top w:val="nil"/>
              <w:left w:val="nil"/>
              <w:right w:val="nil"/>
            </w:tcBorders>
            <w:shd w:val="clear" w:color="auto" w:fill="FFFFFF"/>
          </w:tcPr>
          <w:p w:rsidR="00965D85" w:rsidRPr="004A3962" w:rsidRDefault="00965D85" w:rsidP="008B46DF">
            <w:pPr>
              <w:autoSpaceDE w:val="0"/>
              <w:autoSpaceDN w:val="0"/>
              <w:adjustRightInd w:val="0"/>
              <w:spacing w:after="0"/>
              <w:ind w:left="227" w:hanging="227"/>
              <w:rPr>
                <w:rFonts w:ascii="Calibri" w:eastAsiaTheme="minorEastAsia" w:hAnsi="Calibri" w:cs="Calibri"/>
                <w:b/>
                <w:bCs/>
                <w:color w:val="000000"/>
                <w:sz w:val="20"/>
                <w:lang w:eastAsia="en-AU"/>
              </w:rPr>
            </w:pPr>
            <w:r w:rsidRPr="004A3962">
              <w:rPr>
                <w:rFonts w:ascii="Calibri" w:eastAsiaTheme="minorEastAsia" w:hAnsi="Calibri" w:cs="Calibri"/>
                <w:b/>
                <w:bCs/>
                <w:color w:val="000000"/>
                <w:sz w:val="20"/>
                <w:lang w:eastAsia="en-AU"/>
              </w:rPr>
              <w:t>Net result from transactions</w:t>
            </w:r>
          </w:p>
        </w:tc>
        <w:tc>
          <w:tcPr>
            <w:tcW w:w="764" w:type="dxa"/>
            <w:gridSpan w:val="2"/>
            <w:tcBorders>
              <w:top w:val="nil"/>
              <w:left w:val="nil"/>
              <w:right w:val="nil"/>
            </w:tcBorders>
            <w:shd w:val="clear" w:color="auto" w:fill="FFFFFF"/>
          </w:tcPr>
          <w:p w:rsidR="00965D85" w:rsidRPr="004A3962"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4A3962">
              <w:rPr>
                <w:rFonts w:ascii="Calibri" w:eastAsiaTheme="minorEastAsia" w:hAnsi="Calibri" w:cs="Calibri"/>
                <w:b/>
                <w:bCs/>
                <w:color w:val="000000"/>
                <w:sz w:val="20"/>
                <w:lang w:eastAsia="en-AU"/>
              </w:rPr>
              <w:t>1 712</w:t>
            </w:r>
          </w:p>
        </w:tc>
        <w:tc>
          <w:tcPr>
            <w:tcW w:w="964" w:type="dxa"/>
            <w:tcBorders>
              <w:top w:val="nil"/>
              <w:left w:val="nil"/>
              <w:right w:val="nil"/>
            </w:tcBorders>
            <w:shd w:val="clear" w:color="auto" w:fill="FFFFFF"/>
          </w:tcPr>
          <w:p w:rsidR="00965D85" w:rsidRPr="004A3962"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4A3962">
              <w:rPr>
                <w:rFonts w:ascii="Calibri" w:eastAsiaTheme="minorEastAsia" w:hAnsi="Calibri" w:cs="Calibri"/>
                <w:b/>
                <w:bCs/>
                <w:color w:val="000000"/>
                <w:sz w:val="20"/>
                <w:lang w:eastAsia="en-AU"/>
              </w:rPr>
              <w:t>1 544</w:t>
            </w:r>
          </w:p>
        </w:tc>
        <w:tc>
          <w:tcPr>
            <w:tcW w:w="964" w:type="dxa"/>
            <w:tcBorders>
              <w:top w:val="nil"/>
              <w:left w:val="nil"/>
              <w:right w:val="nil"/>
            </w:tcBorders>
            <w:shd w:val="clear" w:color="auto" w:fill="FFFFFF"/>
          </w:tcPr>
          <w:p w:rsidR="00965D85" w:rsidRPr="004A3962"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4A3962">
              <w:rPr>
                <w:rFonts w:ascii="Calibri" w:eastAsiaTheme="minorEastAsia" w:hAnsi="Calibri" w:cs="Calibri"/>
                <w:b/>
                <w:bCs/>
                <w:color w:val="000000"/>
                <w:sz w:val="20"/>
                <w:lang w:eastAsia="en-AU"/>
              </w:rPr>
              <w:t>1 845</w:t>
            </w:r>
          </w:p>
        </w:tc>
        <w:tc>
          <w:tcPr>
            <w:tcW w:w="964" w:type="dxa"/>
            <w:tcBorders>
              <w:top w:val="nil"/>
              <w:left w:val="nil"/>
              <w:right w:val="nil"/>
            </w:tcBorders>
            <w:shd w:val="clear" w:color="auto" w:fill="FFFFFF"/>
          </w:tcPr>
          <w:p w:rsidR="00965D85" w:rsidRPr="004A3962"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4A3962">
              <w:rPr>
                <w:rFonts w:ascii="Calibri" w:eastAsiaTheme="minorEastAsia" w:hAnsi="Calibri" w:cs="Calibri"/>
                <w:b/>
                <w:bCs/>
                <w:color w:val="000000"/>
                <w:sz w:val="20"/>
                <w:lang w:eastAsia="en-AU"/>
              </w:rPr>
              <w:t>1 555</w:t>
            </w:r>
          </w:p>
        </w:tc>
      </w:tr>
      <w:tr w:rsidR="00965D85" w:rsidRPr="004A3962" w:rsidTr="008B46DF">
        <w:tc>
          <w:tcPr>
            <w:tcW w:w="4200" w:type="dxa"/>
            <w:gridSpan w:val="2"/>
            <w:tcBorders>
              <w:top w:val="nil"/>
              <w:left w:val="nil"/>
              <w:bottom w:val="single" w:sz="6" w:space="0" w:color="000000"/>
              <w:right w:val="nil"/>
            </w:tcBorders>
            <w:shd w:val="clear" w:color="auto" w:fill="FFFFFF"/>
          </w:tcPr>
          <w:p w:rsidR="00965D85" w:rsidRPr="004A3962" w:rsidRDefault="00965D85" w:rsidP="008B46DF">
            <w:pPr>
              <w:autoSpaceDE w:val="0"/>
              <w:autoSpaceDN w:val="0"/>
              <w:adjustRightInd w:val="0"/>
              <w:spacing w:after="0"/>
              <w:ind w:left="227" w:hanging="227"/>
              <w:rPr>
                <w:rFonts w:ascii="Calibri" w:eastAsiaTheme="minorEastAsia" w:hAnsi="Calibri" w:cs="Calibri"/>
                <w:color w:val="000000"/>
                <w:sz w:val="20"/>
                <w:vertAlign w:val="superscript"/>
                <w:lang w:eastAsia="en-AU"/>
              </w:rPr>
            </w:pPr>
            <w:r w:rsidRPr="004A3962">
              <w:rPr>
                <w:rFonts w:ascii="Calibri" w:eastAsiaTheme="minorEastAsia" w:hAnsi="Calibri" w:cs="Calibri"/>
                <w:color w:val="000000"/>
                <w:sz w:val="20"/>
                <w:lang w:eastAsia="en-AU"/>
              </w:rPr>
              <w:t xml:space="preserve">Add back: non-cash revenue and expenses (net) </w:t>
            </w:r>
            <w:r w:rsidRPr="004A3962">
              <w:rPr>
                <w:rFonts w:ascii="Calibri" w:eastAsiaTheme="minorEastAsia" w:hAnsi="Calibri" w:cs="Calibri"/>
                <w:color w:val="000000"/>
                <w:sz w:val="20"/>
                <w:vertAlign w:val="superscript"/>
                <w:lang w:eastAsia="en-AU"/>
              </w:rPr>
              <w:t>(b)</w:t>
            </w:r>
          </w:p>
        </w:tc>
        <w:tc>
          <w:tcPr>
            <w:tcW w:w="675" w:type="dxa"/>
            <w:tcBorders>
              <w:top w:val="nil"/>
              <w:left w:val="nil"/>
              <w:bottom w:val="single" w:sz="6" w:space="0" w:color="000000"/>
              <w:right w:val="nil"/>
            </w:tcBorders>
            <w:shd w:val="clear" w:color="auto" w:fill="FFFFFF"/>
          </w:tcPr>
          <w:p w:rsidR="00965D85" w:rsidRPr="004A3962"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4A3962">
              <w:rPr>
                <w:rFonts w:ascii="Calibri" w:eastAsiaTheme="minorEastAsia" w:hAnsi="Calibri" w:cs="Calibri"/>
                <w:color w:val="000000"/>
                <w:sz w:val="20"/>
                <w:lang w:eastAsia="en-AU"/>
              </w:rPr>
              <w:t>2 318</w:t>
            </w:r>
          </w:p>
        </w:tc>
        <w:tc>
          <w:tcPr>
            <w:tcW w:w="964" w:type="dxa"/>
            <w:tcBorders>
              <w:top w:val="nil"/>
              <w:left w:val="nil"/>
              <w:bottom w:val="single" w:sz="6" w:space="0" w:color="000000"/>
              <w:right w:val="nil"/>
            </w:tcBorders>
            <w:shd w:val="clear" w:color="auto" w:fill="FFFFFF"/>
          </w:tcPr>
          <w:p w:rsidR="00965D85" w:rsidRPr="004A3962"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4A3962">
              <w:rPr>
                <w:rFonts w:ascii="Calibri" w:eastAsiaTheme="minorEastAsia" w:hAnsi="Calibri" w:cs="Calibri"/>
                <w:color w:val="000000"/>
                <w:sz w:val="20"/>
                <w:lang w:eastAsia="en-AU"/>
              </w:rPr>
              <w:t>2 597</w:t>
            </w:r>
          </w:p>
        </w:tc>
        <w:tc>
          <w:tcPr>
            <w:tcW w:w="964" w:type="dxa"/>
            <w:tcBorders>
              <w:top w:val="nil"/>
              <w:left w:val="nil"/>
              <w:bottom w:val="single" w:sz="6" w:space="0" w:color="000000"/>
              <w:right w:val="nil"/>
            </w:tcBorders>
            <w:shd w:val="clear" w:color="auto" w:fill="FFFFFF"/>
          </w:tcPr>
          <w:p w:rsidR="00965D85" w:rsidRPr="004A3962"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4A3962">
              <w:rPr>
                <w:rFonts w:ascii="Calibri" w:eastAsiaTheme="minorEastAsia" w:hAnsi="Calibri" w:cs="Calibri"/>
                <w:color w:val="000000"/>
                <w:sz w:val="20"/>
                <w:lang w:eastAsia="en-AU"/>
              </w:rPr>
              <w:t>2 748</w:t>
            </w:r>
          </w:p>
        </w:tc>
        <w:tc>
          <w:tcPr>
            <w:tcW w:w="964" w:type="dxa"/>
            <w:tcBorders>
              <w:top w:val="nil"/>
              <w:left w:val="nil"/>
              <w:bottom w:val="single" w:sz="6" w:space="0" w:color="000000"/>
              <w:right w:val="nil"/>
            </w:tcBorders>
            <w:shd w:val="clear" w:color="auto" w:fill="FFFFFF"/>
          </w:tcPr>
          <w:p w:rsidR="00965D85" w:rsidRPr="004A3962"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4A3962">
              <w:rPr>
                <w:rFonts w:ascii="Calibri" w:eastAsiaTheme="minorEastAsia" w:hAnsi="Calibri" w:cs="Calibri"/>
                <w:color w:val="000000"/>
                <w:sz w:val="20"/>
                <w:lang w:eastAsia="en-AU"/>
              </w:rPr>
              <w:t>2 744</w:t>
            </w:r>
          </w:p>
        </w:tc>
      </w:tr>
      <w:tr w:rsidR="00965D85" w:rsidRPr="004A3962" w:rsidTr="008B46DF">
        <w:tc>
          <w:tcPr>
            <w:tcW w:w="4111" w:type="dxa"/>
            <w:tcBorders>
              <w:top w:val="single" w:sz="6" w:space="0" w:color="000000"/>
              <w:left w:val="nil"/>
              <w:right w:val="nil"/>
            </w:tcBorders>
            <w:shd w:val="clear" w:color="auto" w:fill="FFFFFF"/>
          </w:tcPr>
          <w:p w:rsidR="00965D85" w:rsidRPr="004A3962" w:rsidRDefault="00965D85" w:rsidP="008B46DF">
            <w:pPr>
              <w:autoSpaceDE w:val="0"/>
              <w:autoSpaceDN w:val="0"/>
              <w:adjustRightInd w:val="0"/>
              <w:spacing w:after="0"/>
              <w:ind w:left="227" w:hanging="227"/>
              <w:rPr>
                <w:rFonts w:ascii="Calibri" w:eastAsiaTheme="minorEastAsia" w:hAnsi="Calibri" w:cs="Calibri"/>
                <w:b/>
                <w:bCs/>
                <w:color w:val="000000"/>
                <w:sz w:val="20"/>
                <w:lang w:eastAsia="en-AU"/>
              </w:rPr>
            </w:pPr>
            <w:r w:rsidRPr="004A3962">
              <w:rPr>
                <w:rFonts w:ascii="Calibri" w:eastAsiaTheme="minorEastAsia" w:hAnsi="Calibri" w:cs="Calibri"/>
                <w:b/>
                <w:bCs/>
                <w:color w:val="000000"/>
                <w:sz w:val="20"/>
                <w:lang w:eastAsia="en-AU"/>
              </w:rPr>
              <w:t>Net cash flows from operating activities</w:t>
            </w:r>
          </w:p>
        </w:tc>
        <w:tc>
          <w:tcPr>
            <w:tcW w:w="764" w:type="dxa"/>
            <w:gridSpan w:val="2"/>
            <w:tcBorders>
              <w:top w:val="single" w:sz="6" w:space="0" w:color="000000"/>
              <w:left w:val="nil"/>
              <w:right w:val="nil"/>
            </w:tcBorders>
            <w:shd w:val="clear" w:color="auto" w:fill="FFFFFF"/>
          </w:tcPr>
          <w:p w:rsidR="00965D85" w:rsidRPr="004A3962"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4A3962">
              <w:rPr>
                <w:rFonts w:ascii="Calibri" w:eastAsiaTheme="minorEastAsia" w:hAnsi="Calibri" w:cs="Calibri"/>
                <w:b/>
                <w:bCs/>
                <w:color w:val="000000"/>
                <w:sz w:val="20"/>
                <w:lang w:eastAsia="en-AU"/>
              </w:rPr>
              <w:t>4 030</w:t>
            </w:r>
          </w:p>
        </w:tc>
        <w:tc>
          <w:tcPr>
            <w:tcW w:w="964" w:type="dxa"/>
            <w:tcBorders>
              <w:top w:val="single" w:sz="6" w:space="0" w:color="000000"/>
              <w:left w:val="nil"/>
              <w:right w:val="nil"/>
            </w:tcBorders>
            <w:shd w:val="clear" w:color="auto" w:fill="FFFFFF"/>
          </w:tcPr>
          <w:p w:rsidR="00965D85" w:rsidRPr="004A3962"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4A3962">
              <w:rPr>
                <w:rFonts w:ascii="Calibri" w:eastAsiaTheme="minorEastAsia" w:hAnsi="Calibri" w:cs="Calibri"/>
                <w:b/>
                <w:bCs/>
                <w:color w:val="000000"/>
                <w:sz w:val="20"/>
                <w:lang w:eastAsia="en-AU"/>
              </w:rPr>
              <w:t>4 142</w:t>
            </w:r>
          </w:p>
        </w:tc>
        <w:tc>
          <w:tcPr>
            <w:tcW w:w="964" w:type="dxa"/>
            <w:tcBorders>
              <w:top w:val="single" w:sz="6" w:space="0" w:color="000000"/>
              <w:left w:val="nil"/>
              <w:right w:val="nil"/>
            </w:tcBorders>
            <w:shd w:val="clear" w:color="auto" w:fill="FFFFFF"/>
          </w:tcPr>
          <w:p w:rsidR="00965D85" w:rsidRPr="004A3962"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4A3962">
              <w:rPr>
                <w:rFonts w:ascii="Calibri" w:eastAsiaTheme="minorEastAsia" w:hAnsi="Calibri" w:cs="Calibri"/>
                <w:b/>
                <w:bCs/>
                <w:color w:val="000000"/>
                <w:sz w:val="20"/>
                <w:lang w:eastAsia="en-AU"/>
              </w:rPr>
              <w:t>4 593</w:t>
            </w:r>
          </w:p>
        </w:tc>
        <w:tc>
          <w:tcPr>
            <w:tcW w:w="964" w:type="dxa"/>
            <w:tcBorders>
              <w:top w:val="single" w:sz="6" w:space="0" w:color="000000"/>
              <w:left w:val="nil"/>
              <w:right w:val="nil"/>
            </w:tcBorders>
            <w:shd w:val="clear" w:color="auto" w:fill="FFFFFF"/>
          </w:tcPr>
          <w:p w:rsidR="00965D85" w:rsidRPr="004A3962"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4A3962">
              <w:rPr>
                <w:rFonts w:ascii="Calibri" w:eastAsiaTheme="minorEastAsia" w:hAnsi="Calibri" w:cs="Calibri"/>
                <w:b/>
                <w:bCs/>
                <w:color w:val="000000"/>
                <w:sz w:val="20"/>
                <w:lang w:eastAsia="en-AU"/>
              </w:rPr>
              <w:t>4 299</w:t>
            </w:r>
          </w:p>
        </w:tc>
      </w:tr>
      <w:tr w:rsidR="00965D85" w:rsidRPr="004A3962" w:rsidTr="008B46DF">
        <w:tc>
          <w:tcPr>
            <w:tcW w:w="4111" w:type="dxa"/>
            <w:tcBorders>
              <w:top w:val="nil"/>
              <w:left w:val="nil"/>
              <w:right w:val="nil"/>
            </w:tcBorders>
            <w:shd w:val="clear" w:color="auto" w:fill="FFFFFF"/>
          </w:tcPr>
          <w:p w:rsidR="00965D85" w:rsidRPr="004A3962"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4A3962">
              <w:rPr>
                <w:rFonts w:ascii="Calibri" w:eastAsiaTheme="minorEastAsia" w:hAnsi="Calibri" w:cs="Calibri"/>
                <w:color w:val="000000"/>
                <w:sz w:val="20"/>
                <w:lang w:eastAsia="en-AU"/>
              </w:rPr>
              <w:t>Less</w:t>
            </w:r>
          </w:p>
        </w:tc>
        <w:tc>
          <w:tcPr>
            <w:tcW w:w="764" w:type="dxa"/>
            <w:gridSpan w:val="2"/>
            <w:tcBorders>
              <w:top w:val="nil"/>
              <w:left w:val="nil"/>
              <w:right w:val="nil"/>
            </w:tcBorders>
            <w:shd w:val="clear" w:color="auto" w:fill="FFFFFF"/>
          </w:tcPr>
          <w:p w:rsidR="00965D85" w:rsidRPr="004A3962" w:rsidRDefault="00965D85" w:rsidP="008B46DF">
            <w:pPr>
              <w:autoSpaceDE w:val="0"/>
              <w:autoSpaceDN w:val="0"/>
              <w:adjustRightInd w:val="0"/>
              <w:spacing w:after="0"/>
              <w:jc w:val="right"/>
              <w:rPr>
                <w:rFonts w:ascii="Calibri" w:eastAsiaTheme="minorEastAsia" w:hAnsi="Calibri" w:cs="Calibri"/>
                <w:color w:val="000000"/>
                <w:sz w:val="20"/>
                <w:lang w:eastAsia="en-AU"/>
              </w:rPr>
            </w:pPr>
          </w:p>
        </w:tc>
        <w:tc>
          <w:tcPr>
            <w:tcW w:w="964" w:type="dxa"/>
            <w:tcBorders>
              <w:top w:val="nil"/>
              <w:left w:val="nil"/>
              <w:right w:val="nil"/>
            </w:tcBorders>
            <w:shd w:val="clear" w:color="auto" w:fill="FFFFFF"/>
          </w:tcPr>
          <w:p w:rsidR="00965D85" w:rsidRPr="004A3962" w:rsidRDefault="00965D85" w:rsidP="008B46DF">
            <w:pPr>
              <w:autoSpaceDE w:val="0"/>
              <w:autoSpaceDN w:val="0"/>
              <w:adjustRightInd w:val="0"/>
              <w:spacing w:after="0"/>
              <w:jc w:val="right"/>
              <w:rPr>
                <w:rFonts w:ascii="Calibri" w:eastAsiaTheme="minorEastAsia" w:hAnsi="Calibri" w:cs="Calibri"/>
                <w:color w:val="000000"/>
                <w:sz w:val="20"/>
                <w:lang w:eastAsia="en-AU"/>
              </w:rPr>
            </w:pPr>
          </w:p>
        </w:tc>
        <w:tc>
          <w:tcPr>
            <w:tcW w:w="964" w:type="dxa"/>
            <w:tcBorders>
              <w:top w:val="nil"/>
              <w:left w:val="nil"/>
              <w:right w:val="nil"/>
            </w:tcBorders>
            <w:shd w:val="clear" w:color="auto" w:fill="FFFFFF"/>
          </w:tcPr>
          <w:p w:rsidR="00965D85" w:rsidRPr="004A3962" w:rsidRDefault="00965D85" w:rsidP="008B46DF">
            <w:pPr>
              <w:autoSpaceDE w:val="0"/>
              <w:autoSpaceDN w:val="0"/>
              <w:adjustRightInd w:val="0"/>
              <w:spacing w:after="0"/>
              <w:jc w:val="right"/>
              <w:rPr>
                <w:rFonts w:ascii="Calibri" w:eastAsiaTheme="minorEastAsia" w:hAnsi="Calibri" w:cs="Calibri"/>
                <w:color w:val="000000"/>
                <w:sz w:val="20"/>
                <w:lang w:eastAsia="en-AU"/>
              </w:rPr>
            </w:pPr>
          </w:p>
        </w:tc>
        <w:tc>
          <w:tcPr>
            <w:tcW w:w="964" w:type="dxa"/>
            <w:tcBorders>
              <w:top w:val="nil"/>
              <w:left w:val="nil"/>
              <w:right w:val="nil"/>
            </w:tcBorders>
            <w:shd w:val="clear" w:color="auto" w:fill="FFFFFF"/>
          </w:tcPr>
          <w:p w:rsidR="00965D85" w:rsidRPr="004A3962" w:rsidRDefault="00965D85" w:rsidP="008B46DF">
            <w:pPr>
              <w:autoSpaceDE w:val="0"/>
              <w:autoSpaceDN w:val="0"/>
              <w:adjustRightInd w:val="0"/>
              <w:spacing w:after="0"/>
              <w:jc w:val="right"/>
              <w:rPr>
                <w:rFonts w:ascii="Calibri" w:eastAsiaTheme="minorEastAsia" w:hAnsi="Calibri" w:cs="Calibri"/>
                <w:color w:val="000000"/>
                <w:sz w:val="20"/>
                <w:lang w:eastAsia="en-AU"/>
              </w:rPr>
            </w:pPr>
          </w:p>
        </w:tc>
      </w:tr>
      <w:tr w:rsidR="00965D85" w:rsidRPr="004A3962" w:rsidTr="008B46DF">
        <w:tc>
          <w:tcPr>
            <w:tcW w:w="4111" w:type="dxa"/>
            <w:tcBorders>
              <w:top w:val="nil"/>
              <w:left w:val="nil"/>
              <w:right w:val="nil"/>
            </w:tcBorders>
            <w:shd w:val="clear" w:color="auto" w:fill="FFFFFF"/>
          </w:tcPr>
          <w:p w:rsidR="00965D85" w:rsidRPr="004A3962" w:rsidRDefault="00965D85" w:rsidP="008B46DF">
            <w:pPr>
              <w:autoSpaceDE w:val="0"/>
              <w:autoSpaceDN w:val="0"/>
              <w:adjustRightInd w:val="0"/>
              <w:spacing w:after="0"/>
              <w:ind w:left="227" w:hanging="227"/>
              <w:rPr>
                <w:rFonts w:ascii="Calibri" w:eastAsiaTheme="minorEastAsia" w:hAnsi="Calibri" w:cs="Calibri"/>
                <w:b/>
                <w:bCs/>
                <w:color w:val="000000"/>
                <w:sz w:val="20"/>
                <w:lang w:eastAsia="en-AU"/>
              </w:rPr>
            </w:pPr>
            <w:r w:rsidRPr="004A3962">
              <w:rPr>
                <w:rFonts w:ascii="Calibri" w:eastAsiaTheme="minorEastAsia" w:hAnsi="Calibri" w:cs="Calibri"/>
                <w:b/>
                <w:bCs/>
                <w:color w:val="000000"/>
                <w:sz w:val="20"/>
                <w:lang w:eastAsia="en-AU"/>
              </w:rPr>
              <w:t>Net investment in fixed assets</w:t>
            </w:r>
          </w:p>
        </w:tc>
        <w:tc>
          <w:tcPr>
            <w:tcW w:w="764" w:type="dxa"/>
            <w:gridSpan w:val="2"/>
            <w:tcBorders>
              <w:top w:val="nil"/>
              <w:left w:val="nil"/>
              <w:right w:val="nil"/>
            </w:tcBorders>
            <w:shd w:val="clear" w:color="auto" w:fill="FFFFFF"/>
          </w:tcPr>
          <w:p w:rsidR="00965D85" w:rsidRPr="004A3962"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964" w:type="dxa"/>
            <w:tcBorders>
              <w:top w:val="nil"/>
              <w:left w:val="nil"/>
              <w:right w:val="nil"/>
            </w:tcBorders>
            <w:shd w:val="clear" w:color="auto" w:fill="FFFFFF"/>
          </w:tcPr>
          <w:p w:rsidR="00965D85" w:rsidRPr="004A3962"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964" w:type="dxa"/>
            <w:tcBorders>
              <w:top w:val="nil"/>
              <w:left w:val="nil"/>
              <w:right w:val="nil"/>
            </w:tcBorders>
            <w:shd w:val="clear" w:color="auto" w:fill="FFFFFF"/>
          </w:tcPr>
          <w:p w:rsidR="00965D85" w:rsidRPr="004A3962"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964" w:type="dxa"/>
            <w:tcBorders>
              <w:top w:val="nil"/>
              <w:left w:val="nil"/>
              <w:right w:val="nil"/>
            </w:tcBorders>
            <w:shd w:val="clear" w:color="auto" w:fill="FFFFFF"/>
          </w:tcPr>
          <w:p w:rsidR="00965D85" w:rsidRPr="004A3962"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r>
      <w:tr w:rsidR="00965D85" w:rsidRPr="004A3962" w:rsidTr="008B46DF">
        <w:tc>
          <w:tcPr>
            <w:tcW w:w="4111" w:type="dxa"/>
            <w:tcBorders>
              <w:top w:val="nil"/>
              <w:left w:val="nil"/>
              <w:right w:val="nil"/>
            </w:tcBorders>
            <w:shd w:val="clear" w:color="auto" w:fill="FFFFFF"/>
          </w:tcPr>
          <w:p w:rsidR="00965D85" w:rsidRPr="004A3962"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4A3962">
              <w:rPr>
                <w:rFonts w:ascii="Calibri" w:eastAsiaTheme="minorEastAsia" w:hAnsi="Calibri" w:cs="Calibri"/>
                <w:color w:val="000000"/>
                <w:sz w:val="20"/>
                <w:lang w:eastAsia="en-AU"/>
              </w:rPr>
              <w:t>Purchases of non-financial assets</w:t>
            </w:r>
          </w:p>
        </w:tc>
        <w:tc>
          <w:tcPr>
            <w:tcW w:w="764" w:type="dxa"/>
            <w:gridSpan w:val="2"/>
            <w:tcBorders>
              <w:top w:val="nil"/>
              <w:left w:val="nil"/>
              <w:right w:val="nil"/>
            </w:tcBorders>
            <w:shd w:val="clear" w:color="auto" w:fill="FFFFFF"/>
          </w:tcPr>
          <w:p w:rsidR="00965D85" w:rsidRPr="004A3962"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4A3962">
              <w:rPr>
                <w:rFonts w:ascii="Calibri" w:eastAsiaTheme="minorEastAsia" w:hAnsi="Calibri" w:cs="Calibri"/>
                <w:color w:val="000000"/>
                <w:sz w:val="20"/>
                <w:lang w:eastAsia="en-AU"/>
              </w:rPr>
              <w:t>4 341</w:t>
            </w:r>
          </w:p>
        </w:tc>
        <w:tc>
          <w:tcPr>
            <w:tcW w:w="964" w:type="dxa"/>
            <w:tcBorders>
              <w:top w:val="nil"/>
              <w:left w:val="nil"/>
              <w:right w:val="nil"/>
            </w:tcBorders>
            <w:shd w:val="clear" w:color="auto" w:fill="FFFFFF"/>
          </w:tcPr>
          <w:p w:rsidR="00965D85" w:rsidRPr="004A3962"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4A3962">
              <w:rPr>
                <w:rFonts w:ascii="Calibri" w:eastAsiaTheme="minorEastAsia" w:hAnsi="Calibri" w:cs="Calibri"/>
                <w:color w:val="000000"/>
                <w:sz w:val="20"/>
                <w:lang w:eastAsia="en-AU"/>
              </w:rPr>
              <w:t>5 615</w:t>
            </w:r>
          </w:p>
        </w:tc>
        <w:tc>
          <w:tcPr>
            <w:tcW w:w="964" w:type="dxa"/>
            <w:tcBorders>
              <w:top w:val="nil"/>
              <w:left w:val="nil"/>
              <w:right w:val="nil"/>
            </w:tcBorders>
            <w:shd w:val="clear" w:color="auto" w:fill="FFFFFF"/>
          </w:tcPr>
          <w:p w:rsidR="00965D85" w:rsidRPr="004A3962"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4A3962">
              <w:rPr>
                <w:rFonts w:ascii="Calibri" w:eastAsiaTheme="minorEastAsia" w:hAnsi="Calibri" w:cs="Calibri"/>
                <w:color w:val="000000"/>
                <w:sz w:val="20"/>
                <w:lang w:eastAsia="en-AU"/>
              </w:rPr>
              <w:t>4 842</w:t>
            </w:r>
          </w:p>
        </w:tc>
        <w:tc>
          <w:tcPr>
            <w:tcW w:w="964" w:type="dxa"/>
            <w:tcBorders>
              <w:top w:val="nil"/>
              <w:left w:val="nil"/>
              <w:right w:val="nil"/>
            </w:tcBorders>
            <w:shd w:val="clear" w:color="auto" w:fill="FFFFFF"/>
          </w:tcPr>
          <w:p w:rsidR="00965D85" w:rsidRPr="004A3962"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4A3962">
              <w:rPr>
                <w:rFonts w:ascii="Calibri" w:eastAsiaTheme="minorEastAsia" w:hAnsi="Calibri" w:cs="Calibri"/>
                <w:color w:val="000000"/>
                <w:sz w:val="20"/>
                <w:lang w:eastAsia="en-AU"/>
              </w:rPr>
              <w:t>4 029</w:t>
            </w:r>
          </w:p>
        </w:tc>
      </w:tr>
      <w:tr w:rsidR="00965D85" w:rsidRPr="004A3962" w:rsidTr="008B46DF">
        <w:tc>
          <w:tcPr>
            <w:tcW w:w="4111" w:type="dxa"/>
            <w:tcBorders>
              <w:top w:val="nil"/>
              <w:left w:val="nil"/>
              <w:right w:val="nil"/>
            </w:tcBorders>
            <w:shd w:val="clear" w:color="auto" w:fill="FFFFFF"/>
          </w:tcPr>
          <w:p w:rsidR="00965D85" w:rsidRPr="004A3962"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4A3962">
              <w:rPr>
                <w:rFonts w:ascii="Calibri" w:eastAsiaTheme="minorEastAsia" w:hAnsi="Calibri" w:cs="Calibri"/>
                <w:color w:val="000000"/>
                <w:sz w:val="20"/>
                <w:lang w:eastAsia="en-AU"/>
              </w:rPr>
              <w:t>Net cash flows from investments in financial assets for policy purposes</w:t>
            </w:r>
          </w:p>
        </w:tc>
        <w:tc>
          <w:tcPr>
            <w:tcW w:w="764" w:type="dxa"/>
            <w:gridSpan w:val="2"/>
            <w:tcBorders>
              <w:top w:val="nil"/>
              <w:left w:val="nil"/>
              <w:right w:val="nil"/>
            </w:tcBorders>
            <w:shd w:val="clear" w:color="auto" w:fill="FFFFFF"/>
          </w:tcPr>
          <w:p w:rsidR="00965D85" w:rsidRPr="004A3962"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(6 524)</w:t>
            </w:r>
          </w:p>
        </w:tc>
        <w:tc>
          <w:tcPr>
            <w:tcW w:w="964" w:type="dxa"/>
            <w:tcBorders>
              <w:top w:val="nil"/>
              <w:left w:val="nil"/>
              <w:right w:val="nil"/>
            </w:tcBorders>
            <w:shd w:val="clear" w:color="auto" w:fill="FFFFFF"/>
          </w:tcPr>
          <w:p w:rsidR="00965D85" w:rsidRPr="004A3962"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102</w:t>
            </w:r>
          </w:p>
        </w:tc>
        <w:tc>
          <w:tcPr>
            <w:tcW w:w="964" w:type="dxa"/>
            <w:tcBorders>
              <w:top w:val="nil"/>
              <w:left w:val="nil"/>
              <w:right w:val="nil"/>
            </w:tcBorders>
            <w:shd w:val="clear" w:color="auto" w:fill="FFFFFF"/>
          </w:tcPr>
          <w:p w:rsidR="00965D85" w:rsidRPr="004A3962"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(1 049)</w:t>
            </w:r>
          </w:p>
        </w:tc>
        <w:tc>
          <w:tcPr>
            <w:tcW w:w="964" w:type="dxa"/>
            <w:tcBorders>
              <w:top w:val="nil"/>
              <w:left w:val="nil"/>
              <w:right w:val="nil"/>
            </w:tcBorders>
            <w:shd w:val="clear" w:color="auto" w:fill="FFFFFF"/>
          </w:tcPr>
          <w:p w:rsidR="00965D85" w:rsidRPr="004A3962"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217</w:t>
            </w:r>
          </w:p>
        </w:tc>
      </w:tr>
      <w:tr w:rsidR="00965D85" w:rsidRPr="004A3962" w:rsidTr="008B46DF">
        <w:tc>
          <w:tcPr>
            <w:tcW w:w="4111" w:type="dxa"/>
            <w:tcBorders>
              <w:top w:val="nil"/>
              <w:left w:val="nil"/>
              <w:right w:val="nil"/>
            </w:tcBorders>
            <w:shd w:val="clear" w:color="auto" w:fill="FFFFFF"/>
          </w:tcPr>
          <w:p w:rsidR="00965D85" w:rsidRPr="004A3962" w:rsidRDefault="00965D85" w:rsidP="008B46DF">
            <w:pPr>
              <w:autoSpaceDE w:val="0"/>
              <w:autoSpaceDN w:val="0"/>
              <w:adjustRightInd w:val="0"/>
              <w:spacing w:after="0"/>
              <w:ind w:left="227" w:hanging="227"/>
              <w:rPr>
                <w:rFonts w:ascii="Calibri" w:eastAsiaTheme="minorEastAsia" w:hAnsi="Calibri" w:cs="Calibri"/>
                <w:color w:val="000000"/>
                <w:sz w:val="20"/>
                <w:vertAlign w:val="superscript"/>
                <w:lang w:eastAsia="en-AU"/>
              </w:rPr>
            </w:pPr>
            <w:r w:rsidRPr="004A3962">
              <w:rPr>
                <w:rFonts w:ascii="Calibri" w:eastAsiaTheme="minorEastAsia" w:hAnsi="Calibri" w:cs="Calibri"/>
                <w:color w:val="000000"/>
                <w:sz w:val="20"/>
                <w:lang w:eastAsia="en-AU"/>
              </w:rPr>
              <w:t xml:space="preserve">Funding not allocated to specific purposes </w:t>
            </w:r>
            <w:r w:rsidRPr="004A3962">
              <w:rPr>
                <w:rFonts w:ascii="Calibri" w:eastAsiaTheme="minorEastAsia" w:hAnsi="Calibri" w:cs="Calibri"/>
                <w:color w:val="000000"/>
                <w:sz w:val="20"/>
                <w:vertAlign w:val="superscript"/>
                <w:lang w:eastAsia="en-AU"/>
              </w:rPr>
              <w:t>(c)</w:t>
            </w:r>
          </w:p>
        </w:tc>
        <w:tc>
          <w:tcPr>
            <w:tcW w:w="764" w:type="dxa"/>
            <w:gridSpan w:val="2"/>
            <w:tcBorders>
              <w:top w:val="nil"/>
              <w:left w:val="nil"/>
              <w:right w:val="nil"/>
            </w:tcBorders>
            <w:shd w:val="clear" w:color="auto" w:fill="FFFFFF"/>
          </w:tcPr>
          <w:p w:rsidR="00965D85" w:rsidRPr="004A3962"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4A3962">
              <w:rPr>
                <w:rFonts w:ascii="Calibri" w:eastAsiaTheme="minorEastAsia" w:hAnsi="Calibri" w:cs="Calibri"/>
                <w:color w:val="000000"/>
                <w:sz w:val="20"/>
                <w:lang w:eastAsia="en-AU"/>
              </w:rPr>
              <w:t>..</w:t>
            </w:r>
          </w:p>
        </w:tc>
        <w:tc>
          <w:tcPr>
            <w:tcW w:w="964" w:type="dxa"/>
            <w:tcBorders>
              <w:top w:val="nil"/>
              <w:left w:val="nil"/>
              <w:right w:val="nil"/>
            </w:tcBorders>
            <w:shd w:val="clear" w:color="auto" w:fill="FFFFFF"/>
          </w:tcPr>
          <w:p w:rsidR="00965D85" w:rsidRPr="004A3962"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300</w:t>
            </w:r>
          </w:p>
        </w:tc>
        <w:tc>
          <w:tcPr>
            <w:tcW w:w="964" w:type="dxa"/>
            <w:tcBorders>
              <w:top w:val="nil"/>
              <w:left w:val="nil"/>
              <w:right w:val="nil"/>
            </w:tcBorders>
            <w:shd w:val="clear" w:color="auto" w:fill="FFFFFF"/>
          </w:tcPr>
          <w:p w:rsidR="00965D85" w:rsidRPr="004A3962"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700</w:t>
            </w:r>
          </w:p>
        </w:tc>
        <w:tc>
          <w:tcPr>
            <w:tcW w:w="964" w:type="dxa"/>
            <w:tcBorders>
              <w:top w:val="nil"/>
              <w:left w:val="nil"/>
              <w:right w:val="nil"/>
            </w:tcBorders>
            <w:shd w:val="clear" w:color="auto" w:fill="FFFFFF"/>
          </w:tcPr>
          <w:p w:rsidR="00965D85" w:rsidRPr="004A3962"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4A3962">
              <w:rPr>
                <w:rFonts w:ascii="Calibri" w:eastAsiaTheme="minorEastAsia" w:hAnsi="Calibri" w:cs="Calibri"/>
                <w:color w:val="000000"/>
                <w:sz w:val="20"/>
                <w:lang w:eastAsia="en-AU"/>
              </w:rPr>
              <w:t>1 000</w:t>
            </w:r>
          </w:p>
        </w:tc>
      </w:tr>
      <w:tr w:rsidR="00965D85" w:rsidRPr="004A3962" w:rsidTr="008B46DF">
        <w:tc>
          <w:tcPr>
            <w:tcW w:w="4111" w:type="dxa"/>
            <w:tcBorders>
              <w:top w:val="nil"/>
              <w:left w:val="nil"/>
              <w:bottom w:val="single" w:sz="6" w:space="0" w:color="000000"/>
              <w:right w:val="nil"/>
            </w:tcBorders>
            <w:shd w:val="clear" w:color="auto" w:fill="FFFFFF"/>
          </w:tcPr>
          <w:p w:rsidR="00965D85" w:rsidRPr="004A3962"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4A3962">
              <w:rPr>
                <w:rFonts w:ascii="Calibri" w:eastAsiaTheme="minorEastAsia" w:hAnsi="Calibri" w:cs="Calibri"/>
                <w:color w:val="000000"/>
                <w:sz w:val="20"/>
                <w:lang w:eastAsia="en-AU"/>
              </w:rPr>
              <w:t>Proceeds from asset sales</w:t>
            </w:r>
          </w:p>
        </w:tc>
        <w:tc>
          <w:tcPr>
            <w:tcW w:w="764" w:type="dxa"/>
            <w:gridSpan w:val="2"/>
            <w:tcBorders>
              <w:top w:val="nil"/>
              <w:left w:val="nil"/>
              <w:bottom w:val="single" w:sz="6" w:space="0" w:color="000000"/>
              <w:right w:val="nil"/>
            </w:tcBorders>
            <w:shd w:val="clear" w:color="auto" w:fill="FFFFFF"/>
          </w:tcPr>
          <w:p w:rsidR="00965D85" w:rsidRPr="004A3962"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(329)</w:t>
            </w:r>
          </w:p>
        </w:tc>
        <w:tc>
          <w:tcPr>
            <w:tcW w:w="964" w:type="dxa"/>
            <w:tcBorders>
              <w:top w:val="nil"/>
              <w:left w:val="nil"/>
              <w:bottom w:val="single" w:sz="6" w:space="0" w:color="000000"/>
              <w:right w:val="nil"/>
            </w:tcBorders>
            <w:shd w:val="clear" w:color="auto" w:fill="FFFFFF"/>
          </w:tcPr>
          <w:p w:rsidR="00965D85" w:rsidRPr="004A3962"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(555)</w:t>
            </w:r>
          </w:p>
        </w:tc>
        <w:tc>
          <w:tcPr>
            <w:tcW w:w="964" w:type="dxa"/>
            <w:tcBorders>
              <w:top w:val="nil"/>
              <w:left w:val="nil"/>
              <w:bottom w:val="single" w:sz="6" w:space="0" w:color="000000"/>
              <w:right w:val="nil"/>
            </w:tcBorders>
            <w:shd w:val="clear" w:color="auto" w:fill="FFFFFF"/>
          </w:tcPr>
          <w:p w:rsidR="00965D85" w:rsidRPr="004A3962"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(492)</w:t>
            </w:r>
          </w:p>
        </w:tc>
        <w:tc>
          <w:tcPr>
            <w:tcW w:w="964" w:type="dxa"/>
            <w:tcBorders>
              <w:top w:val="nil"/>
              <w:left w:val="nil"/>
              <w:bottom w:val="single" w:sz="6" w:space="0" w:color="000000"/>
              <w:right w:val="nil"/>
            </w:tcBorders>
            <w:shd w:val="clear" w:color="auto" w:fill="FFFFFF"/>
          </w:tcPr>
          <w:p w:rsidR="00965D85" w:rsidRPr="004A3962"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(292)</w:t>
            </w:r>
          </w:p>
        </w:tc>
      </w:tr>
      <w:tr w:rsidR="00965D85" w:rsidRPr="004A3962" w:rsidTr="008B46DF">
        <w:tc>
          <w:tcPr>
            <w:tcW w:w="4111" w:type="dxa"/>
            <w:tcBorders>
              <w:top w:val="single" w:sz="6" w:space="0" w:color="000000"/>
              <w:left w:val="nil"/>
              <w:bottom w:val="single" w:sz="6" w:space="0" w:color="000000"/>
              <w:right w:val="nil"/>
            </w:tcBorders>
            <w:shd w:val="clear" w:color="auto" w:fill="FFFFFF"/>
          </w:tcPr>
          <w:p w:rsidR="00965D85" w:rsidRPr="004A3962" w:rsidRDefault="00965D85" w:rsidP="008B46DF">
            <w:pPr>
              <w:autoSpaceDE w:val="0"/>
              <w:autoSpaceDN w:val="0"/>
              <w:adjustRightInd w:val="0"/>
              <w:spacing w:after="0"/>
              <w:ind w:left="227" w:hanging="227"/>
              <w:rPr>
                <w:rFonts w:ascii="Calibri" w:eastAsiaTheme="minorEastAsia" w:hAnsi="Calibri" w:cs="Calibri"/>
                <w:b/>
                <w:bCs/>
                <w:color w:val="000000"/>
                <w:sz w:val="20"/>
                <w:vertAlign w:val="superscript"/>
                <w:lang w:eastAsia="en-AU"/>
              </w:rPr>
            </w:pPr>
            <w:r w:rsidRPr="004A3962">
              <w:rPr>
                <w:rFonts w:ascii="Calibri" w:eastAsiaTheme="minorEastAsia" w:hAnsi="Calibri" w:cs="Calibri"/>
                <w:b/>
                <w:bCs/>
                <w:color w:val="000000"/>
                <w:sz w:val="20"/>
                <w:lang w:eastAsia="en-AU"/>
              </w:rPr>
              <w:t xml:space="preserve">Total net investment in fixed assets </w:t>
            </w:r>
            <w:r w:rsidRPr="004A3962">
              <w:rPr>
                <w:rFonts w:ascii="Calibri" w:eastAsiaTheme="minorEastAsia" w:hAnsi="Calibri" w:cs="Calibri"/>
                <w:b/>
                <w:bCs/>
                <w:color w:val="000000"/>
                <w:sz w:val="20"/>
                <w:vertAlign w:val="superscript"/>
                <w:lang w:eastAsia="en-AU"/>
              </w:rPr>
              <w:t>(d)</w:t>
            </w:r>
          </w:p>
        </w:tc>
        <w:tc>
          <w:tcPr>
            <w:tcW w:w="764" w:type="dxa"/>
            <w:gridSpan w:val="2"/>
            <w:tcBorders>
              <w:top w:val="single" w:sz="6" w:space="0" w:color="000000"/>
              <w:left w:val="nil"/>
              <w:bottom w:val="single" w:sz="6" w:space="0" w:color="000000"/>
              <w:right w:val="nil"/>
            </w:tcBorders>
            <w:shd w:val="clear" w:color="auto" w:fill="FFFFFF"/>
          </w:tcPr>
          <w:p w:rsidR="00965D85" w:rsidRPr="004A3962"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20"/>
                <w:lang w:eastAsia="en-AU"/>
              </w:rPr>
              <w:t>(2 513)</w:t>
            </w:r>
          </w:p>
        </w:tc>
        <w:tc>
          <w:tcPr>
            <w:tcW w:w="964" w:type="dxa"/>
            <w:tcBorders>
              <w:top w:val="single" w:sz="6" w:space="0" w:color="000000"/>
              <w:left w:val="nil"/>
              <w:bottom w:val="single" w:sz="6" w:space="0" w:color="000000"/>
              <w:right w:val="nil"/>
            </w:tcBorders>
            <w:shd w:val="clear" w:color="auto" w:fill="FFFFFF"/>
          </w:tcPr>
          <w:p w:rsidR="00965D85" w:rsidRPr="004A3962"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4A3962">
              <w:rPr>
                <w:rFonts w:ascii="Calibri" w:eastAsiaTheme="minorEastAsia" w:hAnsi="Calibri" w:cs="Calibri"/>
                <w:b/>
                <w:bCs/>
                <w:color w:val="000000"/>
                <w:sz w:val="20"/>
                <w:lang w:eastAsia="en-AU"/>
              </w:rPr>
              <w:t>5 463</w:t>
            </w:r>
          </w:p>
        </w:tc>
        <w:tc>
          <w:tcPr>
            <w:tcW w:w="964" w:type="dxa"/>
            <w:tcBorders>
              <w:top w:val="single" w:sz="6" w:space="0" w:color="000000"/>
              <w:left w:val="nil"/>
              <w:bottom w:val="single" w:sz="6" w:space="0" w:color="000000"/>
              <w:right w:val="nil"/>
            </w:tcBorders>
            <w:shd w:val="clear" w:color="auto" w:fill="FFFFFF"/>
          </w:tcPr>
          <w:p w:rsidR="00965D85" w:rsidRPr="004A3962"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4A3962">
              <w:rPr>
                <w:rFonts w:ascii="Calibri" w:eastAsiaTheme="minorEastAsia" w:hAnsi="Calibri" w:cs="Calibri"/>
                <w:b/>
                <w:bCs/>
                <w:color w:val="000000"/>
                <w:sz w:val="20"/>
                <w:lang w:eastAsia="en-AU"/>
              </w:rPr>
              <w:t>4 001</w:t>
            </w:r>
          </w:p>
        </w:tc>
        <w:tc>
          <w:tcPr>
            <w:tcW w:w="964" w:type="dxa"/>
            <w:tcBorders>
              <w:top w:val="single" w:sz="6" w:space="0" w:color="000000"/>
              <w:left w:val="nil"/>
              <w:bottom w:val="single" w:sz="6" w:space="0" w:color="000000"/>
              <w:right w:val="nil"/>
            </w:tcBorders>
            <w:shd w:val="clear" w:color="auto" w:fill="FFFFFF"/>
          </w:tcPr>
          <w:p w:rsidR="00965D85" w:rsidRPr="004A3962"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4A3962">
              <w:rPr>
                <w:rFonts w:ascii="Calibri" w:eastAsiaTheme="minorEastAsia" w:hAnsi="Calibri" w:cs="Calibri"/>
                <w:b/>
                <w:bCs/>
                <w:color w:val="000000"/>
                <w:sz w:val="20"/>
                <w:lang w:eastAsia="en-AU"/>
              </w:rPr>
              <w:t>4 953</w:t>
            </w:r>
          </w:p>
        </w:tc>
      </w:tr>
      <w:tr w:rsidR="00965D85" w:rsidRPr="004A3962" w:rsidTr="008B46DF">
        <w:tc>
          <w:tcPr>
            <w:tcW w:w="4111" w:type="dxa"/>
            <w:tcBorders>
              <w:top w:val="single" w:sz="6" w:space="0" w:color="000000"/>
              <w:left w:val="nil"/>
              <w:bottom w:val="single" w:sz="6" w:space="0" w:color="000000"/>
              <w:right w:val="nil"/>
            </w:tcBorders>
            <w:shd w:val="clear" w:color="auto" w:fill="FFFFFF"/>
          </w:tcPr>
          <w:p w:rsidR="00965D85" w:rsidRPr="004A3962" w:rsidRDefault="00965D85" w:rsidP="008B46DF">
            <w:pPr>
              <w:autoSpaceDE w:val="0"/>
              <w:autoSpaceDN w:val="0"/>
              <w:adjustRightInd w:val="0"/>
              <w:spacing w:after="0"/>
              <w:ind w:left="227" w:hanging="227"/>
              <w:rPr>
                <w:rFonts w:ascii="Calibri" w:eastAsiaTheme="minorEastAsia" w:hAnsi="Calibri" w:cs="Calibri"/>
                <w:b/>
                <w:bCs/>
                <w:color w:val="000000"/>
                <w:sz w:val="20"/>
                <w:lang w:eastAsia="en-AU"/>
              </w:rPr>
            </w:pPr>
            <w:r w:rsidRPr="004A3962">
              <w:rPr>
                <w:rFonts w:ascii="Calibri" w:eastAsiaTheme="minorEastAsia" w:hAnsi="Calibri" w:cs="Calibri"/>
                <w:b/>
                <w:bCs/>
                <w:color w:val="000000"/>
                <w:sz w:val="20"/>
                <w:lang w:eastAsia="en-AU"/>
              </w:rPr>
              <w:t>Surplus/(deficit) of cash from operations after funding net investment in fixed assets</w:t>
            </w:r>
          </w:p>
        </w:tc>
        <w:tc>
          <w:tcPr>
            <w:tcW w:w="764" w:type="dxa"/>
            <w:gridSpan w:val="2"/>
            <w:tcBorders>
              <w:top w:val="single" w:sz="6" w:space="0" w:color="000000"/>
              <w:left w:val="nil"/>
              <w:bottom w:val="single" w:sz="6" w:space="0" w:color="000000"/>
              <w:right w:val="nil"/>
            </w:tcBorders>
            <w:shd w:val="clear" w:color="auto" w:fill="FFFFFF"/>
          </w:tcPr>
          <w:p w:rsidR="00965D85" w:rsidRPr="004A3962"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4A3962">
              <w:rPr>
                <w:rFonts w:ascii="Calibri" w:eastAsiaTheme="minorEastAsia" w:hAnsi="Calibri" w:cs="Calibri"/>
                <w:b/>
                <w:bCs/>
                <w:color w:val="000000"/>
                <w:sz w:val="20"/>
                <w:lang w:eastAsia="en-AU"/>
              </w:rPr>
              <w:t>6 543</w:t>
            </w:r>
          </w:p>
        </w:tc>
        <w:tc>
          <w:tcPr>
            <w:tcW w:w="964" w:type="dxa"/>
            <w:tcBorders>
              <w:top w:val="single" w:sz="6" w:space="0" w:color="000000"/>
              <w:left w:val="nil"/>
              <w:bottom w:val="single" w:sz="6" w:space="0" w:color="000000"/>
              <w:right w:val="nil"/>
            </w:tcBorders>
            <w:shd w:val="clear" w:color="auto" w:fill="FFFFFF"/>
          </w:tcPr>
          <w:p w:rsidR="00965D85" w:rsidRPr="004A3962"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20"/>
                <w:lang w:eastAsia="en-AU"/>
              </w:rPr>
              <w:t>(1 321)</w:t>
            </w:r>
          </w:p>
        </w:tc>
        <w:tc>
          <w:tcPr>
            <w:tcW w:w="964" w:type="dxa"/>
            <w:tcBorders>
              <w:top w:val="single" w:sz="6" w:space="0" w:color="000000"/>
              <w:left w:val="nil"/>
              <w:bottom w:val="single" w:sz="6" w:space="0" w:color="000000"/>
              <w:right w:val="nil"/>
            </w:tcBorders>
            <w:shd w:val="clear" w:color="auto" w:fill="FFFFFF"/>
          </w:tcPr>
          <w:p w:rsidR="00965D85" w:rsidRPr="004A3962"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20"/>
                <w:lang w:eastAsia="en-AU"/>
              </w:rPr>
              <w:t>592</w:t>
            </w:r>
          </w:p>
        </w:tc>
        <w:tc>
          <w:tcPr>
            <w:tcW w:w="964" w:type="dxa"/>
            <w:tcBorders>
              <w:top w:val="single" w:sz="6" w:space="0" w:color="000000"/>
              <w:left w:val="nil"/>
              <w:bottom w:val="single" w:sz="6" w:space="0" w:color="000000"/>
              <w:right w:val="nil"/>
            </w:tcBorders>
            <w:shd w:val="clear" w:color="auto" w:fill="FFFFFF"/>
          </w:tcPr>
          <w:p w:rsidR="00965D85" w:rsidRPr="004A3962"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20"/>
                <w:lang w:eastAsia="en-AU"/>
              </w:rPr>
              <w:t>(654)</w:t>
            </w:r>
          </w:p>
        </w:tc>
      </w:tr>
      <w:tr w:rsidR="00965D85" w:rsidRPr="004A3962" w:rsidTr="008B46DF">
        <w:tc>
          <w:tcPr>
            <w:tcW w:w="4111" w:type="dxa"/>
            <w:tcBorders>
              <w:top w:val="single" w:sz="6" w:space="0" w:color="000000"/>
              <w:left w:val="nil"/>
              <w:right w:val="nil"/>
            </w:tcBorders>
            <w:shd w:val="clear" w:color="auto" w:fill="FFFFFF"/>
          </w:tcPr>
          <w:p w:rsidR="00965D85" w:rsidRPr="004A3962" w:rsidRDefault="00965D85" w:rsidP="008B46DF">
            <w:pPr>
              <w:autoSpaceDE w:val="0"/>
              <w:autoSpaceDN w:val="0"/>
              <w:adjustRightInd w:val="0"/>
              <w:spacing w:after="0"/>
              <w:ind w:left="227" w:hanging="227"/>
              <w:rPr>
                <w:rFonts w:ascii="Calibri" w:eastAsiaTheme="minorEastAsia" w:hAnsi="Calibri" w:cs="Calibri"/>
                <w:color w:val="000000"/>
                <w:sz w:val="20"/>
                <w:vertAlign w:val="superscript"/>
                <w:lang w:eastAsia="en-AU"/>
              </w:rPr>
            </w:pPr>
            <w:r w:rsidRPr="004A3962">
              <w:rPr>
                <w:rFonts w:ascii="Calibri" w:eastAsiaTheme="minorEastAsia" w:hAnsi="Calibri" w:cs="Calibri"/>
                <w:color w:val="000000"/>
                <w:sz w:val="20"/>
                <w:lang w:eastAsia="en-AU"/>
              </w:rPr>
              <w:t xml:space="preserve">Finance leases </w:t>
            </w:r>
            <w:r w:rsidRPr="004A3962">
              <w:rPr>
                <w:rFonts w:ascii="Calibri" w:eastAsiaTheme="minorEastAsia" w:hAnsi="Calibri" w:cs="Calibri"/>
                <w:color w:val="000000"/>
                <w:sz w:val="20"/>
                <w:vertAlign w:val="superscript"/>
                <w:lang w:eastAsia="en-AU"/>
              </w:rPr>
              <w:t>(e)</w:t>
            </w:r>
          </w:p>
        </w:tc>
        <w:tc>
          <w:tcPr>
            <w:tcW w:w="764" w:type="dxa"/>
            <w:gridSpan w:val="2"/>
            <w:tcBorders>
              <w:top w:val="single" w:sz="6" w:space="0" w:color="000000"/>
              <w:left w:val="nil"/>
              <w:right w:val="nil"/>
            </w:tcBorders>
            <w:shd w:val="clear" w:color="auto" w:fill="FFFFFF"/>
          </w:tcPr>
          <w:p w:rsidR="00965D85" w:rsidRPr="004A3962"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4A3962">
              <w:rPr>
                <w:rFonts w:ascii="Calibri" w:eastAsiaTheme="minorEastAsia" w:hAnsi="Calibri" w:cs="Calibri"/>
                <w:color w:val="000000"/>
                <w:sz w:val="20"/>
                <w:lang w:eastAsia="en-AU"/>
              </w:rPr>
              <w:t>1 074</w:t>
            </w:r>
          </w:p>
        </w:tc>
        <w:tc>
          <w:tcPr>
            <w:tcW w:w="964" w:type="dxa"/>
            <w:tcBorders>
              <w:top w:val="single" w:sz="6" w:space="0" w:color="000000"/>
              <w:left w:val="nil"/>
              <w:right w:val="nil"/>
            </w:tcBorders>
            <w:shd w:val="clear" w:color="auto" w:fill="FFFFFF"/>
          </w:tcPr>
          <w:p w:rsidR="00965D85" w:rsidRPr="004A3962"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496</w:t>
            </w:r>
          </w:p>
        </w:tc>
        <w:tc>
          <w:tcPr>
            <w:tcW w:w="964" w:type="dxa"/>
            <w:tcBorders>
              <w:top w:val="single" w:sz="6" w:space="0" w:color="000000"/>
              <w:left w:val="nil"/>
              <w:right w:val="nil"/>
            </w:tcBorders>
            <w:shd w:val="clear" w:color="auto" w:fill="FFFFFF"/>
          </w:tcPr>
          <w:p w:rsidR="00965D85" w:rsidRPr="004A3962"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652</w:t>
            </w:r>
          </w:p>
        </w:tc>
        <w:tc>
          <w:tcPr>
            <w:tcW w:w="964" w:type="dxa"/>
            <w:tcBorders>
              <w:top w:val="single" w:sz="6" w:space="0" w:color="000000"/>
              <w:left w:val="nil"/>
              <w:right w:val="nil"/>
            </w:tcBorders>
            <w:shd w:val="clear" w:color="auto" w:fill="FFFFFF"/>
          </w:tcPr>
          <w:p w:rsidR="00965D85" w:rsidRPr="004A3962"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4A3962">
              <w:rPr>
                <w:rFonts w:ascii="Calibri" w:eastAsiaTheme="minorEastAsia" w:hAnsi="Calibri" w:cs="Calibri"/>
                <w:color w:val="000000"/>
                <w:sz w:val="20"/>
                <w:lang w:eastAsia="en-AU"/>
              </w:rPr>
              <w:t>..</w:t>
            </w:r>
          </w:p>
        </w:tc>
      </w:tr>
      <w:tr w:rsidR="00965D85" w:rsidRPr="004A3962" w:rsidTr="008B46DF">
        <w:tc>
          <w:tcPr>
            <w:tcW w:w="4111" w:type="dxa"/>
            <w:tcBorders>
              <w:top w:val="nil"/>
              <w:left w:val="nil"/>
              <w:bottom w:val="single" w:sz="6" w:space="0" w:color="000000"/>
              <w:right w:val="nil"/>
            </w:tcBorders>
            <w:shd w:val="clear" w:color="auto" w:fill="FFFFFF"/>
          </w:tcPr>
          <w:p w:rsidR="00965D85" w:rsidRPr="004A3962"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4A3962">
              <w:rPr>
                <w:rFonts w:ascii="Calibri" w:eastAsiaTheme="minorEastAsia" w:hAnsi="Calibri" w:cs="Calibri"/>
                <w:color w:val="000000"/>
                <w:sz w:val="20"/>
                <w:lang w:eastAsia="en-AU"/>
              </w:rPr>
              <w:t>Other movements</w:t>
            </w:r>
          </w:p>
        </w:tc>
        <w:tc>
          <w:tcPr>
            <w:tcW w:w="764" w:type="dxa"/>
            <w:gridSpan w:val="2"/>
            <w:tcBorders>
              <w:top w:val="nil"/>
              <w:left w:val="nil"/>
              <w:bottom w:val="single" w:sz="6" w:space="0" w:color="000000"/>
              <w:right w:val="nil"/>
            </w:tcBorders>
            <w:shd w:val="clear" w:color="auto" w:fill="FFFFFF"/>
          </w:tcPr>
          <w:p w:rsidR="00965D85" w:rsidRPr="004A3962"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34</w:t>
            </w:r>
          </w:p>
        </w:tc>
        <w:tc>
          <w:tcPr>
            <w:tcW w:w="964" w:type="dxa"/>
            <w:tcBorders>
              <w:top w:val="nil"/>
              <w:left w:val="nil"/>
              <w:bottom w:val="single" w:sz="6" w:space="0" w:color="000000"/>
              <w:right w:val="nil"/>
            </w:tcBorders>
            <w:shd w:val="clear" w:color="auto" w:fill="FFFFFF"/>
          </w:tcPr>
          <w:p w:rsidR="00965D85" w:rsidRPr="004A3962"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41</w:t>
            </w:r>
          </w:p>
        </w:tc>
        <w:tc>
          <w:tcPr>
            <w:tcW w:w="964" w:type="dxa"/>
            <w:tcBorders>
              <w:top w:val="nil"/>
              <w:left w:val="nil"/>
              <w:bottom w:val="single" w:sz="6" w:space="0" w:color="000000"/>
              <w:right w:val="nil"/>
            </w:tcBorders>
            <w:shd w:val="clear" w:color="auto" w:fill="FFFFFF"/>
          </w:tcPr>
          <w:p w:rsidR="00965D85" w:rsidRPr="004A3962"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48</w:t>
            </w:r>
          </w:p>
        </w:tc>
        <w:tc>
          <w:tcPr>
            <w:tcW w:w="964" w:type="dxa"/>
            <w:tcBorders>
              <w:top w:val="nil"/>
              <w:left w:val="nil"/>
              <w:bottom w:val="single" w:sz="6" w:space="0" w:color="000000"/>
              <w:right w:val="nil"/>
            </w:tcBorders>
            <w:shd w:val="clear" w:color="auto" w:fill="FFFFFF"/>
          </w:tcPr>
          <w:p w:rsidR="00965D85" w:rsidRPr="004A3962"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52</w:t>
            </w:r>
          </w:p>
        </w:tc>
      </w:tr>
      <w:tr w:rsidR="00965D85" w:rsidRPr="004A3962" w:rsidTr="008B46DF">
        <w:tc>
          <w:tcPr>
            <w:tcW w:w="4111" w:type="dxa"/>
            <w:tcBorders>
              <w:top w:val="single" w:sz="6" w:space="0" w:color="000000"/>
              <w:left w:val="nil"/>
              <w:bottom w:val="single" w:sz="12" w:space="0" w:color="000000"/>
              <w:right w:val="nil"/>
            </w:tcBorders>
            <w:shd w:val="clear" w:color="auto" w:fill="FFFFFF"/>
          </w:tcPr>
          <w:p w:rsidR="00965D85" w:rsidRPr="004A3962" w:rsidRDefault="00965D85" w:rsidP="008B46DF">
            <w:pPr>
              <w:autoSpaceDE w:val="0"/>
              <w:autoSpaceDN w:val="0"/>
              <w:adjustRightInd w:val="0"/>
              <w:spacing w:after="0"/>
              <w:ind w:left="227" w:hanging="227"/>
              <w:rPr>
                <w:rFonts w:ascii="Calibri" w:eastAsiaTheme="minorEastAsia" w:hAnsi="Calibri" w:cs="Calibri"/>
                <w:b/>
                <w:bCs/>
                <w:color w:val="000000"/>
                <w:sz w:val="20"/>
                <w:lang w:eastAsia="en-AU"/>
              </w:rPr>
            </w:pPr>
            <w:r w:rsidRPr="004A3962">
              <w:rPr>
                <w:rFonts w:ascii="Calibri" w:eastAsiaTheme="minorEastAsia" w:hAnsi="Calibri" w:cs="Calibri"/>
                <w:b/>
                <w:bCs/>
                <w:color w:val="000000"/>
                <w:sz w:val="20"/>
                <w:lang w:eastAsia="en-AU"/>
              </w:rPr>
              <w:t>Decrease/(increase) in net debt</w:t>
            </w:r>
          </w:p>
        </w:tc>
        <w:tc>
          <w:tcPr>
            <w:tcW w:w="764" w:type="dxa"/>
            <w:gridSpan w:val="2"/>
            <w:tcBorders>
              <w:top w:val="single" w:sz="6" w:space="0" w:color="000000"/>
              <w:left w:val="nil"/>
              <w:bottom w:val="single" w:sz="12" w:space="0" w:color="000000"/>
              <w:right w:val="nil"/>
            </w:tcBorders>
            <w:shd w:val="clear" w:color="auto" w:fill="FFFFFF"/>
          </w:tcPr>
          <w:p w:rsidR="00965D85" w:rsidRPr="004A3962"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4A3962">
              <w:rPr>
                <w:rFonts w:ascii="Calibri" w:eastAsiaTheme="minorEastAsia" w:hAnsi="Calibri" w:cs="Calibri"/>
                <w:b/>
                <w:bCs/>
                <w:color w:val="000000"/>
                <w:sz w:val="20"/>
                <w:lang w:eastAsia="en-AU"/>
              </w:rPr>
              <w:t>5 434</w:t>
            </w:r>
          </w:p>
        </w:tc>
        <w:tc>
          <w:tcPr>
            <w:tcW w:w="964" w:type="dxa"/>
            <w:tcBorders>
              <w:top w:val="single" w:sz="6" w:space="0" w:color="000000"/>
              <w:left w:val="nil"/>
              <w:bottom w:val="single" w:sz="12" w:space="0" w:color="000000"/>
              <w:right w:val="nil"/>
            </w:tcBorders>
            <w:shd w:val="clear" w:color="auto" w:fill="FFFFFF"/>
          </w:tcPr>
          <w:p w:rsidR="00965D85" w:rsidRPr="004A3962"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20"/>
                <w:lang w:eastAsia="en-AU"/>
              </w:rPr>
              <w:t>(1 858)</w:t>
            </w:r>
          </w:p>
        </w:tc>
        <w:tc>
          <w:tcPr>
            <w:tcW w:w="964" w:type="dxa"/>
            <w:tcBorders>
              <w:top w:val="single" w:sz="6" w:space="0" w:color="000000"/>
              <w:left w:val="nil"/>
              <w:bottom w:val="single" w:sz="12" w:space="0" w:color="000000"/>
              <w:right w:val="nil"/>
            </w:tcBorders>
            <w:shd w:val="clear" w:color="auto" w:fill="FFFFFF"/>
          </w:tcPr>
          <w:p w:rsidR="00965D85" w:rsidRPr="004A3962"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20"/>
                <w:lang w:eastAsia="en-AU"/>
              </w:rPr>
              <w:t>(109)</w:t>
            </w:r>
          </w:p>
        </w:tc>
        <w:tc>
          <w:tcPr>
            <w:tcW w:w="964" w:type="dxa"/>
            <w:tcBorders>
              <w:top w:val="single" w:sz="6" w:space="0" w:color="000000"/>
              <w:left w:val="nil"/>
              <w:bottom w:val="single" w:sz="12" w:space="0" w:color="000000"/>
              <w:right w:val="nil"/>
            </w:tcBorders>
            <w:shd w:val="clear" w:color="auto" w:fill="FFFFFF"/>
          </w:tcPr>
          <w:p w:rsidR="00965D85" w:rsidRPr="004A3962"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20"/>
                <w:lang w:eastAsia="en-AU"/>
              </w:rPr>
              <w:t>(706)</w:t>
            </w:r>
          </w:p>
        </w:tc>
      </w:tr>
    </w:tbl>
    <w:p w:rsidR="00965D85" w:rsidRDefault="00965D85" w:rsidP="008B46DF">
      <w:pPr>
        <w:pStyle w:val="Source"/>
      </w:pPr>
      <w:r>
        <w:fldChar w:fldCharType="end"/>
      </w:r>
      <w:r>
        <w:t>S</w:t>
      </w:r>
      <w:r w:rsidRPr="002E2383">
        <w:t>ource: Department of Treasury and Finance</w:t>
      </w:r>
    </w:p>
    <w:p w:rsidR="00965D85" w:rsidRPr="001B3FC5" w:rsidRDefault="00965D85" w:rsidP="008B46DF">
      <w:pPr>
        <w:pStyle w:val="Notes"/>
      </w:pPr>
      <w:r w:rsidRPr="001B3FC5">
        <w:t>Notes:</w:t>
      </w:r>
    </w:p>
    <w:p w:rsidR="00965D85" w:rsidRPr="001B3FC5" w:rsidRDefault="00965D85" w:rsidP="008B46DF">
      <w:pPr>
        <w:pStyle w:val="Notes"/>
      </w:pPr>
      <w:r>
        <w:t>(a)</w:t>
      </w:r>
      <w:r w:rsidRPr="001B3FC5">
        <w:tab/>
      </w:r>
      <w:r>
        <w:t>Figures in this table are subject to rounding to the nearest million and may not add up to totals.</w:t>
      </w:r>
    </w:p>
    <w:p w:rsidR="00965D85" w:rsidRPr="001B3FC5" w:rsidRDefault="00965D85" w:rsidP="008B46DF">
      <w:pPr>
        <w:pStyle w:val="Notes"/>
      </w:pPr>
      <w:r>
        <w:t>(b)</w:t>
      </w:r>
      <w:r w:rsidRPr="001B3FC5">
        <w:tab/>
        <w:t>Includes depreciation, movements in the unfunded superannuation liability and liability for employee benefits.</w:t>
      </w:r>
    </w:p>
    <w:p w:rsidR="00965D85" w:rsidRPr="001B3FC5" w:rsidRDefault="00965D85" w:rsidP="008B46DF">
      <w:pPr>
        <w:pStyle w:val="Notes"/>
      </w:pPr>
      <w:r>
        <w:t>(c)</w:t>
      </w:r>
      <w:r w:rsidRPr="001B3FC5">
        <w:tab/>
      </w:r>
      <w:r>
        <w:t>The amount available to be allocated to specific departments and projects in future budgets including capital contributions to other sectors.</w:t>
      </w:r>
    </w:p>
    <w:p w:rsidR="00965D85" w:rsidRDefault="00965D85" w:rsidP="008B46DF">
      <w:pPr>
        <w:pStyle w:val="Notes"/>
      </w:pPr>
      <w:r w:rsidRPr="001B3FC5">
        <w:t>(d)</w:t>
      </w:r>
      <w:r w:rsidRPr="001B3FC5">
        <w:tab/>
        <w:t xml:space="preserve">Includes total purchases of plant, property and equipment, and </w:t>
      </w:r>
      <w:r>
        <w:t xml:space="preserve">net </w:t>
      </w:r>
      <w:r w:rsidRPr="001B3FC5">
        <w:t>capital contributions to other sectors of government</w:t>
      </w:r>
      <w:r>
        <w:t>,</w:t>
      </w:r>
      <w:r w:rsidRPr="001B3FC5">
        <w:t xml:space="preserve"> net of proceeds from asset sales.</w:t>
      </w:r>
    </w:p>
    <w:p w:rsidR="00965D85" w:rsidRDefault="00965D85" w:rsidP="008B46DF">
      <w:pPr>
        <w:pStyle w:val="Notes"/>
      </w:pPr>
      <w:r>
        <w:t>(e</w:t>
      </w:r>
      <w:r w:rsidRPr="001B3FC5">
        <w:t>)</w:t>
      </w:r>
      <w:r w:rsidRPr="001B3FC5">
        <w:tab/>
        <w:t>The f</w:t>
      </w:r>
      <w:r>
        <w:t>inance lease acquisition in 2015</w:t>
      </w:r>
      <w:r>
        <w:noBreakHyphen/>
        <w:t>16</w:t>
      </w:r>
      <w:r w:rsidRPr="001B3FC5">
        <w:t xml:space="preserve"> relates to </w:t>
      </w:r>
      <w:r>
        <w:t xml:space="preserve">the Victorian Comprehensive Cancer Centre and metropolitan Melbourne buses contract. </w:t>
      </w:r>
      <w:r w:rsidRPr="000F75E2">
        <w:t>The 2016</w:t>
      </w:r>
      <w:r>
        <w:noBreakHyphen/>
      </w:r>
      <w:r w:rsidRPr="000F75E2">
        <w:t xml:space="preserve">17 figure relates to the </w:t>
      </w:r>
      <w:r>
        <w:t xml:space="preserve">new </w:t>
      </w:r>
      <w:r w:rsidRPr="000F75E2">
        <w:t xml:space="preserve">Bendigo Hospital </w:t>
      </w:r>
      <w:r>
        <w:t>project</w:t>
      </w:r>
      <w:r w:rsidRPr="000F75E2">
        <w:t xml:space="preserve"> (</w:t>
      </w:r>
      <w:r>
        <w:t>s</w:t>
      </w:r>
      <w:r w:rsidRPr="000F75E2">
        <w:t xml:space="preserve">tage 1), the New Schools PPP </w:t>
      </w:r>
      <w:r>
        <w:t xml:space="preserve">project </w:t>
      </w:r>
      <w:r w:rsidRPr="000F75E2">
        <w:t>(</w:t>
      </w:r>
      <w:r>
        <w:t>t</w:t>
      </w:r>
      <w:r w:rsidRPr="000F75E2">
        <w:t>ranche 1) and the metropolitan Melbourne buses contract. The 2017</w:t>
      </w:r>
      <w:r>
        <w:noBreakHyphen/>
      </w:r>
      <w:r w:rsidRPr="000F75E2">
        <w:t xml:space="preserve">18 estimate relates to the </w:t>
      </w:r>
      <w:r>
        <w:t xml:space="preserve">new </w:t>
      </w:r>
      <w:r w:rsidRPr="000F75E2">
        <w:t xml:space="preserve">Bendigo Hospital </w:t>
      </w:r>
      <w:r>
        <w:t xml:space="preserve">project </w:t>
      </w:r>
      <w:r w:rsidRPr="000F75E2">
        <w:t>(</w:t>
      </w:r>
      <w:r>
        <w:t>s</w:t>
      </w:r>
      <w:r w:rsidRPr="000F75E2">
        <w:t xml:space="preserve">tage 2), Ravenhall Prison and the </w:t>
      </w:r>
      <w:r>
        <w:t>New Schools PPP project (tranche 2).</w:t>
      </w:r>
    </w:p>
    <w:p w:rsidR="00965D85" w:rsidRPr="002E2383" w:rsidRDefault="00965D85" w:rsidP="008B46DF">
      <w:pPr>
        <w:pStyle w:val="Heading1"/>
      </w:pPr>
      <w:bookmarkStart w:id="28" w:name="_Toc401056872"/>
      <w:bookmarkStart w:id="29" w:name="_Toc401147494"/>
      <w:bookmarkStart w:id="30" w:name="_Toc403386689"/>
      <w:bookmarkStart w:id="31" w:name="_Toc406162090"/>
      <w:bookmarkStart w:id="32" w:name="_Toc406670373"/>
      <w:bookmarkStart w:id="33" w:name="_Toc436147535"/>
      <w:r w:rsidRPr="002E2383">
        <w:lastRenderedPageBreak/>
        <w:t xml:space="preserve">Net debt </w:t>
      </w:r>
      <w:r w:rsidRPr="001B3FC5">
        <w:t>and</w:t>
      </w:r>
      <w:r w:rsidRPr="002E2383">
        <w:t xml:space="preserve"> net </w:t>
      </w:r>
      <w:r w:rsidRPr="006B2FC1">
        <w:t>financial</w:t>
      </w:r>
      <w:r w:rsidRPr="002E2383">
        <w:t xml:space="preserve"> liabilities</w:t>
      </w:r>
      <w:bookmarkEnd w:id="28"/>
      <w:bookmarkEnd w:id="29"/>
      <w:bookmarkEnd w:id="30"/>
      <w:bookmarkEnd w:id="31"/>
      <w:bookmarkEnd w:id="32"/>
      <w:bookmarkEnd w:id="33"/>
    </w:p>
    <w:p w:rsidR="00965D85" w:rsidRPr="005C37CF" w:rsidRDefault="00965D85" w:rsidP="008B46DF">
      <w:r>
        <w:t xml:space="preserve">In line with estimates published in the </w:t>
      </w:r>
      <w:r>
        <w:rPr>
          <w:i/>
        </w:rPr>
        <w:t>2015</w:t>
      </w:r>
      <w:r>
        <w:rPr>
          <w:i/>
        </w:rPr>
        <w:noBreakHyphen/>
        <w:t>16 Budget</w:t>
      </w:r>
      <w:r>
        <w:t xml:space="preserve">, net debt is anticipated to decline in nominal terms and as a percentage of GSP from its June 2015 level of $22.3 billion (6.2 per cent of GSP) </w:t>
      </w:r>
      <w:r w:rsidRPr="000F75E2">
        <w:t>to $</w:t>
      </w:r>
      <w:r>
        <w:t>19.6 billion</w:t>
      </w:r>
      <w:r w:rsidRPr="000F75E2">
        <w:t xml:space="preserve"> (4.</w:t>
      </w:r>
      <w:r>
        <w:t>4 per cent</w:t>
      </w:r>
      <w:r w:rsidRPr="000F75E2">
        <w:t xml:space="preserve"> of GSP</w:t>
      </w:r>
      <w:r>
        <w:t>) by June 2019.</w:t>
      </w:r>
    </w:p>
    <w:p w:rsidR="00965D85" w:rsidRDefault="00965D85" w:rsidP="008B46DF">
      <w:r>
        <w:t>Chart 3.</w:t>
      </w:r>
      <w:r w:rsidRPr="002E2383">
        <w:t>1 presents the trend in net financial liabilities, a key measure of overall indebtedness used by international credit rating agencies to assess the State</w:t>
      </w:r>
      <w:r>
        <w:t>’</w:t>
      </w:r>
      <w:r w:rsidRPr="002E2383">
        <w:t>s financial position. General government net financial liabilities is a measure that sums the superannuation liability, net debt (sum of deposits held, advances received and borrowings less the sum of cash, deposits, advances paid and investments, loans and placemen</w:t>
      </w:r>
      <w:r>
        <w:t>ts) and other net liabilities. Overall, estimated net financial liabilities as a proportion of GSP are on a downward trajectory over the forward estimates.</w:t>
      </w:r>
    </w:p>
    <w:p w:rsidR="00965D85" w:rsidRDefault="00965D85" w:rsidP="008B46DF">
      <w:r w:rsidRPr="00614A13">
        <w:t xml:space="preserve">Movements in the superannuation liability primarily reflect the impact of variations in the discount rate that is required to value this liability under AASB 119 </w:t>
      </w:r>
      <w:r w:rsidRPr="00614A13">
        <w:rPr>
          <w:i/>
        </w:rPr>
        <w:t>Employee Benefits</w:t>
      </w:r>
      <w:r w:rsidRPr="00614A13">
        <w:t>. These movements do not affect the amount of cash that is required to fund the superannuation liability over time.</w:t>
      </w:r>
      <w:r w:rsidRPr="0024356A">
        <w:t xml:space="preserve"> </w:t>
      </w:r>
    </w:p>
    <w:p w:rsidR="00965D85" w:rsidRDefault="00965D85" w:rsidP="008B46DF">
      <w:pPr>
        <w:pStyle w:val="Tableheading"/>
      </w:pPr>
      <w:r>
        <w:t>Chart 3.</w:t>
      </w:r>
      <w:r w:rsidRPr="002E2383">
        <w:t>1:</w:t>
      </w:r>
      <w:r w:rsidRPr="002E2383">
        <w:tab/>
      </w:r>
      <w:r w:rsidRPr="006B2FC1">
        <w:t>General</w:t>
      </w:r>
      <w:r w:rsidRPr="002E2383">
        <w:t xml:space="preserve"> government net financial liabilities</w:t>
      </w:r>
      <w:r w:rsidRPr="002E2383">
        <w:rPr>
          <w:vertAlign w:val="superscript"/>
        </w:rPr>
        <w:t xml:space="preserve"> (a)</w:t>
      </w:r>
    </w:p>
    <w:p w:rsidR="00965D85" w:rsidRPr="0074666A" w:rsidRDefault="00965D85" w:rsidP="008B46DF">
      <w:r>
        <w:rPr>
          <w:noProof/>
          <w:lang w:eastAsia="en-AU"/>
        </w:rPr>
        <w:drawing>
          <wp:inline distT="0" distB="0" distL="0" distR="0" wp14:anchorId="563B8C40" wp14:editId="4580599A">
            <wp:extent cx="4888865" cy="2951009"/>
            <wp:effectExtent l="0" t="0" r="6985" b="190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965D85" w:rsidRPr="00447809" w:rsidRDefault="00965D85" w:rsidP="008B46DF">
      <w:pPr>
        <w:pStyle w:val="Source"/>
        <w:rPr>
          <w:rStyle w:val="SourceChar"/>
          <w:i/>
        </w:rPr>
      </w:pPr>
      <w:r w:rsidRPr="00447809">
        <w:t xml:space="preserve">Source: </w:t>
      </w:r>
      <w:r w:rsidRPr="00447809">
        <w:rPr>
          <w:rStyle w:val="SourceChar"/>
          <w:i/>
        </w:rPr>
        <w:t>Department</w:t>
      </w:r>
      <w:r>
        <w:t xml:space="preserve"> of Treasury and Finance</w:t>
      </w:r>
    </w:p>
    <w:p w:rsidR="00965D85" w:rsidRPr="002E2383" w:rsidRDefault="00965D85" w:rsidP="008B46DF">
      <w:pPr>
        <w:pStyle w:val="Notes"/>
      </w:pPr>
      <w:r w:rsidRPr="002E2383">
        <w:t xml:space="preserve">Note: </w:t>
      </w:r>
    </w:p>
    <w:p w:rsidR="00965D85" w:rsidRDefault="00965D85" w:rsidP="008B46DF">
      <w:pPr>
        <w:pStyle w:val="Notes"/>
      </w:pPr>
      <w:r w:rsidRPr="002E2383">
        <w:t>(a)</w:t>
      </w:r>
      <w:r w:rsidRPr="002E2383">
        <w:tab/>
        <w:t>Superannuation liabilities between 1999 and 2004 are calculated under the previous Australian accounting standard, whereas from 2005 onward</w:t>
      </w:r>
      <w:r>
        <w:t>s</w:t>
      </w:r>
      <w:r w:rsidRPr="002E2383">
        <w:t xml:space="preserve"> AASB 119 </w:t>
      </w:r>
      <w:r w:rsidRPr="00240250">
        <w:t>Employee Benefits</w:t>
      </w:r>
      <w:r>
        <w:t xml:space="preserve"> has been applied</w:t>
      </w:r>
      <w:r w:rsidRPr="00240250">
        <w:t>.</w:t>
      </w:r>
    </w:p>
    <w:p w:rsidR="00965D85" w:rsidRDefault="00965D85" w:rsidP="008B46DF">
      <w:pPr>
        <w:pStyle w:val="Notes"/>
      </w:pPr>
    </w:p>
    <w:p w:rsidR="00965D85" w:rsidRDefault="00965D85" w:rsidP="008B46DF">
      <w:pPr>
        <w:pStyle w:val="Heading1"/>
      </w:pPr>
      <w:r>
        <w:br w:type="page"/>
      </w:r>
    </w:p>
    <w:p w:rsidR="00965D85" w:rsidRDefault="00965D85" w:rsidP="008B46DF">
      <w:pPr>
        <w:pStyle w:val="Tableheading"/>
        <w:rPr>
          <w:rFonts w:ascii="Times New Roman" w:hAnsi="Times New Roman"/>
          <w:i/>
          <w:sz w:val="20"/>
          <w:lang w:eastAsia="en-AU"/>
        </w:rPr>
      </w:pPr>
      <w:r w:rsidRPr="002C10F6">
        <w:lastRenderedPageBreak/>
        <w:t>Table 3.5:</w:t>
      </w:r>
      <w:r w:rsidRPr="002C10F6">
        <w:tab/>
        <w:t>General government sector net debt and net financial liabilities</w:t>
      </w:r>
      <w:r>
        <w:rPr>
          <w:rStyle w:val="SourceChar"/>
          <w:i w:val="0"/>
          <w:caps/>
          <w:szCs w:val="22"/>
        </w:rPr>
        <w:fldChar w:fldCharType="begin" w:fldLock="1"/>
      </w:r>
      <w:r>
        <w:rPr>
          <w:rStyle w:val="SourceChar"/>
          <w:i w:val="0"/>
        </w:rPr>
        <w:instrText xml:space="preserve"> LINK Excel.Sheet.12 \\\\PDCPTPRDFIL01\\DTFDATA02$\\SECURED\\Budget\\BudgetUpdate\\Chapter3\\BUSRIMS_Chapter3_GG.xlsx GG_Net_Debt_Fiscal!GG_Net_Debt_Fiscal \f 4 \r  \* MERGEFORMAT </w:instrText>
      </w:r>
      <w:r>
        <w:rPr>
          <w:rStyle w:val="SourceChar"/>
          <w:i w:val="0"/>
          <w:caps/>
          <w:szCs w:val="22"/>
        </w:rPr>
        <w:fldChar w:fldCharType="separate"/>
      </w:r>
    </w:p>
    <w:tbl>
      <w:tblPr>
        <w:tblW w:w="7767" w:type="dxa"/>
        <w:tblInd w:w="28" w:type="dxa"/>
        <w:tblLayout w:type="fixed"/>
        <w:tblCellMar>
          <w:left w:w="28" w:type="dxa"/>
          <w:right w:w="28" w:type="dxa"/>
        </w:tblCellMar>
        <w:tblLook w:val="0000" w:firstRow="0" w:lastRow="0" w:firstColumn="0" w:lastColumn="0" w:noHBand="0" w:noVBand="0"/>
      </w:tblPr>
      <w:tblGrid>
        <w:gridCol w:w="3911"/>
        <w:gridCol w:w="202"/>
        <w:gridCol w:w="762"/>
        <w:gridCol w:w="964"/>
        <w:gridCol w:w="964"/>
        <w:gridCol w:w="964"/>
      </w:tblGrid>
      <w:tr w:rsidR="00965D85" w:rsidRPr="004A3962" w:rsidTr="008B46DF">
        <w:trPr>
          <w:tblHeader/>
        </w:trPr>
        <w:tc>
          <w:tcPr>
            <w:tcW w:w="7767" w:type="dxa"/>
            <w:gridSpan w:val="6"/>
            <w:tcBorders>
              <w:top w:val="nil"/>
              <w:left w:val="nil"/>
              <w:bottom w:val="nil"/>
              <w:right w:val="nil"/>
            </w:tcBorders>
          </w:tcPr>
          <w:p w:rsidR="00965D85" w:rsidRPr="004A3962" w:rsidRDefault="00965D85" w:rsidP="008B46DF">
            <w:pPr>
              <w:pStyle w:val="million"/>
              <w:rPr>
                <w:rFonts w:eastAsiaTheme="minorEastAsia"/>
                <w:lang w:eastAsia="en-AU"/>
              </w:rPr>
            </w:pPr>
            <w:r w:rsidRPr="004A3962">
              <w:rPr>
                <w:rFonts w:eastAsiaTheme="minorEastAsia"/>
                <w:lang w:eastAsia="en-AU"/>
              </w:rPr>
              <w:t>($ billion)</w:t>
            </w:r>
          </w:p>
        </w:tc>
      </w:tr>
      <w:tr w:rsidR="00965D85" w:rsidRPr="004A3962" w:rsidTr="008B46DF">
        <w:trPr>
          <w:trHeight w:val="488"/>
          <w:tblHeader/>
        </w:trPr>
        <w:tc>
          <w:tcPr>
            <w:tcW w:w="3911" w:type="dxa"/>
            <w:tcBorders>
              <w:top w:val="nil"/>
              <w:left w:val="nil"/>
              <w:right w:val="nil"/>
            </w:tcBorders>
            <w:shd w:val="solid" w:color="000000" w:fill="auto"/>
          </w:tcPr>
          <w:p w:rsidR="00965D85" w:rsidRPr="004A3962" w:rsidRDefault="00965D85" w:rsidP="008B46DF">
            <w:pPr>
              <w:autoSpaceDE w:val="0"/>
              <w:autoSpaceDN w:val="0"/>
              <w:adjustRightInd w:val="0"/>
              <w:spacing w:after="0"/>
              <w:rPr>
                <w:rFonts w:ascii="Calibri" w:eastAsiaTheme="minorEastAsia" w:hAnsi="Calibri" w:cs="Calibri"/>
                <w:color w:val="000000"/>
                <w:sz w:val="20"/>
                <w:lang w:eastAsia="en-AU"/>
              </w:rPr>
            </w:pPr>
            <w:r w:rsidRPr="004A3962">
              <w:rPr>
                <w:rFonts w:ascii="Calibri" w:eastAsiaTheme="minorEastAsia" w:hAnsi="Calibri" w:cs="Calibri"/>
                <w:color w:val="000000"/>
                <w:sz w:val="20"/>
                <w:lang w:eastAsia="en-AU"/>
              </w:rPr>
              <w:t xml:space="preserve"> </w:t>
            </w:r>
          </w:p>
          <w:p w:rsidR="00965D85" w:rsidRPr="004A3962" w:rsidRDefault="00965D85" w:rsidP="008B46DF">
            <w:pPr>
              <w:autoSpaceDE w:val="0"/>
              <w:autoSpaceDN w:val="0"/>
              <w:adjustRightInd w:val="0"/>
              <w:spacing w:after="0"/>
              <w:rPr>
                <w:rFonts w:ascii="Calibri" w:eastAsiaTheme="minorEastAsia" w:hAnsi="Calibri" w:cs="Calibri"/>
                <w:color w:val="000000"/>
                <w:sz w:val="20"/>
                <w:lang w:eastAsia="en-AU"/>
              </w:rPr>
            </w:pPr>
            <w:r w:rsidRPr="004A3962">
              <w:rPr>
                <w:rFonts w:ascii="Calibri" w:eastAsiaTheme="minorEastAsia" w:hAnsi="Calibri" w:cs="Calibri"/>
                <w:color w:val="000000"/>
                <w:sz w:val="20"/>
                <w:lang w:eastAsia="en-AU"/>
              </w:rPr>
              <w:t xml:space="preserve"> </w:t>
            </w:r>
          </w:p>
        </w:tc>
        <w:tc>
          <w:tcPr>
            <w:tcW w:w="964" w:type="dxa"/>
            <w:gridSpan w:val="2"/>
            <w:tcBorders>
              <w:top w:val="nil"/>
              <w:left w:val="nil"/>
              <w:right w:val="nil"/>
            </w:tcBorders>
            <w:shd w:val="solid" w:color="000000" w:fill="auto"/>
          </w:tcPr>
          <w:p w:rsidR="00965D85" w:rsidRPr="004A3962"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4A3962">
              <w:rPr>
                <w:rFonts w:ascii="Calibri" w:eastAsiaTheme="minorEastAsia" w:hAnsi="Calibri" w:cs="Calibri"/>
                <w:i/>
                <w:iCs/>
                <w:color w:val="FFFFFF"/>
                <w:sz w:val="20"/>
                <w:lang w:eastAsia="en-AU"/>
              </w:rPr>
              <w:t>2016</w:t>
            </w:r>
          </w:p>
          <w:p w:rsidR="00965D85" w:rsidRPr="004A3962"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4A3962">
              <w:rPr>
                <w:rFonts w:ascii="Calibri" w:eastAsiaTheme="minorEastAsia" w:hAnsi="Calibri" w:cs="Calibri"/>
                <w:i/>
                <w:iCs/>
                <w:color w:val="FFFFFF"/>
                <w:sz w:val="20"/>
                <w:lang w:eastAsia="en-AU"/>
              </w:rPr>
              <w:t>revised</w:t>
            </w:r>
          </w:p>
        </w:tc>
        <w:tc>
          <w:tcPr>
            <w:tcW w:w="964" w:type="dxa"/>
            <w:tcBorders>
              <w:top w:val="nil"/>
              <w:left w:val="nil"/>
              <w:right w:val="nil"/>
            </w:tcBorders>
            <w:shd w:val="solid" w:color="000000" w:fill="auto"/>
          </w:tcPr>
          <w:p w:rsidR="00965D85" w:rsidRPr="004A3962"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4A3962">
              <w:rPr>
                <w:rFonts w:ascii="Calibri" w:eastAsiaTheme="minorEastAsia" w:hAnsi="Calibri" w:cs="Calibri"/>
                <w:i/>
                <w:iCs/>
                <w:color w:val="FFFFFF"/>
                <w:sz w:val="20"/>
                <w:lang w:eastAsia="en-AU"/>
              </w:rPr>
              <w:t>2017</w:t>
            </w:r>
          </w:p>
          <w:p w:rsidR="00965D85" w:rsidRPr="004A3962"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4A3962">
              <w:rPr>
                <w:rFonts w:ascii="Calibri" w:eastAsiaTheme="minorEastAsia" w:hAnsi="Calibri" w:cs="Calibri"/>
                <w:i/>
                <w:iCs/>
                <w:color w:val="FFFFFF"/>
                <w:sz w:val="20"/>
                <w:lang w:eastAsia="en-AU"/>
              </w:rPr>
              <w:t>estimate</w:t>
            </w:r>
          </w:p>
        </w:tc>
        <w:tc>
          <w:tcPr>
            <w:tcW w:w="964" w:type="dxa"/>
            <w:tcBorders>
              <w:top w:val="nil"/>
              <w:left w:val="nil"/>
              <w:right w:val="nil"/>
            </w:tcBorders>
            <w:shd w:val="solid" w:color="000000" w:fill="auto"/>
          </w:tcPr>
          <w:p w:rsidR="00965D85" w:rsidRPr="004A3962"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4A3962">
              <w:rPr>
                <w:rFonts w:ascii="Calibri" w:eastAsiaTheme="minorEastAsia" w:hAnsi="Calibri" w:cs="Calibri"/>
                <w:i/>
                <w:iCs/>
                <w:color w:val="FFFFFF"/>
                <w:sz w:val="20"/>
                <w:lang w:eastAsia="en-AU"/>
              </w:rPr>
              <w:t>2018</w:t>
            </w:r>
          </w:p>
          <w:p w:rsidR="00965D85" w:rsidRPr="004A3962"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4A3962">
              <w:rPr>
                <w:rFonts w:ascii="Calibri" w:eastAsiaTheme="minorEastAsia" w:hAnsi="Calibri" w:cs="Calibri"/>
                <w:i/>
                <w:iCs/>
                <w:color w:val="FFFFFF"/>
                <w:sz w:val="20"/>
                <w:lang w:eastAsia="en-AU"/>
              </w:rPr>
              <w:t>estimate</w:t>
            </w:r>
          </w:p>
        </w:tc>
        <w:tc>
          <w:tcPr>
            <w:tcW w:w="964" w:type="dxa"/>
            <w:tcBorders>
              <w:top w:val="nil"/>
              <w:left w:val="nil"/>
              <w:right w:val="nil"/>
            </w:tcBorders>
            <w:shd w:val="solid" w:color="000000" w:fill="auto"/>
          </w:tcPr>
          <w:p w:rsidR="00965D85" w:rsidRPr="004A3962"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4A3962">
              <w:rPr>
                <w:rFonts w:ascii="Calibri" w:eastAsiaTheme="minorEastAsia" w:hAnsi="Calibri" w:cs="Calibri"/>
                <w:i/>
                <w:iCs/>
                <w:color w:val="FFFFFF"/>
                <w:sz w:val="20"/>
                <w:lang w:eastAsia="en-AU"/>
              </w:rPr>
              <w:t>2019</w:t>
            </w:r>
          </w:p>
          <w:p w:rsidR="00965D85" w:rsidRPr="004A3962"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4A3962">
              <w:rPr>
                <w:rFonts w:ascii="Calibri" w:eastAsiaTheme="minorEastAsia" w:hAnsi="Calibri" w:cs="Calibri"/>
                <w:i/>
                <w:iCs/>
                <w:color w:val="FFFFFF"/>
                <w:sz w:val="20"/>
                <w:lang w:eastAsia="en-AU"/>
              </w:rPr>
              <w:t>estimate</w:t>
            </w:r>
          </w:p>
        </w:tc>
      </w:tr>
      <w:tr w:rsidR="00965D85" w:rsidRPr="004A3962" w:rsidTr="008B46DF">
        <w:tc>
          <w:tcPr>
            <w:tcW w:w="3911" w:type="dxa"/>
            <w:tcBorders>
              <w:top w:val="nil"/>
              <w:left w:val="nil"/>
              <w:right w:val="nil"/>
            </w:tcBorders>
            <w:shd w:val="clear" w:color="auto" w:fill="FFFFFF"/>
          </w:tcPr>
          <w:p w:rsidR="00965D85" w:rsidRPr="004A3962" w:rsidRDefault="00965D85" w:rsidP="008B46DF">
            <w:pPr>
              <w:autoSpaceDE w:val="0"/>
              <w:autoSpaceDN w:val="0"/>
              <w:adjustRightInd w:val="0"/>
              <w:spacing w:after="0"/>
              <w:ind w:left="227" w:hanging="227"/>
              <w:rPr>
                <w:rFonts w:ascii="Calibri" w:eastAsiaTheme="minorEastAsia" w:hAnsi="Calibri" w:cs="Calibri"/>
                <w:b/>
                <w:bCs/>
                <w:color w:val="000000"/>
                <w:sz w:val="20"/>
                <w:lang w:eastAsia="en-AU"/>
              </w:rPr>
            </w:pPr>
            <w:r w:rsidRPr="004A3962">
              <w:rPr>
                <w:rFonts w:ascii="Calibri" w:eastAsiaTheme="minorEastAsia" w:hAnsi="Calibri" w:cs="Calibri"/>
                <w:b/>
                <w:bCs/>
                <w:color w:val="000000"/>
                <w:sz w:val="20"/>
                <w:lang w:eastAsia="en-AU"/>
              </w:rPr>
              <w:t>Financial assets</w:t>
            </w:r>
          </w:p>
        </w:tc>
        <w:tc>
          <w:tcPr>
            <w:tcW w:w="964" w:type="dxa"/>
            <w:gridSpan w:val="2"/>
            <w:tcBorders>
              <w:top w:val="nil"/>
              <w:left w:val="nil"/>
              <w:right w:val="nil"/>
            </w:tcBorders>
            <w:shd w:val="clear" w:color="auto" w:fill="FFFFFF"/>
          </w:tcPr>
          <w:p w:rsidR="00965D85" w:rsidRPr="004A3962"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964" w:type="dxa"/>
            <w:tcBorders>
              <w:top w:val="nil"/>
              <w:left w:val="nil"/>
              <w:right w:val="nil"/>
            </w:tcBorders>
            <w:shd w:val="clear" w:color="auto" w:fill="FFFFFF"/>
          </w:tcPr>
          <w:p w:rsidR="00965D85" w:rsidRPr="004A3962"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964" w:type="dxa"/>
            <w:tcBorders>
              <w:top w:val="nil"/>
              <w:left w:val="nil"/>
              <w:right w:val="nil"/>
            </w:tcBorders>
            <w:shd w:val="clear" w:color="auto" w:fill="FFFFFF"/>
          </w:tcPr>
          <w:p w:rsidR="00965D85" w:rsidRPr="004A3962"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964" w:type="dxa"/>
            <w:tcBorders>
              <w:top w:val="nil"/>
              <w:left w:val="nil"/>
              <w:right w:val="nil"/>
            </w:tcBorders>
            <w:shd w:val="clear" w:color="auto" w:fill="FFFFFF"/>
          </w:tcPr>
          <w:p w:rsidR="00965D85" w:rsidRPr="004A3962"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r>
      <w:tr w:rsidR="00965D85" w:rsidRPr="004A3962" w:rsidTr="008B46DF">
        <w:tc>
          <w:tcPr>
            <w:tcW w:w="3911" w:type="dxa"/>
            <w:tcBorders>
              <w:top w:val="nil"/>
              <w:left w:val="nil"/>
              <w:right w:val="nil"/>
            </w:tcBorders>
            <w:shd w:val="clear" w:color="auto" w:fill="FFFFFF"/>
          </w:tcPr>
          <w:p w:rsidR="00965D85" w:rsidRPr="004A3962"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4A3962">
              <w:rPr>
                <w:rFonts w:ascii="Calibri" w:eastAsiaTheme="minorEastAsia" w:hAnsi="Calibri" w:cs="Calibri"/>
                <w:color w:val="000000"/>
                <w:sz w:val="20"/>
                <w:lang w:eastAsia="en-AU"/>
              </w:rPr>
              <w:t>Cash and deposits</w:t>
            </w:r>
          </w:p>
        </w:tc>
        <w:tc>
          <w:tcPr>
            <w:tcW w:w="964" w:type="dxa"/>
            <w:gridSpan w:val="2"/>
            <w:tcBorders>
              <w:top w:val="nil"/>
              <w:left w:val="nil"/>
              <w:right w:val="nil"/>
            </w:tcBorders>
            <w:shd w:val="clear" w:color="auto" w:fill="FFFFFF"/>
          </w:tcPr>
          <w:p w:rsidR="00965D85" w:rsidRPr="004A3962"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4.5</w:t>
            </w:r>
          </w:p>
        </w:tc>
        <w:tc>
          <w:tcPr>
            <w:tcW w:w="964" w:type="dxa"/>
            <w:tcBorders>
              <w:top w:val="nil"/>
              <w:left w:val="nil"/>
              <w:right w:val="nil"/>
            </w:tcBorders>
            <w:shd w:val="clear" w:color="auto" w:fill="FFFFFF"/>
          </w:tcPr>
          <w:p w:rsidR="00965D85" w:rsidRPr="004A3962"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4.7</w:t>
            </w:r>
          </w:p>
        </w:tc>
        <w:tc>
          <w:tcPr>
            <w:tcW w:w="964" w:type="dxa"/>
            <w:tcBorders>
              <w:top w:val="nil"/>
              <w:left w:val="nil"/>
              <w:right w:val="nil"/>
            </w:tcBorders>
            <w:shd w:val="clear" w:color="auto" w:fill="FFFFFF"/>
          </w:tcPr>
          <w:p w:rsidR="00965D85" w:rsidRPr="004A3962"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5.0</w:t>
            </w:r>
          </w:p>
        </w:tc>
        <w:tc>
          <w:tcPr>
            <w:tcW w:w="964" w:type="dxa"/>
            <w:tcBorders>
              <w:top w:val="nil"/>
              <w:left w:val="nil"/>
              <w:right w:val="nil"/>
            </w:tcBorders>
            <w:shd w:val="clear" w:color="auto" w:fill="FFFFFF"/>
          </w:tcPr>
          <w:p w:rsidR="00965D85" w:rsidRPr="004A3962"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5.4</w:t>
            </w:r>
          </w:p>
        </w:tc>
      </w:tr>
      <w:tr w:rsidR="00965D85" w:rsidRPr="004A3962" w:rsidTr="008B46DF">
        <w:tc>
          <w:tcPr>
            <w:tcW w:w="3911" w:type="dxa"/>
            <w:tcBorders>
              <w:top w:val="nil"/>
              <w:left w:val="nil"/>
              <w:right w:val="nil"/>
            </w:tcBorders>
            <w:shd w:val="clear" w:color="auto" w:fill="FFFFFF"/>
          </w:tcPr>
          <w:p w:rsidR="00965D85" w:rsidRPr="004A3962"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4A3962">
              <w:rPr>
                <w:rFonts w:ascii="Calibri" w:eastAsiaTheme="minorEastAsia" w:hAnsi="Calibri" w:cs="Calibri"/>
                <w:color w:val="000000"/>
                <w:sz w:val="20"/>
                <w:lang w:eastAsia="en-AU"/>
              </w:rPr>
              <w:t>Advances paid</w:t>
            </w:r>
          </w:p>
        </w:tc>
        <w:tc>
          <w:tcPr>
            <w:tcW w:w="964" w:type="dxa"/>
            <w:gridSpan w:val="2"/>
            <w:tcBorders>
              <w:top w:val="nil"/>
              <w:left w:val="nil"/>
              <w:right w:val="nil"/>
            </w:tcBorders>
            <w:shd w:val="clear" w:color="auto" w:fill="FFFFFF"/>
          </w:tcPr>
          <w:p w:rsidR="00965D85" w:rsidRPr="004A3962"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4.5</w:t>
            </w:r>
          </w:p>
        </w:tc>
        <w:tc>
          <w:tcPr>
            <w:tcW w:w="964" w:type="dxa"/>
            <w:tcBorders>
              <w:top w:val="nil"/>
              <w:left w:val="nil"/>
              <w:right w:val="nil"/>
            </w:tcBorders>
            <w:shd w:val="clear" w:color="auto" w:fill="FFFFFF"/>
          </w:tcPr>
          <w:p w:rsidR="00965D85" w:rsidRPr="004A3962"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4.5</w:t>
            </w:r>
          </w:p>
        </w:tc>
        <w:tc>
          <w:tcPr>
            <w:tcW w:w="964" w:type="dxa"/>
            <w:tcBorders>
              <w:top w:val="nil"/>
              <w:left w:val="nil"/>
              <w:right w:val="nil"/>
            </w:tcBorders>
            <w:shd w:val="clear" w:color="auto" w:fill="FFFFFF"/>
          </w:tcPr>
          <w:p w:rsidR="00965D85" w:rsidRPr="004A3962"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4.4</w:t>
            </w:r>
          </w:p>
        </w:tc>
        <w:tc>
          <w:tcPr>
            <w:tcW w:w="964" w:type="dxa"/>
            <w:tcBorders>
              <w:top w:val="nil"/>
              <w:left w:val="nil"/>
              <w:right w:val="nil"/>
            </w:tcBorders>
            <w:shd w:val="clear" w:color="auto" w:fill="FFFFFF"/>
          </w:tcPr>
          <w:p w:rsidR="00965D85" w:rsidRPr="004A3962"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4.4</w:t>
            </w:r>
          </w:p>
        </w:tc>
      </w:tr>
      <w:tr w:rsidR="00965D85" w:rsidRPr="004A3962" w:rsidTr="008B46DF">
        <w:tc>
          <w:tcPr>
            <w:tcW w:w="3911" w:type="dxa"/>
            <w:tcBorders>
              <w:top w:val="nil"/>
              <w:left w:val="nil"/>
              <w:bottom w:val="single" w:sz="6" w:space="0" w:color="000000"/>
              <w:right w:val="nil"/>
            </w:tcBorders>
            <w:shd w:val="clear" w:color="auto" w:fill="FFFFFF"/>
          </w:tcPr>
          <w:p w:rsidR="00965D85" w:rsidRPr="004A3962"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4A3962">
              <w:rPr>
                <w:rFonts w:ascii="Calibri" w:eastAsiaTheme="minorEastAsia" w:hAnsi="Calibri" w:cs="Calibri"/>
                <w:color w:val="000000"/>
                <w:sz w:val="20"/>
                <w:lang w:eastAsia="en-AU"/>
              </w:rPr>
              <w:t>Investments, loans and placements</w:t>
            </w:r>
          </w:p>
        </w:tc>
        <w:tc>
          <w:tcPr>
            <w:tcW w:w="964" w:type="dxa"/>
            <w:gridSpan w:val="2"/>
            <w:tcBorders>
              <w:top w:val="nil"/>
              <w:left w:val="nil"/>
              <w:bottom w:val="single" w:sz="6" w:space="0" w:color="000000"/>
              <w:right w:val="nil"/>
            </w:tcBorders>
            <w:shd w:val="clear" w:color="auto" w:fill="FFFFFF"/>
          </w:tcPr>
          <w:p w:rsidR="00965D85" w:rsidRPr="004A3962"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3.5</w:t>
            </w:r>
          </w:p>
        </w:tc>
        <w:tc>
          <w:tcPr>
            <w:tcW w:w="964" w:type="dxa"/>
            <w:tcBorders>
              <w:top w:val="nil"/>
              <w:left w:val="nil"/>
              <w:bottom w:val="single" w:sz="6" w:space="0" w:color="000000"/>
              <w:right w:val="nil"/>
            </w:tcBorders>
            <w:shd w:val="clear" w:color="auto" w:fill="FFFFFF"/>
          </w:tcPr>
          <w:p w:rsidR="00965D85" w:rsidRPr="004A3962"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3.6</w:t>
            </w:r>
          </w:p>
        </w:tc>
        <w:tc>
          <w:tcPr>
            <w:tcW w:w="964" w:type="dxa"/>
            <w:tcBorders>
              <w:top w:val="nil"/>
              <w:left w:val="nil"/>
              <w:bottom w:val="single" w:sz="6" w:space="0" w:color="000000"/>
              <w:right w:val="nil"/>
            </w:tcBorders>
            <w:shd w:val="clear" w:color="auto" w:fill="FFFFFF"/>
          </w:tcPr>
          <w:p w:rsidR="00965D85" w:rsidRPr="004A3962"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3.8</w:t>
            </w:r>
          </w:p>
        </w:tc>
        <w:tc>
          <w:tcPr>
            <w:tcW w:w="964" w:type="dxa"/>
            <w:tcBorders>
              <w:top w:val="nil"/>
              <w:left w:val="nil"/>
              <w:bottom w:val="single" w:sz="6" w:space="0" w:color="000000"/>
              <w:right w:val="nil"/>
            </w:tcBorders>
            <w:shd w:val="clear" w:color="auto" w:fill="FFFFFF"/>
          </w:tcPr>
          <w:p w:rsidR="00965D85" w:rsidRPr="004A3962"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3.9</w:t>
            </w:r>
          </w:p>
        </w:tc>
      </w:tr>
      <w:tr w:rsidR="00965D85" w:rsidRPr="004A3962" w:rsidTr="008B46DF">
        <w:tc>
          <w:tcPr>
            <w:tcW w:w="3911" w:type="dxa"/>
            <w:tcBorders>
              <w:top w:val="single" w:sz="6" w:space="0" w:color="000000"/>
              <w:left w:val="nil"/>
              <w:right w:val="nil"/>
            </w:tcBorders>
            <w:shd w:val="clear" w:color="auto" w:fill="FFFFFF"/>
          </w:tcPr>
          <w:p w:rsidR="00965D85" w:rsidRPr="004A3962" w:rsidRDefault="00965D85" w:rsidP="008B46DF">
            <w:pPr>
              <w:autoSpaceDE w:val="0"/>
              <w:autoSpaceDN w:val="0"/>
              <w:adjustRightInd w:val="0"/>
              <w:spacing w:after="0"/>
              <w:ind w:left="227" w:hanging="227"/>
              <w:rPr>
                <w:rFonts w:ascii="Calibri" w:eastAsiaTheme="minorEastAsia" w:hAnsi="Calibri" w:cs="Calibri"/>
                <w:b/>
                <w:bCs/>
                <w:color w:val="000000"/>
                <w:sz w:val="20"/>
                <w:lang w:eastAsia="en-AU"/>
              </w:rPr>
            </w:pPr>
            <w:r w:rsidRPr="004A3962">
              <w:rPr>
                <w:rFonts w:ascii="Calibri" w:eastAsiaTheme="minorEastAsia" w:hAnsi="Calibri" w:cs="Calibri"/>
                <w:b/>
                <w:bCs/>
                <w:color w:val="000000"/>
                <w:sz w:val="20"/>
                <w:lang w:eastAsia="en-AU"/>
              </w:rPr>
              <w:t>Total</w:t>
            </w:r>
          </w:p>
        </w:tc>
        <w:tc>
          <w:tcPr>
            <w:tcW w:w="964" w:type="dxa"/>
            <w:gridSpan w:val="2"/>
            <w:tcBorders>
              <w:top w:val="single" w:sz="6" w:space="0" w:color="000000"/>
              <w:left w:val="nil"/>
              <w:right w:val="nil"/>
            </w:tcBorders>
            <w:shd w:val="clear" w:color="auto" w:fill="FFFFFF"/>
          </w:tcPr>
          <w:p w:rsidR="00965D85" w:rsidRPr="004A3962"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20"/>
                <w:lang w:eastAsia="en-AU"/>
              </w:rPr>
              <w:t>12.5</w:t>
            </w:r>
          </w:p>
        </w:tc>
        <w:tc>
          <w:tcPr>
            <w:tcW w:w="964" w:type="dxa"/>
            <w:tcBorders>
              <w:top w:val="single" w:sz="6" w:space="0" w:color="000000"/>
              <w:left w:val="nil"/>
              <w:right w:val="nil"/>
            </w:tcBorders>
            <w:shd w:val="clear" w:color="auto" w:fill="FFFFFF"/>
          </w:tcPr>
          <w:p w:rsidR="00965D85" w:rsidRPr="004A3962"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20"/>
                <w:lang w:eastAsia="en-AU"/>
              </w:rPr>
              <w:t>12.8</w:t>
            </w:r>
          </w:p>
        </w:tc>
        <w:tc>
          <w:tcPr>
            <w:tcW w:w="964" w:type="dxa"/>
            <w:tcBorders>
              <w:top w:val="single" w:sz="6" w:space="0" w:color="000000"/>
              <w:left w:val="nil"/>
              <w:right w:val="nil"/>
            </w:tcBorders>
            <w:shd w:val="clear" w:color="auto" w:fill="FFFFFF"/>
          </w:tcPr>
          <w:p w:rsidR="00965D85" w:rsidRPr="004A3962"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20"/>
                <w:lang w:eastAsia="en-AU"/>
              </w:rPr>
              <w:t>13.2</w:t>
            </w:r>
          </w:p>
        </w:tc>
        <w:tc>
          <w:tcPr>
            <w:tcW w:w="964" w:type="dxa"/>
            <w:tcBorders>
              <w:top w:val="single" w:sz="6" w:space="0" w:color="000000"/>
              <w:left w:val="nil"/>
              <w:right w:val="nil"/>
            </w:tcBorders>
            <w:shd w:val="clear" w:color="auto" w:fill="FFFFFF"/>
          </w:tcPr>
          <w:p w:rsidR="00965D85" w:rsidRPr="004A3962"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20"/>
                <w:lang w:eastAsia="en-AU"/>
              </w:rPr>
              <w:t>13.6</w:t>
            </w:r>
          </w:p>
        </w:tc>
      </w:tr>
      <w:tr w:rsidR="00965D85" w:rsidRPr="004A3962" w:rsidTr="008B46DF">
        <w:tc>
          <w:tcPr>
            <w:tcW w:w="3911" w:type="dxa"/>
            <w:tcBorders>
              <w:top w:val="nil"/>
              <w:left w:val="nil"/>
              <w:right w:val="nil"/>
            </w:tcBorders>
            <w:shd w:val="clear" w:color="auto" w:fill="FFFFFF"/>
          </w:tcPr>
          <w:p w:rsidR="00965D85" w:rsidRPr="004A3962" w:rsidRDefault="00965D85" w:rsidP="008B46DF">
            <w:pPr>
              <w:autoSpaceDE w:val="0"/>
              <w:autoSpaceDN w:val="0"/>
              <w:adjustRightInd w:val="0"/>
              <w:spacing w:after="0"/>
              <w:ind w:left="227" w:hanging="227"/>
              <w:rPr>
                <w:rFonts w:ascii="Calibri" w:eastAsiaTheme="minorEastAsia" w:hAnsi="Calibri" w:cs="Calibri"/>
                <w:b/>
                <w:bCs/>
                <w:color w:val="000000"/>
                <w:sz w:val="20"/>
                <w:lang w:eastAsia="en-AU"/>
              </w:rPr>
            </w:pPr>
            <w:r w:rsidRPr="004A3962">
              <w:rPr>
                <w:rFonts w:ascii="Calibri" w:eastAsiaTheme="minorEastAsia" w:hAnsi="Calibri" w:cs="Calibri"/>
                <w:b/>
                <w:bCs/>
                <w:color w:val="000000"/>
                <w:sz w:val="20"/>
                <w:lang w:eastAsia="en-AU"/>
              </w:rPr>
              <w:t>Financial liabilities</w:t>
            </w:r>
          </w:p>
        </w:tc>
        <w:tc>
          <w:tcPr>
            <w:tcW w:w="964" w:type="dxa"/>
            <w:gridSpan w:val="2"/>
            <w:tcBorders>
              <w:top w:val="nil"/>
              <w:left w:val="nil"/>
              <w:right w:val="nil"/>
            </w:tcBorders>
            <w:shd w:val="clear" w:color="auto" w:fill="FFFFFF"/>
          </w:tcPr>
          <w:p w:rsidR="00965D85" w:rsidRPr="004A3962"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964" w:type="dxa"/>
            <w:tcBorders>
              <w:top w:val="nil"/>
              <w:left w:val="nil"/>
              <w:right w:val="nil"/>
            </w:tcBorders>
            <w:shd w:val="clear" w:color="auto" w:fill="FFFFFF"/>
          </w:tcPr>
          <w:p w:rsidR="00965D85" w:rsidRPr="004A3962"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964" w:type="dxa"/>
            <w:tcBorders>
              <w:top w:val="nil"/>
              <w:left w:val="nil"/>
              <w:right w:val="nil"/>
            </w:tcBorders>
            <w:shd w:val="clear" w:color="auto" w:fill="FFFFFF"/>
          </w:tcPr>
          <w:p w:rsidR="00965D85" w:rsidRPr="004A3962"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964" w:type="dxa"/>
            <w:tcBorders>
              <w:top w:val="nil"/>
              <w:left w:val="nil"/>
              <w:right w:val="nil"/>
            </w:tcBorders>
            <w:shd w:val="clear" w:color="auto" w:fill="FFFFFF"/>
          </w:tcPr>
          <w:p w:rsidR="00965D85" w:rsidRPr="004A3962"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r>
      <w:tr w:rsidR="00965D85" w:rsidRPr="004A3962" w:rsidTr="008B46DF">
        <w:tc>
          <w:tcPr>
            <w:tcW w:w="3911" w:type="dxa"/>
            <w:tcBorders>
              <w:top w:val="nil"/>
              <w:left w:val="nil"/>
              <w:right w:val="nil"/>
            </w:tcBorders>
            <w:shd w:val="clear" w:color="auto" w:fill="FFFFFF"/>
          </w:tcPr>
          <w:p w:rsidR="00965D85" w:rsidRPr="004A3962"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4A3962">
              <w:rPr>
                <w:rFonts w:ascii="Calibri" w:eastAsiaTheme="minorEastAsia" w:hAnsi="Calibri" w:cs="Calibri"/>
                <w:color w:val="000000"/>
                <w:sz w:val="20"/>
                <w:lang w:eastAsia="en-AU"/>
              </w:rPr>
              <w:t>Deposits held and advances received</w:t>
            </w:r>
          </w:p>
        </w:tc>
        <w:tc>
          <w:tcPr>
            <w:tcW w:w="964" w:type="dxa"/>
            <w:gridSpan w:val="2"/>
            <w:tcBorders>
              <w:top w:val="nil"/>
              <w:left w:val="nil"/>
              <w:right w:val="nil"/>
            </w:tcBorders>
            <w:shd w:val="clear" w:color="auto" w:fill="FFFFFF"/>
          </w:tcPr>
          <w:p w:rsidR="00965D85" w:rsidRPr="004A3962"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0.5</w:t>
            </w:r>
          </w:p>
        </w:tc>
        <w:tc>
          <w:tcPr>
            <w:tcW w:w="964" w:type="dxa"/>
            <w:tcBorders>
              <w:top w:val="nil"/>
              <w:left w:val="nil"/>
              <w:right w:val="nil"/>
            </w:tcBorders>
            <w:shd w:val="clear" w:color="auto" w:fill="FFFFFF"/>
          </w:tcPr>
          <w:p w:rsidR="00965D85" w:rsidRPr="004A3962"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0.5</w:t>
            </w:r>
          </w:p>
        </w:tc>
        <w:tc>
          <w:tcPr>
            <w:tcW w:w="964" w:type="dxa"/>
            <w:tcBorders>
              <w:top w:val="nil"/>
              <w:left w:val="nil"/>
              <w:right w:val="nil"/>
            </w:tcBorders>
            <w:shd w:val="clear" w:color="auto" w:fill="FFFFFF"/>
          </w:tcPr>
          <w:p w:rsidR="00965D85" w:rsidRPr="004A3962"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0.5</w:t>
            </w:r>
          </w:p>
        </w:tc>
        <w:tc>
          <w:tcPr>
            <w:tcW w:w="964" w:type="dxa"/>
            <w:tcBorders>
              <w:top w:val="nil"/>
              <w:left w:val="nil"/>
              <w:right w:val="nil"/>
            </w:tcBorders>
            <w:shd w:val="clear" w:color="auto" w:fill="FFFFFF"/>
          </w:tcPr>
          <w:p w:rsidR="00965D85" w:rsidRPr="004A3962"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0.5</w:t>
            </w:r>
          </w:p>
        </w:tc>
      </w:tr>
      <w:tr w:rsidR="00965D85" w:rsidRPr="004A3962" w:rsidTr="008B46DF">
        <w:tc>
          <w:tcPr>
            <w:tcW w:w="3911" w:type="dxa"/>
            <w:tcBorders>
              <w:top w:val="nil"/>
              <w:left w:val="nil"/>
              <w:bottom w:val="single" w:sz="6" w:space="0" w:color="000000"/>
              <w:right w:val="nil"/>
            </w:tcBorders>
            <w:shd w:val="clear" w:color="auto" w:fill="FFFFFF"/>
          </w:tcPr>
          <w:p w:rsidR="00965D85" w:rsidRPr="004A3962"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4A3962">
              <w:rPr>
                <w:rFonts w:ascii="Calibri" w:eastAsiaTheme="minorEastAsia" w:hAnsi="Calibri" w:cs="Calibri"/>
                <w:color w:val="000000"/>
                <w:sz w:val="20"/>
                <w:lang w:eastAsia="en-AU"/>
              </w:rPr>
              <w:t>Borrowings</w:t>
            </w:r>
          </w:p>
        </w:tc>
        <w:tc>
          <w:tcPr>
            <w:tcW w:w="964" w:type="dxa"/>
            <w:gridSpan w:val="2"/>
            <w:tcBorders>
              <w:top w:val="nil"/>
              <w:left w:val="nil"/>
              <w:bottom w:val="single" w:sz="6" w:space="0" w:color="000000"/>
              <w:right w:val="nil"/>
            </w:tcBorders>
            <w:shd w:val="clear" w:color="auto" w:fill="FFFFFF"/>
          </w:tcPr>
          <w:p w:rsidR="00965D85" w:rsidRPr="004A3962"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28.9</w:t>
            </w:r>
          </w:p>
        </w:tc>
        <w:tc>
          <w:tcPr>
            <w:tcW w:w="964" w:type="dxa"/>
            <w:tcBorders>
              <w:top w:val="nil"/>
              <w:left w:val="nil"/>
              <w:bottom w:val="single" w:sz="6" w:space="0" w:color="000000"/>
              <w:right w:val="nil"/>
            </w:tcBorders>
            <w:shd w:val="clear" w:color="auto" w:fill="FFFFFF"/>
          </w:tcPr>
          <w:p w:rsidR="00965D85" w:rsidRPr="004A3962"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31.1</w:t>
            </w:r>
          </w:p>
        </w:tc>
        <w:tc>
          <w:tcPr>
            <w:tcW w:w="964" w:type="dxa"/>
            <w:tcBorders>
              <w:top w:val="nil"/>
              <w:left w:val="nil"/>
              <w:bottom w:val="single" w:sz="6" w:space="0" w:color="000000"/>
              <w:right w:val="nil"/>
            </w:tcBorders>
            <w:shd w:val="clear" w:color="auto" w:fill="FFFFFF"/>
          </w:tcPr>
          <w:p w:rsidR="00965D85" w:rsidRPr="004A3962"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31.6</w:t>
            </w:r>
          </w:p>
        </w:tc>
        <w:tc>
          <w:tcPr>
            <w:tcW w:w="964" w:type="dxa"/>
            <w:tcBorders>
              <w:top w:val="nil"/>
              <w:left w:val="nil"/>
              <w:bottom w:val="single" w:sz="6" w:space="0" w:color="000000"/>
              <w:right w:val="nil"/>
            </w:tcBorders>
            <w:shd w:val="clear" w:color="auto" w:fill="FFFFFF"/>
          </w:tcPr>
          <w:p w:rsidR="00965D85" w:rsidRPr="004A3962"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32.7</w:t>
            </w:r>
          </w:p>
        </w:tc>
      </w:tr>
      <w:tr w:rsidR="00965D85" w:rsidRPr="004A3962" w:rsidTr="008B46DF">
        <w:tc>
          <w:tcPr>
            <w:tcW w:w="3911" w:type="dxa"/>
            <w:tcBorders>
              <w:top w:val="single" w:sz="6" w:space="0" w:color="000000"/>
              <w:left w:val="nil"/>
              <w:bottom w:val="single" w:sz="6" w:space="0" w:color="000000"/>
              <w:right w:val="nil"/>
            </w:tcBorders>
            <w:shd w:val="clear" w:color="auto" w:fill="FFFFFF"/>
          </w:tcPr>
          <w:p w:rsidR="00965D85" w:rsidRPr="004A3962" w:rsidRDefault="00965D85" w:rsidP="008B46DF">
            <w:pPr>
              <w:autoSpaceDE w:val="0"/>
              <w:autoSpaceDN w:val="0"/>
              <w:adjustRightInd w:val="0"/>
              <w:spacing w:after="0"/>
              <w:ind w:left="227" w:hanging="227"/>
              <w:rPr>
                <w:rFonts w:ascii="Calibri" w:eastAsiaTheme="minorEastAsia" w:hAnsi="Calibri" w:cs="Calibri"/>
                <w:b/>
                <w:bCs/>
                <w:color w:val="000000"/>
                <w:sz w:val="20"/>
                <w:lang w:eastAsia="en-AU"/>
              </w:rPr>
            </w:pPr>
            <w:r w:rsidRPr="004A3962">
              <w:rPr>
                <w:rFonts w:ascii="Calibri" w:eastAsiaTheme="minorEastAsia" w:hAnsi="Calibri" w:cs="Calibri"/>
                <w:b/>
                <w:bCs/>
                <w:color w:val="000000"/>
                <w:sz w:val="20"/>
                <w:lang w:eastAsia="en-AU"/>
              </w:rPr>
              <w:t>Total</w:t>
            </w:r>
          </w:p>
        </w:tc>
        <w:tc>
          <w:tcPr>
            <w:tcW w:w="964" w:type="dxa"/>
            <w:gridSpan w:val="2"/>
            <w:tcBorders>
              <w:top w:val="single" w:sz="6" w:space="0" w:color="000000"/>
              <w:left w:val="nil"/>
              <w:bottom w:val="single" w:sz="6" w:space="0" w:color="000000"/>
              <w:right w:val="nil"/>
            </w:tcBorders>
            <w:shd w:val="clear" w:color="auto" w:fill="FFFFFF"/>
          </w:tcPr>
          <w:p w:rsidR="00965D85" w:rsidRPr="004A3962"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20"/>
                <w:lang w:eastAsia="en-AU"/>
              </w:rPr>
              <w:t>29.4</w:t>
            </w:r>
          </w:p>
        </w:tc>
        <w:tc>
          <w:tcPr>
            <w:tcW w:w="964" w:type="dxa"/>
            <w:tcBorders>
              <w:top w:val="single" w:sz="6" w:space="0" w:color="000000"/>
              <w:left w:val="nil"/>
              <w:bottom w:val="single" w:sz="6" w:space="0" w:color="000000"/>
              <w:right w:val="nil"/>
            </w:tcBorders>
            <w:shd w:val="clear" w:color="auto" w:fill="FFFFFF"/>
          </w:tcPr>
          <w:p w:rsidR="00965D85" w:rsidRPr="004A3962"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20"/>
                <w:lang w:eastAsia="en-AU"/>
              </w:rPr>
              <w:t>31.6</w:t>
            </w:r>
          </w:p>
        </w:tc>
        <w:tc>
          <w:tcPr>
            <w:tcW w:w="964" w:type="dxa"/>
            <w:tcBorders>
              <w:top w:val="single" w:sz="6" w:space="0" w:color="000000"/>
              <w:left w:val="nil"/>
              <w:bottom w:val="single" w:sz="6" w:space="0" w:color="000000"/>
              <w:right w:val="nil"/>
            </w:tcBorders>
            <w:shd w:val="clear" w:color="auto" w:fill="FFFFFF"/>
          </w:tcPr>
          <w:p w:rsidR="00965D85" w:rsidRPr="004A3962"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20"/>
                <w:lang w:eastAsia="en-AU"/>
              </w:rPr>
              <w:t>32.1</w:t>
            </w:r>
          </w:p>
        </w:tc>
        <w:tc>
          <w:tcPr>
            <w:tcW w:w="964" w:type="dxa"/>
            <w:tcBorders>
              <w:top w:val="single" w:sz="6" w:space="0" w:color="000000"/>
              <w:left w:val="nil"/>
              <w:bottom w:val="single" w:sz="6" w:space="0" w:color="000000"/>
              <w:right w:val="nil"/>
            </w:tcBorders>
            <w:shd w:val="clear" w:color="auto" w:fill="FFFFFF"/>
          </w:tcPr>
          <w:p w:rsidR="00965D85" w:rsidRPr="004A3962"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20"/>
                <w:lang w:eastAsia="en-AU"/>
              </w:rPr>
              <w:t>33.2</w:t>
            </w:r>
          </w:p>
        </w:tc>
      </w:tr>
      <w:tr w:rsidR="00965D85" w:rsidRPr="004A3962" w:rsidTr="008B46DF">
        <w:tc>
          <w:tcPr>
            <w:tcW w:w="3911" w:type="dxa"/>
            <w:tcBorders>
              <w:top w:val="single" w:sz="6" w:space="0" w:color="000000"/>
              <w:left w:val="nil"/>
              <w:right w:val="nil"/>
            </w:tcBorders>
            <w:shd w:val="clear" w:color="auto" w:fill="FFFFFF"/>
          </w:tcPr>
          <w:p w:rsidR="00965D85" w:rsidRPr="004A3962" w:rsidRDefault="00965D85" w:rsidP="008B46DF">
            <w:pPr>
              <w:autoSpaceDE w:val="0"/>
              <w:autoSpaceDN w:val="0"/>
              <w:adjustRightInd w:val="0"/>
              <w:spacing w:after="0"/>
              <w:ind w:left="227" w:hanging="227"/>
              <w:rPr>
                <w:rFonts w:ascii="Calibri" w:eastAsiaTheme="minorEastAsia" w:hAnsi="Calibri" w:cs="Calibri"/>
                <w:b/>
                <w:bCs/>
                <w:color w:val="000000"/>
                <w:sz w:val="20"/>
                <w:vertAlign w:val="superscript"/>
                <w:lang w:eastAsia="en-AU"/>
              </w:rPr>
            </w:pPr>
            <w:r w:rsidRPr="004A3962">
              <w:rPr>
                <w:rFonts w:ascii="Calibri" w:eastAsiaTheme="minorEastAsia" w:hAnsi="Calibri" w:cs="Calibri"/>
                <w:b/>
                <w:bCs/>
                <w:color w:val="000000"/>
                <w:sz w:val="20"/>
                <w:lang w:eastAsia="en-AU"/>
              </w:rPr>
              <w:t xml:space="preserve">Net debt </w:t>
            </w:r>
            <w:r w:rsidRPr="004A3962">
              <w:rPr>
                <w:rFonts w:ascii="Calibri" w:eastAsiaTheme="minorEastAsia" w:hAnsi="Calibri" w:cs="Calibri"/>
                <w:b/>
                <w:bCs/>
                <w:color w:val="000000"/>
                <w:sz w:val="20"/>
                <w:vertAlign w:val="superscript"/>
                <w:lang w:eastAsia="en-AU"/>
              </w:rPr>
              <w:t>(a)</w:t>
            </w:r>
          </w:p>
        </w:tc>
        <w:tc>
          <w:tcPr>
            <w:tcW w:w="964" w:type="dxa"/>
            <w:gridSpan w:val="2"/>
            <w:tcBorders>
              <w:top w:val="single" w:sz="6" w:space="0" w:color="000000"/>
              <w:left w:val="nil"/>
              <w:right w:val="nil"/>
            </w:tcBorders>
            <w:shd w:val="clear" w:color="auto" w:fill="FFFFFF"/>
          </w:tcPr>
          <w:p w:rsidR="00965D85" w:rsidRPr="004A3962"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20"/>
                <w:lang w:eastAsia="en-AU"/>
              </w:rPr>
              <w:t>16.9</w:t>
            </w:r>
          </w:p>
        </w:tc>
        <w:tc>
          <w:tcPr>
            <w:tcW w:w="964" w:type="dxa"/>
            <w:tcBorders>
              <w:top w:val="single" w:sz="6" w:space="0" w:color="000000"/>
              <w:left w:val="nil"/>
              <w:right w:val="nil"/>
            </w:tcBorders>
            <w:shd w:val="clear" w:color="auto" w:fill="FFFFFF"/>
          </w:tcPr>
          <w:p w:rsidR="00965D85" w:rsidRPr="004A3962"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20"/>
                <w:lang w:eastAsia="en-AU"/>
              </w:rPr>
              <w:t>18.8</w:t>
            </w:r>
          </w:p>
        </w:tc>
        <w:tc>
          <w:tcPr>
            <w:tcW w:w="964" w:type="dxa"/>
            <w:tcBorders>
              <w:top w:val="single" w:sz="6" w:space="0" w:color="000000"/>
              <w:left w:val="nil"/>
              <w:right w:val="nil"/>
            </w:tcBorders>
            <w:shd w:val="clear" w:color="auto" w:fill="FFFFFF"/>
          </w:tcPr>
          <w:p w:rsidR="00965D85" w:rsidRPr="004A3962"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20"/>
                <w:lang w:eastAsia="en-AU"/>
              </w:rPr>
              <w:t>18.9</w:t>
            </w:r>
          </w:p>
        </w:tc>
        <w:tc>
          <w:tcPr>
            <w:tcW w:w="964" w:type="dxa"/>
            <w:tcBorders>
              <w:top w:val="single" w:sz="6" w:space="0" w:color="000000"/>
              <w:left w:val="nil"/>
              <w:right w:val="nil"/>
            </w:tcBorders>
            <w:shd w:val="clear" w:color="auto" w:fill="FFFFFF"/>
          </w:tcPr>
          <w:p w:rsidR="00965D85" w:rsidRPr="004A3962"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20"/>
                <w:lang w:eastAsia="en-AU"/>
              </w:rPr>
              <w:t>19.6</w:t>
            </w:r>
          </w:p>
        </w:tc>
      </w:tr>
      <w:tr w:rsidR="00965D85" w:rsidRPr="004A3962" w:rsidTr="008B46DF">
        <w:tc>
          <w:tcPr>
            <w:tcW w:w="3911" w:type="dxa"/>
            <w:tcBorders>
              <w:top w:val="nil"/>
              <w:left w:val="nil"/>
              <w:bottom w:val="single" w:sz="6" w:space="0" w:color="000000"/>
              <w:right w:val="nil"/>
            </w:tcBorders>
            <w:shd w:val="clear" w:color="auto" w:fill="FFFFFF"/>
          </w:tcPr>
          <w:p w:rsidR="00965D85" w:rsidRPr="004A3962"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4A3962">
              <w:rPr>
                <w:rFonts w:ascii="Calibri" w:eastAsiaTheme="minorEastAsia" w:hAnsi="Calibri" w:cs="Calibri"/>
                <w:color w:val="000000"/>
                <w:sz w:val="20"/>
                <w:lang w:eastAsia="en-AU"/>
              </w:rPr>
              <w:t>Superannuation liability</w:t>
            </w:r>
          </w:p>
        </w:tc>
        <w:tc>
          <w:tcPr>
            <w:tcW w:w="964" w:type="dxa"/>
            <w:gridSpan w:val="2"/>
            <w:tcBorders>
              <w:top w:val="nil"/>
              <w:left w:val="nil"/>
              <w:bottom w:val="single" w:sz="6" w:space="0" w:color="000000"/>
              <w:right w:val="nil"/>
            </w:tcBorders>
            <w:shd w:val="clear" w:color="auto" w:fill="FFFFFF"/>
          </w:tcPr>
          <w:p w:rsidR="00965D85" w:rsidRPr="004A3962"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27.5</w:t>
            </w:r>
          </w:p>
        </w:tc>
        <w:tc>
          <w:tcPr>
            <w:tcW w:w="964" w:type="dxa"/>
            <w:tcBorders>
              <w:top w:val="nil"/>
              <w:left w:val="nil"/>
              <w:bottom w:val="single" w:sz="6" w:space="0" w:color="000000"/>
              <w:right w:val="nil"/>
            </w:tcBorders>
            <w:shd w:val="clear" w:color="auto" w:fill="FFFFFF"/>
          </w:tcPr>
          <w:p w:rsidR="00965D85" w:rsidRPr="004A3962"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26.7</w:t>
            </w:r>
          </w:p>
        </w:tc>
        <w:tc>
          <w:tcPr>
            <w:tcW w:w="964" w:type="dxa"/>
            <w:tcBorders>
              <w:top w:val="nil"/>
              <w:left w:val="nil"/>
              <w:bottom w:val="single" w:sz="6" w:space="0" w:color="000000"/>
              <w:right w:val="nil"/>
            </w:tcBorders>
            <w:shd w:val="clear" w:color="auto" w:fill="FFFFFF"/>
          </w:tcPr>
          <w:p w:rsidR="00965D85" w:rsidRPr="004A3962"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25.9</w:t>
            </w:r>
          </w:p>
        </w:tc>
        <w:tc>
          <w:tcPr>
            <w:tcW w:w="964" w:type="dxa"/>
            <w:tcBorders>
              <w:top w:val="nil"/>
              <w:left w:val="nil"/>
              <w:bottom w:val="single" w:sz="6" w:space="0" w:color="000000"/>
              <w:right w:val="nil"/>
            </w:tcBorders>
            <w:shd w:val="clear" w:color="auto" w:fill="FFFFFF"/>
          </w:tcPr>
          <w:p w:rsidR="00965D85" w:rsidRPr="004A3962"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25.1</w:t>
            </w:r>
          </w:p>
        </w:tc>
      </w:tr>
      <w:tr w:rsidR="00965D85" w:rsidRPr="004A3962" w:rsidTr="008B46DF">
        <w:tc>
          <w:tcPr>
            <w:tcW w:w="3911" w:type="dxa"/>
            <w:tcBorders>
              <w:top w:val="single" w:sz="6" w:space="0" w:color="000000"/>
              <w:left w:val="nil"/>
              <w:right w:val="nil"/>
            </w:tcBorders>
            <w:shd w:val="clear" w:color="auto" w:fill="FFFFFF"/>
          </w:tcPr>
          <w:p w:rsidR="00965D85" w:rsidRPr="004A3962" w:rsidRDefault="00965D85" w:rsidP="008B46DF">
            <w:pPr>
              <w:autoSpaceDE w:val="0"/>
              <w:autoSpaceDN w:val="0"/>
              <w:adjustRightInd w:val="0"/>
              <w:spacing w:after="0"/>
              <w:ind w:left="227" w:hanging="227"/>
              <w:rPr>
                <w:rFonts w:ascii="Calibri" w:eastAsiaTheme="minorEastAsia" w:hAnsi="Calibri" w:cs="Calibri"/>
                <w:b/>
                <w:bCs/>
                <w:color w:val="000000"/>
                <w:sz w:val="20"/>
                <w:lang w:eastAsia="en-AU"/>
              </w:rPr>
            </w:pPr>
            <w:r w:rsidRPr="004A3962">
              <w:rPr>
                <w:rFonts w:ascii="Calibri" w:eastAsiaTheme="minorEastAsia" w:hAnsi="Calibri" w:cs="Calibri"/>
                <w:b/>
                <w:bCs/>
                <w:color w:val="000000"/>
                <w:sz w:val="20"/>
                <w:lang w:eastAsia="en-AU"/>
              </w:rPr>
              <w:t>Net debt plus superannuation liability</w:t>
            </w:r>
          </w:p>
        </w:tc>
        <w:tc>
          <w:tcPr>
            <w:tcW w:w="964" w:type="dxa"/>
            <w:gridSpan w:val="2"/>
            <w:tcBorders>
              <w:top w:val="single" w:sz="6" w:space="0" w:color="000000"/>
              <w:left w:val="nil"/>
              <w:right w:val="nil"/>
            </w:tcBorders>
            <w:shd w:val="clear" w:color="auto" w:fill="FFFFFF"/>
          </w:tcPr>
          <w:p w:rsidR="00965D85" w:rsidRPr="004A3962"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20"/>
                <w:lang w:eastAsia="en-AU"/>
              </w:rPr>
              <w:t>44.4</w:t>
            </w:r>
          </w:p>
        </w:tc>
        <w:tc>
          <w:tcPr>
            <w:tcW w:w="964" w:type="dxa"/>
            <w:tcBorders>
              <w:top w:val="single" w:sz="6" w:space="0" w:color="000000"/>
              <w:left w:val="nil"/>
              <w:right w:val="nil"/>
            </w:tcBorders>
            <w:shd w:val="clear" w:color="auto" w:fill="FFFFFF"/>
          </w:tcPr>
          <w:p w:rsidR="00965D85" w:rsidRPr="004A3962"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20"/>
                <w:lang w:eastAsia="en-AU"/>
              </w:rPr>
              <w:t>45.5</w:t>
            </w:r>
          </w:p>
        </w:tc>
        <w:tc>
          <w:tcPr>
            <w:tcW w:w="964" w:type="dxa"/>
            <w:tcBorders>
              <w:top w:val="single" w:sz="6" w:space="0" w:color="000000"/>
              <w:left w:val="nil"/>
              <w:right w:val="nil"/>
            </w:tcBorders>
            <w:shd w:val="clear" w:color="auto" w:fill="FFFFFF"/>
          </w:tcPr>
          <w:p w:rsidR="00965D85" w:rsidRPr="004A3962"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20"/>
                <w:lang w:eastAsia="en-AU"/>
              </w:rPr>
              <w:t>44.8</w:t>
            </w:r>
          </w:p>
        </w:tc>
        <w:tc>
          <w:tcPr>
            <w:tcW w:w="964" w:type="dxa"/>
            <w:tcBorders>
              <w:top w:val="single" w:sz="6" w:space="0" w:color="000000"/>
              <w:left w:val="nil"/>
              <w:right w:val="nil"/>
            </w:tcBorders>
            <w:shd w:val="clear" w:color="auto" w:fill="FFFFFF"/>
          </w:tcPr>
          <w:p w:rsidR="00965D85" w:rsidRPr="004A3962"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20"/>
                <w:lang w:eastAsia="en-AU"/>
              </w:rPr>
              <w:t>44.6</w:t>
            </w:r>
          </w:p>
        </w:tc>
      </w:tr>
      <w:tr w:rsidR="00965D85" w:rsidRPr="004A3962" w:rsidTr="008B46DF">
        <w:tc>
          <w:tcPr>
            <w:tcW w:w="3911" w:type="dxa"/>
            <w:tcBorders>
              <w:top w:val="nil"/>
              <w:left w:val="nil"/>
              <w:bottom w:val="single" w:sz="6" w:space="0" w:color="000000"/>
              <w:right w:val="nil"/>
            </w:tcBorders>
            <w:shd w:val="clear" w:color="auto" w:fill="FFFFFF"/>
          </w:tcPr>
          <w:p w:rsidR="00965D85" w:rsidRPr="004A3962" w:rsidRDefault="00965D85" w:rsidP="008B46DF">
            <w:pPr>
              <w:autoSpaceDE w:val="0"/>
              <w:autoSpaceDN w:val="0"/>
              <w:adjustRightInd w:val="0"/>
              <w:spacing w:after="0"/>
              <w:ind w:left="227" w:hanging="227"/>
              <w:rPr>
                <w:rFonts w:ascii="Calibri" w:eastAsiaTheme="minorEastAsia" w:hAnsi="Calibri" w:cs="Calibri"/>
                <w:color w:val="000000"/>
                <w:sz w:val="20"/>
                <w:vertAlign w:val="superscript"/>
                <w:lang w:eastAsia="en-AU"/>
              </w:rPr>
            </w:pPr>
            <w:r w:rsidRPr="004A3962">
              <w:rPr>
                <w:rFonts w:ascii="Calibri" w:eastAsiaTheme="minorEastAsia" w:hAnsi="Calibri" w:cs="Calibri"/>
                <w:color w:val="000000"/>
                <w:sz w:val="20"/>
                <w:lang w:eastAsia="en-AU"/>
              </w:rPr>
              <w:t xml:space="preserve">Other liabilities (net) </w:t>
            </w:r>
            <w:r w:rsidRPr="004A3962">
              <w:rPr>
                <w:rFonts w:ascii="Calibri" w:eastAsiaTheme="minorEastAsia" w:hAnsi="Calibri" w:cs="Calibri"/>
                <w:color w:val="000000"/>
                <w:sz w:val="20"/>
                <w:vertAlign w:val="superscript"/>
                <w:lang w:eastAsia="en-AU"/>
              </w:rPr>
              <w:t>(b)</w:t>
            </w:r>
          </w:p>
        </w:tc>
        <w:tc>
          <w:tcPr>
            <w:tcW w:w="964" w:type="dxa"/>
            <w:gridSpan w:val="2"/>
            <w:tcBorders>
              <w:top w:val="nil"/>
              <w:left w:val="nil"/>
              <w:bottom w:val="single" w:sz="6" w:space="0" w:color="000000"/>
              <w:right w:val="nil"/>
            </w:tcBorders>
            <w:shd w:val="clear" w:color="auto" w:fill="FFFFFF"/>
          </w:tcPr>
          <w:p w:rsidR="00965D85" w:rsidRPr="004A3962"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6.4</w:t>
            </w:r>
          </w:p>
        </w:tc>
        <w:tc>
          <w:tcPr>
            <w:tcW w:w="964" w:type="dxa"/>
            <w:tcBorders>
              <w:top w:val="nil"/>
              <w:left w:val="nil"/>
              <w:bottom w:val="single" w:sz="6" w:space="0" w:color="000000"/>
              <w:right w:val="nil"/>
            </w:tcBorders>
            <w:shd w:val="clear" w:color="auto" w:fill="FFFFFF"/>
          </w:tcPr>
          <w:p w:rsidR="00965D85" w:rsidRPr="004A3962"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6.6</w:t>
            </w:r>
          </w:p>
        </w:tc>
        <w:tc>
          <w:tcPr>
            <w:tcW w:w="964" w:type="dxa"/>
            <w:tcBorders>
              <w:top w:val="nil"/>
              <w:left w:val="nil"/>
              <w:bottom w:val="single" w:sz="6" w:space="0" w:color="000000"/>
              <w:right w:val="nil"/>
            </w:tcBorders>
            <w:shd w:val="clear" w:color="auto" w:fill="FFFFFF"/>
          </w:tcPr>
          <w:p w:rsidR="00965D85" w:rsidRPr="004A3962"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6.7</w:t>
            </w:r>
          </w:p>
        </w:tc>
        <w:tc>
          <w:tcPr>
            <w:tcW w:w="964" w:type="dxa"/>
            <w:tcBorders>
              <w:top w:val="nil"/>
              <w:left w:val="nil"/>
              <w:bottom w:val="single" w:sz="6" w:space="0" w:color="000000"/>
              <w:right w:val="nil"/>
            </w:tcBorders>
            <w:shd w:val="clear" w:color="auto" w:fill="FFFFFF"/>
          </w:tcPr>
          <w:p w:rsidR="00965D85" w:rsidRPr="004A3962"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6.6</w:t>
            </w:r>
          </w:p>
        </w:tc>
      </w:tr>
      <w:tr w:rsidR="00965D85" w:rsidRPr="004A3962" w:rsidTr="008B46DF">
        <w:tc>
          <w:tcPr>
            <w:tcW w:w="3911" w:type="dxa"/>
            <w:tcBorders>
              <w:top w:val="single" w:sz="6" w:space="0" w:color="000000"/>
              <w:left w:val="nil"/>
              <w:bottom w:val="single" w:sz="6" w:space="0" w:color="000000"/>
              <w:right w:val="nil"/>
            </w:tcBorders>
            <w:shd w:val="clear" w:color="auto" w:fill="FFFFFF"/>
          </w:tcPr>
          <w:p w:rsidR="00965D85" w:rsidRPr="004A3962" w:rsidRDefault="00965D85" w:rsidP="008B46DF">
            <w:pPr>
              <w:autoSpaceDE w:val="0"/>
              <w:autoSpaceDN w:val="0"/>
              <w:adjustRightInd w:val="0"/>
              <w:spacing w:after="0"/>
              <w:ind w:left="227" w:hanging="227"/>
              <w:rPr>
                <w:rFonts w:ascii="Calibri" w:eastAsiaTheme="minorEastAsia" w:hAnsi="Calibri" w:cs="Calibri"/>
                <w:b/>
                <w:bCs/>
                <w:color w:val="000000"/>
                <w:sz w:val="20"/>
                <w:vertAlign w:val="superscript"/>
                <w:lang w:eastAsia="en-AU"/>
              </w:rPr>
            </w:pPr>
            <w:r w:rsidRPr="004A3962">
              <w:rPr>
                <w:rFonts w:ascii="Calibri" w:eastAsiaTheme="minorEastAsia" w:hAnsi="Calibri" w:cs="Calibri"/>
                <w:b/>
                <w:bCs/>
                <w:color w:val="000000"/>
                <w:sz w:val="20"/>
                <w:lang w:eastAsia="en-AU"/>
              </w:rPr>
              <w:t xml:space="preserve">Net financial liabilities </w:t>
            </w:r>
            <w:r w:rsidRPr="004A3962">
              <w:rPr>
                <w:rFonts w:ascii="Calibri" w:eastAsiaTheme="minorEastAsia" w:hAnsi="Calibri" w:cs="Calibri"/>
                <w:b/>
                <w:bCs/>
                <w:color w:val="000000"/>
                <w:sz w:val="20"/>
                <w:vertAlign w:val="superscript"/>
                <w:lang w:eastAsia="en-AU"/>
              </w:rPr>
              <w:t>(c)</w:t>
            </w:r>
          </w:p>
        </w:tc>
        <w:tc>
          <w:tcPr>
            <w:tcW w:w="964" w:type="dxa"/>
            <w:gridSpan w:val="2"/>
            <w:tcBorders>
              <w:top w:val="single" w:sz="6" w:space="0" w:color="000000"/>
              <w:left w:val="nil"/>
              <w:bottom w:val="single" w:sz="6" w:space="0" w:color="000000"/>
              <w:right w:val="nil"/>
            </w:tcBorders>
            <w:shd w:val="clear" w:color="auto" w:fill="FFFFFF"/>
          </w:tcPr>
          <w:p w:rsidR="00965D85" w:rsidRPr="004A3962"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20"/>
                <w:lang w:eastAsia="en-AU"/>
              </w:rPr>
              <w:t>50.8</w:t>
            </w:r>
          </w:p>
        </w:tc>
        <w:tc>
          <w:tcPr>
            <w:tcW w:w="964" w:type="dxa"/>
            <w:tcBorders>
              <w:top w:val="single" w:sz="6" w:space="0" w:color="000000"/>
              <w:left w:val="nil"/>
              <w:bottom w:val="single" w:sz="6" w:space="0" w:color="000000"/>
              <w:right w:val="nil"/>
            </w:tcBorders>
            <w:shd w:val="clear" w:color="auto" w:fill="FFFFFF"/>
          </w:tcPr>
          <w:p w:rsidR="00965D85" w:rsidRPr="004A3962"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20"/>
                <w:lang w:eastAsia="en-AU"/>
              </w:rPr>
              <w:t>52.0</w:t>
            </w:r>
          </w:p>
        </w:tc>
        <w:tc>
          <w:tcPr>
            <w:tcW w:w="964" w:type="dxa"/>
            <w:tcBorders>
              <w:top w:val="single" w:sz="6" w:space="0" w:color="000000"/>
              <w:left w:val="nil"/>
              <w:bottom w:val="single" w:sz="6" w:space="0" w:color="000000"/>
              <w:right w:val="nil"/>
            </w:tcBorders>
            <w:shd w:val="clear" w:color="auto" w:fill="FFFFFF"/>
          </w:tcPr>
          <w:p w:rsidR="00965D85" w:rsidRPr="004A3962"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20"/>
                <w:lang w:eastAsia="en-AU"/>
              </w:rPr>
              <w:t>51.5</w:t>
            </w:r>
          </w:p>
        </w:tc>
        <w:tc>
          <w:tcPr>
            <w:tcW w:w="964" w:type="dxa"/>
            <w:tcBorders>
              <w:top w:val="single" w:sz="6" w:space="0" w:color="000000"/>
              <w:left w:val="nil"/>
              <w:bottom w:val="single" w:sz="6" w:space="0" w:color="000000"/>
              <w:right w:val="nil"/>
            </w:tcBorders>
            <w:shd w:val="clear" w:color="auto" w:fill="FFFFFF"/>
          </w:tcPr>
          <w:p w:rsidR="00965D85" w:rsidRPr="004A3962"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20"/>
                <w:lang w:eastAsia="en-AU"/>
              </w:rPr>
              <w:t>51.3</w:t>
            </w:r>
          </w:p>
        </w:tc>
      </w:tr>
      <w:tr w:rsidR="00965D85" w:rsidRPr="004A3962" w:rsidTr="008B46DF">
        <w:tc>
          <w:tcPr>
            <w:tcW w:w="7767" w:type="dxa"/>
            <w:gridSpan w:val="6"/>
            <w:tcBorders>
              <w:top w:val="single" w:sz="6" w:space="0" w:color="000000"/>
              <w:left w:val="nil"/>
              <w:right w:val="nil"/>
            </w:tcBorders>
            <w:shd w:val="clear" w:color="auto" w:fill="FFFFFF"/>
          </w:tcPr>
          <w:p w:rsidR="00965D85" w:rsidRPr="004A3962" w:rsidRDefault="00965D85" w:rsidP="008B46DF">
            <w:pPr>
              <w:pStyle w:val="million"/>
              <w:rPr>
                <w:rFonts w:eastAsiaTheme="minorEastAsia"/>
                <w:lang w:eastAsia="en-AU"/>
              </w:rPr>
            </w:pPr>
            <w:r w:rsidRPr="004A3962">
              <w:rPr>
                <w:rFonts w:eastAsiaTheme="minorEastAsia"/>
                <w:lang w:eastAsia="en-AU"/>
              </w:rPr>
              <w:t>(per cent)</w:t>
            </w:r>
          </w:p>
        </w:tc>
      </w:tr>
      <w:tr w:rsidR="00965D85" w:rsidRPr="004A3962" w:rsidTr="008B46DF">
        <w:trPr>
          <w:trHeight w:hRule="exact" w:val="120"/>
        </w:trPr>
        <w:tc>
          <w:tcPr>
            <w:tcW w:w="3911" w:type="dxa"/>
            <w:tcBorders>
              <w:top w:val="nil"/>
              <w:left w:val="nil"/>
              <w:right w:val="nil"/>
            </w:tcBorders>
            <w:shd w:val="clear" w:color="auto" w:fill="FFFFFF"/>
          </w:tcPr>
          <w:p w:rsidR="00965D85" w:rsidRPr="004A3962"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4A3962">
              <w:rPr>
                <w:rFonts w:ascii="Calibri" w:eastAsiaTheme="minorEastAsia" w:hAnsi="Calibri" w:cs="Calibri"/>
                <w:color w:val="000000"/>
                <w:sz w:val="20"/>
                <w:lang w:eastAsia="en-AU"/>
              </w:rPr>
              <w:t xml:space="preserve"> </w:t>
            </w:r>
          </w:p>
        </w:tc>
        <w:tc>
          <w:tcPr>
            <w:tcW w:w="964" w:type="dxa"/>
            <w:gridSpan w:val="2"/>
            <w:tcBorders>
              <w:top w:val="nil"/>
              <w:left w:val="nil"/>
              <w:right w:val="nil"/>
            </w:tcBorders>
            <w:shd w:val="clear" w:color="auto" w:fill="FFFFFF"/>
          </w:tcPr>
          <w:p w:rsidR="00965D85" w:rsidRPr="004A3962" w:rsidRDefault="00965D85" w:rsidP="008B46DF">
            <w:pPr>
              <w:autoSpaceDE w:val="0"/>
              <w:autoSpaceDN w:val="0"/>
              <w:adjustRightInd w:val="0"/>
              <w:spacing w:after="0"/>
              <w:jc w:val="right"/>
              <w:rPr>
                <w:rFonts w:ascii="Calibri" w:eastAsiaTheme="minorEastAsia" w:hAnsi="Calibri" w:cs="Calibri"/>
                <w:color w:val="000000"/>
                <w:sz w:val="20"/>
                <w:lang w:eastAsia="en-AU"/>
              </w:rPr>
            </w:pPr>
          </w:p>
        </w:tc>
        <w:tc>
          <w:tcPr>
            <w:tcW w:w="964" w:type="dxa"/>
            <w:tcBorders>
              <w:top w:val="nil"/>
              <w:left w:val="nil"/>
              <w:right w:val="nil"/>
            </w:tcBorders>
            <w:shd w:val="clear" w:color="auto" w:fill="FFFFFF"/>
          </w:tcPr>
          <w:p w:rsidR="00965D85" w:rsidRPr="004A3962" w:rsidRDefault="00965D85" w:rsidP="008B46DF">
            <w:pPr>
              <w:autoSpaceDE w:val="0"/>
              <w:autoSpaceDN w:val="0"/>
              <w:adjustRightInd w:val="0"/>
              <w:spacing w:after="0"/>
              <w:jc w:val="right"/>
              <w:rPr>
                <w:rFonts w:ascii="Calibri" w:eastAsiaTheme="minorEastAsia" w:hAnsi="Calibri" w:cs="Calibri"/>
                <w:color w:val="000000"/>
                <w:sz w:val="20"/>
                <w:lang w:eastAsia="en-AU"/>
              </w:rPr>
            </w:pPr>
          </w:p>
        </w:tc>
        <w:tc>
          <w:tcPr>
            <w:tcW w:w="964" w:type="dxa"/>
            <w:tcBorders>
              <w:top w:val="nil"/>
              <w:left w:val="nil"/>
              <w:right w:val="nil"/>
            </w:tcBorders>
            <w:shd w:val="clear" w:color="auto" w:fill="FFFFFF"/>
          </w:tcPr>
          <w:p w:rsidR="00965D85" w:rsidRPr="004A3962" w:rsidRDefault="00965D85" w:rsidP="008B46DF">
            <w:pPr>
              <w:autoSpaceDE w:val="0"/>
              <w:autoSpaceDN w:val="0"/>
              <w:adjustRightInd w:val="0"/>
              <w:spacing w:after="0"/>
              <w:jc w:val="right"/>
              <w:rPr>
                <w:rFonts w:ascii="Calibri" w:eastAsiaTheme="minorEastAsia" w:hAnsi="Calibri" w:cs="Calibri"/>
                <w:color w:val="000000"/>
                <w:sz w:val="20"/>
                <w:lang w:eastAsia="en-AU"/>
              </w:rPr>
            </w:pPr>
          </w:p>
        </w:tc>
        <w:tc>
          <w:tcPr>
            <w:tcW w:w="964" w:type="dxa"/>
            <w:tcBorders>
              <w:top w:val="nil"/>
              <w:left w:val="nil"/>
              <w:right w:val="nil"/>
            </w:tcBorders>
            <w:shd w:val="clear" w:color="auto" w:fill="FFFFFF"/>
          </w:tcPr>
          <w:p w:rsidR="00965D85" w:rsidRPr="004A3962" w:rsidRDefault="00965D85" w:rsidP="008B46DF">
            <w:pPr>
              <w:autoSpaceDE w:val="0"/>
              <w:autoSpaceDN w:val="0"/>
              <w:adjustRightInd w:val="0"/>
              <w:spacing w:after="0"/>
              <w:jc w:val="right"/>
              <w:rPr>
                <w:rFonts w:ascii="Calibri" w:eastAsiaTheme="minorEastAsia" w:hAnsi="Calibri" w:cs="Calibri"/>
                <w:color w:val="000000"/>
                <w:sz w:val="20"/>
                <w:lang w:eastAsia="en-AU"/>
              </w:rPr>
            </w:pPr>
          </w:p>
        </w:tc>
      </w:tr>
      <w:tr w:rsidR="00965D85" w:rsidRPr="004A3962" w:rsidTr="008B46DF">
        <w:tc>
          <w:tcPr>
            <w:tcW w:w="3911" w:type="dxa"/>
            <w:tcBorders>
              <w:top w:val="nil"/>
              <w:left w:val="nil"/>
              <w:right w:val="nil"/>
            </w:tcBorders>
            <w:shd w:val="clear" w:color="auto" w:fill="FFFFFF"/>
          </w:tcPr>
          <w:p w:rsidR="00965D85" w:rsidRPr="004A3962" w:rsidRDefault="00965D85" w:rsidP="008B46DF">
            <w:pPr>
              <w:autoSpaceDE w:val="0"/>
              <w:autoSpaceDN w:val="0"/>
              <w:adjustRightInd w:val="0"/>
              <w:spacing w:after="0"/>
              <w:ind w:left="227" w:hanging="227"/>
              <w:rPr>
                <w:rFonts w:ascii="Calibri" w:eastAsiaTheme="minorEastAsia" w:hAnsi="Calibri" w:cs="Calibri"/>
                <w:b/>
                <w:bCs/>
                <w:color w:val="000000"/>
                <w:sz w:val="20"/>
                <w:vertAlign w:val="superscript"/>
                <w:lang w:eastAsia="en-AU"/>
              </w:rPr>
            </w:pPr>
            <w:r w:rsidRPr="004A3962">
              <w:rPr>
                <w:rFonts w:ascii="Calibri" w:eastAsiaTheme="minorEastAsia" w:hAnsi="Calibri" w:cs="Calibri"/>
                <w:b/>
                <w:bCs/>
                <w:color w:val="000000"/>
                <w:sz w:val="20"/>
                <w:lang w:eastAsia="en-AU"/>
              </w:rPr>
              <w:t xml:space="preserve">Net debt to GSP </w:t>
            </w:r>
            <w:r w:rsidRPr="004A3962">
              <w:rPr>
                <w:rFonts w:ascii="Calibri" w:eastAsiaTheme="minorEastAsia" w:hAnsi="Calibri" w:cs="Calibri"/>
                <w:b/>
                <w:bCs/>
                <w:color w:val="000000"/>
                <w:sz w:val="20"/>
                <w:vertAlign w:val="superscript"/>
                <w:lang w:eastAsia="en-AU"/>
              </w:rPr>
              <w:t>(d)</w:t>
            </w:r>
          </w:p>
        </w:tc>
        <w:tc>
          <w:tcPr>
            <w:tcW w:w="964" w:type="dxa"/>
            <w:gridSpan w:val="2"/>
            <w:tcBorders>
              <w:top w:val="nil"/>
              <w:left w:val="nil"/>
              <w:right w:val="nil"/>
            </w:tcBorders>
            <w:shd w:val="clear" w:color="auto" w:fill="FFFFFF"/>
          </w:tcPr>
          <w:p w:rsidR="00965D85" w:rsidRPr="004A3962"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20"/>
                <w:lang w:eastAsia="en-AU"/>
              </w:rPr>
              <w:t>4.5</w:t>
            </w:r>
          </w:p>
        </w:tc>
        <w:tc>
          <w:tcPr>
            <w:tcW w:w="964" w:type="dxa"/>
            <w:tcBorders>
              <w:top w:val="nil"/>
              <w:left w:val="nil"/>
              <w:right w:val="nil"/>
            </w:tcBorders>
            <w:shd w:val="clear" w:color="auto" w:fill="FFFFFF"/>
          </w:tcPr>
          <w:p w:rsidR="00965D85" w:rsidRPr="004A3962"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20"/>
                <w:lang w:eastAsia="en-AU"/>
              </w:rPr>
              <w:t>4.7</w:t>
            </w:r>
          </w:p>
        </w:tc>
        <w:tc>
          <w:tcPr>
            <w:tcW w:w="964" w:type="dxa"/>
            <w:tcBorders>
              <w:top w:val="nil"/>
              <w:left w:val="nil"/>
              <w:right w:val="nil"/>
            </w:tcBorders>
            <w:shd w:val="clear" w:color="auto" w:fill="FFFFFF"/>
          </w:tcPr>
          <w:p w:rsidR="00965D85" w:rsidRPr="004A3962"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20"/>
                <w:lang w:eastAsia="en-AU"/>
              </w:rPr>
              <w:t>4.5</w:t>
            </w:r>
          </w:p>
        </w:tc>
        <w:tc>
          <w:tcPr>
            <w:tcW w:w="964" w:type="dxa"/>
            <w:tcBorders>
              <w:top w:val="nil"/>
              <w:left w:val="nil"/>
              <w:right w:val="nil"/>
            </w:tcBorders>
            <w:shd w:val="clear" w:color="auto" w:fill="FFFFFF"/>
          </w:tcPr>
          <w:p w:rsidR="00965D85" w:rsidRPr="004A3962"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20"/>
                <w:lang w:eastAsia="en-AU"/>
              </w:rPr>
              <w:t>4.4</w:t>
            </w:r>
          </w:p>
        </w:tc>
      </w:tr>
      <w:tr w:rsidR="00965D85" w:rsidRPr="004A3962" w:rsidTr="008B46DF">
        <w:tc>
          <w:tcPr>
            <w:tcW w:w="4113" w:type="dxa"/>
            <w:gridSpan w:val="2"/>
            <w:tcBorders>
              <w:top w:val="nil"/>
              <w:left w:val="nil"/>
              <w:right w:val="nil"/>
            </w:tcBorders>
            <w:shd w:val="clear" w:color="auto" w:fill="FFFFFF"/>
          </w:tcPr>
          <w:p w:rsidR="00965D85" w:rsidRPr="004A3962" w:rsidRDefault="00965D85" w:rsidP="008B46DF">
            <w:pPr>
              <w:autoSpaceDE w:val="0"/>
              <w:autoSpaceDN w:val="0"/>
              <w:adjustRightInd w:val="0"/>
              <w:spacing w:after="0"/>
              <w:ind w:left="227" w:hanging="227"/>
              <w:rPr>
                <w:rFonts w:ascii="Calibri" w:eastAsiaTheme="minorEastAsia" w:hAnsi="Calibri" w:cs="Calibri"/>
                <w:b/>
                <w:bCs/>
                <w:color w:val="000000"/>
                <w:sz w:val="20"/>
                <w:vertAlign w:val="superscript"/>
                <w:lang w:eastAsia="en-AU"/>
              </w:rPr>
            </w:pPr>
            <w:r w:rsidRPr="004A3962">
              <w:rPr>
                <w:rFonts w:ascii="Calibri" w:eastAsiaTheme="minorEastAsia" w:hAnsi="Calibri" w:cs="Calibri"/>
                <w:b/>
                <w:bCs/>
                <w:color w:val="000000"/>
                <w:sz w:val="20"/>
                <w:lang w:eastAsia="en-AU"/>
              </w:rPr>
              <w:t>Net debt plus superannuation liability to GSP</w:t>
            </w:r>
            <w:r w:rsidRPr="004A3962">
              <w:rPr>
                <w:rFonts w:ascii="Calibri" w:eastAsiaTheme="minorEastAsia" w:hAnsi="Calibri" w:cs="Calibri"/>
                <w:b/>
                <w:bCs/>
                <w:color w:val="000000"/>
                <w:sz w:val="20"/>
                <w:vertAlign w:val="superscript"/>
                <w:lang w:eastAsia="en-AU"/>
              </w:rPr>
              <w:t xml:space="preserve"> (d)</w:t>
            </w:r>
          </w:p>
        </w:tc>
        <w:tc>
          <w:tcPr>
            <w:tcW w:w="762" w:type="dxa"/>
            <w:tcBorders>
              <w:top w:val="nil"/>
              <w:left w:val="nil"/>
              <w:right w:val="nil"/>
            </w:tcBorders>
            <w:shd w:val="clear" w:color="auto" w:fill="FFFFFF"/>
          </w:tcPr>
          <w:p w:rsidR="00965D85" w:rsidRPr="004A3962"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20"/>
                <w:lang w:eastAsia="en-AU"/>
              </w:rPr>
              <w:t>11.7</w:t>
            </w:r>
          </w:p>
        </w:tc>
        <w:tc>
          <w:tcPr>
            <w:tcW w:w="964" w:type="dxa"/>
            <w:tcBorders>
              <w:top w:val="nil"/>
              <w:left w:val="nil"/>
              <w:right w:val="nil"/>
            </w:tcBorders>
            <w:shd w:val="clear" w:color="auto" w:fill="FFFFFF"/>
          </w:tcPr>
          <w:p w:rsidR="00965D85" w:rsidRPr="004A3962"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20"/>
                <w:lang w:eastAsia="en-AU"/>
              </w:rPr>
              <w:t>11.4</w:t>
            </w:r>
          </w:p>
        </w:tc>
        <w:tc>
          <w:tcPr>
            <w:tcW w:w="964" w:type="dxa"/>
            <w:tcBorders>
              <w:top w:val="nil"/>
              <w:left w:val="nil"/>
              <w:right w:val="nil"/>
            </w:tcBorders>
            <w:shd w:val="clear" w:color="auto" w:fill="FFFFFF"/>
          </w:tcPr>
          <w:p w:rsidR="00965D85" w:rsidRPr="004A3962"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20"/>
                <w:lang w:eastAsia="en-AU"/>
              </w:rPr>
              <w:t>10.6</w:t>
            </w:r>
          </w:p>
        </w:tc>
        <w:tc>
          <w:tcPr>
            <w:tcW w:w="964" w:type="dxa"/>
            <w:tcBorders>
              <w:top w:val="nil"/>
              <w:left w:val="nil"/>
              <w:right w:val="nil"/>
            </w:tcBorders>
            <w:shd w:val="clear" w:color="auto" w:fill="FFFFFF"/>
          </w:tcPr>
          <w:p w:rsidR="00965D85" w:rsidRPr="004A3962"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20"/>
                <w:lang w:eastAsia="en-AU"/>
              </w:rPr>
              <w:t>10.0</w:t>
            </w:r>
          </w:p>
        </w:tc>
      </w:tr>
      <w:tr w:rsidR="00965D85" w:rsidRPr="004A3962" w:rsidTr="008B46DF">
        <w:tc>
          <w:tcPr>
            <w:tcW w:w="3911" w:type="dxa"/>
            <w:tcBorders>
              <w:top w:val="nil"/>
              <w:left w:val="nil"/>
              <w:bottom w:val="single" w:sz="12" w:space="0" w:color="000000"/>
              <w:right w:val="nil"/>
            </w:tcBorders>
            <w:shd w:val="clear" w:color="auto" w:fill="FFFFFF"/>
          </w:tcPr>
          <w:p w:rsidR="00965D85" w:rsidRPr="004A3962" w:rsidRDefault="00965D85" w:rsidP="008B46DF">
            <w:pPr>
              <w:autoSpaceDE w:val="0"/>
              <w:autoSpaceDN w:val="0"/>
              <w:adjustRightInd w:val="0"/>
              <w:spacing w:after="0"/>
              <w:ind w:left="227" w:hanging="227"/>
              <w:rPr>
                <w:rFonts w:ascii="Calibri" w:eastAsiaTheme="minorEastAsia" w:hAnsi="Calibri" w:cs="Calibri"/>
                <w:b/>
                <w:bCs/>
                <w:color w:val="000000"/>
                <w:sz w:val="20"/>
                <w:vertAlign w:val="superscript"/>
                <w:lang w:eastAsia="en-AU"/>
              </w:rPr>
            </w:pPr>
            <w:r w:rsidRPr="004A3962">
              <w:rPr>
                <w:rFonts w:ascii="Calibri" w:eastAsiaTheme="minorEastAsia" w:hAnsi="Calibri" w:cs="Calibri"/>
                <w:b/>
                <w:bCs/>
                <w:color w:val="000000"/>
                <w:sz w:val="20"/>
                <w:lang w:eastAsia="en-AU"/>
              </w:rPr>
              <w:t xml:space="preserve">Net financial liabilities to GSP </w:t>
            </w:r>
            <w:r w:rsidRPr="004A3962">
              <w:rPr>
                <w:rFonts w:ascii="Calibri" w:eastAsiaTheme="minorEastAsia" w:hAnsi="Calibri" w:cs="Calibri"/>
                <w:b/>
                <w:bCs/>
                <w:color w:val="000000"/>
                <w:sz w:val="20"/>
                <w:vertAlign w:val="superscript"/>
                <w:lang w:eastAsia="en-AU"/>
              </w:rPr>
              <w:t>(d)</w:t>
            </w:r>
          </w:p>
        </w:tc>
        <w:tc>
          <w:tcPr>
            <w:tcW w:w="964" w:type="dxa"/>
            <w:gridSpan w:val="2"/>
            <w:tcBorders>
              <w:top w:val="nil"/>
              <w:left w:val="nil"/>
              <w:bottom w:val="single" w:sz="12" w:space="0" w:color="000000"/>
              <w:right w:val="nil"/>
            </w:tcBorders>
            <w:shd w:val="clear" w:color="auto" w:fill="FFFFFF"/>
          </w:tcPr>
          <w:p w:rsidR="00965D85" w:rsidRPr="004A3962"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20"/>
                <w:lang w:eastAsia="en-AU"/>
              </w:rPr>
              <w:t>13.4</w:t>
            </w:r>
          </w:p>
        </w:tc>
        <w:tc>
          <w:tcPr>
            <w:tcW w:w="964" w:type="dxa"/>
            <w:tcBorders>
              <w:top w:val="nil"/>
              <w:left w:val="nil"/>
              <w:bottom w:val="single" w:sz="12" w:space="0" w:color="000000"/>
              <w:right w:val="nil"/>
            </w:tcBorders>
            <w:shd w:val="clear" w:color="auto" w:fill="FFFFFF"/>
          </w:tcPr>
          <w:p w:rsidR="00965D85" w:rsidRPr="004A3962"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20"/>
                <w:lang w:eastAsia="en-AU"/>
              </w:rPr>
              <w:t>13.0</w:t>
            </w:r>
          </w:p>
        </w:tc>
        <w:tc>
          <w:tcPr>
            <w:tcW w:w="964" w:type="dxa"/>
            <w:tcBorders>
              <w:top w:val="nil"/>
              <w:left w:val="nil"/>
              <w:bottom w:val="single" w:sz="12" w:space="0" w:color="000000"/>
              <w:right w:val="nil"/>
            </w:tcBorders>
            <w:shd w:val="clear" w:color="auto" w:fill="FFFFFF"/>
          </w:tcPr>
          <w:p w:rsidR="00965D85" w:rsidRPr="004A3962"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20"/>
                <w:lang w:eastAsia="en-AU"/>
              </w:rPr>
              <w:t>12.2</w:t>
            </w:r>
          </w:p>
        </w:tc>
        <w:tc>
          <w:tcPr>
            <w:tcW w:w="964" w:type="dxa"/>
            <w:tcBorders>
              <w:top w:val="nil"/>
              <w:left w:val="nil"/>
              <w:bottom w:val="single" w:sz="12" w:space="0" w:color="000000"/>
              <w:right w:val="nil"/>
            </w:tcBorders>
            <w:shd w:val="clear" w:color="auto" w:fill="FFFFFF"/>
          </w:tcPr>
          <w:p w:rsidR="00965D85" w:rsidRPr="004A3962"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20"/>
                <w:lang w:eastAsia="en-AU"/>
              </w:rPr>
              <w:t>11.5</w:t>
            </w:r>
          </w:p>
        </w:tc>
      </w:tr>
    </w:tbl>
    <w:p w:rsidR="00965D85" w:rsidRPr="00447809" w:rsidRDefault="00965D85" w:rsidP="008B46DF">
      <w:pPr>
        <w:pStyle w:val="Source"/>
      </w:pPr>
      <w:r>
        <w:rPr>
          <w:rStyle w:val="SourceChar"/>
          <w:i/>
        </w:rPr>
        <w:fldChar w:fldCharType="end"/>
      </w:r>
      <w:r w:rsidRPr="00447809">
        <w:rPr>
          <w:rStyle w:val="SourceChar"/>
          <w:i/>
        </w:rPr>
        <w:t>Source: Dep</w:t>
      </w:r>
      <w:r>
        <w:rPr>
          <w:rStyle w:val="SourceChar"/>
          <w:i/>
        </w:rPr>
        <w:t>artment of Treasury and Finance</w:t>
      </w:r>
    </w:p>
    <w:p w:rsidR="00965D85" w:rsidRPr="002E2383" w:rsidRDefault="00965D85" w:rsidP="008B46DF">
      <w:pPr>
        <w:pStyle w:val="Notes"/>
      </w:pPr>
      <w:r w:rsidRPr="002E2383">
        <w:t>Notes:</w:t>
      </w:r>
    </w:p>
    <w:p w:rsidR="00965D85" w:rsidRDefault="00965D85" w:rsidP="008B46DF">
      <w:pPr>
        <w:pStyle w:val="Notes"/>
      </w:pPr>
      <w:r>
        <w:t>(a)</w:t>
      </w:r>
      <w:r>
        <w:tab/>
      </w:r>
      <w:r w:rsidRPr="002E2383">
        <w:t>Net debt is the sum of deposits held, advances received and borrowings less the sum of cash, deposits, advances paid and investments, loans and placements.</w:t>
      </w:r>
    </w:p>
    <w:p w:rsidR="00965D85" w:rsidRPr="002E2383" w:rsidRDefault="00965D85" w:rsidP="008B46DF">
      <w:pPr>
        <w:pStyle w:val="Notes"/>
      </w:pPr>
      <w:r w:rsidRPr="002E2383">
        <w:t>(b)</w:t>
      </w:r>
      <w:r>
        <w:tab/>
      </w:r>
      <w:r w:rsidRPr="002E2383">
        <w:t>Includes other employee entitlements and provisions and liabilities, less other non</w:t>
      </w:r>
      <w:r>
        <w:rPr>
          <w:rFonts w:cs="Calibri"/>
        </w:rPr>
        <w:noBreakHyphen/>
      </w:r>
      <w:r w:rsidRPr="002E2383">
        <w:t>equity financial assets.</w:t>
      </w:r>
    </w:p>
    <w:p w:rsidR="00965D85" w:rsidRPr="002E2383" w:rsidRDefault="00965D85" w:rsidP="008B46DF">
      <w:pPr>
        <w:pStyle w:val="Notes"/>
      </w:pPr>
      <w:r w:rsidRPr="002E2383">
        <w:t>(</w:t>
      </w:r>
      <w:r>
        <w:t>c</w:t>
      </w:r>
      <w:r w:rsidRPr="002E2383">
        <w:t>)</w:t>
      </w:r>
      <w:r w:rsidRPr="002E2383">
        <w:tab/>
        <w:t>Net financial liabilities are the sum of superannuation, borrowings and other liabilities less other non</w:t>
      </w:r>
      <w:r>
        <w:noBreakHyphen/>
        <w:t>equity financial assets.</w:t>
      </w:r>
    </w:p>
    <w:p w:rsidR="00965D85" w:rsidRDefault="00965D85" w:rsidP="008B46DF">
      <w:pPr>
        <w:pStyle w:val="Notes"/>
      </w:pPr>
      <w:r w:rsidRPr="002E2383">
        <w:t>(</w:t>
      </w:r>
      <w:r>
        <w:t>d)</w:t>
      </w:r>
      <w:r w:rsidRPr="002E2383">
        <w:tab/>
        <w:t xml:space="preserve">Ratios to GSP may vary from publications year to year due to revisions </w:t>
      </w:r>
      <w:r>
        <w:t xml:space="preserve">made by the ABS to its </w:t>
      </w:r>
      <w:r w:rsidRPr="002E2383">
        <w:t>GSP data.</w:t>
      </w:r>
    </w:p>
    <w:p w:rsidR="00965D85" w:rsidRPr="002E2383" w:rsidRDefault="00965D85" w:rsidP="008B46DF">
      <w:pPr>
        <w:pStyle w:val="Notes"/>
      </w:pPr>
    </w:p>
    <w:p w:rsidR="00965D85" w:rsidRPr="002805C2" w:rsidRDefault="00965D85" w:rsidP="008B46DF">
      <w:pPr>
        <w:rPr>
          <w:rFonts w:ascii="Times New Roman" w:hAnsi="Times New Roman"/>
          <w:sz w:val="20"/>
          <w:lang w:eastAsia="en-AU"/>
        </w:rPr>
      </w:pPr>
      <w:r w:rsidRPr="002E2383">
        <w:br w:type="page"/>
      </w:r>
    </w:p>
    <w:p w:rsidR="00965D85" w:rsidRPr="002E2383" w:rsidRDefault="00965D85" w:rsidP="008B46DF">
      <w:pPr>
        <w:pStyle w:val="Heading1"/>
      </w:pPr>
      <w:bookmarkStart w:id="34" w:name="_Toc401056873"/>
      <w:bookmarkStart w:id="35" w:name="_Toc401147495"/>
      <w:bookmarkStart w:id="36" w:name="_Toc403386690"/>
      <w:bookmarkStart w:id="37" w:name="_Toc406162091"/>
      <w:bookmarkStart w:id="38" w:name="_Toc406670374"/>
      <w:bookmarkStart w:id="39" w:name="_Toc436147536"/>
      <w:r w:rsidRPr="002E2383">
        <w:lastRenderedPageBreak/>
        <w:t xml:space="preserve">Fiscal </w:t>
      </w:r>
      <w:r w:rsidRPr="00ED77CF">
        <w:t>risks</w:t>
      </w:r>
      <w:bookmarkEnd w:id="34"/>
      <w:bookmarkEnd w:id="35"/>
      <w:bookmarkEnd w:id="36"/>
      <w:bookmarkEnd w:id="37"/>
      <w:bookmarkEnd w:id="38"/>
      <w:bookmarkEnd w:id="39"/>
    </w:p>
    <w:p w:rsidR="00965D85" w:rsidRPr="007E4E2E" w:rsidRDefault="00965D85" w:rsidP="008B46DF">
      <w:r w:rsidRPr="007E4E2E">
        <w:t>This section contains a number of known risks, which if realised, are likely to impact on the State</w:t>
      </w:r>
      <w:r>
        <w:t>’</w:t>
      </w:r>
      <w:r w:rsidRPr="007E4E2E">
        <w:t xml:space="preserve">s financial position and budget outcomes. </w:t>
      </w:r>
    </w:p>
    <w:p w:rsidR="00965D85" w:rsidRPr="007E4E2E" w:rsidRDefault="00965D85" w:rsidP="008B46DF">
      <w:r w:rsidRPr="007E4E2E">
        <w:t>Details of specific contingent assets and liabilities, defined as possible assets or liabilities that arise from past events, whose existence will be confirmed only by the occurrence or non</w:t>
      </w:r>
      <w:r>
        <w:noBreakHyphen/>
      </w:r>
      <w:r w:rsidRPr="007E4E2E">
        <w:t xml:space="preserve">occurrence of one or more uncertain future events not wholly within the control of the entity, are contained within </w:t>
      </w:r>
      <w:r>
        <w:t>Chapter </w:t>
      </w:r>
      <w:r w:rsidRPr="007E4E2E">
        <w:t xml:space="preserve">6 </w:t>
      </w:r>
      <w:r w:rsidRPr="007E4E2E">
        <w:rPr>
          <w:i/>
        </w:rPr>
        <w:t>Contingent assets and contingent liabilities</w:t>
      </w:r>
      <w:r w:rsidRPr="007E4E2E">
        <w:t>.</w:t>
      </w:r>
    </w:p>
    <w:p w:rsidR="00965D85" w:rsidRPr="002E2383" w:rsidRDefault="00965D85" w:rsidP="008B46DF">
      <w:pPr>
        <w:pStyle w:val="Heading2"/>
      </w:pPr>
      <w:r w:rsidRPr="002E2383">
        <w:t xml:space="preserve">General </w:t>
      </w:r>
      <w:r w:rsidRPr="0081640C">
        <w:t>fiscal</w:t>
      </w:r>
      <w:r w:rsidRPr="002E2383">
        <w:t xml:space="preserve"> risks</w:t>
      </w:r>
    </w:p>
    <w:p w:rsidR="00965D85" w:rsidRPr="0032210E" w:rsidRDefault="00965D85" w:rsidP="008B46DF">
      <w:pPr>
        <w:pStyle w:val="Heading3"/>
      </w:pPr>
      <w:r w:rsidRPr="0032210E">
        <w:t>State taxes</w:t>
      </w:r>
    </w:p>
    <w:p w:rsidR="00965D85" w:rsidRPr="0032210E" w:rsidRDefault="00965D85" w:rsidP="008B46DF">
      <w:r w:rsidRPr="0032210E">
        <w:t>State tax forecasts are primarily based on an estimated relationship between taxation revenue and projected economic variables. As a result, the main source of risk to the taxation estimates is the economic environment.</w:t>
      </w:r>
    </w:p>
    <w:p w:rsidR="00965D85" w:rsidRPr="0032210E" w:rsidRDefault="00965D85" w:rsidP="008B46DF">
      <w:r w:rsidRPr="0032210E">
        <w:t xml:space="preserve">For example, higher than expected economic activity or inflation will tend to lead to higher taxation revenue. </w:t>
      </w:r>
      <w:r>
        <w:t>F</w:t>
      </w:r>
      <w:r w:rsidRPr="0032210E">
        <w:t xml:space="preserve">iscal implications of variations in economic parameters from forecasts are considered in </w:t>
      </w:r>
      <w:r>
        <w:t>Appendix D</w:t>
      </w:r>
      <w:r w:rsidRPr="0032210E">
        <w:t xml:space="preserve"> </w:t>
      </w:r>
      <w:r>
        <w:rPr>
          <w:i/>
        </w:rPr>
        <w:t>Sensitivity analysis</w:t>
      </w:r>
      <w:r w:rsidRPr="0032210E">
        <w:t>.</w:t>
      </w:r>
    </w:p>
    <w:p w:rsidR="00965D85" w:rsidRPr="0032210E" w:rsidRDefault="00965D85" w:rsidP="008B46DF">
      <w:r w:rsidRPr="0032210E">
        <w:t>There is also the risk of changes in the relationship between the economic variables and taxation revenue (such as between consumer spending and motor vehicle taxes, or between employment and payroll tax). Some state taxes, such as land transfer duty, are sourced from relatively volatile tax bases, and revenue from these sources may be subject to substantial annual variations.</w:t>
      </w:r>
    </w:p>
    <w:p w:rsidR="00965D85" w:rsidRPr="0032210E" w:rsidRDefault="00965D85" w:rsidP="008B46DF">
      <w:pPr>
        <w:pStyle w:val="Heading3"/>
      </w:pPr>
      <w:r w:rsidRPr="0032210E">
        <w:t>Commonwealth grants</w:t>
      </w:r>
    </w:p>
    <w:p w:rsidR="00965D85" w:rsidRPr="0032210E" w:rsidRDefault="00965D85" w:rsidP="008B46DF">
      <w:r w:rsidRPr="0032210E">
        <w:t>The distribution of GST grants between states and territories is determined by the size of the national GST pool and each jurisdiction</w:t>
      </w:r>
      <w:r>
        <w:t>’</w:t>
      </w:r>
      <w:r w:rsidRPr="0032210E">
        <w:t xml:space="preserve">s population share weighted by its GST relativity. Revenue sharing relativities are determined by the Commonwealth Treasurer, as informed by the recommendations of the Commonwealth Grants Commission (CGC). </w:t>
      </w:r>
    </w:p>
    <w:p w:rsidR="00965D85" w:rsidRPr="0032210E" w:rsidRDefault="00965D85" w:rsidP="008B46DF">
      <w:r w:rsidRPr="0032210E">
        <w:t>Changes to national economic conditions, particularly regarding consumer spending, affect the size of the national pool, while other changes</w:t>
      </w:r>
      <w:r>
        <w:t>,</w:t>
      </w:r>
      <w:r w:rsidRPr="0032210E">
        <w:t xml:space="preserve"> </w:t>
      </w:r>
      <w:r w:rsidRPr="00BF4A5B">
        <w:t>including to the CGC’s methodology, will affect each jurisdiction’s assessed fiscal capacity</w:t>
      </w:r>
      <w:r>
        <w:t>.</w:t>
      </w:r>
    </w:p>
    <w:p w:rsidR="00965D85" w:rsidRPr="00E97901" w:rsidRDefault="00965D85" w:rsidP="008B46DF">
      <w:pPr>
        <w:pStyle w:val="Heading3"/>
      </w:pPr>
      <w:r w:rsidRPr="00E97901">
        <w:t>Employee expenses</w:t>
      </w:r>
    </w:p>
    <w:p w:rsidR="00965D85" w:rsidRDefault="00965D85" w:rsidP="008B46DF">
      <w:r w:rsidRPr="007E4E2E">
        <w:t>Employee expenses are the State</w:t>
      </w:r>
      <w:r>
        <w:t>’</w:t>
      </w:r>
      <w:r w:rsidRPr="007E4E2E">
        <w:t>s largest expense. Wages policy sets the framework for enterprise agreement negotiations and in part contributes to the projection of employee expenses.</w:t>
      </w:r>
    </w:p>
    <w:p w:rsidR="00965D85" w:rsidRPr="005D2CE0" w:rsidRDefault="00965D85" w:rsidP="008B46DF">
      <w:pPr>
        <w:rPr>
          <w:szCs w:val="22"/>
        </w:rPr>
      </w:pPr>
      <w:r w:rsidRPr="005D2CE0">
        <w:rPr>
          <w:szCs w:val="22"/>
        </w:rPr>
        <w:br w:type="page"/>
      </w:r>
    </w:p>
    <w:p w:rsidR="00965D85" w:rsidRPr="002E2383" w:rsidRDefault="00965D85" w:rsidP="008B46DF">
      <w:pPr>
        <w:pStyle w:val="Heading3"/>
      </w:pPr>
      <w:r w:rsidRPr="002E2383">
        <w:lastRenderedPageBreak/>
        <w:t>Demand growth</w:t>
      </w:r>
    </w:p>
    <w:p w:rsidR="00965D85" w:rsidRPr="007E4E2E" w:rsidRDefault="00965D85" w:rsidP="008B46DF">
      <w:r w:rsidRPr="007E4E2E">
        <w:t xml:space="preserve">Another key risk is growth in demand for government services exceeding current projections. This can occur, for example, as a result of higher than forecast population growth or expenditure in response to unforeseen events such as natural disasters, including bushfires and floods. </w:t>
      </w:r>
    </w:p>
    <w:p w:rsidR="00965D85" w:rsidRPr="007E4E2E" w:rsidRDefault="00965D85" w:rsidP="008B46DF">
      <w:r w:rsidRPr="007E4E2E">
        <w:t>The estimates incorporate contingency provisions to mitigate the impact of expenditure risks, which may be realised during the budget and forward estimates. The contingency provisions are designed to address the likely growth in Victoria</w:t>
      </w:r>
      <w:r>
        <w:t>’</w:t>
      </w:r>
      <w:r w:rsidRPr="007E4E2E">
        <w:t>s population and consequent derived demand for government services.</w:t>
      </w:r>
    </w:p>
    <w:p w:rsidR="00965D85" w:rsidRPr="007E4E2E" w:rsidRDefault="00965D85" w:rsidP="008B46DF">
      <w:r w:rsidRPr="007E4E2E">
        <w:t xml:space="preserve">Realised expenditure risks will affect total expenditure and the annual budget position to the extent they exceed the contingency provision factored into the estimates. More detailed disclosures of general government output and asset contingencies not allocated to departments are shown in note 12(c) and note </w:t>
      </w:r>
      <w:r>
        <w:t>20</w:t>
      </w:r>
      <w:r w:rsidRPr="007E4E2E">
        <w:t xml:space="preserve">(c) of </w:t>
      </w:r>
      <w:r>
        <w:t>Chapter 4</w:t>
      </w:r>
      <w:r w:rsidRPr="007E4E2E">
        <w:t xml:space="preserve"> </w:t>
      </w:r>
      <w:r w:rsidRPr="007E4E2E">
        <w:rPr>
          <w:i/>
        </w:rPr>
        <w:t xml:space="preserve">Estimated financial statements </w:t>
      </w:r>
      <w:r>
        <w:rPr>
          <w:i/>
        </w:rPr>
        <w:t>and notes.</w:t>
      </w:r>
    </w:p>
    <w:p w:rsidR="00965D85" w:rsidRPr="007E4E2E" w:rsidRDefault="00965D85" w:rsidP="008B46DF">
      <w:r w:rsidRPr="007E4E2E">
        <w:t>In the longer term</w:t>
      </w:r>
      <w:r>
        <w:t>,</w:t>
      </w:r>
      <w:r w:rsidRPr="007E4E2E">
        <w:t xml:space="preserve"> </w:t>
      </w:r>
      <w:r>
        <w:t xml:space="preserve">the </w:t>
      </w:r>
      <w:r w:rsidRPr="007E4E2E">
        <w:t>demand for services is expected to come under increasing pressure due to demographic pressures such as an ageing population. The Government will need to become increasingly efficient and innovative in the delivery of services to ensure that key priorities can continue to be met.</w:t>
      </w:r>
    </w:p>
    <w:p w:rsidR="00965D85" w:rsidRPr="002E2383" w:rsidRDefault="00965D85" w:rsidP="008B46DF">
      <w:pPr>
        <w:pStyle w:val="Heading2"/>
      </w:pPr>
      <w:r w:rsidRPr="002E2383">
        <w:t xml:space="preserve">Specific </w:t>
      </w:r>
      <w:r w:rsidRPr="007572D1">
        <w:t>fiscal</w:t>
      </w:r>
      <w:r w:rsidRPr="002E2383">
        <w:t xml:space="preserve"> risks</w:t>
      </w:r>
    </w:p>
    <w:p w:rsidR="00965D85" w:rsidRPr="002E2383" w:rsidRDefault="00965D85" w:rsidP="008B46DF">
      <w:pPr>
        <w:pStyle w:val="Heading3"/>
      </w:pPr>
      <w:r w:rsidRPr="002E2383">
        <w:t xml:space="preserve">National </w:t>
      </w:r>
      <w:r w:rsidRPr="0081640C">
        <w:t>Disability</w:t>
      </w:r>
      <w:r w:rsidRPr="002E2383">
        <w:t xml:space="preserve"> </w:t>
      </w:r>
      <w:r w:rsidRPr="007572D1">
        <w:t>Insurance</w:t>
      </w:r>
      <w:r w:rsidRPr="002E2383">
        <w:t xml:space="preserve"> Scheme</w:t>
      </w:r>
    </w:p>
    <w:p w:rsidR="00965D85" w:rsidRPr="004F73C4" w:rsidRDefault="00965D85" w:rsidP="008B46DF">
      <w:pPr>
        <w:rPr>
          <w:rFonts w:ascii="Calibri" w:hAnsi="Calibri"/>
          <w:kern w:val="28"/>
          <w:szCs w:val="22"/>
        </w:rPr>
      </w:pPr>
      <w:r w:rsidRPr="004F73C4">
        <w:rPr>
          <w:szCs w:val="22"/>
        </w:rPr>
        <w:t xml:space="preserve">Victoria is hosting a launch site for the National Disability Insurance Scheme (NDIS), which will provide useful information to guide the roll out of the full scheme across the </w:t>
      </w:r>
      <w:r>
        <w:rPr>
          <w:szCs w:val="22"/>
        </w:rPr>
        <w:t>S</w:t>
      </w:r>
      <w:r w:rsidRPr="004F73C4">
        <w:rPr>
          <w:szCs w:val="22"/>
        </w:rPr>
        <w:t xml:space="preserve">tate by July 2019. </w:t>
      </w:r>
      <w:r w:rsidRPr="004F73C4">
        <w:rPr>
          <w:rFonts w:cs="Garamond"/>
          <w:color w:val="000000"/>
          <w:szCs w:val="22"/>
          <w:lang w:eastAsia="en-AU"/>
        </w:rPr>
        <w:t>On 16 September 2015, the Commonwealth and Victorian Governments signed the Bilateral Agreement for the Transition to a National Disability Insurance Scheme. From 2019</w:t>
      </w:r>
      <w:r>
        <w:rPr>
          <w:rFonts w:cs="Garamond"/>
          <w:color w:val="000000"/>
          <w:szCs w:val="22"/>
          <w:lang w:eastAsia="en-AU"/>
        </w:rPr>
        <w:noBreakHyphen/>
      </w:r>
      <w:r w:rsidRPr="004F73C4">
        <w:rPr>
          <w:rFonts w:cs="Garamond"/>
          <w:color w:val="000000"/>
          <w:szCs w:val="22"/>
          <w:lang w:eastAsia="en-AU"/>
        </w:rPr>
        <w:t xml:space="preserve">20, </w:t>
      </w:r>
      <w:r w:rsidRPr="004F73C4">
        <w:rPr>
          <w:szCs w:val="22"/>
        </w:rPr>
        <w:t>Victoria</w:t>
      </w:r>
      <w:r>
        <w:rPr>
          <w:szCs w:val="22"/>
        </w:rPr>
        <w:t>’</w:t>
      </w:r>
      <w:r w:rsidRPr="004F73C4">
        <w:rPr>
          <w:szCs w:val="22"/>
        </w:rPr>
        <w:t xml:space="preserve">s investment in disability care and support will increase to an estimated $2.5 billion a year, with the Commonwealth providing around $2.6 billion a year. Victoria will </w:t>
      </w:r>
      <w:r>
        <w:rPr>
          <w:szCs w:val="22"/>
        </w:rPr>
        <w:t xml:space="preserve">continue to </w:t>
      </w:r>
      <w:r w:rsidRPr="004F73C4">
        <w:rPr>
          <w:szCs w:val="22"/>
        </w:rPr>
        <w:t>work with the Commonwealth to monitor and manage any risks associated with implementing the full scheme.</w:t>
      </w:r>
    </w:p>
    <w:p w:rsidR="00965D85" w:rsidRPr="002E2383" w:rsidRDefault="00965D85" w:rsidP="008B46DF">
      <w:pPr>
        <w:pStyle w:val="Heading3"/>
      </w:pPr>
      <w:r w:rsidRPr="007572D1">
        <w:t>National</w:t>
      </w:r>
      <w:r w:rsidRPr="002E2383">
        <w:t xml:space="preserve"> Injury Insurance Scheme</w:t>
      </w:r>
    </w:p>
    <w:p w:rsidR="00965D85" w:rsidRPr="00357977" w:rsidRDefault="00965D85" w:rsidP="008B46DF">
      <w:r w:rsidRPr="004B61AB">
        <w:t xml:space="preserve">The Productivity Commission recommended the establishment of a National Injury Insurance Scheme (NIIS) to support people who suffer catastrophic injuries. The Commonwealth Government expects the State to fund </w:t>
      </w:r>
      <w:r>
        <w:t>the total cost in Victoria of a</w:t>
      </w:r>
      <w:r w:rsidRPr="004B61AB">
        <w:t xml:space="preserve"> NIIS, as well as contribute to the cost of the NDIS. Victoria already provides support for people injured in motor vehicle and workplace accidents, and i</w:t>
      </w:r>
      <w:r>
        <w:t>s discussing other streams of a</w:t>
      </w:r>
      <w:r w:rsidRPr="004B61AB">
        <w:t xml:space="preserve"> NIIS with other jurisdictions but has not agreed to implement them.</w:t>
      </w:r>
    </w:p>
    <w:p w:rsidR="00965D85" w:rsidRDefault="00965D85">
      <w:pPr>
        <w:spacing w:after="0"/>
        <w:rPr>
          <w:rFonts w:ascii="Calibri" w:hAnsi="Calibri"/>
          <w:b/>
          <w:i/>
          <w:kern w:val="28"/>
          <w:sz w:val="24"/>
          <w:szCs w:val="22"/>
        </w:rPr>
      </w:pPr>
      <w:r>
        <w:br w:type="page"/>
      </w:r>
    </w:p>
    <w:p w:rsidR="00965D85" w:rsidRPr="002E2383" w:rsidRDefault="00965D85" w:rsidP="008B46DF">
      <w:pPr>
        <w:pStyle w:val="Heading3"/>
      </w:pPr>
      <w:r w:rsidRPr="002E2383">
        <w:lastRenderedPageBreak/>
        <w:t>Commonwealth schools funding</w:t>
      </w:r>
    </w:p>
    <w:p w:rsidR="00965D85" w:rsidRDefault="00965D85" w:rsidP="008B46DF">
      <w:r>
        <w:t xml:space="preserve">While final State allocations for the 2018 and 2019 school years are still subject to negotiation, the </w:t>
      </w:r>
      <w:r w:rsidRPr="00F34AED">
        <w:rPr>
          <w:i/>
        </w:rPr>
        <w:t>2014</w:t>
      </w:r>
      <w:r>
        <w:rPr>
          <w:i/>
        </w:rPr>
        <w:noBreakHyphen/>
      </w:r>
      <w:r w:rsidRPr="00F34AED">
        <w:rPr>
          <w:i/>
        </w:rPr>
        <w:t>15 Commonwealth Budget</w:t>
      </w:r>
      <w:r>
        <w:t xml:space="preserve"> indicated that Commonwealth funding for Victorian schools would be reduced to the rate of growth of the consumer price index, plus an adjustment for enrolment growth. This will significantly reduce Commonwealth growth funding to Victoria from 2017</w:t>
      </w:r>
      <w:r>
        <w:noBreakHyphen/>
        <w:t>18 onwards.</w:t>
      </w:r>
    </w:p>
    <w:p w:rsidR="00965D85" w:rsidRDefault="00965D85" w:rsidP="008B46DF">
      <w:pPr>
        <w:pStyle w:val="Heading3"/>
      </w:pPr>
      <w:r>
        <w:t>Universal Access to Early Childhood Education</w:t>
      </w:r>
    </w:p>
    <w:p w:rsidR="00965D85" w:rsidRPr="00F34AED" w:rsidRDefault="00965D85" w:rsidP="008B46DF">
      <w:r w:rsidRPr="007E4E2E">
        <w:t xml:space="preserve">Commonwealth funding under the </w:t>
      </w:r>
      <w:r>
        <w:t xml:space="preserve">National Partnership Agreement on Universal Access to </w:t>
      </w:r>
      <w:r w:rsidRPr="007E4E2E">
        <w:t xml:space="preserve">Early Childhood </w:t>
      </w:r>
      <w:r>
        <w:t>Education</w:t>
      </w:r>
      <w:r w:rsidRPr="007E4E2E">
        <w:t xml:space="preserve"> provides for </w:t>
      </w:r>
      <w:r>
        <w:t>one</w:t>
      </w:r>
      <w:r>
        <w:noBreakHyphen/>
        <w:t>third of the 15 </w:t>
      </w:r>
      <w:r w:rsidRPr="007E4E2E">
        <w:t>hours per week of pre</w:t>
      </w:r>
      <w:r>
        <w:noBreakHyphen/>
      </w:r>
      <w:r w:rsidRPr="007E4E2E">
        <w:t>school support per student</w:t>
      </w:r>
      <w:r>
        <w:t xml:space="preserve">. The </w:t>
      </w:r>
      <w:r w:rsidRPr="00544232">
        <w:rPr>
          <w:i/>
        </w:rPr>
        <w:t>2015</w:t>
      </w:r>
      <w:r>
        <w:rPr>
          <w:i/>
        </w:rPr>
        <w:noBreakHyphen/>
      </w:r>
      <w:r w:rsidRPr="00544232">
        <w:rPr>
          <w:i/>
        </w:rPr>
        <w:t>16 Commonwealth Budget</w:t>
      </w:r>
      <w:r w:rsidRPr="007E4E2E">
        <w:t xml:space="preserve"> </w:t>
      </w:r>
      <w:r>
        <w:t>indicated funding due to cease on 1 January 2016 will be continued to 31 December 2017, with ongoing Commonwealth</w:t>
      </w:r>
      <w:r w:rsidRPr="007E4E2E">
        <w:t xml:space="preserve"> funding uncertain.</w:t>
      </w:r>
    </w:p>
    <w:p w:rsidR="00965D85" w:rsidRPr="002E2383" w:rsidRDefault="00965D85" w:rsidP="008B46DF">
      <w:pPr>
        <w:pStyle w:val="Heading3"/>
      </w:pPr>
      <w:r w:rsidRPr="002E2383">
        <w:t>National Health Reform</w:t>
      </w:r>
    </w:p>
    <w:p w:rsidR="00965D85" w:rsidRDefault="00965D85" w:rsidP="008B46DF">
      <w:r>
        <w:t>Under the N</w:t>
      </w:r>
      <w:r w:rsidRPr="00664F12">
        <w:t xml:space="preserve">ational </w:t>
      </w:r>
      <w:r>
        <w:t xml:space="preserve">Health Reform Agreement (NHRA), </w:t>
      </w:r>
      <w:r w:rsidRPr="00664F12">
        <w:t xml:space="preserve">Commonwealth growth funding </w:t>
      </w:r>
      <w:r>
        <w:t xml:space="preserve">for </w:t>
      </w:r>
      <w:r w:rsidRPr="00664F12">
        <w:t xml:space="preserve">Victorian hospitals is derived from a complex model based on the number of procedures delivered (activity) and an efficient price determined by an independent administrator. </w:t>
      </w:r>
      <w:r w:rsidRPr="00644C88">
        <w:t>The</w:t>
      </w:r>
      <w:r w:rsidRPr="00664F12">
        <w:rPr>
          <w:i/>
        </w:rPr>
        <w:t xml:space="preserve"> 2014</w:t>
      </w:r>
      <w:r>
        <w:rPr>
          <w:i/>
        </w:rPr>
        <w:noBreakHyphen/>
      </w:r>
      <w:r w:rsidRPr="00664F12">
        <w:rPr>
          <w:i/>
        </w:rPr>
        <w:t>15 Commonwealth Budget</w:t>
      </w:r>
      <w:r w:rsidRPr="00664F12">
        <w:t xml:space="preserve"> announced that from </w:t>
      </w:r>
      <w:r>
        <w:t>1 July</w:t>
      </w:r>
      <w:r w:rsidRPr="00664F12">
        <w:t xml:space="preserve"> 2017, the Commonwealth will cease the NHRA and provide significantly lower growth funding based on the consumer price index and population growth. This </w:t>
      </w:r>
      <w:r>
        <w:t>will</w:t>
      </w:r>
      <w:r w:rsidRPr="00664F12">
        <w:t xml:space="preserve"> significantly reduce the Commonwealth contribution for Victorian hospitals from 2017</w:t>
      </w:r>
      <w:r>
        <w:noBreakHyphen/>
      </w:r>
      <w:r w:rsidRPr="00664F12">
        <w:t>18 onwards.</w:t>
      </w:r>
    </w:p>
    <w:p w:rsidR="00965D85" w:rsidRPr="0032210E" w:rsidRDefault="00965D85" w:rsidP="008B46DF">
      <w:pPr>
        <w:pStyle w:val="Heading3"/>
      </w:pPr>
      <w:r w:rsidRPr="0032210E">
        <w:t>Victoria</w:t>
      </w:r>
      <w:r>
        <w:t>’</w:t>
      </w:r>
      <w:r w:rsidRPr="0032210E">
        <w:t>s GST relativity</w:t>
      </w:r>
    </w:p>
    <w:p w:rsidR="00965D85" w:rsidRDefault="00965D85" w:rsidP="008B46DF">
      <w:pPr>
        <w:rPr>
          <w:lang w:eastAsia="en-AU"/>
        </w:rPr>
      </w:pPr>
      <w:r w:rsidRPr="0032210E">
        <w:rPr>
          <w:lang w:eastAsia="en-AU"/>
        </w:rPr>
        <w:t>Mining royalties are an important driver for the per capita relativities of each jurisdiction over the forward estimates. Royalty revenue is influenced by commodity prices, the value of the Australian dollar and production and export volumes. Forecasts reflect declining commodity prices, partially offset by rising production and export volumes. Variation in prices, relative to our current forecasts, particularly in iron ore and coal, pose a risk for Victoria</w:t>
      </w:r>
      <w:r>
        <w:rPr>
          <w:lang w:eastAsia="en-AU"/>
        </w:rPr>
        <w:t>’</w:t>
      </w:r>
      <w:r w:rsidRPr="0032210E">
        <w:rPr>
          <w:lang w:eastAsia="en-AU"/>
        </w:rPr>
        <w:t>s GST revenue.</w:t>
      </w:r>
    </w:p>
    <w:p w:rsidR="00965D85" w:rsidRDefault="00965D85" w:rsidP="008B46DF"/>
    <w:p w:rsidR="00965D85" w:rsidRDefault="00965D85" w:rsidP="008B46DF"/>
    <w:p w:rsidR="00965D85" w:rsidRDefault="00965D85" w:rsidP="008B46DF"/>
    <w:p w:rsidR="00965D85" w:rsidRDefault="00965D85" w:rsidP="008B46DF">
      <w:r>
        <w:br w:type="page"/>
      </w:r>
    </w:p>
    <w:p w:rsidR="00965D85" w:rsidRPr="00427D0E" w:rsidRDefault="00965D85" w:rsidP="008B46DF">
      <w:pPr>
        <w:pStyle w:val="Heading1"/>
      </w:pPr>
      <w:bookmarkStart w:id="40" w:name="_Toc436147537"/>
      <w:r>
        <w:lastRenderedPageBreak/>
        <w:t>Non</w:t>
      </w:r>
      <w:r>
        <w:noBreakHyphen/>
      </w:r>
      <w:r w:rsidRPr="00427D0E">
        <w:t>financial public sector</w:t>
      </w:r>
      <w:bookmarkEnd w:id="40"/>
    </w:p>
    <w:p w:rsidR="00965D85" w:rsidRPr="00F75C31" w:rsidRDefault="00965D85" w:rsidP="008B46DF">
      <w:r w:rsidRPr="00F75C31">
        <w:t>This section overviews the activities of the non</w:t>
      </w:r>
      <w:r>
        <w:noBreakHyphen/>
        <w:t>financial p</w:t>
      </w:r>
      <w:r w:rsidRPr="00F75C31">
        <w:t>ublic (NFP) sector, which consolidates the PNFC and general government sectors. The PNFC sector has a wide range of entities that provide s</w:t>
      </w:r>
      <w:r w:rsidRPr="00D33B08">
        <w:t>e</w:t>
      </w:r>
      <w:r w:rsidRPr="00F75C31">
        <w:t>rvices primarily funded from user charges and fees. The largest Victorian PNFCs provide water, housing, transport, and port services</w:t>
      </w:r>
      <w:r>
        <w:t xml:space="preserve">. </w:t>
      </w:r>
      <w:r w:rsidRPr="00F75C31">
        <w:t xml:space="preserve">An important measure of the </w:t>
      </w:r>
      <w:r>
        <w:t xml:space="preserve">State’s </w:t>
      </w:r>
      <w:r w:rsidRPr="00F75C31">
        <w:t xml:space="preserve">financial sustainability is the debt level of </w:t>
      </w:r>
      <w:r>
        <w:t xml:space="preserve">the </w:t>
      </w:r>
      <w:r w:rsidRPr="00F75C31">
        <w:t>NFP sector which is a key variable that supports the State</w:t>
      </w:r>
      <w:r>
        <w:t>’</w:t>
      </w:r>
      <w:r w:rsidRPr="00F75C31">
        <w:t>s triple</w:t>
      </w:r>
      <w:r>
        <w:noBreakHyphen/>
      </w:r>
      <w:r w:rsidRPr="00F75C31">
        <w:t>A credit rating.</w:t>
      </w:r>
    </w:p>
    <w:p w:rsidR="00965D85" w:rsidRPr="00F46EB3" w:rsidRDefault="00965D85" w:rsidP="008B46DF">
      <w:pPr>
        <w:pStyle w:val="Heading2"/>
      </w:pPr>
      <w:r>
        <w:t>Summary operating s</w:t>
      </w:r>
      <w:r w:rsidRPr="00F46EB3">
        <w:t>tatement</w:t>
      </w:r>
    </w:p>
    <w:p w:rsidR="00965D85" w:rsidRPr="002F202F" w:rsidRDefault="00965D85" w:rsidP="008B46DF">
      <w:pPr>
        <w:pStyle w:val="Tableheading"/>
        <w:rPr>
          <w:rFonts w:ascii="Times New Roman" w:hAnsi="Times New Roman"/>
          <w:b w:val="0"/>
          <w:sz w:val="20"/>
          <w:lang w:eastAsia="en-AU"/>
        </w:rPr>
      </w:pPr>
      <w:r w:rsidRPr="00F46EB3">
        <w:t>Table 3.6</w:t>
      </w:r>
      <w:r>
        <w:t>:</w:t>
      </w:r>
      <w:r>
        <w:tab/>
      </w:r>
      <w:r w:rsidRPr="00F46EB3">
        <w:t>Summary operating statement for the non</w:t>
      </w:r>
      <w:r>
        <w:noBreakHyphen/>
      </w:r>
      <w:r w:rsidRPr="00F46EB3">
        <w:t>financial public sector</w:t>
      </w:r>
      <w:r>
        <w:t xml:space="preserve"> </w:t>
      </w:r>
      <w:r w:rsidRPr="00F46EB3">
        <w:rPr>
          <w:vertAlign w:val="superscript"/>
        </w:rPr>
        <w:t>(a)</w:t>
      </w:r>
      <w:r>
        <w:rPr>
          <w:vertAlign w:val="superscript"/>
        </w:rPr>
        <w:fldChar w:fldCharType="begin" w:fldLock="1"/>
      </w:r>
      <w:r>
        <w:rPr>
          <w:vertAlign w:val="superscript"/>
        </w:rPr>
        <w:instrText xml:space="preserve"> LINK Excel.Sheet.12 "\\\\PDCPTPRDFIL01\\DTFDATA02$\\SECURED\\Budget\\BudgetUpdate\\Chapter3\\Chapter 3 NFPS WoG Tables.xlsx" Op_St_NFPS!OpSt_NFPS \f 4 \r \* MERGEFORMAT </w:instrText>
      </w:r>
      <w:r>
        <w:rPr>
          <w:vertAlign w:val="superscript"/>
        </w:rPr>
        <w:fldChar w:fldCharType="separate"/>
      </w:r>
    </w:p>
    <w:tbl>
      <w:tblPr>
        <w:tblW w:w="7767" w:type="dxa"/>
        <w:tblInd w:w="28" w:type="dxa"/>
        <w:tblLayout w:type="fixed"/>
        <w:tblCellMar>
          <w:left w:w="28" w:type="dxa"/>
          <w:right w:w="28" w:type="dxa"/>
        </w:tblCellMar>
        <w:tblLook w:val="0000" w:firstRow="0" w:lastRow="0" w:firstColumn="0" w:lastColumn="0" w:noHBand="0" w:noVBand="0"/>
      </w:tblPr>
      <w:tblGrid>
        <w:gridCol w:w="3969"/>
        <w:gridCol w:w="906"/>
        <w:gridCol w:w="964"/>
        <w:gridCol w:w="964"/>
        <w:gridCol w:w="964"/>
      </w:tblGrid>
      <w:tr w:rsidR="00965D85" w:rsidRPr="002F202F" w:rsidTr="008B46DF">
        <w:tc>
          <w:tcPr>
            <w:tcW w:w="7767" w:type="dxa"/>
            <w:gridSpan w:val="5"/>
            <w:tcBorders>
              <w:top w:val="nil"/>
              <w:left w:val="nil"/>
              <w:bottom w:val="nil"/>
              <w:right w:val="nil"/>
            </w:tcBorders>
          </w:tcPr>
          <w:p w:rsidR="00965D85" w:rsidRPr="002F202F" w:rsidRDefault="00965D85" w:rsidP="008B46DF">
            <w:pPr>
              <w:pStyle w:val="million"/>
              <w:rPr>
                <w:rFonts w:eastAsiaTheme="minorEastAsia" w:cs="Calibri"/>
                <w:iCs/>
                <w:color w:val="000000"/>
                <w:sz w:val="20"/>
                <w:lang w:eastAsia="en-AU"/>
              </w:rPr>
            </w:pPr>
            <w:r w:rsidRPr="002F202F">
              <w:rPr>
                <w:rFonts w:eastAsiaTheme="minorEastAsia"/>
                <w:lang w:eastAsia="en-AU"/>
              </w:rPr>
              <w:t>($ million</w:t>
            </w:r>
            <w:r w:rsidRPr="002F202F">
              <w:rPr>
                <w:rFonts w:eastAsiaTheme="minorEastAsia" w:cs="Calibri"/>
                <w:iCs/>
                <w:color w:val="000000"/>
                <w:sz w:val="20"/>
                <w:lang w:eastAsia="en-AU"/>
              </w:rPr>
              <w:t>)</w:t>
            </w:r>
          </w:p>
        </w:tc>
      </w:tr>
      <w:tr w:rsidR="00965D85" w:rsidRPr="002F202F" w:rsidTr="008B46DF">
        <w:trPr>
          <w:trHeight w:val="488"/>
        </w:trPr>
        <w:tc>
          <w:tcPr>
            <w:tcW w:w="3969" w:type="dxa"/>
            <w:tcBorders>
              <w:top w:val="nil"/>
              <w:left w:val="nil"/>
              <w:right w:val="nil"/>
            </w:tcBorders>
            <w:shd w:val="solid" w:color="000000" w:fill="FFFFFF"/>
          </w:tcPr>
          <w:p w:rsidR="00965D85" w:rsidRPr="002F202F" w:rsidRDefault="00965D85" w:rsidP="008B46DF">
            <w:pPr>
              <w:autoSpaceDE w:val="0"/>
              <w:autoSpaceDN w:val="0"/>
              <w:adjustRightInd w:val="0"/>
              <w:spacing w:after="0"/>
              <w:rPr>
                <w:rFonts w:ascii="Calibri" w:eastAsiaTheme="minorEastAsia" w:hAnsi="Calibri" w:cs="Calibri"/>
                <w:i/>
                <w:iCs/>
                <w:color w:val="FFFFFF"/>
                <w:sz w:val="20"/>
                <w:lang w:eastAsia="en-AU"/>
              </w:rPr>
            </w:pPr>
            <w:r w:rsidRPr="002F202F">
              <w:rPr>
                <w:rFonts w:ascii="Calibri" w:eastAsiaTheme="minorEastAsia" w:hAnsi="Calibri" w:cs="Calibri"/>
                <w:i/>
                <w:iCs/>
                <w:color w:val="FFFFFF"/>
                <w:sz w:val="20"/>
                <w:lang w:eastAsia="en-AU"/>
              </w:rPr>
              <w:t xml:space="preserve"> </w:t>
            </w:r>
          </w:p>
          <w:p w:rsidR="00965D85" w:rsidRPr="002F202F" w:rsidRDefault="00965D85" w:rsidP="008B46DF">
            <w:pPr>
              <w:autoSpaceDE w:val="0"/>
              <w:autoSpaceDN w:val="0"/>
              <w:adjustRightInd w:val="0"/>
              <w:spacing w:after="0"/>
              <w:rPr>
                <w:rFonts w:ascii="Calibri" w:eastAsiaTheme="minorEastAsia" w:hAnsi="Calibri" w:cs="Calibri"/>
                <w:i/>
                <w:iCs/>
                <w:color w:val="FFFFFF"/>
                <w:sz w:val="20"/>
                <w:lang w:eastAsia="en-AU"/>
              </w:rPr>
            </w:pPr>
            <w:r w:rsidRPr="002F202F">
              <w:rPr>
                <w:rFonts w:ascii="Calibri" w:eastAsiaTheme="minorEastAsia" w:hAnsi="Calibri" w:cs="Calibri"/>
                <w:i/>
                <w:iCs/>
                <w:color w:val="FFFFFF"/>
                <w:sz w:val="20"/>
                <w:lang w:eastAsia="en-AU"/>
              </w:rPr>
              <w:t xml:space="preserve"> </w:t>
            </w:r>
          </w:p>
        </w:tc>
        <w:tc>
          <w:tcPr>
            <w:tcW w:w="906" w:type="dxa"/>
            <w:tcBorders>
              <w:top w:val="nil"/>
              <w:left w:val="nil"/>
              <w:right w:val="nil"/>
            </w:tcBorders>
            <w:shd w:val="solid" w:color="000000" w:fill="FFFFFF"/>
          </w:tcPr>
          <w:p w:rsidR="00965D85" w:rsidRPr="002F202F"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2F202F">
              <w:rPr>
                <w:rFonts w:ascii="Calibri" w:eastAsiaTheme="minorEastAsia" w:hAnsi="Calibri" w:cs="Calibri"/>
                <w:i/>
                <w:iCs/>
                <w:color w:val="FFFFFF"/>
                <w:sz w:val="20"/>
                <w:lang w:eastAsia="en-AU"/>
              </w:rPr>
              <w:t>2015</w:t>
            </w:r>
            <w:r>
              <w:rPr>
                <w:rFonts w:ascii="Calibri" w:eastAsiaTheme="minorEastAsia" w:hAnsi="Calibri" w:cs="Calibri"/>
                <w:i/>
                <w:iCs/>
                <w:color w:val="FFFFFF"/>
                <w:sz w:val="20"/>
                <w:lang w:eastAsia="en-AU"/>
              </w:rPr>
              <w:noBreakHyphen/>
            </w:r>
            <w:r w:rsidRPr="002F202F">
              <w:rPr>
                <w:rFonts w:ascii="Calibri" w:eastAsiaTheme="minorEastAsia" w:hAnsi="Calibri" w:cs="Calibri"/>
                <w:i/>
                <w:iCs/>
                <w:color w:val="FFFFFF"/>
                <w:sz w:val="20"/>
                <w:lang w:eastAsia="en-AU"/>
              </w:rPr>
              <w:t xml:space="preserve">16 </w:t>
            </w:r>
          </w:p>
          <w:p w:rsidR="00965D85" w:rsidRPr="002F202F"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2F202F">
              <w:rPr>
                <w:rFonts w:ascii="Calibri" w:eastAsiaTheme="minorEastAsia" w:hAnsi="Calibri" w:cs="Calibri"/>
                <w:i/>
                <w:iCs/>
                <w:color w:val="FFFFFF"/>
                <w:sz w:val="20"/>
                <w:lang w:eastAsia="en-AU"/>
              </w:rPr>
              <w:t>revised</w:t>
            </w:r>
          </w:p>
        </w:tc>
        <w:tc>
          <w:tcPr>
            <w:tcW w:w="964" w:type="dxa"/>
            <w:tcBorders>
              <w:top w:val="nil"/>
              <w:left w:val="nil"/>
              <w:right w:val="nil"/>
            </w:tcBorders>
            <w:shd w:val="solid" w:color="000000" w:fill="FFFFFF"/>
          </w:tcPr>
          <w:p w:rsidR="00965D85" w:rsidRPr="002F202F"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2F202F">
              <w:rPr>
                <w:rFonts w:ascii="Calibri" w:eastAsiaTheme="minorEastAsia" w:hAnsi="Calibri" w:cs="Calibri"/>
                <w:i/>
                <w:iCs/>
                <w:color w:val="FFFFFF"/>
                <w:sz w:val="20"/>
                <w:lang w:eastAsia="en-AU"/>
              </w:rPr>
              <w:t>2016</w:t>
            </w:r>
            <w:r>
              <w:rPr>
                <w:rFonts w:ascii="Calibri" w:eastAsiaTheme="minorEastAsia" w:hAnsi="Calibri" w:cs="Calibri"/>
                <w:i/>
                <w:iCs/>
                <w:color w:val="FFFFFF"/>
                <w:sz w:val="20"/>
                <w:lang w:eastAsia="en-AU"/>
              </w:rPr>
              <w:noBreakHyphen/>
            </w:r>
            <w:r w:rsidRPr="002F202F">
              <w:rPr>
                <w:rFonts w:ascii="Calibri" w:eastAsiaTheme="minorEastAsia" w:hAnsi="Calibri" w:cs="Calibri"/>
                <w:i/>
                <w:iCs/>
                <w:color w:val="FFFFFF"/>
                <w:sz w:val="20"/>
                <w:lang w:eastAsia="en-AU"/>
              </w:rPr>
              <w:t xml:space="preserve">17 </w:t>
            </w:r>
          </w:p>
          <w:p w:rsidR="00965D85" w:rsidRPr="002F202F"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2F202F">
              <w:rPr>
                <w:rFonts w:ascii="Calibri" w:eastAsiaTheme="minorEastAsia" w:hAnsi="Calibri" w:cs="Calibri"/>
                <w:i/>
                <w:iCs/>
                <w:color w:val="FFFFFF"/>
                <w:sz w:val="20"/>
                <w:lang w:eastAsia="en-AU"/>
              </w:rPr>
              <w:t>estimate</w:t>
            </w:r>
          </w:p>
        </w:tc>
        <w:tc>
          <w:tcPr>
            <w:tcW w:w="964" w:type="dxa"/>
            <w:tcBorders>
              <w:top w:val="nil"/>
              <w:left w:val="nil"/>
              <w:right w:val="nil"/>
            </w:tcBorders>
            <w:shd w:val="solid" w:color="000000" w:fill="FFFFFF"/>
          </w:tcPr>
          <w:p w:rsidR="00965D85" w:rsidRPr="002F202F"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2F202F">
              <w:rPr>
                <w:rFonts w:ascii="Calibri" w:eastAsiaTheme="minorEastAsia" w:hAnsi="Calibri" w:cs="Calibri"/>
                <w:i/>
                <w:iCs/>
                <w:color w:val="FFFFFF"/>
                <w:sz w:val="20"/>
                <w:lang w:eastAsia="en-AU"/>
              </w:rPr>
              <w:t>2017</w:t>
            </w:r>
            <w:r>
              <w:rPr>
                <w:rFonts w:ascii="Calibri" w:eastAsiaTheme="minorEastAsia" w:hAnsi="Calibri" w:cs="Calibri"/>
                <w:i/>
                <w:iCs/>
                <w:color w:val="FFFFFF"/>
                <w:sz w:val="20"/>
                <w:lang w:eastAsia="en-AU"/>
              </w:rPr>
              <w:noBreakHyphen/>
            </w:r>
            <w:r w:rsidRPr="002F202F">
              <w:rPr>
                <w:rFonts w:ascii="Calibri" w:eastAsiaTheme="minorEastAsia" w:hAnsi="Calibri" w:cs="Calibri"/>
                <w:i/>
                <w:iCs/>
                <w:color w:val="FFFFFF"/>
                <w:sz w:val="20"/>
                <w:lang w:eastAsia="en-AU"/>
              </w:rPr>
              <w:t xml:space="preserve">18 </w:t>
            </w:r>
          </w:p>
          <w:p w:rsidR="00965D85" w:rsidRPr="002F202F"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2F202F">
              <w:rPr>
                <w:rFonts w:ascii="Calibri" w:eastAsiaTheme="minorEastAsia" w:hAnsi="Calibri" w:cs="Calibri"/>
                <w:i/>
                <w:iCs/>
                <w:color w:val="FFFFFF"/>
                <w:sz w:val="20"/>
                <w:lang w:eastAsia="en-AU"/>
              </w:rPr>
              <w:t>estimate</w:t>
            </w:r>
          </w:p>
        </w:tc>
        <w:tc>
          <w:tcPr>
            <w:tcW w:w="964" w:type="dxa"/>
            <w:tcBorders>
              <w:top w:val="nil"/>
              <w:left w:val="nil"/>
              <w:right w:val="nil"/>
            </w:tcBorders>
            <w:shd w:val="solid" w:color="000000" w:fill="FFFFFF"/>
          </w:tcPr>
          <w:p w:rsidR="00965D85" w:rsidRPr="002F202F"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2F202F">
              <w:rPr>
                <w:rFonts w:ascii="Calibri" w:eastAsiaTheme="minorEastAsia" w:hAnsi="Calibri" w:cs="Calibri"/>
                <w:i/>
                <w:iCs/>
                <w:color w:val="FFFFFF"/>
                <w:sz w:val="20"/>
                <w:lang w:eastAsia="en-AU"/>
              </w:rPr>
              <w:t>2018</w:t>
            </w:r>
            <w:r>
              <w:rPr>
                <w:rFonts w:ascii="Calibri" w:eastAsiaTheme="minorEastAsia" w:hAnsi="Calibri" w:cs="Calibri"/>
                <w:i/>
                <w:iCs/>
                <w:color w:val="FFFFFF"/>
                <w:sz w:val="20"/>
                <w:lang w:eastAsia="en-AU"/>
              </w:rPr>
              <w:noBreakHyphen/>
            </w:r>
            <w:r w:rsidRPr="002F202F">
              <w:rPr>
                <w:rFonts w:ascii="Calibri" w:eastAsiaTheme="minorEastAsia" w:hAnsi="Calibri" w:cs="Calibri"/>
                <w:i/>
                <w:iCs/>
                <w:color w:val="FFFFFF"/>
                <w:sz w:val="20"/>
                <w:lang w:eastAsia="en-AU"/>
              </w:rPr>
              <w:t xml:space="preserve">19 </w:t>
            </w:r>
          </w:p>
          <w:p w:rsidR="00965D85" w:rsidRPr="002F202F"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2F202F">
              <w:rPr>
                <w:rFonts w:ascii="Calibri" w:eastAsiaTheme="minorEastAsia" w:hAnsi="Calibri" w:cs="Calibri"/>
                <w:i/>
                <w:iCs/>
                <w:color w:val="FFFFFF"/>
                <w:sz w:val="20"/>
                <w:lang w:eastAsia="en-AU"/>
              </w:rPr>
              <w:t>estimate</w:t>
            </w:r>
          </w:p>
        </w:tc>
      </w:tr>
      <w:tr w:rsidR="00965D85" w:rsidRPr="002F202F" w:rsidTr="008B46DF">
        <w:tc>
          <w:tcPr>
            <w:tcW w:w="3969" w:type="dxa"/>
            <w:tcBorders>
              <w:top w:val="nil"/>
              <w:left w:val="nil"/>
              <w:right w:val="nil"/>
            </w:tcBorders>
            <w:shd w:val="clear" w:color="auto" w:fill="FFFFFF"/>
          </w:tcPr>
          <w:p w:rsidR="00965D85" w:rsidRPr="002F202F"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Taxation revenue</w:t>
            </w:r>
          </w:p>
        </w:tc>
        <w:tc>
          <w:tcPr>
            <w:tcW w:w="906" w:type="dxa"/>
            <w:tcBorders>
              <w:top w:val="nil"/>
              <w:left w:val="nil"/>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19 003</w:t>
            </w:r>
          </w:p>
        </w:tc>
        <w:tc>
          <w:tcPr>
            <w:tcW w:w="964" w:type="dxa"/>
            <w:tcBorders>
              <w:top w:val="nil"/>
              <w:left w:val="nil"/>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19 789</w:t>
            </w:r>
          </w:p>
        </w:tc>
        <w:tc>
          <w:tcPr>
            <w:tcW w:w="964" w:type="dxa"/>
            <w:tcBorders>
              <w:top w:val="nil"/>
              <w:left w:val="nil"/>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20 294</w:t>
            </w:r>
          </w:p>
        </w:tc>
        <w:tc>
          <w:tcPr>
            <w:tcW w:w="964" w:type="dxa"/>
            <w:tcBorders>
              <w:top w:val="nil"/>
              <w:left w:val="nil"/>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21 174</w:t>
            </w:r>
          </w:p>
        </w:tc>
      </w:tr>
      <w:tr w:rsidR="00965D85" w:rsidRPr="002F202F" w:rsidTr="008B46DF">
        <w:tc>
          <w:tcPr>
            <w:tcW w:w="3969" w:type="dxa"/>
            <w:tcBorders>
              <w:top w:val="nil"/>
              <w:left w:val="nil"/>
              <w:right w:val="nil"/>
            </w:tcBorders>
            <w:shd w:val="clear" w:color="auto" w:fill="FFFFFF"/>
          </w:tcPr>
          <w:p w:rsidR="00965D85" w:rsidRPr="002F202F"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Interest revenue</w:t>
            </w:r>
          </w:p>
        </w:tc>
        <w:tc>
          <w:tcPr>
            <w:tcW w:w="906" w:type="dxa"/>
            <w:tcBorders>
              <w:top w:val="nil"/>
              <w:left w:val="nil"/>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 xml:space="preserve"> 341</w:t>
            </w:r>
          </w:p>
        </w:tc>
        <w:tc>
          <w:tcPr>
            <w:tcW w:w="964" w:type="dxa"/>
            <w:tcBorders>
              <w:top w:val="nil"/>
              <w:left w:val="nil"/>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 xml:space="preserve"> 347</w:t>
            </w:r>
          </w:p>
        </w:tc>
        <w:tc>
          <w:tcPr>
            <w:tcW w:w="964" w:type="dxa"/>
            <w:tcBorders>
              <w:top w:val="nil"/>
              <w:left w:val="nil"/>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 xml:space="preserve"> 372</w:t>
            </w:r>
          </w:p>
        </w:tc>
        <w:tc>
          <w:tcPr>
            <w:tcW w:w="964" w:type="dxa"/>
            <w:tcBorders>
              <w:top w:val="nil"/>
              <w:left w:val="nil"/>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 xml:space="preserve"> 378</w:t>
            </w:r>
          </w:p>
        </w:tc>
      </w:tr>
      <w:tr w:rsidR="00965D85" w:rsidRPr="002F202F" w:rsidTr="008B46DF">
        <w:tc>
          <w:tcPr>
            <w:tcW w:w="3969" w:type="dxa"/>
            <w:tcBorders>
              <w:top w:val="nil"/>
              <w:left w:val="nil"/>
              <w:right w:val="nil"/>
            </w:tcBorders>
            <w:shd w:val="clear" w:color="auto" w:fill="FFFFFF"/>
          </w:tcPr>
          <w:p w:rsidR="00965D85" w:rsidRPr="002F202F" w:rsidRDefault="00965D85" w:rsidP="008B46DF">
            <w:pPr>
              <w:autoSpaceDE w:val="0"/>
              <w:autoSpaceDN w:val="0"/>
              <w:adjustRightInd w:val="0"/>
              <w:spacing w:after="0"/>
              <w:ind w:left="227" w:hanging="227"/>
              <w:rPr>
                <w:rFonts w:ascii="Calibri" w:eastAsiaTheme="minorEastAsia" w:hAnsi="Calibri" w:cs="Calibri"/>
                <w:color w:val="000000"/>
                <w:sz w:val="20"/>
                <w:vertAlign w:val="superscript"/>
                <w:lang w:eastAsia="en-AU"/>
              </w:rPr>
            </w:pPr>
            <w:r w:rsidRPr="002F202F">
              <w:rPr>
                <w:rFonts w:ascii="Calibri" w:eastAsiaTheme="minorEastAsia" w:hAnsi="Calibri" w:cs="Calibri"/>
                <w:color w:val="000000"/>
                <w:sz w:val="20"/>
                <w:lang w:eastAsia="en-AU"/>
              </w:rPr>
              <w:t xml:space="preserve">Dividends and income tax equivalent and rate equivalent revenue </w:t>
            </w:r>
            <w:r w:rsidRPr="002F202F">
              <w:rPr>
                <w:rFonts w:ascii="Calibri" w:eastAsiaTheme="minorEastAsia" w:hAnsi="Calibri" w:cs="Calibri"/>
                <w:color w:val="000000"/>
                <w:sz w:val="20"/>
                <w:vertAlign w:val="superscript"/>
                <w:lang w:eastAsia="en-AU"/>
              </w:rPr>
              <w:t>(b)</w:t>
            </w:r>
          </w:p>
        </w:tc>
        <w:tc>
          <w:tcPr>
            <w:tcW w:w="906" w:type="dxa"/>
            <w:tcBorders>
              <w:top w:val="nil"/>
              <w:left w:val="nil"/>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 xml:space="preserve"> 659</w:t>
            </w:r>
          </w:p>
        </w:tc>
        <w:tc>
          <w:tcPr>
            <w:tcW w:w="964" w:type="dxa"/>
            <w:tcBorders>
              <w:top w:val="nil"/>
              <w:left w:val="nil"/>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 xml:space="preserve"> 628</w:t>
            </w:r>
          </w:p>
        </w:tc>
        <w:tc>
          <w:tcPr>
            <w:tcW w:w="964" w:type="dxa"/>
            <w:tcBorders>
              <w:top w:val="nil"/>
              <w:left w:val="nil"/>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 xml:space="preserve"> 660</w:t>
            </w:r>
          </w:p>
        </w:tc>
        <w:tc>
          <w:tcPr>
            <w:tcW w:w="964" w:type="dxa"/>
            <w:tcBorders>
              <w:top w:val="nil"/>
              <w:left w:val="nil"/>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 xml:space="preserve"> 512</w:t>
            </w:r>
          </w:p>
        </w:tc>
      </w:tr>
      <w:tr w:rsidR="00965D85" w:rsidRPr="002F202F" w:rsidTr="008B46DF">
        <w:tc>
          <w:tcPr>
            <w:tcW w:w="3969" w:type="dxa"/>
            <w:tcBorders>
              <w:top w:val="nil"/>
              <w:left w:val="nil"/>
              <w:right w:val="nil"/>
            </w:tcBorders>
            <w:shd w:val="clear" w:color="auto" w:fill="FFFFFF"/>
          </w:tcPr>
          <w:p w:rsidR="00965D85" w:rsidRPr="002F202F"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Sales of goods and services</w:t>
            </w:r>
          </w:p>
        </w:tc>
        <w:tc>
          <w:tcPr>
            <w:tcW w:w="906" w:type="dxa"/>
            <w:tcBorders>
              <w:top w:val="nil"/>
              <w:left w:val="nil"/>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10 810</w:t>
            </w:r>
          </w:p>
        </w:tc>
        <w:tc>
          <w:tcPr>
            <w:tcW w:w="964" w:type="dxa"/>
            <w:tcBorders>
              <w:top w:val="nil"/>
              <w:left w:val="nil"/>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10 584</w:t>
            </w:r>
          </w:p>
        </w:tc>
        <w:tc>
          <w:tcPr>
            <w:tcW w:w="964" w:type="dxa"/>
            <w:tcBorders>
              <w:top w:val="nil"/>
              <w:left w:val="nil"/>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10 848</w:t>
            </w:r>
          </w:p>
        </w:tc>
        <w:tc>
          <w:tcPr>
            <w:tcW w:w="964" w:type="dxa"/>
            <w:tcBorders>
              <w:top w:val="nil"/>
              <w:left w:val="nil"/>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11 079</w:t>
            </w:r>
          </w:p>
        </w:tc>
      </w:tr>
      <w:tr w:rsidR="00965D85" w:rsidRPr="002F202F" w:rsidTr="008B46DF">
        <w:tc>
          <w:tcPr>
            <w:tcW w:w="3969" w:type="dxa"/>
            <w:tcBorders>
              <w:top w:val="nil"/>
              <w:left w:val="nil"/>
              <w:right w:val="nil"/>
            </w:tcBorders>
            <w:shd w:val="clear" w:color="auto" w:fill="FFFFFF"/>
          </w:tcPr>
          <w:p w:rsidR="00965D85" w:rsidRPr="002F202F"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Grant revenue</w:t>
            </w:r>
          </w:p>
        </w:tc>
        <w:tc>
          <w:tcPr>
            <w:tcW w:w="906" w:type="dxa"/>
            <w:tcBorders>
              <w:top w:val="nil"/>
              <w:left w:val="nil"/>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25 447</w:t>
            </w:r>
          </w:p>
        </w:tc>
        <w:tc>
          <w:tcPr>
            <w:tcW w:w="964" w:type="dxa"/>
            <w:tcBorders>
              <w:top w:val="nil"/>
              <w:left w:val="nil"/>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26 004</w:t>
            </w:r>
          </w:p>
        </w:tc>
        <w:tc>
          <w:tcPr>
            <w:tcW w:w="964" w:type="dxa"/>
            <w:tcBorders>
              <w:top w:val="nil"/>
              <w:left w:val="nil"/>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27 816</w:t>
            </w:r>
          </w:p>
        </w:tc>
        <w:tc>
          <w:tcPr>
            <w:tcW w:w="964" w:type="dxa"/>
            <w:tcBorders>
              <w:top w:val="nil"/>
              <w:left w:val="nil"/>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28 353</w:t>
            </w:r>
          </w:p>
        </w:tc>
      </w:tr>
      <w:tr w:rsidR="00965D85" w:rsidRPr="002F202F" w:rsidTr="008B46DF">
        <w:tc>
          <w:tcPr>
            <w:tcW w:w="3969" w:type="dxa"/>
            <w:tcBorders>
              <w:top w:val="nil"/>
              <w:left w:val="nil"/>
              <w:bottom w:val="single" w:sz="6" w:space="0" w:color="auto"/>
              <w:right w:val="nil"/>
            </w:tcBorders>
            <w:shd w:val="clear" w:color="auto" w:fill="FFFFFF"/>
          </w:tcPr>
          <w:p w:rsidR="00965D85" w:rsidRPr="002F202F"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Other revenue</w:t>
            </w:r>
          </w:p>
        </w:tc>
        <w:tc>
          <w:tcPr>
            <w:tcW w:w="906" w:type="dxa"/>
            <w:tcBorders>
              <w:top w:val="nil"/>
              <w:left w:val="nil"/>
              <w:bottom w:val="single" w:sz="6" w:space="0" w:color="auto"/>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2 903</w:t>
            </w:r>
          </w:p>
        </w:tc>
        <w:tc>
          <w:tcPr>
            <w:tcW w:w="964" w:type="dxa"/>
            <w:tcBorders>
              <w:top w:val="nil"/>
              <w:left w:val="nil"/>
              <w:bottom w:val="single" w:sz="6" w:space="0" w:color="auto"/>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2 984</w:t>
            </w:r>
          </w:p>
        </w:tc>
        <w:tc>
          <w:tcPr>
            <w:tcW w:w="964" w:type="dxa"/>
            <w:tcBorders>
              <w:top w:val="nil"/>
              <w:left w:val="nil"/>
              <w:bottom w:val="single" w:sz="6" w:space="0" w:color="auto"/>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2 946</w:t>
            </w:r>
          </w:p>
        </w:tc>
        <w:tc>
          <w:tcPr>
            <w:tcW w:w="964" w:type="dxa"/>
            <w:tcBorders>
              <w:top w:val="nil"/>
              <w:left w:val="nil"/>
              <w:bottom w:val="single" w:sz="6" w:space="0" w:color="auto"/>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2 964</w:t>
            </w:r>
          </w:p>
        </w:tc>
      </w:tr>
      <w:tr w:rsidR="00965D85" w:rsidRPr="002F202F" w:rsidTr="008B46DF">
        <w:tc>
          <w:tcPr>
            <w:tcW w:w="3969" w:type="dxa"/>
            <w:tcBorders>
              <w:top w:val="single" w:sz="6" w:space="0" w:color="auto"/>
              <w:left w:val="nil"/>
              <w:right w:val="nil"/>
            </w:tcBorders>
            <w:shd w:val="clear" w:color="auto" w:fill="FFFFFF"/>
          </w:tcPr>
          <w:p w:rsidR="00965D85" w:rsidRPr="002F202F" w:rsidRDefault="00965D85" w:rsidP="008B46DF">
            <w:pPr>
              <w:autoSpaceDE w:val="0"/>
              <w:autoSpaceDN w:val="0"/>
              <w:adjustRightInd w:val="0"/>
              <w:spacing w:after="0"/>
              <w:ind w:left="227" w:hanging="227"/>
              <w:rPr>
                <w:rFonts w:ascii="Calibri" w:eastAsiaTheme="minorEastAsia" w:hAnsi="Calibri" w:cs="Calibri"/>
                <w:b/>
                <w:bCs/>
                <w:color w:val="000000"/>
                <w:sz w:val="20"/>
                <w:lang w:eastAsia="en-AU"/>
              </w:rPr>
            </w:pPr>
            <w:r w:rsidRPr="002F202F">
              <w:rPr>
                <w:rFonts w:ascii="Calibri" w:eastAsiaTheme="minorEastAsia" w:hAnsi="Calibri" w:cs="Calibri"/>
                <w:b/>
                <w:bCs/>
                <w:color w:val="000000"/>
                <w:sz w:val="20"/>
                <w:lang w:eastAsia="en-AU"/>
              </w:rPr>
              <w:t>Total revenue from transactions</w:t>
            </w:r>
          </w:p>
        </w:tc>
        <w:tc>
          <w:tcPr>
            <w:tcW w:w="906" w:type="dxa"/>
            <w:tcBorders>
              <w:top w:val="single" w:sz="6" w:space="0" w:color="auto"/>
              <w:left w:val="nil"/>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b/>
                <w:color w:val="000000"/>
                <w:sz w:val="20"/>
                <w:lang w:eastAsia="en-AU"/>
              </w:rPr>
            </w:pPr>
            <w:r w:rsidRPr="002F202F">
              <w:rPr>
                <w:rFonts w:ascii="Calibri" w:eastAsiaTheme="minorEastAsia" w:hAnsi="Calibri" w:cs="Calibri"/>
                <w:b/>
                <w:color w:val="000000"/>
                <w:sz w:val="20"/>
                <w:lang w:eastAsia="en-AU"/>
              </w:rPr>
              <w:t>59 163</w:t>
            </w:r>
          </w:p>
        </w:tc>
        <w:tc>
          <w:tcPr>
            <w:tcW w:w="964" w:type="dxa"/>
            <w:tcBorders>
              <w:top w:val="single" w:sz="6" w:space="0" w:color="auto"/>
              <w:left w:val="nil"/>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b/>
                <w:color w:val="000000"/>
                <w:sz w:val="20"/>
                <w:lang w:eastAsia="en-AU"/>
              </w:rPr>
            </w:pPr>
            <w:r w:rsidRPr="002F202F">
              <w:rPr>
                <w:rFonts w:ascii="Calibri" w:eastAsiaTheme="minorEastAsia" w:hAnsi="Calibri" w:cs="Calibri"/>
                <w:b/>
                <w:color w:val="000000"/>
                <w:sz w:val="20"/>
                <w:lang w:eastAsia="en-AU"/>
              </w:rPr>
              <w:t>60 336</w:t>
            </w:r>
          </w:p>
        </w:tc>
        <w:tc>
          <w:tcPr>
            <w:tcW w:w="964" w:type="dxa"/>
            <w:tcBorders>
              <w:top w:val="single" w:sz="6" w:space="0" w:color="auto"/>
              <w:left w:val="nil"/>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b/>
                <w:color w:val="000000"/>
                <w:sz w:val="20"/>
                <w:lang w:eastAsia="en-AU"/>
              </w:rPr>
            </w:pPr>
            <w:r w:rsidRPr="002F202F">
              <w:rPr>
                <w:rFonts w:ascii="Calibri" w:eastAsiaTheme="minorEastAsia" w:hAnsi="Calibri" w:cs="Calibri"/>
                <w:b/>
                <w:color w:val="000000"/>
                <w:sz w:val="20"/>
                <w:lang w:eastAsia="en-AU"/>
              </w:rPr>
              <w:t>62 935</w:t>
            </w:r>
          </w:p>
        </w:tc>
        <w:tc>
          <w:tcPr>
            <w:tcW w:w="964" w:type="dxa"/>
            <w:tcBorders>
              <w:top w:val="single" w:sz="6" w:space="0" w:color="auto"/>
              <w:left w:val="nil"/>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b/>
                <w:color w:val="000000"/>
                <w:sz w:val="20"/>
                <w:lang w:eastAsia="en-AU"/>
              </w:rPr>
            </w:pPr>
            <w:r w:rsidRPr="002F202F">
              <w:rPr>
                <w:rFonts w:ascii="Calibri" w:eastAsiaTheme="minorEastAsia" w:hAnsi="Calibri" w:cs="Calibri"/>
                <w:b/>
                <w:color w:val="000000"/>
                <w:sz w:val="20"/>
                <w:lang w:eastAsia="en-AU"/>
              </w:rPr>
              <w:t>64 459</w:t>
            </w:r>
          </w:p>
        </w:tc>
      </w:tr>
      <w:tr w:rsidR="00965D85" w:rsidRPr="002F202F" w:rsidTr="008B46DF">
        <w:tc>
          <w:tcPr>
            <w:tcW w:w="3969" w:type="dxa"/>
            <w:tcBorders>
              <w:top w:val="nil"/>
              <w:left w:val="nil"/>
              <w:right w:val="nil"/>
            </w:tcBorders>
            <w:shd w:val="clear" w:color="auto" w:fill="FFFFFF"/>
          </w:tcPr>
          <w:p w:rsidR="00965D85" w:rsidRPr="002F202F" w:rsidRDefault="00965D85" w:rsidP="008B46DF">
            <w:pPr>
              <w:autoSpaceDE w:val="0"/>
              <w:autoSpaceDN w:val="0"/>
              <w:adjustRightInd w:val="0"/>
              <w:spacing w:after="0"/>
              <w:ind w:left="227" w:hanging="227"/>
              <w:rPr>
                <w:rFonts w:ascii="Calibri" w:eastAsiaTheme="minorEastAsia" w:hAnsi="Calibri" w:cs="Calibri"/>
                <w:i/>
                <w:iCs/>
                <w:color w:val="000000"/>
                <w:sz w:val="20"/>
                <w:vertAlign w:val="superscript"/>
                <w:lang w:eastAsia="en-AU"/>
              </w:rPr>
            </w:pPr>
            <w:r w:rsidRPr="002F202F">
              <w:rPr>
                <w:rFonts w:ascii="Calibri" w:eastAsiaTheme="minorEastAsia" w:hAnsi="Calibri" w:cs="Calibri"/>
                <w:i/>
                <w:iCs/>
                <w:color w:val="000000"/>
                <w:sz w:val="20"/>
                <w:lang w:eastAsia="en-AU"/>
              </w:rPr>
              <w:t xml:space="preserve">% change </w:t>
            </w:r>
            <w:r w:rsidRPr="002F202F">
              <w:rPr>
                <w:rFonts w:ascii="Calibri" w:eastAsiaTheme="minorEastAsia" w:hAnsi="Calibri" w:cs="Calibri"/>
                <w:i/>
                <w:iCs/>
                <w:color w:val="000000"/>
                <w:sz w:val="20"/>
                <w:vertAlign w:val="superscript"/>
                <w:lang w:eastAsia="en-AU"/>
              </w:rPr>
              <w:t>(c)</w:t>
            </w:r>
          </w:p>
        </w:tc>
        <w:tc>
          <w:tcPr>
            <w:tcW w:w="906" w:type="dxa"/>
            <w:tcBorders>
              <w:top w:val="nil"/>
              <w:left w:val="nil"/>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3.3</w:t>
            </w:r>
          </w:p>
        </w:tc>
        <w:tc>
          <w:tcPr>
            <w:tcW w:w="964" w:type="dxa"/>
            <w:tcBorders>
              <w:top w:val="nil"/>
              <w:left w:val="nil"/>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2.0</w:t>
            </w:r>
          </w:p>
        </w:tc>
        <w:tc>
          <w:tcPr>
            <w:tcW w:w="964" w:type="dxa"/>
            <w:tcBorders>
              <w:top w:val="nil"/>
              <w:left w:val="nil"/>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4.3</w:t>
            </w:r>
          </w:p>
        </w:tc>
        <w:tc>
          <w:tcPr>
            <w:tcW w:w="964" w:type="dxa"/>
            <w:tcBorders>
              <w:top w:val="nil"/>
              <w:left w:val="nil"/>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2.4</w:t>
            </w:r>
          </w:p>
        </w:tc>
      </w:tr>
      <w:tr w:rsidR="00965D85" w:rsidRPr="002F202F" w:rsidTr="008B46DF">
        <w:tc>
          <w:tcPr>
            <w:tcW w:w="3969" w:type="dxa"/>
            <w:tcBorders>
              <w:top w:val="nil"/>
              <w:left w:val="nil"/>
              <w:right w:val="nil"/>
            </w:tcBorders>
            <w:shd w:val="clear" w:color="auto" w:fill="FFFFFF"/>
          </w:tcPr>
          <w:p w:rsidR="00965D85" w:rsidRPr="002F202F" w:rsidRDefault="00965D85" w:rsidP="008B46DF">
            <w:pPr>
              <w:autoSpaceDE w:val="0"/>
              <w:autoSpaceDN w:val="0"/>
              <w:adjustRightInd w:val="0"/>
              <w:spacing w:after="0"/>
              <w:ind w:left="227" w:hanging="227"/>
              <w:rPr>
                <w:rFonts w:ascii="Calibri" w:eastAsiaTheme="minorEastAsia" w:hAnsi="Calibri" w:cs="Calibri"/>
                <w:b/>
                <w:bCs/>
                <w:color w:val="000000"/>
                <w:sz w:val="20"/>
                <w:lang w:eastAsia="en-AU"/>
              </w:rPr>
            </w:pPr>
            <w:r w:rsidRPr="002F202F">
              <w:rPr>
                <w:rFonts w:ascii="Calibri" w:eastAsiaTheme="minorEastAsia" w:hAnsi="Calibri" w:cs="Calibri"/>
                <w:b/>
                <w:bCs/>
                <w:color w:val="000000"/>
                <w:sz w:val="20"/>
                <w:lang w:eastAsia="en-AU"/>
              </w:rPr>
              <w:t>Expenses from transactions</w:t>
            </w:r>
          </w:p>
        </w:tc>
        <w:tc>
          <w:tcPr>
            <w:tcW w:w="906" w:type="dxa"/>
            <w:tcBorders>
              <w:top w:val="nil"/>
              <w:left w:val="nil"/>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 xml:space="preserve"> </w:t>
            </w:r>
          </w:p>
        </w:tc>
        <w:tc>
          <w:tcPr>
            <w:tcW w:w="964" w:type="dxa"/>
            <w:tcBorders>
              <w:top w:val="nil"/>
              <w:left w:val="nil"/>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 xml:space="preserve"> </w:t>
            </w:r>
          </w:p>
        </w:tc>
        <w:tc>
          <w:tcPr>
            <w:tcW w:w="964" w:type="dxa"/>
            <w:tcBorders>
              <w:top w:val="nil"/>
              <w:left w:val="nil"/>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 xml:space="preserve"> </w:t>
            </w:r>
          </w:p>
        </w:tc>
        <w:tc>
          <w:tcPr>
            <w:tcW w:w="964" w:type="dxa"/>
            <w:tcBorders>
              <w:top w:val="nil"/>
              <w:left w:val="nil"/>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 xml:space="preserve"> </w:t>
            </w:r>
          </w:p>
        </w:tc>
      </w:tr>
      <w:tr w:rsidR="00965D85" w:rsidRPr="002F202F" w:rsidTr="008B46DF">
        <w:tc>
          <w:tcPr>
            <w:tcW w:w="3969" w:type="dxa"/>
            <w:tcBorders>
              <w:top w:val="nil"/>
              <w:left w:val="nil"/>
              <w:right w:val="nil"/>
            </w:tcBorders>
            <w:shd w:val="clear" w:color="auto" w:fill="FFFFFF"/>
          </w:tcPr>
          <w:p w:rsidR="00965D85" w:rsidRPr="002F202F"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Employee expenses</w:t>
            </w:r>
          </w:p>
        </w:tc>
        <w:tc>
          <w:tcPr>
            <w:tcW w:w="906" w:type="dxa"/>
            <w:tcBorders>
              <w:top w:val="nil"/>
              <w:left w:val="nil"/>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21 151</w:t>
            </w:r>
          </w:p>
        </w:tc>
        <w:tc>
          <w:tcPr>
            <w:tcW w:w="964" w:type="dxa"/>
            <w:tcBorders>
              <w:top w:val="nil"/>
              <w:left w:val="nil"/>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21 835</w:t>
            </w:r>
          </w:p>
        </w:tc>
        <w:tc>
          <w:tcPr>
            <w:tcW w:w="964" w:type="dxa"/>
            <w:tcBorders>
              <w:top w:val="nil"/>
              <w:left w:val="nil"/>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22 791</w:t>
            </w:r>
          </w:p>
        </w:tc>
        <w:tc>
          <w:tcPr>
            <w:tcW w:w="964" w:type="dxa"/>
            <w:tcBorders>
              <w:top w:val="nil"/>
              <w:left w:val="nil"/>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23 701</w:t>
            </w:r>
          </w:p>
        </w:tc>
      </w:tr>
      <w:tr w:rsidR="00965D85" w:rsidRPr="002F202F" w:rsidTr="008B46DF">
        <w:tc>
          <w:tcPr>
            <w:tcW w:w="3969" w:type="dxa"/>
            <w:tcBorders>
              <w:top w:val="nil"/>
              <w:left w:val="nil"/>
              <w:right w:val="nil"/>
            </w:tcBorders>
            <w:shd w:val="clear" w:color="auto" w:fill="FFFFFF"/>
          </w:tcPr>
          <w:p w:rsidR="00965D85" w:rsidRPr="002F202F" w:rsidRDefault="00965D85" w:rsidP="008B46DF">
            <w:pPr>
              <w:autoSpaceDE w:val="0"/>
              <w:autoSpaceDN w:val="0"/>
              <w:adjustRightInd w:val="0"/>
              <w:spacing w:after="0"/>
              <w:ind w:left="227" w:hanging="227"/>
              <w:rPr>
                <w:rFonts w:ascii="Calibri" w:eastAsiaTheme="minorEastAsia" w:hAnsi="Calibri" w:cs="Calibri"/>
                <w:color w:val="000000"/>
                <w:sz w:val="20"/>
                <w:vertAlign w:val="superscript"/>
                <w:lang w:eastAsia="en-AU"/>
              </w:rPr>
            </w:pPr>
            <w:r w:rsidRPr="002F202F">
              <w:rPr>
                <w:rFonts w:ascii="Calibri" w:eastAsiaTheme="minorEastAsia" w:hAnsi="Calibri" w:cs="Calibri"/>
                <w:color w:val="000000"/>
                <w:sz w:val="20"/>
                <w:lang w:eastAsia="en-AU"/>
              </w:rPr>
              <w:t xml:space="preserve">Net superannuation interest expense </w:t>
            </w:r>
            <w:r w:rsidRPr="002F202F">
              <w:rPr>
                <w:rFonts w:ascii="Calibri" w:eastAsiaTheme="minorEastAsia" w:hAnsi="Calibri" w:cs="Calibri"/>
                <w:color w:val="000000"/>
                <w:sz w:val="20"/>
                <w:vertAlign w:val="superscript"/>
                <w:lang w:eastAsia="en-AU"/>
              </w:rPr>
              <w:t>(d)</w:t>
            </w:r>
          </w:p>
        </w:tc>
        <w:tc>
          <w:tcPr>
            <w:tcW w:w="906" w:type="dxa"/>
            <w:tcBorders>
              <w:top w:val="nil"/>
              <w:left w:val="nil"/>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 xml:space="preserve"> 878</w:t>
            </w:r>
          </w:p>
        </w:tc>
        <w:tc>
          <w:tcPr>
            <w:tcW w:w="964" w:type="dxa"/>
            <w:tcBorders>
              <w:top w:val="nil"/>
              <w:left w:val="nil"/>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 xml:space="preserve"> 821</w:t>
            </w:r>
          </w:p>
        </w:tc>
        <w:tc>
          <w:tcPr>
            <w:tcW w:w="964" w:type="dxa"/>
            <w:tcBorders>
              <w:top w:val="nil"/>
              <w:left w:val="nil"/>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 xml:space="preserve"> 803</w:t>
            </w:r>
          </w:p>
        </w:tc>
        <w:tc>
          <w:tcPr>
            <w:tcW w:w="964" w:type="dxa"/>
            <w:tcBorders>
              <w:top w:val="nil"/>
              <w:left w:val="nil"/>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 xml:space="preserve"> 807</w:t>
            </w:r>
          </w:p>
        </w:tc>
      </w:tr>
      <w:tr w:rsidR="00965D85" w:rsidRPr="002F202F" w:rsidTr="008B46DF">
        <w:tc>
          <w:tcPr>
            <w:tcW w:w="3969" w:type="dxa"/>
            <w:tcBorders>
              <w:top w:val="nil"/>
              <w:left w:val="nil"/>
              <w:right w:val="nil"/>
            </w:tcBorders>
            <w:shd w:val="clear" w:color="auto" w:fill="FFFFFF"/>
          </w:tcPr>
          <w:p w:rsidR="00965D85" w:rsidRPr="002F202F"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Other superannuation</w:t>
            </w:r>
          </w:p>
        </w:tc>
        <w:tc>
          <w:tcPr>
            <w:tcW w:w="906" w:type="dxa"/>
            <w:tcBorders>
              <w:top w:val="nil"/>
              <w:left w:val="nil"/>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2 143</w:t>
            </w:r>
          </w:p>
        </w:tc>
        <w:tc>
          <w:tcPr>
            <w:tcW w:w="964" w:type="dxa"/>
            <w:tcBorders>
              <w:top w:val="nil"/>
              <w:left w:val="nil"/>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2 183</w:t>
            </w:r>
          </w:p>
        </w:tc>
        <w:tc>
          <w:tcPr>
            <w:tcW w:w="964" w:type="dxa"/>
            <w:tcBorders>
              <w:top w:val="nil"/>
              <w:left w:val="nil"/>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2 203</w:t>
            </w:r>
          </w:p>
        </w:tc>
        <w:tc>
          <w:tcPr>
            <w:tcW w:w="964" w:type="dxa"/>
            <w:tcBorders>
              <w:top w:val="nil"/>
              <w:left w:val="nil"/>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2 234</w:t>
            </w:r>
          </w:p>
        </w:tc>
      </w:tr>
      <w:tr w:rsidR="00965D85" w:rsidRPr="002F202F" w:rsidTr="008B46DF">
        <w:tc>
          <w:tcPr>
            <w:tcW w:w="3969" w:type="dxa"/>
            <w:tcBorders>
              <w:top w:val="nil"/>
              <w:left w:val="nil"/>
              <w:right w:val="nil"/>
            </w:tcBorders>
            <w:shd w:val="clear" w:color="auto" w:fill="FFFFFF"/>
          </w:tcPr>
          <w:p w:rsidR="00965D85" w:rsidRPr="002F202F"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Depreciation</w:t>
            </w:r>
          </w:p>
        </w:tc>
        <w:tc>
          <w:tcPr>
            <w:tcW w:w="906" w:type="dxa"/>
            <w:tcBorders>
              <w:top w:val="nil"/>
              <w:left w:val="nil"/>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4 633</w:t>
            </w:r>
          </w:p>
        </w:tc>
        <w:tc>
          <w:tcPr>
            <w:tcW w:w="964" w:type="dxa"/>
            <w:tcBorders>
              <w:top w:val="nil"/>
              <w:left w:val="nil"/>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4 766</w:t>
            </w:r>
          </w:p>
        </w:tc>
        <w:tc>
          <w:tcPr>
            <w:tcW w:w="964" w:type="dxa"/>
            <w:tcBorders>
              <w:top w:val="nil"/>
              <w:left w:val="nil"/>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5 017</w:t>
            </w:r>
          </w:p>
        </w:tc>
        <w:tc>
          <w:tcPr>
            <w:tcW w:w="964" w:type="dxa"/>
            <w:tcBorders>
              <w:top w:val="nil"/>
              <w:left w:val="nil"/>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5 361</w:t>
            </w:r>
          </w:p>
        </w:tc>
      </w:tr>
      <w:tr w:rsidR="00965D85" w:rsidRPr="002F202F" w:rsidTr="008B46DF">
        <w:tc>
          <w:tcPr>
            <w:tcW w:w="3969" w:type="dxa"/>
            <w:tcBorders>
              <w:top w:val="nil"/>
              <w:left w:val="nil"/>
              <w:right w:val="nil"/>
            </w:tcBorders>
            <w:shd w:val="clear" w:color="auto" w:fill="FFFFFF"/>
          </w:tcPr>
          <w:p w:rsidR="00965D85" w:rsidRPr="002F202F"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Interest expense</w:t>
            </w:r>
          </w:p>
        </w:tc>
        <w:tc>
          <w:tcPr>
            <w:tcW w:w="906" w:type="dxa"/>
            <w:tcBorders>
              <w:top w:val="nil"/>
              <w:left w:val="nil"/>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2 738</w:t>
            </w:r>
          </w:p>
        </w:tc>
        <w:tc>
          <w:tcPr>
            <w:tcW w:w="964" w:type="dxa"/>
            <w:tcBorders>
              <w:top w:val="nil"/>
              <w:left w:val="nil"/>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2 713</w:t>
            </w:r>
          </w:p>
        </w:tc>
        <w:tc>
          <w:tcPr>
            <w:tcW w:w="964" w:type="dxa"/>
            <w:tcBorders>
              <w:top w:val="nil"/>
              <w:left w:val="nil"/>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2 758</w:t>
            </w:r>
          </w:p>
        </w:tc>
        <w:tc>
          <w:tcPr>
            <w:tcW w:w="964" w:type="dxa"/>
            <w:tcBorders>
              <w:top w:val="nil"/>
              <w:left w:val="nil"/>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2 758</w:t>
            </w:r>
          </w:p>
        </w:tc>
      </w:tr>
      <w:tr w:rsidR="00965D85" w:rsidRPr="002F202F" w:rsidTr="008B46DF">
        <w:tc>
          <w:tcPr>
            <w:tcW w:w="3969" w:type="dxa"/>
            <w:tcBorders>
              <w:top w:val="nil"/>
              <w:left w:val="nil"/>
              <w:right w:val="nil"/>
            </w:tcBorders>
            <w:shd w:val="clear" w:color="auto" w:fill="FFFFFF"/>
          </w:tcPr>
          <w:p w:rsidR="00965D85" w:rsidRPr="002F202F"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Grants and other transfers</w:t>
            </w:r>
          </w:p>
        </w:tc>
        <w:tc>
          <w:tcPr>
            <w:tcW w:w="906" w:type="dxa"/>
            <w:tcBorders>
              <w:top w:val="nil"/>
              <w:left w:val="nil"/>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5 511</w:t>
            </w:r>
          </w:p>
        </w:tc>
        <w:tc>
          <w:tcPr>
            <w:tcW w:w="964" w:type="dxa"/>
            <w:tcBorders>
              <w:top w:val="nil"/>
              <w:left w:val="nil"/>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6 179</w:t>
            </w:r>
          </w:p>
        </w:tc>
        <w:tc>
          <w:tcPr>
            <w:tcW w:w="964" w:type="dxa"/>
            <w:tcBorders>
              <w:top w:val="nil"/>
              <w:left w:val="nil"/>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6 459</w:t>
            </w:r>
          </w:p>
        </w:tc>
        <w:tc>
          <w:tcPr>
            <w:tcW w:w="964" w:type="dxa"/>
            <w:tcBorders>
              <w:top w:val="nil"/>
              <w:left w:val="nil"/>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6 773</w:t>
            </w:r>
          </w:p>
        </w:tc>
      </w:tr>
      <w:tr w:rsidR="00965D85" w:rsidRPr="002F202F" w:rsidTr="008B46DF">
        <w:tc>
          <w:tcPr>
            <w:tcW w:w="3969" w:type="dxa"/>
            <w:tcBorders>
              <w:top w:val="nil"/>
              <w:left w:val="nil"/>
              <w:bottom w:val="single" w:sz="6" w:space="0" w:color="auto"/>
              <w:right w:val="nil"/>
            </w:tcBorders>
            <w:shd w:val="clear" w:color="auto" w:fill="FFFFFF"/>
          </w:tcPr>
          <w:p w:rsidR="00965D85" w:rsidRPr="002F202F"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Other operating expenses</w:t>
            </w:r>
          </w:p>
        </w:tc>
        <w:tc>
          <w:tcPr>
            <w:tcW w:w="906" w:type="dxa"/>
            <w:tcBorders>
              <w:top w:val="nil"/>
              <w:left w:val="nil"/>
              <w:bottom w:val="single" w:sz="6" w:space="0" w:color="auto"/>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21 264</w:t>
            </w:r>
          </w:p>
        </w:tc>
        <w:tc>
          <w:tcPr>
            <w:tcW w:w="964" w:type="dxa"/>
            <w:tcBorders>
              <w:top w:val="nil"/>
              <w:left w:val="nil"/>
              <w:bottom w:val="single" w:sz="6" w:space="0" w:color="auto"/>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20 945</w:t>
            </w:r>
          </w:p>
        </w:tc>
        <w:tc>
          <w:tcPr>
            <w:tcW w:w="964" w:type="dxa"/>
            <w:tcBorders>
              <w:top w:val="nil"/>
              <w:left w:val="nil"/>
              <w:bottom w:val="single" w:sz="6" w:space="0" w:color="auto"/>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21 600</w:t>
            </w:r>
          </w:p>
        </w:tc>
        <w:tc>
          <w:tcPr>
            <w:tcW w:w="964" w:type="dxa"/>
            <w:tcBorders>
              <w:top w:val="nil"/>
              <w:left w:val="nil"/>
              <w:bottom w:val="single" w:sz="6" w:space="0" w:color="auto"/>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21 767</w:t>
            </w:r>
          </w:p>
        </w:tc>
      </w:tr>
      <w:tr w:rsidR="00965D85" w:rsidRPr="002F202F" w:rsidTr="008B46DF">
        <w:tc>
          <w:tcPr>
            <w:tcW w:w="3969" w:type="dxa"/>
            <w:tcBorders>
              <w:top w:val="single" w:sz="6" w:space="0" w:color="auto"/>
              <w:left w:val="nil"/>
              <w:right w:val="nil"/>
            </w:tcBorders>
            <w:shd w:val="clear" w:color="auto" w:fill="FFFFFF"/>
          </w:tcPr>
          <w:p w:rsidR="00965D85" w:rsidRPr="002F202F" w:rsidRDefault="00965D85" w:rsidP="008B46DF">
            <w:pPr>
              <w:autoSpaceDE w:val="0"/>
              <w:autoSpaceDN w:val="0"/>
              <w:adjustRightInd w:val="0"/>
              <w:spacing w:after="0"/>
              <w:ind w:left="227" w:hanging="227"/>
              <w:rPr>
                <w:rFonts w:ascii="Calibri" w:eastAsiaTheme="minorEastAsia" w:hAnsi="Calibri" w:cs="Calibri"/>
                <w:b/>
                <w:bCs/>
                <w:color w:val="000000"/>
                <w:sz w:val="20"/>
                <w:lang w:eastAsia="en-AU"/>
              </w:rPr>
            </w:pPr>
            <w:r w:rsidRPr="002F202F">
              <w:rPr>
                <w:rFonts w:ascii="Calibri" w:eastAsiaTheme="minorEastAsia" w:hAnsi="Calibri" w:cs="Calibri"/>
                <w:b/>
                <w:bCs/>
                <w:color w:val="000000"/>
                <w:sz w:val="20"/>
                <w:lang w:eastAsia="en-AU"/>
              </w:rPr>
              <w:t>Total expenses from transactions</w:t>
            </w:r>
          </w:p>
        </w:tc>
        <w:tc>
          <w:tcPr>
            <w:tcW w:w="906" w:type="dxa"/>
            <w:tcBorders>
              <w:top w:val="single" w:sz="6" w:space="0" w:color="auto"/>
              <w:left w:val="nil"/>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b/>
                <w:color w:val="000000"/>
                <w:sz w:val="20"/>
                <w:lang w:eastAsia="en-AU"/>
              </w:rPr>
            </w:pPr>
            <w:r w:rsidRPr="002F202F">
              <w:rPr>
                <w:rFonts w:ascii="Calibri" w:eastAsiaTheme="minorEastAsia" w:hAnsi="Calibri" w:cs="Calibri"/>
                <w:b/>
                <w:color w:val="000000"/>
                <w:sz w:val="20"/>
                <w:lang w:eastAsia="en-AU"/>
              </w:rPr>
              <w:t>58 319</w:t>
            </w:r>
          </w:p>
        </w:tc>
        <w:tc>
          <w:tcPr>
            <w:tcW w:w="964" w:type="dxa"/>
            <w:tcBorders>
              <w:top w:val="single" w:sz="6" w:space="0" w:color="auto"/>
              <w:left w:val="nil"/>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b/>
                <w:color w:val="000000"/>
                <w:sz w:val="20"/>
                <w:lang w:eastAsia="en-AU"/>
              </w:rPr>
            </w:pPr>
            <w:r w:rsidRPr="002F202F">
              <w:rPr>
                <w:rFonts w:ascii="Calibri" w:eastAsiaTheme="minorEastAsia" w:hAnsi="Calibri" w:cs="Calibri"/>
                <w:b/>
                <w:color w:val="000000"/>
                <w:sz w:val="20"/>
                <w:lang w:eastAsia="en-AU"/>
              </w:rPr>
              <w:t>59 442</w:t>
            </w:r>
          </w:p>
        </w:tc>
        <w:tc>
          <w:tcPr>
            <w:tcW w:w="964" w:type="dxa"/>
            <w:tcBorders>
              <w:top w:val="single" w:sz="6" w:space="0" w:color="auto"/>
              <w:left w:val="nil"/>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b/>
                <w:color w:val="000000"/>
                <w:sz w:val="20"/>
                <w:lang w:eastAsia="en-AU"/>
              </w:rPr>
            </w:pPr>
            <w:r w:rsidRPr="002F202F">
              <w:rPr>
                <w:rFonts w:ascii="Calibri" w:eastAsiaTheme="minorEastAsia" w:hAnsi="Calibri" w:cs="Calibri"/>
                <w:b/>
                <w:color w:val="000000"/>
                <w:sz w:val="20"/>
                <w:lang w:eastAsia="en-AU"/>
              </w:rPr>
              <w:t>61 633</w:t>
            </w:r>
          </w:p>
        </w:tc>
        <w:tc>
          <w:tcPr>
            <w:tcW w:w="964" w:type="dxa"/>
            <w:tcBorders>
              <w:top w:val="single" w:sz="6" w:space="0" w:color="auto"/>
              <w:left w:val="nil"/>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b/>
                <w:color w:val="000000"/>
                <w:sz w:val="20"/>
                <w:lang w:eastAsia="en-AU"/>
              </w:rPr>
            </w:pPr>
            <w:r w:rsidRPr="002F202F">
              <w:rPr>
                <w:rFonts w:ascii="Calibri" w:eastAsiaTheme="minorEastAsia" w:hAnsi="Calibri" w:cs="Calibri"/>
                <w:b/>
                <w:color w:val="000000"/>
                <w:sz w:val="20"/>
                <w:lang w:eastAsia="en-AU"/>
              </w:rPr>
              <w:t>63 401</w:t>
            </w:r>
          </w:p>
        </w:tc>
      </w:tr>
      <w:tr w:rsidR="00965D85" w:rsidRPr="002F202F" w:rsidTr="008B46DF">
        <w:tc>
          <w:tcPr>
            <w:tcW w:w="3969" w:type="dxa"/>
            <w:tcBorders>
              <w:top w:val="nil"/>
              <w:left w:val="nil"/>
              <w:bottom w:val="single" w:sz="6" w:space="0" w:color="auto"/>
              <w:right w:val="nil"/>
            </w:tcBorders>
            <w:shd w:val="clear" w:color="auto" w:fill="FFFFFF"/>
          </w:tcPr>
          <w:p w:rsidR="00965D85" w:rsidRPr="002F202F" w:rsidRDefault="00965D85" w:rsidP="008B46DF">
            <w:pPr>
              <w:autoSpaceDE w:val="0"/>
              <w:autoSpaceDN w:val="0"/>
              <w:adjustRightInd w:val="0"/>
              <w:spacing w:after="0"/>
              <w:ind w:left="227" w:hanging="227"/>
              <w:rPr>
                <w:rFonts w:ascii="Calibri" w:eastAsiaTheme="minorEastAsia" w:hAnsi="Calibri" w:cs="Calibri"/>
                <w:i/>
                <w:iCs/>
                <w:color w:val="000000"/>
                <w:sz w:val="20"/>
                <w:vertAlign w:val="superscript"/>
                <w:lang w:eastAsia="en-AU"/>
              </w:rPr>
            </w:pPr>
            <w:r w:rsidRPr="002F202F">
              <w:rPr>
                <w:rFonts w:ascii="Calibri" w:eastAsiaTheme="minorEastAsia" w:hAnsi="Calibri" w:cs="Calibri"/>
                <w:i/>
                <w:iCs/>
                <w:color w:val="000000"/>
                <w:sz w:val="20"/>
                <w:lang w:eastAsia="en-AU"/>
              </w:rPr>
              <w:t>% change</w:t>
            </w:r>
            <w:r w:rsidRPr="002F202F">
              <w:rPr>
                <w:rFonts w:ascii="Calibri" w:eastAsiaTheme="minorEastAsia" w:hAnsi="Calibri" w:cs="Calibri"/>
                <w:i/>
                <w:iCs/>
                <w:color w:val="000000"/>
                <w:sz w:val="20"/>
                <w:vertAlign w:val="superscript"/>
                <w:lang w:eastAsia="en-AU"/>
              </w:rPr>
              <w:t xml:space="preserve"> (c)</w:t>
            </w:r>
          </w:p>
        </w:tc>
        <w:tc>
          <w:tcPr>
            <w:tcW w:w="906" w:type="dxa"/>
            <w:tcBorders>
              <w:top w:val="nil"/>
              <w:left w:val="nil"/>
              <w:bottom w:val="single" w:sz="6" w:space="0" w:color="auto"/>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3.3</w:t>
            </w:r>
          </w:p>
        </w:tc>
        <w:tc>
          <w:tcPr>
            <w:tcW w:w="964" w:type="dxa"/>
            <w:tcBorders>
              <w:top w:val="nil"/>
              <w:left w:val="nil"/>
              <w:bottom w:val="single" w:sz="6" w:space="0" w:color="auto"/>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1.9</w:t>
            </w:r>
          </w:p>
        </w:tc>
        <w:tc>
          <w:tcPr>
            <w:tcW w:w="964" w:type="dxa"/>
            <w:tcBorders>
              <w:top w:val="nil"/>
              <w:left w:val="nil"/>
              <w:bottom w:val="single" w:sz="6" w:space="0" w:color="auto"/>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3.7</w:t>
            </w:r>
          </w:p>
        </w:tc>
        <w:tc>
          <w:tcPr>
            <w:tcW w:w="964" w:type="dxa"/>
            <w:tcBorders>
              <w:top w:val="nil"/>
              <w:left w:val="nil"/>
              <w:bottom w:val="single" w:sz="6" w:space="0" w:color="auto"/>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2.9</w:t>
            </w:r>
          </w:p>
        </w:tc>
      </w:tr>
      <w:tr w:rsidR="00965D85" w:rsidRPr="002F202F" w:rsidTr="008B46DF">
        <w:tc>
          <w:tcPr>
            <w:tcW w:w="3969" w:type="dxa"/>
            <w:tcBorders>
              <w:top w:val="single" w:sz="6" w:space="0" w:color="auto"/>
              <w:left w:val="nil"/>
              <w:bottom w:val="single" w:sz="6" w:space="0" w:color="auto"/>
              <w:right w:val="nil"/>
            </w:tcBorders>
            <w:shd w:val="clear" w:color="auto" w:fill="FFFFFF"/>
          </w:tcPr>
          <w:p w:rsidR="00965D85" w:rsidRPr="002F202F" w:rsidRDefault="00965D85" w:rsidP="008B46DF">
            <w:pPr>
              <w:autoSpaceDE w:val="0"/>
              <w:autoSpaceDN w:val="0"/>
              <w:adjustRightInd w:val="0"/>
              <w:spacing w:after="0"/>
              <w:ind w:left="227" w:hanging="227"/>
              <w:rPr>
                <w:rFonts w:ascii="Calibri" w:eastAsiaTheme="minorEastAsia" w:hAnsi="Calibri" w:cs="Calibri"/>
                <w:b/>
                <w:bCs/>
                <w:color w:val="000000"/>
                <w:sz w:val="20"/>
                <w:lang w:eastAsia="en-AU"/>
              </w:rPr>
            </w:pPr>
            <w:r w:rsidRPr="002F202F">
              <w:rPr>
                <w:rFonts w:ascii="Calibri" w:eastAsiaTheme="minorEastAsia" w:hAnsi="Calibri" w:cs="Calibri"/>
                <w:b/>
                <w:bCs/>
                <w:color w:val="000000"/>
                <w:sz w:val="20"/>
                <w:lang w:eastAsia="en-AU"/>
              </w:rPr>
              <w:t>Net result from transactions – net operating balance</w:t>
            </w:r>
          </w:p>
        </w:tc>
        <w:tc>
          <w:tcPr>
            <w:tcW w:w="906" w:type="dxa"/>
            <w:tcBorders>
              <w:top w:val="single" w:sz="6" w:space="0" w:color="auto"/>
              <w:left w:val="nil"/>
              <w:bottom w:val="single" w:sz="6" w:space="0" w:color="auto"/>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b/>
                <w:color w:val="000000"/>
                <w:sz w:val="20"/>
                <w:lang w:eastAsia="en-AU"/>
              </w:rPr>
            </w:pPr>
            <w:r w:rsidRPr="002F202F">
              <w:rPr>
                <w:rFonts w:ascii="Calibri" w:eastAsiaTheme="minorEastAsia" w:hAnsi="Calibri" w:cs="Calibri"/>
                <w:b/>
                <w:color w:val="000000"/>
                <w:sz w:val="20"/>
                <w:lang w:eastAsia="en-AU"/>
              </w:rPr>
              <w:t xml:space="preserve"> 844</w:t>
            </w:r>
          </w:p>
        </w:tc>
        <w:tc>
          <w:tcPr>
            <w:tcW w:w="964" w:type="dxa"/>
            <w:tcBorders>
              <w:top w:val="single" w:sz="6" w:space="0" w:color="auto"/>
              <w:left w:val="nil"/>
              <w:bottom w:val="single" w:sz="6" w:space="0" w:color="auto"/>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b/>
                <w:color w:val="000000"/>
                <w:sz w:val="20"/>
                <w:lang w:eastAsia="en-AU"/>
              </w:rPr>
            </w:pPr>
            <w:r w:rsidRPr="002F202F">
              <w:rPr>
                <w:rFonts w:ascii="Calibri" w:eastAsiaTheme="minorEastAsia" w:hAnsi="Calibri" w:cs="Calibri"/>
                <w:b/>
                <w:color w:val="000000"/>
                <w:sz w:val="20"/>
                <w:lang w:eastAsia="en-AU"/>
              </w:rPr>
              <w:t xml:space="preserve"> 894</w:t>
            </w:r>
          </w:p>
        </w:tc>
        <w:tc>
          <w:tcPr>
            <w:tcW w:w="964" w:type="dxa"/>
            <w:tcBorders>
              <w:top w:val="single" w:sz="6" w:space="0" w:color="auto"/>
              <w:left w:val="nil"/>
              <w:bottom w:val="single" w:sz="6" w:space="0" w:color="auto"/>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b/>
                <w:color w:val="000000"/>
                <w:sz w:val="20"/>
                <w:lang w:eastAsia="en-AU"/>
              </w:rPr>
            </w:pPr>
            <w:r w:rsidRPr="002F202F">
              <w:rPr>
                <w:rFonts w:ascii="Calibri" w:eastAsiaTheme="minorEastAsia" w:hAnsi="Calibri" w:cs="Calibri"/>
                <w:b/>
                <w:color w:val="000000"/>
                <w:sz w:val="20"/>
                <w:lang w:eastAsia="en-AU"/>
              </w:rPr>
              <w:t>1 303</w:t>
            </w:r>
          </w:p>
        </w:tc>
        <w:tc>
          <w:tcPr>
            <w:tcW w:w="964" w:type="dxa"/>
            <w:tcBorders>
              <w:top w:val="single" w:sz="6" w:space="0" w:color="auto"/>
              <w:left w:val="nil"/>
              <w:bottom w:val="single" w:sz="6" w:space="0" w:color="auto"/>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b/>
                <w:color w:val="000000"/>
                <w:sz w:val="20"/>
                <w:lang w:eastAsia="en-AU"/>
              </w:rPr>
            </w:pPr>
            <w:r w:rsidRPr="002F202F">
              <w:rPr>
                <w:rFonts w:ascii="Calibri" w:eastAsiaTheme="minorEastAsia" w:hAnsi="Calibri" w:cs="Calibri"/>
                <w:b/>
                <w:color w:val="000000"/>
                <w:sz w:val="20"/>
                <w:lang w:eastAsia="en-AU"/>
              </w:rPr>
              <w:t>1 058</w:t>
            </w:r>
          </w:p>
        </w:tc>
      </w:tr>
    </w:tbl>
    <w:p w:rsidR="00965D85" w:rsidRPr="00F17ACF" w:rsidRDefault="00965D85" w:rsidP="008B46DF">
      <w:pPr>
        <w:pStyle w:val="Source"/>
      </w:pPr>
      <w:r>
        <w:rPr>
          <w:vertAlign w:val="superscript"/>
        </w:rPr>
        <w:fldChar w:fldCharType="end"/>
      </w:r>
      <w:r w:rsidRPr="00F17ACF">
        <w:t>Source: Department of Treasury and Finance</w:t>
      </w:r>
    </w:p>
    <w:p w:rsidR="00965D85" w:rsidRPr="00F17ACF" w:rsidRDefault="00965D85" w:rsidP="008B46DF">
      <w:pPr>
        <w:pStyle w:val="Notes"/>
      </w:pPr>
      <w:r w:rsidRPr="00F17ACF">
        <w:t>Notes:</w:t>
      </w:r>
    </w:p>
    <w:p w:rsidR="00965D85" w:rsidRPr="000E03A9" w:rsidRDefault="00965D85" w:rsidP="008B46DF">
      <w:pPr>
        <w:pStyle w:val="Notes"/>
        <w:rPr>
          <w:i w:val="0"/>
        </w:rPr>
      </w:pPr>
      <w:r w:rsidRPr="00F17ACF">
        <w:t>(a)</w:t>
      </w:r>
      <w:r w:rsidRPr="00F17ACF">
        <w:tab/>
        <w:t xml:space="preserve">This is a summary operating statement. The comprehensive operating statement is presented in Chapter </w:t>
      </w:r>
      <w:r>
        <w:t>5</w:t>
      </w:r>
      <w:r w:rsidRPr="00F17ACF">
        <w:t xml:space="preserve"> </w:t>
      </w:r>
      <w:r w:rsidRPr="000E03A9">
        <w:rPr>
          <w:i w:val="0"/>
        </w:rPr>
        <w:t>Supplementary uniform presentation framework tables.</w:t>
      </w:r>
    </w:p>
    <w:p w:rsidR="00965D85" w:rsidRDefault="00965D85" w:rsidP="008B46DF">
      <w:pPr>
        <w:pStyle w:val="Notes"/>
      </w:pPr>
      <w:r w:rsidRPr="00F17ACF">
        <w:t>(b)</w:t>
      </w:r>
      <w:r w:rsidRPr="00F17ACF">
        <w:tab/>
        <w:t>Comprises dividends, income tax equivalent and rate equivalent revenue and interest.</w:t>
      </w:r>
    </w:p>
    <w:p w:rsidR="00965D85" w:rsidRDefault="00965D85" w:rsidP="008B46DF">
      <w:pPr>
        <w:pStyle w:val="Notes"/>
        <w:rPr>
          <w:i w:val="0"/>
        </w:rPr>
      </w:pPr>
      <w:r>
        <w:t>(c)</w:t>
      </w:r>
      <w:r>
        <w:tab/>
      </w:r>
      <w:r w:rsidRPr="00F17ACF">
        <w:t>The revenue and expense growth for 2015</w:t>
      </w:r>
      <w:r>
        <w:noBreakHyphen/>
      </w:r>
      <w:r w:rsidRPr="00F17ACF">
        <w:t xml:space="preserve">16 is based on published numbers </w:t>
      </w:r>
      <w:r>
        <w:t>in the</w:t>
      </w:r>
      <w:r w:rsidRPr="00F17ACF">
        <w:t xml:space="preserve"> </w:t>
      </w:r>
      <w:r w:rsidRPr="000E03A9">
        <w:rPr>
          <w:i w:val="0"/>
        </w:rPr>
        <w:t>2014</w:t>
      </w:r>
      <w:r>
        <w:rPr>
          <w:i w:val="0"/>
        </w:rPr>
        <w:noBreakHyphen/>
      </w:r>
      <w:r w:rsidRPr="000E03A9">
        <w:rPr>
          <w:i w:val="0"/>
        </w:rPr>
        <w:t>15 Financial Report.</w:t>
      </w:r>
    </w:p>
    <w:p w:rsidR="00965D85" w:rsidRPr="00F17ACF" w:rsidRDefault="00965D85" w:rsidP="008B46DF">
      <w:pPr>
        <w:pStyle w:val="Notes"/>
      </w:pPr>
      <w:r>
        <w:t>(d</w:t>
      </w:r>
      <w:r w:rsidRPr="00F17ACF">
        <w:t>)</w:t>
      </w:r>
      <w:r w:rsidRPr="00F17ACF">
        <w:tab/>
        <w:t>Comprises superannuation interest e</w:t>
      </w:r>
      <w:r>
        <w:t xml:space="preserve">xpense and other superannuation </w:t>
      </w:r>
      <w:r w:rsidRPr="00F17ACF">
        <w:t>expenses.</w:t>
      </w:r>
    </w:p>
    <w:p w:rsidR="00965D85" w:rsidRDefault="00965D85" w:rsidP="008B46DF">
      <w:pPr>
        <w:pStyle w:val="Notes"/>
        <w:rPr>
          <w:i w:val="0"/>
        </w:rPr>
      </w:pPr>
    </w:p>
    <w:p w:rsidR="00965D85" w:rsidRDefault="00965D85" w:rsidP="008B46DF">
      <w:pPr>
        <w:pStyle w:val="Notes"/>
      </w:pPr>
    </w:p>
    <w:p w:rsidR="00965D85" w:rsidRDefault="00965D85">
      <w:pPr>
        <w:spacing w:after="0"/>
        <w:rPr>
          <w:rFonts w:ascii="Calibri" w:hAnsi="Calibri"/>
          <w:i/>
          <w:sz w:val="15"/>
        </w:rPr>
      </w:pPr>
      <w:r>
        <w:br w:type="page"/>
      </w:r>
    </w:p>
    <w:p w:rsidR="00965D85" w:rsidRPr="00F17ACF" w:rsidRDefault="00965D85" w:rsidP="008B46DF">
      <w:r w:rsidRPr="00F17ACF">
        <w:lastRenderedPageBreak/>
        <w:t>The net result from transactions in 2015</w:t>
      </w:r>
      <w:r>
        <w:noBreakHyphen/>
      </w:r>
      <w:r w:rsidRPr="00F17ACF">
        <w:t>16 for the NFP sector is projected to be a surplus of $</w:t>
      </w:r>
      <w:r>
        <w:t>844 million</w:t>
      </w:r>
      <w:r w:rsidRPr="00F17ACF">
        <w:t>, improving to a surplus of $1.</w:t>
      </w:r>
      <w:r>
        <w:t>3 billion</w:t>
      </w:r>
      <w:r w:rsidRPr="00F17ACF">
        <w:t xml:space="preserve"> by 2017</w:t>
      </w:r>
      <w:r>
        <w:noBreakHyphen/>
      </w:r>
      <w:r w:rsidRPr="00F17ACF">
        <w:t xml:space="preserve">18. This is largely due to the forecast performance of the general government sector which </w:t>
      </w:r>
      <w:r>
        <w:t xml:space="preserve">shows a </w:t>
      </w:r>
      <w:r w:rsidRPr="00F17ACF">
        <w:t>$1.</w:t>
      </w:r>
      <w:r>
        <w:t>7 billion</w:t>
      </w:r>
      <w:r w:rsidRPr="00F17ACF">
        <w:t xml:space="preserve"> surplus in 2015</w:t>
      </w:r>
      <w:r>
        <w:noBreakHyphen/>
      </w:r>
      <w:r w:rsidRPr="00F17ACF">
        <w:t>16</w:t>
      </w:r>
      <w:r>
        <w:t xml:space="preserve"> before moderating</w:t>
      </w:r>
      <w:r w:rsidRPr="00F17ACF">
        <w:t xml:space="preserve"> to a $1.</w:t>
      </w:r>
      <w:r>
        <w:t>6 billion</w:t>
      </w:r>
      <w:r w:rsidRPr="00F17ACF">
        <w:t xml:space="preserve"> surplus in 2018</w:t>
      </w:r>
      <w:r>
        <w:noBreakHyphen/>
        <w:t>19. The</w:t>
      </w:r>
      <w:r w:rsidRPr="00F17ACF">
        <w:t xml:space="preserve"> general government</w:t>
      </w:r>
      <w:r>
        <w:t xml:space="preserve"> sector</w:t>
      </w:r>
      <w:r w:rsidRPr="00F17ACF">
        <w:t xml:space="preserve"> performance </w:t>
      </w:r>
      <w:r>
        <w:t>is</w:t>
      </w:r>
      <w:r w:rsidRPr="00F17ACF">
        <w:t xml:space="preserve"> discussed earlier in the chapter.</w:t>
      </w:r>
    </w:p>
    <w:p w:rsidR="00965D85" w:rsidRPr="00F17ACF" w:rsidRDefault="00965D85" w:rsidP="008B46DF">
      <w:r w:rsidRPr="00F17ACF">
        <w:t>The net result from transactions in the PNFC sector is projected to be $</w:t>
      </w:r>
      <w:r>
        <w:t>504.1 million</w:t>
      </w:r>
      <w:r w:rsidRPr="00F17ACF">
        <w:t xml:space="preserve"> in deficit in 2015</w:t>
      </w:r>
      <w:r>
        <w:noBreakHyphen/>
      </w:r>
      <w:r w:rsidRPr="00F17ACF">
        <w:t>16 improving to</w:t>
      </w:r>
      <w:r>
        <w:t xml:space="preserve"> a</w:t>
      </w:r>
      <w:r w:rsidRPr="00F17ACF">
        <w:t xml:space="preserve"> $</w:t>
      </w:r>
      <w:r>
        <w:t>243 million</w:t>
      </w:r>
      <w:r w:rsidRPr="00F17ACF">
        <w:t xml:space="preserve"> deficit in 2018</w:t>
      </w:r>
      <w:r>
        <w:noBreakHyphen/>
      </w:r>
      <w:r w:rsidRPr="00F17ACF">
        <w:t xml:space="preserve">19, </w:t>
      </w:r>
      <w:r>
        <w:t>lower</w:t>
      </w:r>
      <w:r w:rsidRPr="00F17ACF">
        <w:t xml:space="preserve"> than the deficit of $370.7</w:t>
      </w:r>
      <w:r>
        <w:t> million</w:t>
      </w:r>
      <w:r w:rsidRPr="00F17ACF">
        <w:t xml:space="preserve"> projected in the </w:t>
      </w:r>
      <w:r w:rsidRPr="00F17ACF">
        <w:rPr>
          <w:i/>
        </w:rPr>
        <w:t>2015</w:t>
      </w:r>
      <w:r>
        <w:rPr>
          <w:i/>
        </w:rPr>
        <w:noBreakHyphen/>
      </w:r>
      <w:r w:rsidRPr="00F17ACF">
        <w:rPr>
          <w:i/>
        </w:rPr>
        <w:t>16 Budget</w:t>
      </w:r>
      <w:r w:rsidRPr="00F17ACF">
        <w:t>. The deficits in the sector mainly reflect:</w:t>
      </w:r>
    </w:p>
    <w:p w:rsidR="00965D85" w:rsidRPr="00F17ACF" w:rsidRDefault="00965D85" w:rsidP="008B46DF">
      <w:pPr>
        <w:pStyle w:val="BulletText"/>
      </w:pPr>
      <w:r w:rsidRPr="00F17ACF">
        <w:t>the funding arrangements in place for VicTrack, whereby grants from the general government sector are sufficient to allow a cash operating surplus, but do not fully fund depreciation on a year by year basis, resulting in operating losses; and</w:t>
      </w:r>
    </w:p>
    <w:p w:rsidR="00965D85" w:rsidRPr="00F17ACF" w:rsidRDefault="00965D85" w:rsidP="008B46DF">
      <w:pPr>
        <w:pStyle w:val="BulletText"/>
      </w:pPr>
      <w:r w:rsidRPr="00F17ACF">
        <w:t>projected deficits in the Director of Housing acro</w:t>
      </w:r>
      <w:r>
        <w:t xml:space="preserve">ss the forward estimates period, </w:t>
      </w:r>
      <w:r w:rsidRPr="00F17ACF">
        <w:t xml:space="preserve">due to the impact of its current operating model </w:t>
      </w:r>
      <w:r>
        <w:t>and the</w:t>
      </w:r>
      <w:r w:rsidRPr="00F17ACF">
        <w:t xml:space="preserve"> costs associated with managing a large and ageing asset portfolio.</w:t>
      </w:r>
    </w:p>
    <w:p w:rsidR="00965D85" w:rsidRPr="00F17ACF" w:rsidRDefault="00965D85" w:rsidP="008B46DF">
      <w:r w:rsidRPr="00F17ACF">
        <w:t xml:space="preserve">PNFC sector interest and depreciation expense is projected to be lower compared to the </w:t>
      </w:r>
      <w:r w:rsidRPr="00F17ACF">
        <w:rPr>
          <w:i/>
        </w:rPr>
        <w:t>2015</w:t>
      </w:r>
      <w:r>
        <w:rPr>
          <w:i/>
        </w:rPr>
        <w:noBreakHyphen/>
      </w:r>
      <w:r w:rsidRPr="00F17ACF">
        <w:rPr>
          <w:i/>
        </w:rPr>
        <w:t>16 Budget</w:t>
      </w:r>
      <w:r w:rsidRPr="00F17ACF">
        <w:t>, as the sector has moderated its capital infrastructure program particularly the water businesses as they continue to implement cost efficiencies and savings measures across the forward estimates</w:t>
      </w:r>
      <w:r>
        <w:t xml:space="preserve">. </w:t>
      </w:r>
    </w:p>
    <w:p w:rsidR="00965D85" w:rsidRPr="00F17ACF" w:rsidRDefault="00965D85" w:rsidP="008B46DF">
      <w:r w:rsidRPr="00F17ACF">
        <w:t>Despite the forecast deficits, the PNFC sector</w:t>
      </w:r>
      <w:r>
        <w:t xml:space="preserve"> is forecast to remain in a stro</w:t>
      </w:r>
      <w:r w:rsidRPr="00F17ACF">
        <w:t>ng and sustainable position, as evidenced by improving operating cas</w:t>
      </w:r>
      <w:r>
        <w:t>h flow surpluses, averaging $1.6 billion</w:t>
      </w:r>
      <w:r w:rsidRPr="00F17ACF">
        <w:t xml:space="preserve"> across the forward and budget estimates.</w:t>
      </w:r>
    </w:p>
    <w:p w:rsidR="00965D85" w:rsidRPr="00F17ACF" w:rsidRDefault="00965D85" w:rsidP="008B46DF">
      <w:pPr>
        <w:pStyle w:val="Heading2"/>
      </w:pPr>
      <w:r w:rsidRPr="00F17ACF">
        <w:t>Application of cash resources</w:t>
      </w:r>
    </w:p>
    <w:p w:rsidR="00965D85" w:rsidRPr="00F17ACF" w:rsidRDefault="00965D85" w:rsidP="008B46DF">
      <w:r w:rsidRPr="00F17ACF">
        <w:t>The NFP sector is forecast to record growing operating cash flow surpluses across the budget and forward</w:t>
      </w:r>
      <w:r>
        <w:t xml:space="preserve"> estimates period. T</w:t>
      </w:r>
      <w:r w:rsidRPr="00F17ACF">
        <w:t xml:space="preserve">his will result in the NFP sector infrastructure program </w:t>
      </w:r>
      <w:r>
        <w:t xml:space="preserve">being </w:t>
      </w:r>
      <w:r w:rsidRPr="00F17ACF">
        <w:t xml:space="preserve">predominantly funded </w:t>
      </w:r>
      <w:r>
        <w:t>by</w:t>
      </w:r>
      <w:r w:rsidRPr="00F17ACF">
        <w:t xml:space="preserve"> net operating cash inflows. This enables the </w:t>
      </w:r>
      <w:r>
        <w:t>S</w:t>
      </w:r>
      <w:r w:rsidRPr="00F17ACF">
        <w:t xml:space="preserve">tate </w:t>
      </w:r>
      <w:r>
        <w:t xml:space="preserve">to </w:t>
      </w:r>
      <w:r w:rsidRPr="00F17ACF">
        <w:t>deliver significant infrastructure projects without compromising debt sustainability.</w:t>
      </w:r>
    </w:p>
    <w:p w:rsidR="00965D85" w:rsidRDefault="00965D85">
      <w:pPr>
        <w:spacing w:after="0"/>
        <w:rPr>
          <w:rFonts w:ascii="Calibri" w:hAnsi="Calibri"/>
          <w:b/>
        </w:rPr>
      </w:pPr>
      <w:r>
        <w:br w:type="page"/>
      </w:r>
    </w:p>
    <w:p w:rsidR="00965D85" w:rsidRDefault="00965D85" w:rsidP="008B46DF">
      <w:pPr>
        <w:pStyle w:val="Tableheading"/>
        <w:rPr>
          <w:rFonts w:ascii="Times New Roman" w:hAnsi="Times New Roman"/>
          <w:i/>
          <w:sz w:val="20"/>
          <w:lang w:eastAsia="en-AU"/>
        </w:rPr>
      </w:pPr>
      <w:r w:rsidRPr="00F17ACF">
        <w:lastRenderedPageBreak/>
        <w:t>Table 3.7</w:t>
      </w:r>
      <w:r>
        <w:t>:</w:t>
      </w:r>
      <w:r>
        <w:tab/>
      </w:r>
      <w:r w:rsidRPr="00F17ACF">
        <w:t>Application of cash resources for the non</w:t>
      </w:r>
      <w:r>
        <w:noBreakHyphen/>
      </w:r>
      <w:r w:rsidRPr="00F17ACF">
        <w:t>financial public sector</w:t>
      </w:r>
      <w:r>
        <w:t xml:space="preserve"> </w:t>
      </w:r>
      <w:r w:rsidRPr="000E262A">
        <w:rPr>
          <w:vertAlign w:val="superscript"/>
        </w:rPr>
        <w:t>(a)</w:t>
      </w:r>
      <w:r>
        <w:fldChar w:fldCharType="begin" w:fldLock="1"/>
      </w:r>
      <w:r>
        <w:instrText xml:space="preserve"> LINK Excel.Sheet.12 "\\\\PDCPTPRDFIL01\\DTFDATA02$\\SECURED\\Budget\\BudgetUpdate\\Chapter3\\Chapter 3 NFPS WoG Tables.xlsx" App_CashResources_NFPS!App_CR_NFPS \f 4 \r \* MERGEFORMAT </w:instrText>
      </w:r>
      <w:r>
        <w:fldChar w:fldCharType="separate"/>
      </w:r>
    </w:p>
    <w:tbl>
      <w:tblPr>
        <w:tblW w:w="7767" w:type="dxa"/>
        <w:tblInd w:w="28" w:type="dxa"/>
        <w:tblLayout w:type="fixed"/>
        <w:tblCellMar>
          <w:left w:w="28" w:type="dxa"/>
          <w:right w:w="28" w:type="dxa"/>
        </w:tblCellMar>
        <w:tblLook w:val="0000" w:firstRow="0" w:lastRow="0" w:firstColumn="0" w:lastColumn="0" w:noHBand="0" w:noVBand="0"/>
      </w:tblPr>
      <w:tblGrid>
        <w:gridCol w:w="4253"/>
        <w:gridCol w:w="878"/>
        <w:gridCol w:w="879"/>
        <w:gridCol w:w="878"/>
        <w:gridCol w:w="879"/>
      </w:tblGrid>
      <w:tr w:rsidR="00965D85" w:rsidRPr="002F202F" w:rsidTr="008B46DF">
        <w:tc>
          <w:tcPr>
            <w:tcW w:w="7767" w:type="dxa"/>
            <w:gridSpan w:val="5"/>
            <w:tcBorders>
              <w:top w:val="nil"/>
              <w:left w:val="nil"/>
              <w:bottom w:val="nil"/>
              <w:right w:val="nil"/>
            </w:tcBorders>
          </w:tcPr>
          <w:p w:rsidR="00965D85" w:rsidRPr="002F202F" w:rsidRDefault="00965D85" w:rsidP="008B46DF">
            <w:pPr>
              <w:pStyle w:val="million"/>
              <w:rPr>
                <w:rFonts w:eastAsiaTheme="minorEastAsia" w:cs="Calibri"/>
                <w:iCs/>
                <w:color w:val="000000"/>
                <w:sz w:val="20"/>
                <w:lang w:eastAsia="en-AU"/>
              </w:rPr>
            </w:pPr>
            <w:r w:rsidRPr="002F202F">
              <w:rPr>
                <w:rFonts w:eastAsiaTheme="minorEastAsia"/>
                <w:lang w:eastAsia="en-AU"/>
              </w:rPr>
              <w:t>($ million</w:t>
            </w:r>
            <w:r w:rsidRPr="002F202F">
              <w:rPr>
                <w:rFonts w:eastAsiaTheme="minorEastAsia" w:cs="Calibri"/>
                <w:iCs/>
                <w:color w:val="000000"/>
                <w:sz w:val="20"/>
                <w:lang w:eastAsia="en-AU"/>
              </w:rPr>
              <w:t>)</w:t>
            </w:r>
          </w:p>
        </w:tc>
      </w:tr>
      <w:tr w:rsidR="00965D85" w:rsidRPr="002F202F" w:rsidTr="008B46DF">
        <w:trPr>
          <w:trHeight w:val="488"/>
        </w:trPr>
        <w:tc>
          <w:tcPr>
            <w:tcW w:w="4253" w:type="dxa"/>
            <w:tcBorders>
              <w:top w:val="nil"/>
              <w:left w:val="nil"/>
              <w:right w:val="nil"/>
            </w:tcBorders>
            <w:shd w:val="solid" w:color="000000" w:fill="FFFFFF"/>
          </w:tcPr>
          <w:p w:rsidR="00965D85" w:rsidRPr="002F202F" w:rsidRDefault="00965D85" w:rsidP="008B46DF">
            <w:pPr>
              <w:autoSpaceDE w:val="0"/>
              <w:autoSpaceDN w:val="0"/>
              <w:adjustRightInd w:val="0"/>
              <w:spacing w:after="0"/>
              <w:rPr>
                <w:rFonts w:ascii="Calibri" w:eastAsiaTheme="minorEastAsia" w:hAnsi="Calibri" w:cs="Calibri"/>
                <w:i/>
                <w:iCs/>
                <w:color w:val="FFFFFF"/>
                <w:sz w:val="20"/>
                <w:lang w:eastAsia="en-AU"/>
              </w:rPr>
            </w:pPr>
            <w:r w:rsidRPr="002F202F">
              <w:rPr>
                <w:rFonts w:ascii="Calibri" w:eastAsiaTheme="minorEastAsia" w:hAnsi="Calibri" w:cs="Calibri"/>
                <w:i/>
                <w:iCs/>
                <w:color w:val="FFFFFF"/>
                <w:sz w:val="20"/>
                <w:lang w:eastAsia="en-AU"/>
              </w:rPr>
              <w:t xml:space="preserve"> </w:t>
            </w:r>
          </w:p>
          <w:p w:rsidR="00965D85" w:rsidRPr="002F202F" w:rsidRDefault="00965D85" w:rsidP="008B46DF">
            <w:pPr>
              <w:autoSpaceDE w:val="0"/>
              <w:autoSpaceDN w:val="0"/>
              <w:adjustRightInd w:val="0"/>
              <w:spacing w:after="0"/>
              <w:rPr>
                <w:rFonts w:ascii="Calibri" w:eastAsiaTheme="minorEastAsia" w:hAnsi="Calibri" w:cs="Calibri"/>
                <w:i/>
                <w:iCs/>
                <w:color w:val="FFFFFF"/>
                <w:sz w:val="20"/>
                <w:lang w:eastAsia="en-AU"/>
              </w:rPr>
            </w:pPr>
            <w:r w:rsidRPr="002F202F">
              <w:rPr>
                <w:rFonts w:ascii="Calibri" w:eastAsiaTheme="minorEastAsia" w:hAnsi="Calibri" w:cs="Calibri"/>
                <w:i/>
                <w:iCs/>
                <w:color w:val="FFFFFF"/>
                <w:sz w:val="20"/>
                <w:lang w:eastAsia="en-AU"/>
              </w:rPr>
              <w:t xml:space="preserve"> </w:t>
            </w:r>
          </w:p>
        </w:tc>
        <w:tc>
          <w:tcPr>
            <w:tcW w:w="878" w:type="dxa"/>
            <w:tcBorders>
              <w:top w:val="nil"/>
              <w:left w:val="nil"/>
              <w:right w:val="nil"/>
            </w:tcBorders>
            <w:shd w:val="solid" w:color="000000" w:fill="FFFFFF"/>
          </w:tcPr>
          <w:p w:rsidR="00965D85" w:rsidRPr="002F202F"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2F202F">
              <w:rPr>
                <w:rFonts w:ascii="Calibri" w:eastAsiaTheme="minorEastAsia" w:hAnsi="Calibri" w:cs="Calibri"/>
                <w:i/>
                <w:iCs/>
                <w:color w:val="FFFFFF"/>
                <w:sz w:val="20"/>
                <w:lang w:eastAsia="en-AU"/>
              </w:rPr>
              <w:t>2015</w:t>
            </w:r>
            <w:r>
              <w:rPr>
                <w:rFonts w:ascii="Calibri" w:eastAsiaTheme="minorEastAsia" w:hAnsi="Calibri" w:cs="Calibri"/>
                <w:i/>
                <w:iCs/>
                <w:color w:val="FFFFFF"/>
                <w:sz w:val="20"/>
                <w:lang w:eastAsia="en-AU"/>
              </w:rPr>
              <w:noBreakHyphen/>
            </w:r>
            <w:r w:rsidRPr="002F202F">
              <w:rPr>
                <w:rFonts w:ascii="Calibri" w:eastAsiaTheme="minorEastAsia" w:hAnsi="Calibri" w:cs="Calibri"/>
                <w:i/>
                <w:iCs/>
                <w:color w:val="FFFFFF"/>
                <w:sz w:val="20"/>
                <w:lang w:eastAsia="en-AU"/>
              </w:rPr>
              <w:t xml:space="preserve">16 </w:t>
            </w:r>
          </w:p>
          <w:p w:rsidR="00965D85" w:rsidRPr="002F202F"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2F202F">
              <w:rPr>
                <w:rFonts w:ascii="Calibri" w:eastAsiaTheme="minorEastAsia" w:hAnsi="Calibri" w:cs="Calibri"/>
                <w:i/>
                <w:iCs/>
                <w:color w:val="FFFFFF"/>
                <w:sz w:val="20"/>
                <w:lang w:eastAsia="en-AU"/>
              </w:rPr>
              <w:t>revised</w:t>
            </w:r>
          </w:p>
        </w:tc>
        <w:tc>
          <w:tcPr>
            <w:tcW w:w="879" w:type="dxa"/>
            <w:tcBorders>
              <w:top w:val="nil"/>
              <w:left w:val="nil"/>
              <w:right w:val="nil"/>
            </w:tcBorders>
            <w:shd w:val="solid" w:color="000000" w:fill="FFFFFF"/>
          </w:tcPr>
          <w:p w:rsidR="00965D85" w:rsidRPr="002F202F"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2F202F">
              <w:rPr>
                <w:rFonts w:ascii="Calibri" w:eastAsiaTheme="minorEastAsia" w:hAnsi="Calibri" w:cs="Calibri"/>
                <w:i/>
                <w:iCs/>
                <w:color w:val="FFFFFF"/>
                <w:sz w:val="20"/>
                <w:lang w:eastAsia="en-AU"/>
              </w:rPr>
              <w:t>2016</w:t>
            </w:r>
            <w:r>
              <w:rPr>
                <w:rFonts w:ascii="Calibri" w:eastAsiaTheme="minorEastAsia" w:hAnsi="Calibri" w:cs="Calibri"/>
                <w:i/>
                <w:iCs/>
                <w:color w:val="FFFFFF"/>
                <w:sz w:val="20"/>
                <w:lang w:eastAsia="en-AU"/>
              </w:rPr>
              <w:noBreakHyphen/>
            </w:r>
            <w:r w:rsidRPr="002F202F">
              <w:rPr>
                <w:rFonts w:ascii="Calibri" w:eastAsiaTheme="minorEastAsia" w:hAnsi="Calibri" w:cs="Calibri"/>
                <w:i/>
                <w:iCs/>
                <w:color w:val="FFFFFF"/>
                <w:sz w:val="20"/>
                <w:lang w:eastAsia="en-AU"/>
              </w:rPr>
              <w:t xml:space="preserve">17 </w:t>
            </w:r>
          </w:p>
          <w:p w:rsidR="00965D85" w:rsidRPr="002F202F"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2F202F">
              <w:rPr>
                <w:rFonts w:ascii="Calibri" w:eastAsiaTheme="minorEastAsia" w:hAnsi="Calibri" w:cs="Calibri"/>
                <w:i/>
                <w:iCs/>
                <w:color w:val="FFFFFF"/>
                <w:sz w:val="20"/>
                <w:lang w:eastAsia="en-AU"/>
              </w:rPr>
              <w:t>estimate</w:t>
            </w:r>
          </w:p>
        </w:tc>
        <w:tc>
          <w:tcPr>
            <w:tcW w:w="878" w:type="dxa"/>
            <w:tcBorders>
              <w:top w:val="nil"/>
              <w:left w:val="nil"/>
              <w:right w:val="nil"/>
            </w:tcBorders>
            <w:shd w:val="solid" w:color="000000" w:fill="FFFFFF"/>
          </w:tcPr>
          <w:p w:rsidR="00965D85" w:rsidRPr="002F202F"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2F202F">
              <w:rPr>
                <w:rFonts w:ascii="Calibri" w:eastAsiaTheme="minorEastAsia" w:hAnsi="Calibri" w:cs="Calibri"/>
                <w:i/>
                <w:iCs/>
                <w:color w:val="FFFFFF"/>
                <w:sz w:val="20"/>
                <w:lang w:eastAsia="en-AU"/>
              </w:rPr>
              <w:t>2017</w:t>
            </w:r>
            <w:r>
              <w:rPr>
                <w:rFonts w:ascii="Calibri" w:eastAsiaTheme="minorEastAsia" w:hAnsi="Calibri" w:cs="Calibri"/>
                <w:i/>
                <w:iCs/>
                <w:color w:val="FFFFFF"/>
                <w:sz w:val="20"/>
                <w:lang w:eastAsia="en-AU"/>
              </w:rPr>
              <w:noBreakHyphen/>
            </w:r>
            <w:r w:rsidRPr="002F202F">
              <w:rPr>
                <w:rFonts w:ascii="Calibri" w:eastAsiaTheme="minorEastAsia" w:hAnsi="Calibri" w:cs="Calibri"/>
                <w:i/>
                <w:iCs/>
                <w:color w:val="FFFFFF"/>
                <w:sz w:val="20"/>
                <w:lang w:eastAsia="en-AU"/>
              </w:rPr>
              <w:t xml:space="preserve">18 </w:t>
            </w:r>
          </w:p>
          <w:p w:rsidR="00965D85" w:rsidRPr="002F202F"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2F202F">
              <w:rPr>
                <w:rFonts w:ascii="Calibri" w:eastAsiaTheme="minorEastAsia" w:hAnsi="Calibri" w:cs="Calibri"/>
                <w:i/>
                <w:iCs/>
                <w:color w:val="FFFFFF"/>
                <w:sz w:val="20"/>
                <w:lang w:eastAsia="en-AU"/>
              </w:rPr>
              <w:t>estimate</w:t>
            </w:r>
          </w:p>
        </w:tc>
        <w:tc>
          <w:tcPr>
            <w:tcW w:w="879" w:type="dxa"/>
            <w:tcBorders>
              <w:top w:val="nil"/>
              <w:left w:val="nil"/>
              <w:right w:val="nil"/>
            </w:tcBorders>
            <w:shd w:val="solid" w:color="000000" w:fill="FFFFFF"/>
          </w:tcPr>
          <w:p w:rsidR="00965D85" w:rsidRPr="002F202F"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2F202F">
              <w:rPr>
                <w:rFonts w:ascii="Calibri" w:eastAsiaTheme="minorEastAsia" w:hAnsi="Calibri" w:cs="Calibri"/>
                <w:i/>
                <w:iCs/>
                <w:color w:val="FFFFFF"/>
                <w:sz w:val="20"/>
                <w:lang w:eastAsia="en-AU"/>
              </w:rPr>
              <w:t>2018</w:t>
            </w:r>
            <w:r>
              <w:rPr>
                <w:rFonts w:ascii="Calibri" w:eastAsiaTheme="minorEastAsia" w:hAnsi="Calibri" w:cs="Calibri"/>
                <w:i/>
                <w:iCs/>
                <w:color w:val="FFFFFF"/>
                <w:sz w:val="20"/>
                <w:lang w:eastAsia="en-AU"/>
              </w:rPr>
              <w:noBreakHyphen/>
            </w:r>
            <w:r w:rsidRPr="002F202F">
              <w:rPr>
                <w:rFonts w:ascii="Calibri" w:eastAsiaTheme="minorEastAsia" w:hAnsi="Calibri" w:cs="Calibri"/>
                <w:i/>
                <w:iCs/>
                <w:color w:val="FFFFFF"/>
                <w:sz w:val="20"/>
                <w:lang w:eastAsia="en-AU"/>
              </w:rPr>
              <w:t xml:space="preserve">19 </w:t>
            </w:r>
          </w:p>
          <w:p w:rsidR="00965D85" w:rsidRPr="002F202F"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2F202F">
              <w:rPr>
                <w:rFonts w:ascii="Calibri" w:eastAsiaTheme="minorEastAsia" w:hAnsi="Calibri" w:cs="Calibri"/>
                <w:i/>
                <w:iCs/>
                <w:color w:val="FFFFFF"/>
                <w:sz w:val="20"/>
                <w:lang w:eastAsia="en-AU"/>
              </w:rPr>
              <w:t>estimate</w:t>
            </w:r>
          </w:p>
        </w:tc>
      </w:tr>
      <w:tr w:rsidR="00965D85" w:rsidRPr="002F202F" w:rsidTr="008B46DF">
        <w:trPr>
          <w:trHeight w:hRule="exact" w:val="120"/>
        </w:trPr>
        <w:tc>
          <w:tcPr>
            <w:tcW w:w="4253" w:type="dxa"/>
            <w:tcBorders>
              <w:top w:val="nil"/>
              <w:left w:val="nil"/>
              <w:right w:val="nil"/>
            </w:tcBorders>
            <w:shd w:val="clear" w:color="auto" w:fill="FFFFFF"/>
          </w:tcPr>
          <w:p w:rsidR="00965D85" w:rsidRPr="002F202F"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 xml:space="preserve"> </w:t>
            </w:r>
          </w:p>
        </w:tc>
        <w:tc>
          <w:tcPr>
            <w:tcW w:w="878" w:type="dxa"/>
            <w:tcBorders>
              <w:top w:val="nil"/>
              <w:left w:val="nil"/>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 xml:space="preserve"> </w:t>
            </w:r>
          </w:p>
        </w:tc>
        <w:tc>
          <w:tcPr>
            <w:tcW w:w="879" w:type="dxa"/>
            <w:tcBorders>
              <w:top w:val="nil"/>
              <w:left w:val="nil"/>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 xml:space="preserve"> </w:t>
            </w:r>
          </w:p>
        </w:tc>
        <w:tc>
          <w:tcPr>
            <w:tcW w:w="878" w:type="dxa"/>
            <w:tcBorders>
              <w:top w:val="nil"/>
              <w:left w:val="nil"/>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 xml:space="preserve"> </w:t>
            </w:r>
          </w:p>
        </w:tc>
        <w:tc>
          <w:tcPr>
            <w:tcW w:w="879" w:type="dxa"/>
            <w:tcBorders>
              <w:top w:val="nil"/>
              <w:left w:val="nil"/>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 xml:space="preserve"> </w:t>
            </w:r>
          </w:p>
        </w:tc>
      </w:tr>
      <w:tr w:rsidR="00965D85" w:rsidRPr="002F202F" w:rsidTr="008B46DF">
        <w:tc>
          <w:tcPr>
            <w:tcW w:w="4253" w:type="dxa"/>
            <w:tcBorders>
              <w:top w:val="nil"/>
              <w:left w:val="nil"/>
              <w:right w:val="nil"/>
            </w:tcBorders>
            <w:shd w:val="clear" w:color="auto" w:fill="FFFFFF"/>
          </w:tcPr>
          <w:p w:rsidR="00965D85" w:rsidRPr="002F202F" w:rsidRDefault="00965D85" w:rsidP="008B46DF">
            <w:pPr>
              <w:autoSpaceDE w:val="0"/>
              <w:autoSpaceDN w:val="0"/>
              <w:adjustRightInd w:val="0"/>
              <w:spacing w:after="0"/>
              <w:ind w:left="227" w:hanging="227"/>
              <w:rPr>
                <w:rFonts w:ascii="Calibri" w:eastAsiaTheme="minorEastAsia" w:hAnsi="Calibri" w:cs="Calibri"/>
                <w:b/>
                <w:bCs/>
                <w:color w:val="000000"/>
                <w:sz w:val="20"/>
                <w:lang w:eastAsia="en-AU"/>
              </w:rPr>
            </w:pPr>
            <w:r w:rsidRPr="002F202F">
              <w:rPr>
                <w:rFonts w:ascii="Calibri" w:eastAsiaTheme="minorEastAsia" w:hAnsi="Calibri" w:cs="Calibri"/>
                <w:b/>
                <w:bCs/>
                <w:color w:val="000000"/>
                <w:sz w:val="20"/>
                <w:lang w:eastAsia="en-AU"/>
              </w:rPr>
              <w:t>Net result from transactions</w:t>
            </w:r>
          </w:p>
        </w:tc>
        <w:tc>
          <w:tcPr>
            <w:tcW w:w="878" w:type="dxa"/>
            <w:tcBorders>
              <w:top w:val="nil"/>
              <w:left w:val="nil"/>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 xml:space="preserve"> 844</w:t>
            </w:r>
          </w:p>
        </w:tc>
        <w:tc>
          <w:tcPr>
            <w:tcW w:w="879" w:type="dxa"/>
            <w:tcBorders>
              <w:top w:val="nil"/>
              <w:left w:val="nil"/>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 xml:space="preserve"> 894</w:t>
            </w:r>
          </w:p>
        </w:tc>
        <w:tc>
          <w:tcPr>
            <w:tcW w:w="878" w:type="dxa"/>
            <w:tcBorders>
              <w:top w:val="nil"/>
              <w:left w:val="nil"/>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1 303</w:t>
            </w:r>
          </w:p>
        </w:tc>
        <w:tc>
          <w:tcPr>
            <w:tcW w:w="879" w:type="dxa"/>
            <w:tcBorders>
              <w:top w:val="nil"/>
              <w:left w:val="nil"/>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1 058</w:t>
            </w:r>
          </w:p>
        </w:tc>
      </w:tr>
      <w:tr w:rsidR="00965D85" w:rsidRPr="002F202F" w:rsidTr="008B46DF">
        <w:tc>
          <w:tcPr>
            <w:tcW w:w="4253" w:type="dxa"/>
            <w:tcBorders>
              <w:top w:val="nil"/>
              <w:left w:val="nil"/>
              <w:bottom w:val="single" w:sz="6" w:space="0" w:color="auto"/>
              <w:right w:val="nil"/>
            </w:tcBorders>
            <w:shd w:val="clear" w:color="auto" w:fill="FFFFFF"/>
          </w:tcPr>
          <w:p w:rsidR="00965D85" w:rsidRPr="002F202F" w:rsidRDefault="00965D85" w:rsidP="008B46DF">
            <w:pPr>
              <w:autoSpaceDE w:val="0"/>
              <w:autoSpaceDN w:val="0"/>
              <w:adjustRightInd w:val="0"/>
              <w:spacing w:after="0"/>
              <w:ind w:left="227" w:hanging="227"/>
              <w:rPr>
                <w:rFonts w:ascii="Calibri" w:eastAsiaTheme="minorEastAsia" w:hAnsi="Calibri" w:cs="Calibri"/>
                <w:color w:val="000000"/>
                <w:sz w:val="20"/>
                <w:vertAlign w:val="superscript"/>
                <w:lang w:eastAsia="en-AU"/>
              </w:rPr>
            </w:pPr>
            <w:r w:rsidRPr="002F202F">
              <w:rPr>
                <w:rFonts w:ascii="Calibri" w:eastAsiaTheme="minorEastAsia" w:hAnsi="Calibri" w:cs="Calibri"/>
                <w:color w:val="000000"/>
                <w:sz w:val="20"/>
                <w:lang w:eastAsia="en-AU"/>
              </w:rPr>
              <w:t>Add back: non cash income and expenses (net)</w:t>
            </w:r>
            <w:r w:rsidRPr="002F202F">
              <w:rPr>
                <w:rFonts w:ascii="Calibri" w:eastAsiaTheme="minorEastAsia" w:hAnsi="Calibri" w:cs="Calibri"/>
                <w:color w:val="000000"/>
                <w:sz w:val="20"/>
                <w:vertAlign w:val="superscript"/>
                <w:lang w:eastAsia="en-AU"/>
              </w:rPr>
              <w:t xml:space="preserve"> (b)</w:t>
            </w:r>
          </w:p>
        </w:tc>
        <w:tc>
          <w:tcPr>
            <w:tcW w:w="878" w:type="dxa"/>
            <w:tcBorders>
              <w:top w:val="nil"/>
              <w:left w:val="nil"/>
              <w:bottom w:val="single" w:sz="6" w:space="0" w:color="auto"/>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4 159</w:t>
            </w:r>
          </w:p>
        </w:tc>
        <w:tc>
          <w:tcPr>
            <w:tcW w:w="879" w:type="dxa"/>
            <w:tcBorders>
              <w:top w:val="nil"/>
              <w:left w:val="nil"/>
              <w:bottom w:val="single" w:sz="6" w:space="0" w:color="auto"/>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4 425</w:t>
            </w:r>
          </w:p>
        </w:tc>
        <w:tc>
          <w:tcPr>
            <w:tcW w:w="878" w:type="dxa"/>
            <w:tcBorders>
              <w:top w:val="nil"/>
              <w:left w:val="nil"/>
              <w:bottom w:val="single" w:sz="6" w:space="0" w:color="auto"/>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4 635</w:t>
            </w:r>
          </w:p>
        </w:tc>
        <w:tc>
          <w:tcPr>
            <w:tcW w:w="879" w:type="dxa"/>
            <w:tcBorders>
              <w:top w:val="nil"/>
              <w:left w:val="nil"/>
              <w:bottom w:val="single" w:sz="6" w:space="0" w:color="auto"/>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4 850</w:t>
            </w:r>
          </w:p>
        </w:tc>
      </w:tr>
      <w:tr w:rsidR="00965D85" w:rsidRPr="002F202F" w:rsidTr="008B46DF">
        <w:tc>
          <w:tcPr>
            <w:tcW w:w="4253" w:type="dxa"/>
            <w:tcBorders>
              <w:top w:val="single" w:sz="6" w:space="0" w:color="auto"/>
              <w:left w:val="nil"/>
              <w:right w:val="nil"/>
            </w:tcBorders>
            <w:shd w:val="clear" w:color="auto" w:fill="FFFFFF"/>
          </w:tcPr>
          <w:p w:rsidR="00965D85" w:rsidRPr="002F202F" w:rsidRDefault="00965D85" w:rsidP="008B46DF">
            <w:pPr>
              <w:autoSpaceDE w:val="0"/>
              <w:autoSpaceDN w:val="0"/>
              <w:adjustRightInd w:val="0"/>
              <w:spacing w:after="0"/>
              <w:ind w:left="227" w:hanging="227"/>
              <w:rPr>
                <w:rFonts w:ascii="Calibri" w:eastAsiaTheme="minorEastAsia" w:hAnsi="Calibri" w:cs="Calibri"/>
                <w:b/>
                <w:bCs/>
                <w:color w:val="000000"/>
                <w:sz w:val="20"/>
                <w:lang w:eastAsia="en-AU"/>
              </w:rPr>
            </w:pPr>
            <w:r w:rsidRPr="002F202F">
              <w:rPr>
                <w:rFonts w:ascii="Calibri" w:eastAsiaTheme="minorEastAsia" w:hAnsi="Calibri" w:cs="Calibri"/>
                <w:b/>
                <w:bCs/>
                <w:color w:val="000000"/>
                <w:sz w:val="20"/>
                <w:lang w:eastAsia="en-AU"/>
              </w:rPr>
              <w:t>Net cash flow from operating activities</w:t>
            </w:r>
          </w:p>
        </w:tc>
        <w:tc>
          <w:tcPr>
            <w:tcW w:w="878" w:type="dxa"/>
            <w:tcBorders>
              <w:top w:val="single" w:sz="6" w:space="0" w:color="auto"/>
              <w:left w:val="nil"/>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5 003</w:t>
            </w:r>
          </w:p>
        </w:tc>
        <w:tc>
          <w:tcPr>
            <w:tcW w:w="879" w:type="dxa"/>
            <w:tcBorders>
              <w:top w:val="single" w:sz="6" w:space="0" w:color="auto"/>
              <w:left w:val="nil"/>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5 319</w:t>
            </w:r>
          </w:p>
        </w:tc>
        <w:tc>
          <w:tcPr>
            <w:tcW w:w="878" w:type="dxa"/>
            <w:tcBorders>
              <w:top w:val="single" w:sz="6" w:space="0" w:color="auto"/>
              <w:left w:val="nil"/>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5 937</w:t>
            </w:r>
          </w:p>
        </w:tc>
        <w:tc>
          <w:tcPr>
            <w:tcW w:w="879" w:type="dxa"/>
            <w:tcBorders>
              <w:top w:val="single" w:sz="6" w:space="0" w:color="auto"/>
              <w:left w:val="nil"/>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5 908</w:t>
            </w:r>
          </w:p>
        </w:tc>
      </w:tr>
      <w:tr w:rsidR="00965D85" w:rsidRPr="002F202F" w:rsidTr="008B46DF">
        <w:tc>
          <w:tcPr>
            <w:tcW w:w="4253" w:type="dxa"/>
            <w:tcBorders>
              <w:top w:val="nil"/>
              <w:left w:val="nil"/>
              <w:right w:val="nil"/>
            </w:tcBorders>
            <w:shd w:val="clear" w:color="auto" w:fill="FFFFFF"/>
          </w:tcPr>
          <w:p w:rsidR="00965D85" w:rsidRPr="002F202F"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Less:</w:t>
            </w:r>
          </w:p>
        </w:tc>
        <w:tc>
          <w:tcPr>
            <w:tcW w:w="878" w:type="dxa"/>
            <w:tcBorders>
              <w:top w:val="nil"/>
              <w:left w:val="nil"/>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 xml:space="preserve"> </w:t>
            </w:r>
          </w:p>
        </w:tc>
        <w:tc>
          <w:tcPr>
            <w:tcW w:w="879" w:type="dxa"/>
            <w:tcBorders>
              <w:top w:val="nil"/>
              <w:left w:val="nil"/>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 xml:space="preserve"> </w:t>
            </w:r>
          </w:p>
        </w:tc>
        <w:tc>
          <w:tcPr>
            <w:tcW w:w="878" w:type="dxa"/>
            <w:tcBorders>
              <w:top w:val="nil"/>
              <w:left w:val="nil"/>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 xml:space="preserve"> </w:t>
            </w:r>
          </w:p>
        </w:tc>
        <w:tc>
          <w:tcPr>
            <w:tcW w:w="879" w:type="dxa"/>
            <w:tcBorders>
              <w:top w:val="nil"/>
              <w:left w:val="nil"/>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 xml:space="preserve"> </w:t>
            </w:r>
          </w:p>
        </w:tc>
      </w:tr>
      <w:tr w:rsidR="00965D85" w:rsidRPr="002F202F" w:rsidTr="008B46DF">
        <w:tc>
          <w:tcPr>
            <w:tcW w:w="4253" w:type="dxa"/>
            <w:tcBorders>
              <w:top w:val="nil"/>
              <w:left w:val="nil"/>
              <w:right w:val="nil"/>
            </w:tcBorders>
            <w:shd w:val="clear" w:color="auto" w:fill="FFFFFF"/>
          </w:tcPr>
          <w:p w:rsidR="00965D85" w:rsidRPr="002F202F" w:rsidRDefault="00965D85" w:rsidP="008B46DF">
            <w:pPr>
              <w:autoSpaceDE w:val="0"/>
              <w:autoSpaceDN w:val="0"/>
              <w:adjustRightInd w:val="0"/>
              <w:spacing w:after="0"/>
              <w:ind w:left="227" w:hanging="227"/>
              <w:rPr>
                <w:rFonts w:ascii="Calibri" w:eastAsiaTheme="minorEastAsia" w:hAnsi="Calibri" w:cs="Calibri"/>
                <w:b/>
                <w:bCs/>
                <w:color w:val="000000"/>
                <w:sz w:val="20"/>
                <w:lang w:eastAsia="en-AU"/>
              </w:rPr>
            </w:pPr>
            <w:r w:rsidRPr="002F202F">
              <w:rPr>
                <w:rFonts w:ascii="Calibri" w:eastAsiaTheme="minorEastAsia" w:hAnsi="Calibri" w:cs="Calibri"/>
                <w:b/>
                <w:bCs/>
                <w:color w:val="000000"/>
                <w:sz w:val="20"/>
                <w:lang w:eastAsia="en-AU"/>
              </w:rPr>
              <w:t>Net investments in fixed assets</w:t>
            </w:r>
          </w:p>
        </w:tc>
        <w:tc>
          <w:tcPr>
            <w:tcW w:w="878" w:type="dxa"/>
            <w:tcBorders>
              <w:top w:val="nil"/>
              <w:left w:val="nil"/>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 xml:space="preserve"> </w:t>
            </w:r>
          </w:p>
        </w:tc>
        <w:tc>
          <w:tcPr>
            <w:tcW w:w="879" w:type="dxa"/>
            <w:tcBorders>
              <w:top w:val="nil"/>
              <w:left w:val="nil"/>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 xml:space="preserve"> </w:t>
            </w:r>
          </w:p>
        </w:tc>
        <w:tc>
          <w:tcPr>
            <w:tcW w:w="878" w:type="dxa"/>
            <w:tcBorders>
              <w:top w:val="nil"/>
              <w:left w:val="nil"/>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 xml:space="preserve"> </w:t>
            </w:r>
          </w:p>
        </w:tc>
        <w:tc>
          <w:tcPr>
            <w:tcW w:w="879" w:type="dxa"/>
            <w:tcBorders>
              <w:top w:val="nil"/>
              <w:left w:val="nil"/>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 xml:space="preserve"> </w:t>
            </w:r>
          </w:p>
        </w:tc>
      </w:tr>
      <w:tr w:rsidR="00965D85" w:rsidRPr="002F202F" w:rsidTr="008B46DF">
        <w:tc>
          <w:tcPr>
            <w:tcW w:w="4253" w:type="dxa"/>
            <w:tcBorders>
              <w:top w:val="nil"/>
              <w:left w:val="nil"/>
              <w:right w:val="nil"/>
            </w:tcBorders>
            <w:shd w:val="clear" w:color="auto" w:fill="FFFFFF"/>
          </w:tcPr>
          <w:p w:rsidR="00965D85" w:rsidRPr="002F202F"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Purchase of non</w:t>
            </w:r>
            <w:r>
              <w:rPr>
                <w:rFonts w:ascii="Calibri" w:eastAsiaTheme="minorEastAsia" w:hAnsi="Calibri" w:cs="Calibri"/>
                <w:color w:val="000000"/>
                <w:sz w:val="20"/>
                <w:lang w:eastAsia="en-AU"/>
              </w:rPr>
              <w:noBreakHyphen/>
            </w:r>
            <w:r w:rsidRPr="002F202F">
              <w:rPr>
                <w:rFonts w:ascii="Calibri" w:eastAsiaTheme="minorEastAsia" w:hAnsi="Calibri" w:cs="Calibri"/>
                <w:color w:val="000000"/>
                <w:sz w:val="20"/>
                <w:lang w:eastAsia="en-AU"/>
              </w:rPr>
              <w:t>financial assets</w:t>
            </w:r>
          </w:p>
        </w:tc>
        <w:tc>
          <w:tcPr>
            <w:tcW w:w="878" w:type="dxa"/>
            <w:tcBorders>
              <w:top w:val="nil"/>
              <w:left w:val="nil"/>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6 607</w:t>
            </w:r>
          </w:p>
        </w:tc>
        <w:tc>
          <w:tcPr>
            <w:tcW w:w="879" w:type="dxa"/>
            <w:tcBorders>
              <w:top w:val="nil"/>
              <w:left w:val="nil"/>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7 816</w:t>
            </w:r>
          </w:p>
        </w:tc>
        <w:tc>
          <w:tcPr>
            <w:tcW w:w="878" w:type="dxa"/>
            <w:tcBorders>
              <w:top w:val="nil"/>
              <w:left w:val="nil"/>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7 082</w:t>
            </w:r>
          </w:p>
        </w:tc>
        <w:tc>
          <w:tcPr>
            <w:tcW w:w="879" w:type="dxa"/>
            <w:tcBorders>
              <w:top w:val="nil"/>
              <w:left w:val="nil"/>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6 497</w:t>
            </w:r>
          </w:p>
        </w:tc>
      </w:tr>
      <w:tr w:rsidR="00965D85" w:rsidRPr="002F202F" w:rsidTr="008B46DF">
        <w:tc>
          <w:tcPr>
            <w:tcW w:w="4253" w:type="dxa"/>
            <w:tcBorders>
              <w:top w:val="nil"/>
              <w:left w:val="nil"/>
              <w:right w:val="nil"/>
            </w:tcBorders>
            <w:shd w:val="clear" w:color="auto" w:fill="FFFFFF"/>
          </w:tcPr>
          <w:p w:rsidR="00965D85" w:rsidRPr="002F202F"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Net cash flow from investments in financial assets for policy purposes</w:t>
            </w:r>
          </w:p>
        </w:tc>
        <w:tc>
          <w:tcPr>
            <w:tcW w:w="878" w:type="dxa"/>
            <w:tcBorders>
              <w:top w:val="nil"/>
              <w:left w:val="nil"/>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 xml:space="preserve"> 215</w:t>
            </w:r>
          </w:p>
        </w:tc>
        <w:tc>
          <w:tcPr>
            <w:tcW w:w="879" w:type="dxa"/>
            <w:tcBorders>
              <w:top w:val="nil"/>
              <w:left w:val="nil"/>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w:t>
            </w:r>
            <w:r w:rsidRPr="002F202F">
              <w:rPr>
                <w:rFonts w:ascii="Calibri" w:eastAsiaTheme="minorEastAsia" w:hAnsi="Calibri" w:cs="Calibri"/>
                <w:color w:val="000000"/>
                <w:sz w:val="20"/>
                <w:lang w:eastAsia="en-AU"/>
              </w:rPr>
              <w:t>59)</w:t>
            </w:r>
          </w:p>
        </w:tc>
        <w:tc>
          <w:tcPr>
            <w:tcW w:w="878" w:type="dxa"/>
            <w:tcBorders>
              <w:top w:val="nil"/>
              <w:left w:val="nil"/>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 xml:space="preserve"> (1 281)</w:t>
            </w:r>
          </w:p>
        </w:tc>
        <w:tc>
          <w:tcPr>
            <w:tcW w:w="879" w:type="dxa"/>
            <w:tcBorders>
              <w:top w:val="nil"/>
              <w:left w:val="nil"/>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w:t>
            </w:r>
            <w:r w:rsidRPr="002F202F">
              <w:rPr>
                <w:rFonts w:ascii="Calibri" w:eastAsiaTheme="minorEastAsia" w:hAnsi="Calibri" w:cs="Calibri"/>
                <w:color w:val="000000"/>
                <w:sz w:val="20"/>
                <w:lang w:eastAsia="en-AU"/>
              </w:rPr>
              <w:t>65)</w:t>
            </w:r>
          </w:p>
        </w:tc>
      </w:tr>
      <w:tr w:rsidR="00965D85" w:rsidRPr="002F202F" w:rsidTr="008B46DF">
        <w:tc>
          <w:tcPr>
            <w:tcW w:w="4253" w:type="dxa"/>
            <w:tcBorders>
              <w:top w:val="nil"/>
              <w:left w:val="nil"/>
              <w:right w:val="nil"/>
            </w:tcBorders>
            <w:shd w:val="clear" w:color="auto" w:fill="FFFFFF"/>
          </w:tcPr>
          <w:p w:rsidR="00965D85" w:rsidRPr="002F202F" w:rsidRDefault="00965D85" w:rsidP="008B46DF">
            <w:pPr>
              <w:autoSpaceDE w:val="0"/>
              <w:autoSpaceDN w:val="0"/>
              <w:adjustRightInd w:val="0"/>
              <w:spacing w:after="0"/>
              <w:ind w:left="227" w:hanging="227"/>
              <w:rPr>
                <w:rFonts w:ascii="Calibri" w:eastAsiaTheme="minorEastAsia" w:hAnsi="Calibri" w:cs="Calibri"/>
                <w:color w:val="000000"/>
                <w:sz w:val="20"/>
                <w:vertAlign w:val="superscript"/>
                <w:lang w:eastAsia="en-AU"/>
              </w:rPr>
            </w:pPr>
            <w:r w:rsidRPr="002F202F">
              <w:rPr>
                <w:rFonts w:ascii="Calibri" w:eastAsiaTheme="minorEastAsia" w:hAnsi="Calibri" w:cs="Calibri"/>
                <w:color w:val="000000"/>
                <w:sz w:val="20"/>
                <w:lang w:eastAsia="en-AU"/>
              </w:rPr>
              <w:t xml:space="preserve">Funding not allocated for specific purposes </w:t>
            </w:r>
            <w:r w:rsidRPr="002F202F">
              <w:rPr>
                <w:rFonts w:ascii="Calibri" w:eastAsiaTheme="minorEastAsia" w:hAnsi="Calibri" w:cs="Calibri"/>
                <w:color w:val="000000"/>
                <w:sz w:val="20"/>
                <w:vertAlign w:val="superscript"/>
                <w:lang w:eastAsia="en-AU"/>
              </w:rPr>
              <w:t>(c)</w:t>
            </w:r>
          </w:p>
        </w:tc>
        <w:tc>
          <w:tcPr>
            <w:tcW w:w="878" w:type="dxa"/>
            <w:tcBorders>
              <w:top w:val="nil"/>
              <w:left w:val="nil"/>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w:t>
            </w:r>
          </w:p>
        </w:tc>
        <w:tc>
          <w:tcPr>
            <w:tcW w:w="879" w:type="dxa"/>
            <w:tcBorders>
              <w:top w:val="nil"/>
              <w:left w:val="nil"/>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 xml:space="preserve"> 300</w:t>
            </w:r>
          </w:p>
        </w:tc>
        <w:tc>
          <w:tcPr>
            <w:tcW w:w="878" w:type="dxa"/>
            <w:tcBorders>
              <w:top w:val="nil"/>
              <w:left w:val="nil"/>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 xml:space="preserve"> 700</w:t>
            </w:r>
          </w:p>
        </w:tc>
        <w:tc>
          <w:tcPr>
            <w:tcW w:w="879" w:type="dxa"/>
            <w:tcBorders>
              <w:top w:val="nil"/>
              <w:left w:val="nil"/>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1 000</w:t>
            </w:r>
          </w:p>
        </w:tc>
      </w:tr>
      <w:tr w:rsidR="00965D85" w:rsidRPr="002F202F" w:rsidTr="008B46DF">
        <w:tc>
          <w:tcPr>
            <w:tcW w:w="4253" w:type="dxa"/>
            <w:tcBorders>
              <w:top w:val="nil"/>
              <w:left w:val="nil"/>
              <w:bottom w:val="single" w:sz="6" w:space="0" w:color="auto"/>
              <w:right w:val="nil"/>
            </w:tcBorders>
            <w:shd w:val="clear" w:color="auto" w:fill="FFFFFF"/>
          </w:tcPr>
          <w:p w:rsidR="00965D85" w:rsidRPr="002F202F"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Proceeds from asset sales</w:t>
            </w:r>
          </w:p>
        </w:tc>
        <w:tc>
          <w:tcPr>
            <w:tcW w:w="878" w:type="dxa"/>
            <w:tcBorders>
              <w:top w:val="nil"/>
              <w:left w:val="nil"/>
              <w:bottom w:val="single" w:sz="6" w:space="0" w:color="auto"/>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 xml:space="preserve"> (7 477)</w:t>
            </w:r>
          </w:p>
        </w:tc>
        <w:tc>
          <w:tcPr>
            <w:tcW w:w="879" w:type="dxa"/>
            <w:tcBorders>
              <w:top w:val="nil"/>
              <w:left w:val="nil"/>
              <w:bottom w:val="single" w:sz="6" w:space="0" w:color="auto"/>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w:t>
            </w:r>
            <w:r w:rsidRPr="002F202F">
              <w:rPr>
                <w:rFonts w:ascii="Calibri" w:eastAsiaTheme="minorEastAsia" w:hAnsi="Calibri" w:cs="Calibri"/>
                <w:color w:val="000000"/>
                <w:sz w:val="20"/>
                <w:lang w:eastAsia="en-AU"/>
              </w:rPr>
              <w:t>720)</w:t>
            </w:r>
          </w:p>
        </w:tc>
        <w:tc>
          <w:tcPr>
            <w:tcW w:w="878" w:type="dxa"/>
            <w:tcBorders>
              <w:top w:val="nil"/>
              <w:left w:val="nil"/>
              <w:bottom w:val="single" w:sz="6" w:space="0" w:color="auto"/>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w:t>
            </w:r>
            <w:r w:rsidRPr="002F202F">
              <w:rPr>
                <w:rFonts w:ascii="Calibri" w:eastAsiaTheme="minorEastAsia" w:hAnsi="Calibri" w:cs="Calibri"/>
                <w:color w:val="000000"/>
                <w:sz w:val="20"/>
                <w:lang w:eastAsia="en-AU"/>
              </w:rPr>
              <w:t>685)</w:t>
            </w:r>
          </w:p>
        </w:tc>
        <w:tc>
          <w:tcPr>
            <w:tcW w:w="879" w:type="dxa"/>
            <w:tcBorders>
              <w:top w:val="nil"/>
              <w:left w:val="nil"/>
              <w:bottom w:val="single" w:sz="6" w:space="0" w:color="auto"/>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w:t>
            </w:r>
            <w:r w:rsidRPr="002F202F">
              <w:rPr>
                <w:rFonts w:ascii="Calibri" w:eastAsiaTheme="minorEastAsia" w:hAnsi="Calibri" w:cs="Calibri"/>
                <w:color w:val="000000"/>
                <w:sz w:val="20"/>
                <w:lang w:eastAsia="en-AU"/>
              </w:rPr>
              <w:t>496)</w:t>
            </w:r>
          </w:p>
        </w:tc>
      </w:tr>
      <w:tr w:rsidR="00965D85" w:rsidRPr="002F202F" w:rsidTr="008B46DF">
        <w:tc>
          <w:tcPr>
            <w:tcW w:w="4253" w:type="dxa"/>
            <w:tcBorders>
              <w:top w:val="single" w:sz="6" w:space="0" w:color="auto"/>
              <w:left w:val="nil"/>
              <w:right w:val="nil"/>
            </w:tcBorders>
            <w:shd w:val="clear" w:color="auto" w:fill="FFFFFF"/>
          </w:tcPr>
          <w:p w:rsidR="00965D85" w:rsidRPr="002F202F" w:rsidRDefault="00965D85" w:rsidP="008B46DF">
            <w:pPr>
              <w:autoSpaceDE w:val="0"/>
              <w:autoSpaceDN w:val="0"/>
              <w:adjustRightInd w:val="0"/>
              <w:spacing w:after="0"/>
              <w:ind w:left="227" w:hanging="227"/>
              <w:rPr>
                <w:rFonts w:ascii="Calibri" w:eastAsiaTheme="minorEastAsia" w:hAnsi="Calibri" w:cs="Calibri"/>
                <w:b/>
                <w:bCs/>
                <w:color w:val="000000"/>
                <w:sz w:val="20"/>
                <w:vertAlign w:val="superscript"/>
                <w:lang w:eastAsia="en-AU"/>
              </w:rPr>
            </w:pPr>
            <w:r w:rsidRPr="002F202F">
              <w:rPr>
                <w:rFonts w:ascii="Calibri" w:eastAsiaTheme="minorEastAsia" w:hAnsi="Calibri" w:cs="Calibri"/>
                <w:b/>
                <w:bCs/>
                <w:color w:val="000000"/>
                <w:sz w:val="20"/>
                <w:lang w:eastAsia="en-AU"/>
              </w:rPr>
              <w:t xml:space="preserve">Total net investments in fixed assets </w:t>
            </w:r>
            <w:r w:rsidRPr="002F202F">
              <w:rPr>
                <w:rFonts w:ascii="Calibri" w:eastAsiaTheme="minorEastAsia" w:hAnsi="Calibri" w:cs="Calibri"/>
                <w:b/>
                <w:bCs/>
                <w:color w:val="000000"/>
                <w:sz w:val="20"/>
                <w:vertAlign w:val="superscript"/>
                <w:lang w:eastAsia="en-AU"/>
              </w:rPr>
              <w:t>(d)</w:t>
            </w:r>
          </w:p>
        </w:tc>
        <w:tc>
          <w:tcPr>
            <w:tcW w:w="878" w:type="dxa"/>
            <w:tcBorders>
              <w:top w:val="single" w:sz="6" w:space="0" w:color="auto"/>
              <w:left w:val="nil"/>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b/>
                <w:color w:val="000000"/>
                <w:sz w:val="20"/>
                <w:lang w:eastAsia="en-AU"/>
              </w:rPr>
            </w:pPr>
            <w:r>
              <w:rPr>
                <w:rFonts w:ascii="Calibri" w:eastAsiaTheme="minorEastAsia" w:hAnsi="Calibri" w:cs="Calibri"/>
                <w:b/>
                <w:color w:val="000000"/>
                <w:sz w:val="20"/>
                <w:lang w:eastAsia="en-AU"/>
              </w:rPr>
              <w:t>(</w:t>
            </w:r>
            <w:r w:rsidRPr="002F202F">
              <w:rPr>
                <w:rFonts w:ascii="Calibri" w:eastAsiaTheme="minorEastAsia" w:hAnsi="Calibri" w:cs="Calibri"/>
                <w:b/>
                <w:color w:val="000000"/>
                <w:sz w:val="20"/>
                <w:lang w:eastAsia="en-AU"/>
              </w:rPr>
              <w:t>656)</w:t>
            </w:r>
          </w:p>
        </w:tc>
        <w:tc>
          <w:tcPr>
            <w:tcW w:w="879" w:type="dxa"/>
            <w:tcBorders>
              <w:top w:val="single" w:sz="6" w:space="0" w:color="auto"/>
              <w:left w:val="nil"/>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b/>
                <w:color w:val="000000"/>
                <w:sz w:val="20"/>
                <w:lang w:eastAsia="en-AU"/>
              </w:rPr>
            </w:pPr>
            <w:r w:rsidRPr="002F202F">
              <w:rPr>
                <w:rFonts w:ascii="Calibri" w:eastAsiaTheme="minorEastAsia" w:hAnsi="Calibri" w:cs="Calibri"/>
                <w:b/>
                <w:color w:val="000000"/>
                <w:sz w:val="20"/>
                <w:lang w:eastAsia="en-AU"/>
              </w:rPr>
              <w:t>7 336</w:t>
            </w:r>
          </w:p>
        </w:tc>
        <w:tc>
          <w:tcPr>
            <w:tcW w:w="878" w:type="dxa"/>
            <w:tcBorders>
              <w:top w:val="single" w:sz="6" w:space="0" w:color="auto"/>
              <w:left w:val="nil"/>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b/>
                <w:color w:val="000000"/>
                <w:sz w:val="20"/>
                <w:lang w:eastAsia="en-AU"/>
              </w:rPr>
            </w:pPr>
            <w:r w:rsidRPr="002F202F">
              <w:rPr>
                <w:rFonts w:ascii="Calibri" w:eastAsiaTheme="minorEastAsia" w:hAnsi="Calibri" w:cs="Calibri"/>
                <w:b/>
                <w:color w:val="000000"/>
                <w:sz w:val="20"/>
                <w:lang w:eastAsia="en-AU"/>
              </w:rPr>
              <w:t>5 817</w:t>
            </w:r>
          </w:p>
        </w:tc>
        <w:tc>
          <w:tcPr>
            <w:tcW w:w="879" w:type="dxa"/>
            <w:tcBorders>
              <w:top w:val="single" w:sz="6" w:space="0" w:color="auto"/>
              <w:left w:val="nil"/>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b/>
                <w:color w:val="000000"/>
                <w:sz w:val="20"/>
                <w:lang w:eastAsia="en-AU"/>
              </w:rPr>
            </w:pPr>
            <w:r w:rsidRPr="002F202F">
              <w:rPr>
                <w:rFonts w:ascii="Calibri" w:eastAsiaTheme="minorEastAsia" w:hAnsi="Calibri" w:cs="Calibri"/>
                <w:b/>
                <w:color w:val="000000"/>
                <w:sz w:val="20"/>
                <w:lang w:eastAsia="en-AU"/>
              </w:rPr>
              <w:t>6 936</w:t>
            </w:r>
          </w:p>
        </w:tc>
      </w:tr>
      <w:tr w:rsidR="00965D85" w:rsidRPr="002F202F" w:rsidTr="008B46DF">
        <w:tc>
          <w:tcPr>
            <w:tcW w:w="4253" w:type="dxa"/>
            <w:tcBorders>
              <w:top w:val="nil"/>
              <w:left w:val="nil"/>
              <w:right w:val="nil"/>
            </w:tcBorders>
            <w:shd w:val="clear" w:color="auto" w:fill="FFFFFF"/>
          </w:tcPr>
          <w:p w:rsidR="00965D85" w:rsidRPr="002F202F" w:rsidRDefault="00965D85" w:rsidP="008B46DF">
            <w:pPr>
              <w:autoSpaceDE w:val="0"/>
              <w:autoSpaceDN w:val="0"/>
              <w:adjustRightInd w:val="0"/>
              <w:spacing w:after="0"/>
              <w:ind w:left="227" w:hanging="227"/>
              <w:rPr>
                <w:rFonts w:ascii="Calibri" w:eastAsiaTheme="minorEastAsia" w:hAnsi="Calibri" w:cs="Calibri"/>
                <w:b/>
                <w:bCs/>
                <w:color w:val="000000"/>
                <w:sz w:val="20"/>
                <w:lang w:eastAsia="en-AU"/>
              </w:rPr>
            </w:pPr>
            <w:r w:rsidRPr="002F202F">
              <w:rPr>
                <w:rFonts w:ascii="Calibri" w:eastAsiaTheme="minorEastAsia" w:hAnsi="Calibri" w:cs="Calibri"/>
                <w:b/>
                <w:bCs/>
                <w:color w:val="000000"/>
                <w:sz w:val="20"/>
                <w:lang w:eastAsia="en-AU"/>
              </w:rPr>
              <w:t>Surplus/(deficit) of cash from operations after funding net investments in fixed assets</w:t>
            </w:r>
          </w:p>
        </w:tc>
        <w:tc>
          <w:tcPr>
            <w:tcW w:w="878" w:type="dxa"/>
            <w:tcBorders>
              <w:top w:val="nil"/>
              <w:left w:val="nil"/>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2F202F">
              <w:rPr>
                <w:rFonts w:ascii="Calibri" w:eastAsiaTheme="minorEastAsia" w:hAnsi="Calibri" w:cs="Calibri"/>
                <w:b/>
                <w:bCs/>
                <w:color w:val="000000"/>
                <w:sz w:val="20"/>
                <w:lang w:eastAsia="en-AU"/>
              </w:rPr>
              <w:t>5 659</w:t>
            </w:r>
          </w:p>
        </w:tc>
        <w:tc>
          <w:tcPr>
            <w:tcW w:w="879" w:type="dxa"/>
            <w:tcBorders>
              <w:top w:val="nil"/>
              <w:left w:val="nil"/>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2F202F">
              <w:rPr>
                <w:rFonts w:ascii="Calibri" w:eastAsiaTheme="minorEastAsia" w:hAnsi="Calibri" w:cs="Calibri"/>
                <w:b/>
                <w:bCs/>
                <w:color w:val="000000"/>
                <w:sz w:val="20"/>
                <w:lang w:eastAsia="en-AU"/>
              </w:rPr>
              <w:t xml:space="preserve"> (2 017)</w:t>
            </w:r>
          </w:p>
        </w:tc>
        <w:tc>
          <w:tcPr>
            <w:tcW w:w="878" w:type="dxa"/>
            <w:tcBorders>
              <w:top w:val="nil"/>
              <w:left w:val="nil"/>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2F202F">
              <w:rPr>
                <w:rFonts w:ascii="Calibri" w:eastAsiaTheme="minorEastAsia" w:hAnsi="Calibri" w:cs="Calibri"/>
                <w:b/>
                <w:bCs/>
                <w:color w:val="000000"/>
                <w:sz w:val="20"/>
                <w:lang w:eastAsia="en-AU"/>
              </w:rPr>
              <w:t xml:space="preserve"> 121</w:t>
            </w:r>
          </w:p>
        </w:tc>
        <w:tc>
          <w:tcPr>
            <w:tcW w:w="879" w:type="dxa"/>
            <w:tcBorders>
              <w:top w:val="nil"/>
              <w:left w:val="nil"/>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2F202F">
              <w:rPr>
                <w:rFonts w:ascii="Calibri" w:eastAsiaTheme="minorEastAsia" w:hAnsi="Calibri" w:cs="Calibri"/>
                <w:b/>
                <w:bCs/>
                <w:color w:val="000000"/>
                <w:sz w:val="20"/>
                <w:lang w:eastAsia="en-AU"/>
              </w:rPr>
              <w:t xml:space="preserve"> (1 029)</w:t>
            </w:r>
          </w:p>
        </w:tc>
      </w:tr>
      <w:tr w:rsidR="00965D85" w:rsidRPr="002F202F" w:rsidTr="008B46DF">
        <w:tc>
          <w:tcPr>
            <w:tcW w:w="4253" w:type="dxa"/>
            <w:tcBorders>
              <w:top w:val="nil"/>
              <w:left w:val="nil"/>
              <w:right w:val="nil"/>
            </w:tcBorders>
            <w:shd w:val="clear" w:color="auto" w:fill="FFFFFF"/>
          </w:tcPr>
          <w:p w:rsidR="00965D85" w:rsidRPr="002F202F" w:rsidRDefault="00965D85" w:rsidP="008B46DF">
            <w:pPr>
              <w:autoSpaceDE w:val="0"/>
              <w:autoSpaceDN w:val="0"/>
              <w:adjustRightInd w:val="0"/>
              <w:spacing w:after="0"/>
              <w:ind w:left="227" w:hanging="227"/>
              <w:rPr>
                <w:rFonts w:ascii="Calibri" w:eastAsiaTheme="minorEastAsia" w:hAnsi="Calibri" w:cs="Calibri"/>
                <w:color w:val="000000"/>
                <w:sz w:val="20"/>
                <w:vertAlign w:val="superscript"/>
                <w:lang w:eastAsia="en-AU"/>
              </w:rPr>
            </w:pPr>
            <w:r w:rsidRPr="002F202F">
              <w:rPr>
                <w:rFonts w:ascii="Calibri" w:eastAsiaTheme="minorEastAsia" w:hAnsi="Calibri" w:cs="Calibri"/>
                <w:color w:val="000000"/>
                <w:sz w:val="20"/>
                <w:lang w:eastAsia="en-AU"/>
              </w:rPr>
              <w:t xml:space="preserve">Finance Leases </w:t>
            </w:r>
            <w:r w:rsidRPr="002F202F">
              <w:rPr>
                <w:rFonts w:ascii="Calibri" w:eastAsiaTheme="minorEastAsia" w:hAnsi="Calibri" w:cs="Calibri"/>
                <w:color w:val="000000"/>
                <w:sz w:val="20"/>
                <w:vertAlign w:val="superscript"/>
                <w:lang w:eastAsia="en-AU"/>
              </w:rPr>
              <w:t>(e)</w:t>
            </w:r>
          </w:p>
        </w:tc>
        <w:tc>
          <w:tcPr>
            <w:tcW w:w="878" w:type="dxa"/>
            <w:tcBorders>
              <w:top w:val="nil"/>
              <w:left w:val="nil"/>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1 074</w:t>
            </w:r>
          </w:p>
        </w:tc>
        <w:tc>
          <w:tcPr>
            <w:tcW w:w="879" w:type="dxa"/>
            <w:tcBorders>
              <w:top w:val="nil"/>
              <w:left w:val="nil"/>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 xml:space="preserve"> 496</w:t>
            </w:r>
          </w:p>
        </w:tc>
        <w:tc>
          <w:tcPr>
            <w:tcW w:w="878" w:type="dxa"/>
            <w:tcBorders>
              <w:top w:val="nil"/>
              <w:left w:val="nil"/>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 xml:space="preserve"> 652</w:t>
            </w:r>
          </w:p>
        </w:tc>
        <w:tc>
          <w:tcPr>
            <w:tcW w:w="879" w:type="dxa"/>
            <w:tcBorders>
              <w:top w:val="nil"/>
              <w:left w:val="nil"/>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w:t>
            </w:r>
          </w:p>
        </w:tc>
      </w:tr>
      <w:tr w:rsidR="00965D85" w:rsidRPr="002F202F" w:rsidTr="008B46DF">
        <w:tc>
          <w:tcPr>
            <w:tcW w:w="4253" w:type="dxa"/>
            <w:tcBorders>
              <w:top w:val="nil"/>
              <w:left w:val="nil"/>
              <w:bottom w:val="single" w:sz="6" w:space="0" w:color="auto"/>
              <w:right w:val="nil"/>
            </w:tcBorders>
            <w:shd w:val="clear" w:color="auto" w:fill="FFFFFF"/>
          </w:tcPr>
          <w:p w:rsidR="00965D85" w:rsidRPr="002F202F"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Other investment activities (net)</w:t>
            </w:r>
          </w:p>
        </w:tc>
        <w:tc>
          <w:tcPr>
            <w:tcW w:w="878" w:type="dxa"/>
            <w:tcBorders>
              <w:top w:val="nil"/>
              <w:left w:val="nil"/>
              <w:bottom w:val="single" w:sz="6" w:space="0" w:color="auto"/>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w:t>
            </w:r>
            <w:r w:rsidRPr="002F202F">
              <w:rPr>
                <w:rFonts w:ascii="Calibri" w:eastAsiaTheme="minorEastAsia" w:hAnsi="Calibri" w:cs="Calibri"/>
                <w:color w:val="000000"/>
                <w:sz w:val="20"/>
                <w:lang w:eastAsia="en-AU"/>
              </w:rPr>
              <w:t>14)</w:t>
            </w:r>
          </w:p>
        </w:tc>
        <w:tc>
          <w:tcPr>
            <w:tcW w:w="879" w:type="dxa"/>
            <w:tcBorders>
              <w:top w:val="nil"/>
              <w:left w:val="nil"/>
              <w:bottom w:val="single" w:sz="6" w:space="0" w:color="auto"/>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 xml:space="preserve"> 3</w:t>
            </w:r>
          </w:p>
        </w:tc>
        <w:tc>
          <w:tcPr>
            <w:tcW w:w="878" w:type="dxa"/>
            <w:tcBorders>
              <w:top w:val="nil"/>
              <w:left w:val="nil"/>
              <w:bottom w:val="single" w:sz="6" w:space="0" w:color="auto"/>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 xml:space="preserve"> 4</w:t>
            </w:r>
          </w:p>
        </w:tc>
        <w:tc>
          <w:tcPr>
            <w:tcW w:w="879" w:type="dxa"/>
            <w:tcBorders>
              <w:top w:val="nil"/>
              <w:left w:val="nil"/>
              <w:bottom w:val="single" w:sz="6" w:space="0" w:color="auto"/>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 xml:space="preserve"> 6</w:t>
            </w:r>
          </w:p>
        </w:tc>
      </w:tr>
      <w:tr w:rsidR="00965D85" w:rsidRPr="002F202F" w:rsidTr="008B46DF">
        <w:tc>
          <w:tcPr>
            <w:tcW w:w="4253" w:type="dxa"/>
            <w:tcBorders>
              <w:top w:val="single" w:sz="6" w:space="0" w:color="auto"/>
              <w:left w:val="nil"/>
              <w:bottom w:val="single" w:sz="12" w:space="0" w:color="auto"/>
              <w:right w:val="nil"/>
            </w:tcBorders>
            <w:shd w:val="clear" w:color="auto" w:fill="FFFFFF"/>
          </w:tcPr>
          <w:p w:rsidR="00965D85" w:rsidRPr="002F202F" w:rsidRDefault="00965D85" w:rsidP="008B46DF">
            <w:pPr>
              <w:autoSpaceDE w:val="0"/>
              <w:autoSpaceDN w:val="0"/>
              <w:adjustRightInd w:val="0"/>
              <w:spacing w:after="0"/>
              <w:ind w:left="227" w:hanging="227"/>
              <w:rPr>
                <w:rFonts w:ascii="Calibri" w:eastAsiaTheme="minorEastAsia" w:hAnsi="Calibri" w:cs="Calibri"/>
                <w:b/>
                <w:bCs/>
                <w:color w:val="000000"/>
                <w:sz w:val="20"/>
                <w:lang w:eastAsia="en-AU"/>
              </w:rPr>
            </w:pPr>
            <w:r w:rsidRPr="002F202F">
              <w:rPr>
                <w:rFonts w:ascii="Calibri" w:eastAsiaTheme="minorEastAsia" w:hAnsi="Calibri" w:cs="Calibri"/>
                <w:b/>
                <w:bCs/>
                <w:color w:val="000000"/>
                <w:sz w:val="20"/>
                <w:lang w:eastAsia="en-AU"/>
              </w:rPr>
              <w:t>Decrease/(increase) in net debt</w:t>
            </w:r>
          </w:p>
        </w:tc>
        <w:tc>
          <w:tcPr>
            <w:tcW w:w="878" w:type="dxa"/>
            <w:tcBorders>
              <w:top w:val="single" w:sz="6" w:space="0" w:color="auto"/>
              <w:left w:val="nil"/>
              <w:bottom w:val="single" w:sz="12" w:space="0" w:color="auto"/>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b/>
                <w:color w:val="000000"/>
                <w:sz w:val="20"/>
                <w:lang w:eastAsia="en-AU"/>
              </w:rPr>
            </w:pPr>
            <w:r w:rsidRPr="002F202F">
              <w:rPr>
                <w:rFonts w:ascii="Calibri" w:eastAsiaTheme="minorEastAsia" w:hAnsi="Calibri" w:cs="Calibri"/>
                <w:b/>
                <w:color w:val="000000"/>
                <w:sz w:val="20"/>
                <w:lang w:eastAsia="en-AU"/>
              </w:rPr>
              <w:t>4 599</w:t>
            </w:r>
          </w:p>
        </w:tc>
        <w:tc>
          <w:tcPr>
            <w:tcW w:w="879" w:type="dxa"/>
            <w:tcBorders>
              <w:top w:val="single" w:sz="6" w:space="0" w:color="auto"/>
              <w:left w:val="nil"/>
              <w:bottom w:val="single" w:sz="12" w:space="0" w:color="auto"/>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b/>
                <w:color w:val="000000"/>
                <w:sz w:val="20"/>
                <w:lang w:eastAsia="en-AU"/>
              </w:rPr>
            </w:pPr>
            <w:r w:rsidRPr="002F202F">
              <w:rPr>
                <w:rFonts w:ascii="Calibri" w:eastAsiaTheme="minorEastAsia" w:hAnsi="Calibri" w:cs="Calibri"/>
                <w:b/>
                <w:color w:val="000000"/>
                <w:sz w:val="20"/>
                <w:lang w:eastAsia="en-AU"/>
              </w:rPr>
              <w:t xml:space="preserve"> (2 516)</w:t>
            </w:r>
          </w:p>
        </w:tc>
        <w:tc>
          <w:tcPr>
            <w:tcW w:w="878" w:type="dxa"/>
            <w:tcBorders>
              <w:top w:val="single" w:sz="6" w:space="0" w:color="auto"/>
              <w:left w:val="nil"/>
              <w:bottom w:val="single" w:sz="12" w:space="0" w:color="auto"/>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b/>
                <w:color w:val="000000"/>
                <w:sz w:val="20"/>
                <w:lang w:eastAsia="en-AU"/>
              </w:rPr>
            </w:pPr>
            <w:r>
              <w:rPr>
                <w:rFonts w:ascii="Calibri" w:eastAsiaTheme="minorEastAsia" w:hAnsi="Calibri" w:cs="Calibri"/>
                <w:b/>
                <w:color w:val="000000"/>
                <w:sz w:val="20"/>
                <w:lang w:eastAsia="en-AU"/>
              </w:rPr>
              <w:t>(</w:t>
            </w:r>
            <w:r w:rsidRPr="002F202F">
              <w:rPr>
                <w:rFonts w:ascii="Calibri" w:eastAsiaTheme="minorEastAsia" w:hAnsi="Calibri" w:cs="Calibri"/>
                <w:b/>
                <w:color w:val="000000"/>
                <w:sz w:val="20"/>
                <w:lang w:eastAsia="en-AU"/>
              </w:rPr>
              <w:t>535)</w:t>
            </w:r>
          </w:p>
        </w:tc>
        <w:tc>
          <w:tcPr>
            <w:tcW w:w="879" w:type="dxa"/>
            <w:tcBorders>
              <w:top w:val="single" w:sz="6" w:space="0" w:color="auto"/>
              <w:left w:val="nil"/>
              <w:bottom w:val="single" w:sz="12" w:space="0" w:color="auto"/>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b/>
                <w:color w:val="000000"/>
                <w:sz w:val="20"/>
                <w:lang w:eastAsia="en-AU"/>
              </w:rPr>
            </w:pPr>
            <w:r w:rsidRPr="002F202F">
              <w:rPr>
                <w:rFonts w:ascii="Calibri" w:eastAsiaTheme="minorEastAsia" w:hAnsi="Calibri" w:cs="Calibri"/>
                <w:b/>
                <w:color w:val="000000"/>
                <w:sz w:val="20"/>
                <w:lang w:eastAsia="en-AU"/>
              </w:rPr>
              <w:t xml:space="preserve"> (1 034)</w:t>
            </w:r>
          </w:p>
        </w:tc>
      </w:tr>
    </w:tbl>
    <w:p w:rsidR="00965D85" w:rsidRDefault="00965D85" w:rsidP="008B46DF">
      <w:pPr>
        <w:pStyle w:val="Source"/>
      </w:pPr>
      <w:r>
        <w:fldChar w:fldCharType="end"/>
      </w:r>
      <w:r w:rsidRPr="00F46EB3">
        <w:t>Source: Department of Treasury and Finance</w:t>
      </w:r>
    </w:p>
    <w:p w:rsidR="00965D85" w:rsidRPr="001B3FC5" w:rsidRDefault="00965D85" w:rsidP="008B46DF">
      <w:pPr>
        <w:pStyle w:val="Notes"/>
      </w:pPr>
      <w:r w:rsidRPr="001B3FC5">
        <w:t>Notes:</w:t>
      </w:r>
    </w:p>
    <w:p w:rsidR="00965D85" w:rsidRPr="001B3FC5" w:rsidRDefault="00965D85" w:rsidP="008B46DF">
      <w:pPr>
        <w:pStyle w:val="Notes"/>
      </w:pPr>
      <w:r>
        <w:t>(a)</w:t>
      </w:r>
      <w:r w:rsidRPr="001B3FC5">
        <w:tab/>
      </w:r>
      <w:r>
        <w:t>Figures in this table are subject to rounding to the nearest million and may not add up to totals.</w:t>
      </w:r>
    </w:p>
    <w:p w:rsidR="00965D85" w:rsidRPr="001B3FC5" w:rsidRDefault="00965D85" w:rsidP="008B46DF">
      <w:pPr>
        <w:pStyle w:val="Notes"/>
      </w:pPr>
      <w:r>
        <w:t>(b)</w:t>
      </w:r>
      <w:r w:rsidRPr="001B3FC5">
        <w:tab/>
        <w:t>Includes depreciation, movements in the unfunded superannuation liability and liability for employee benefits.</w:t>
      </w:r>
    </w:p>
    <w:p w:rsidR="00965D85" w:rsidRPr="001B3FC5" w:rsidRDefault="00965D85" w:rsidP="008B46DF">
      <w:pPr>
        <w:pStyle w:val="Notes"/>
      </w:pPr>
      <w:r>
        <w:t>(c)</w:t>
      </w:r>
      <w:r w:rsidRPr="001B3FC5">
        <w:tab/>
      </w:r>
      <w:r>
        <w:t>The amount available to be allocated to specific departments and projects in future budgets including capital contributions to other sectors.</w:t>
      </w:r>
    </w:p>
    <w:p w:rsidR="00965D85" w:rsidRDefault="00965D85" w:rsidP="008B46DF">
      <w:pPr>
        <w:pStyle w:val="Notes"/>
      </w:pPr>
      <w:r w:rsidRPr="001B3FC5">
        <w:t>(d)</w:t>
      </w:r>
      <w:r w:rsidRPr="001B3FC5">
        <w:tab/>
        <w:t>Includes total purchases of plant, property and equipment, and capital contributions to other sectors of government net of proceeds from asset sales.</w:t>
      </w:r>
    </w:p>
    <w:p w:rsidR="00965D85" w:rsidRDefault="00965D85" w:rsidP="008B46DF">
      <w:pPr>
        <w:pStyle w:val="Notes"/>
      </w:pPr>
      <w:r>
        <w:t>(e</w:t>
      </w:r>
      <w:r w:rsidRPr="001B3FC5">
        <w:t>)</w:t>
      </w:r>
      <w:r w:rsidRPr="001B3FC5">
        <w:tab/>
        <w:t>The f</w:t>
      </w:r>
      <w:r>
        <w:t>inance lease acquisition in 2015</w:t>
      </w:r>
      <w:r>
        <w:noBreakHyphen/>
        <w:t>16</w:t>
      </w:r>
      <w:r w:rsidRPr="001B3FC5">
        <w:t xml:space="preserve"> relates to </w:t>
      </w:r>
      <w:r>
        <w:t xml:space="preserve">the Victorian Comprehensive Cancer Centre and metropolitan Melbourne buses contract. </w:t>
      </w:r>
      <w:r w:rsidRPr="000F75E2">
        <w:t>The 2016</w:t>
      </w:r>
      <w:r>
        <w:noBreakHyphen/>
      </w:r>
      <w:r w:rsidRPr="000F75E2">
        <w:t xml:space="preserve">17 figure relates to the </w:t>
      </w:r>
      <w:r>
        <w:t xml:space="preserve">new Bendigo Hospital project (stage 1), the New Schools PPP project </w:t>
      </w:r>
      <w:r w:rsidRPr="000F75E2">
        <w:t>(</w:t>
      </w:r>
      <w:r>
        <w:t>t</w:t>
      </w:r>
      <w:r w:rsidRPr="000F75E2">
        <w:t>ranche 1) and the metropolitan Melbourne buses contract. The 2017</w:t>
      </w:r>
      <w:r>
        <w:noBreakHyphen/>
        <w:t xml:space="preserve">18 estimate relates to the new Bendigo Hospital project </w:t>
      </w:r>
      <w:r w:rsidRPr="000F75E2">
        <w:t>(</w:t>
      </w:r>
      <w:r>
        <w:t>s</w:t>
      </w:r>
      <w:r w:rsidRPr="000F75E2">
        <w:t>tage </w:t>
      </w:r>
      <w:r>
        <w:t>2</w:t>
      </w:r>
      <w:r w:rsidRPr="000F75E2">
        <w:t xml:space="preserve">), Ravenhall Prison and the </w:t>
      </w:r>
      <w:r>
        <w:t>New Schools PPP project (tranche 2).</w:t>
      </w:r>
    </w:p>
    <w:p w:rsidR="00965D85" w:rsidRDefault="00965D85" w:rsidP="008B46DF"/>
    <w:p w:rsidR="00965D85" w:rsidRPr="00A27500" w:rsidRDefault="00965D85" w:rsidP="008B46DF">
      <w:r w:rsidRPr="00A27500">
        <w:t>The NFP sector is proj</w:t>
      </w:r>
      <w:r>
        <w:t>ected to invest a total of $30 billion</w:t>
      </w:r>
      <w:r w:rsidRPr="00A27500">
        <w:t xml:space="preserve"> in infrastructure from 2015</w:t>
      </w:r>
      <w:r>
        <w:noBreakHyphen/>
      </w:r>
      <w:r w:rsidRPr="00A27500">
        <w:t>16 to 2018</w:t>
      </w:r>
      <w:r>
        <w:noBreakHyphen/>
      </w:r>
      <w:r w:rsidRPr="00A27500">
        <w:t>19. The key infrastructure pro</w:t>
      </w:r>
      <w:r>
        <w:t>jects under development include:</w:t>
      </w:r>
    </w:p>
    <w:p w:rsidR="00965D85" w:rsidRPr="00A27500" w:rsidRDefault="00965D85" w:rsidP="008B46DF">
      <w:pPr>
        <w:pStyle w:val="BulletText"/>
      </w:pPr>
      <w:r w:rsidRPr="00A27500">
        <w:t>significant investment in transport infrastructure, including new trains (metropolitan and regional) and trams to me</w:t>
      </w:r>
      <w:r>
        <w:t>et patronage growth and improve</w:t>
      </w:r>
      <w:r w:rsidRPr="00A27500">
        <w:t xml:space="preserve"> network </w:t>
      </w:r>
      <w:r w:rsidRPr="006E2239">
        <w:t>performance</w:t>
      </w:r>
      <w:r w:rsidRPr="00A27500">
        <w:t>;</w:t>
      </w:r>
    </w:p>
    <w:p w:rsidR="00965D85" w:rsidRPr="00A27500" w:rsidRDefault="00965D85" w:rsidP="008B46DF">
      <w:pPr>
        <w:pStyle w:val="BulletText"/>
      </w:pPr>
      <w:r w:rsidRPr="00A27500">
        <w:t xml:space="preserve">various water related infrastructure, including </w:t>
      </w:r>
      <w:r>
        <w:t xml:space="preserve">the </w:t>
      </w:r>
      <w:r w:rsidRPr="00A27500">
        <w:t>Goulburn</w:t>
      </w:r>
      <w:r>
        <w:noBreakHyphen/>
      </w:r>
      <w:r w:rsidRPr="00A27500">
        <w:t>Murray Water</w:t>
      </w:r>
      <w:r>
        <w:t>’s Connections Program</w:t>
      </w:r>
      <w:r w:rsidRPr="00A27500">
        <w:t xml:space="preserve">, </w:t>
      </w:r>
      <w:r>
        <w:t>connecting irrigators to a modernised main system of irrigation channels</w:t>
      </w:r>
      <w:r w:rsidRPr="00A27500">
        <w:t>; and</w:t>
      </w:r>
    </w:p>
    <w:p w:rsidR="00965D85" w:rsidRPr="00A27500" w:rsidRDefault="00965D85" w:rsidP="008B46DF">
      <w:pPr>
        <w:pStyle w:val="BulletText"/>
      </w:pPr>
      <w:r w:rsidRPr="00A27500">
        <w:t xml:space="preserve">the </w:t>
      </w:r>
      <w:r>
        <w:t>Port Capacity Expansion project,</w:t>
      </w:r>
      <w:r w:rsidRPr="00A27500">
        <w:t xml:space="preserve"> which includes developing a third container terminal and a purpose</w:t>
      </w:r>
      <w:r>
        <w:noBreakHyphen/>
      </w:r>
      <w:r w:rsidRPr="00A27500">
        <w:t>built automotive facility at Webb Dock. This will cater for future trade demand growth.</w:t>
      </w:r>
    </w:p>
    <w:p w:rsidR="00965D85" w:rsidRPr="00427D0E" w:rsidRDefault="00965D85" w:rsidP="008B46DF">
      <w:pPr>
        <w:pStyle w:val="Heading1"/>
      </w:pPr>
      <w:bookmarkStart w:id="41" w:name="_Toc436147538"/>
      <w:r>
        <w:lastRenderedPageBreak/>
        <w:t>Non</w:t>
      </w:r>
      <w:r>
        <w:noBreakHyphen/>
      </w:r>
      <w:r w:rsidRPr="00427D0E">
        <w:t>financial public sector net debt and net financial liabilities</w:t>
      </w:r>
      <w:bookmarkEnd w:id="41"/>
    </w:p>
    <w:p w:rsidR="00965D85" w:rsidRPr="00A27500" w:rsidRDefault="00965D85" w:rsidP="008B46DF">
      <w:r w:rsidRPr="00A27500">
        <w:t>Table 3.8 provides details of NFP sector net debt and financial liabilities. It shows that net debt is projected to increase in nominal terms over the estimates period. In 2016</w:t>
      </w:r>
      <w:r>
        <w:noBreakHyphen/>
      </w:r>
      <w:r w:rsidRPr="00A27500">
        <w:t>17</w:t>
      </w:r>
      <w:r>
        <w:t>,</w:t>
      </w:r>
      <w:r w:rsidRPr="00A27500">
        <w:t xml:space="preserve"> net debt as a percentage of GSP</w:t>
      </w:r>
      <w:r>
        <w:t xml:space="preserve"> is projected to increase</w:t>
      </w:r>
      <w:r w:rsidRPr="00A27500">
        <w:t xml:space="preserve"> to 8.</w:t>
      </w:r>
      <w:r>
        <w:t>6 per cent, before falling to 8.1 per cent by 30 June 2019.</w:t>
      </w:r>
    </w:p>
    <w:p w:rsidR="00965D85" w:rsidRDefault="00965D85" w:rsidP="008B46DF">
      <w:pPr>
        <w:pStyle w:val="Tableheading"/>
        <w:rPr>
          <w:rFonts w:ascii="Times New Roman" w:hAnsi="Times New Roman"/>
          <w:i/>
          <w:sz w:val="20"/>
          <w:lang w:eastAsia="en-AU"/>
        </w:rPr>
      </w:pPr>
      <w:r w:rsidRPr="00F46EB3">
        <w:t xml:space="preserve">Table 3.8 </w:t>
      </w:r>
      <w:r>
        <w:tab/>
      </w:r>
      <w:r w:rsidRPr="00F46EB3">
        <w:t>Non</w:t>
      </w:r>
      <w:r>
        <w:noBreakHyphen/>
      </w:r>
      <w:r w:rsidRPr="00F46EB3">
        <w:t>financial public sector net debt and financial liabilities</w:t>
      </w:r>
      <w:r>
        <w:fldChar w:fldCharType="begin" w:fldLock="1"/>
      </w:r>
      <w:r>
        <w:instrText xml:space="preserve"> LINK Excel.Sheet.12 "\\\\PDCPTPRDFIL01\\DTFDATA02$\\SECURED\\Budget\\BudgetUpdate\\Chapter3\\Chapter 3 NFPS WoG Tables.xlsx" "NFPS_Net debtFin_Liab!Assets_Liab" \f 4 \r \* MERGEFORMAT </w:instrText>
      </w:r>
      <w:r>
        <w:fldChar w:fldCharType="separate"/>
      </w:r>
    </w:p>
    <w:tbl>
      <w:tblPr>
        <w:tblW w:w="7767" w:type="dxa"/>
        <w:tblInd w:w="28" w:type="dxa"/>
        <w:tblLayout w:type="fixed"/>
        <w:tblCellMar>
          <w:left w:w="28" w:type="dxa"/>
          <w:right w:w="28" w:type="dxa"/>
        </w:tblCellMar>
        <w:tblLook w:val="0000" w:firstRow="0" w:lastRow="0" w:firstColumn="0" w:lastColumn="0" w:noHBand="0" w:noVBand="0"/>
      </w:tblPr>
      <w:tblGrid>
        <w:gridCol w:w="3911"/>
        <w:gridCol w:w="247"/>
        <w:gridCol w:w="717"/>
        <w:gridCol w:w="964"/>
        <w:gridCol w:w="964"/>
        <w:gridCol w:w="964"/>
      </w:tblGrid>
      <w:tr w:rsidR="00965D85" w:rsidRPr="002F202F" w:rsidTr="008B46DF">
        <w:tc>
          <w:tcPr>
            <w:tcW w:w="7767" w:type="dxa"/>
            <w:gridSpan w:val="6"/>
            <w:tcBorders>
              <w:top w:val="nil"/>
              <w:left w:val="nil"/>
              <w:bottom w:val="nil"/>
              <w:right w:val="nil"/>
            </w:tcBorders>
          </w:tcPr>
          <w:p w:rsidR="00965D85" w:rsidRPr="002F202F" w:rsidRDefault="00965D85" w:rsidP="008B46DF">
            <w:pPr>
              <w:pStyle w:val="million"/>
              <w:rPr>
                <w:rFonts w:eastAsiaTheme="minorEastAsia" w:cs="Calibri"/>
                <w:iCs/>
                <w:color w:val="000000"/>
                <w:sz w:val="20"/>
                <w:lang w:eastAsia="en-AU"/>
              </w:rPr>
            </w:pPr>
            <w:r w:rsidRPr="002F202F">
              <w:rPr>
                <w:rFonts w:eastAsiaTheme="minorEastAsia"/>
                <w:lang w:eastAsia="en-AU"/>
              </w:rPr>
              <w:t>($ million</w:t>
            </w:r>
            <w:r w:rsidRPr="002F202F">
              <w:rPr>
                <w:rFonts w:eastAsiaTheme="minorEastAsia" w:cs="Calibri"/>
                <w:iCs/>
                <w:color w:val="000000"/>
                <w:sz w:val="20"/>
                <w:lang w:eastAsia="en-AU"/>
              </w:rPr>
              <w:t>)</w:t>
            </w:r>
          </w:p>
        </w:tc>
      </w:tr>
      <w:tr w:rsidR="00965D85" w:rsidRPr="002F202F" w:rsidTr="008B46DF">
        <w:trPr>
          <w:trHeight w:val="488"/>
        </w:trPr>
        <w:tc>
          <w:tcPr>
            <w:tcW w:w="3911" w:type="dxa"/>
            <w:tcBorders>
              <w:top w:val="nil"/>
              <w:left w:val="nil"/>
              <w:right w:val="nil"/>
            </w:tcBorders>
            <w:shd w:val="solid" w:color="000000" w:fill="FFFFFF"/>
          </w:tcPr>
          <w:p w:rsidR="00965D85" w:rsidRPr="002F202F" w:rsidRDefault="00965D85" w:rsidP="008B46DF">
            <w:pPr>
              <w:autoSpaceDE w:val="0"/>
              <w:autoSpaceDN w:val="0"/>
              <w:adjustRightInd w:val="0"/>
              <w:spacing w:after="0"/>
              <w:rPr>
                <w:rFonts w:ascii="Calibri" w:eastAsiaTheme="minorEastAsia" w:hAnsi="Calibri" w:cs="Calibri"/>
                <w:i/>
                <w:iCs/>
                <w:color w:val="FFFFFF"/>
                <w:sz w:val="20"/>
                <w:lang w:eastAsia="en-AU"/>
              </w:rPr>
            </w:pPr>
            <w:r w:rsidRPr="002F202F">
              <w:rPr>
                <w:rFonts w:ascii="Calibri" w:eastAsiaTheme="minorEastAsia" w:hAnsi="Calibri" w:cs="Calibri"/>
                <w:i/>
                <w:iCs/>
                <w:color w:val="FFFFFF"/>
                <w:sz w:val="20"/>
                <w:lang w:eastAsia="en-AU"/>
              </w:rPr>
              <w:t xml:space="preserve"> </w:t>
            </w:r>
          </w:p>
          <w:p w:rsidR="00965D85" w:rsidRPr="002F202F" w:rsidRDefault="00965D85" w:rsidP="008B46DF">
            <w:pPr>
              <w:autoSpaceDE w:val="0"/>
              <w:autoSpaceDN w:val="0"/>
              <w:adjustRightInd w:val="0"/>
              <w:spacing w:after="0"/>
              <w:rPr>
                <w:rFonts w:ascii="Calibri" w:eastAsiaTheme="minorEastAsia" w:hAnsi="Calibri" w:cs="Calibri"/>
                <w:i/>
                <w:iCs/>
                <w:color w:val="FFFFFF"/>
                <w:sz w:val="20"/>
                <w:lang w:eastAsia="en-AU"/>
              </w:rPr>
            </w:pPr>
            <w:r w:rsidRPr="002F202F">
              <w:rPr>
                <w:rFonts w:ascii="Calibri" w:eastAsiaTheme="minorEastAsia" w:hAnsi="Calibri" w:cs="Calibri"/>
                <w:i/>
                <w:iCs/>
                <w:color w:val="FFFFFF"/>
                <w:sz w:val="20"/>
                <w:lang w:eastAsia="en-AU"/>
              </w:rPr>
              <w:t xml:space="preserve"> </w:t>
            </w:r>
          </w:p>
        </w:tc>
        <w:tc>
          <w:tcPr>
            <w:tcW w:w="964" w:type="dxa"/>
            <w:gridSpan w:val="2"/>
            <w:tcBorders>
              <w:top w:val="nil"/>
              <w:left w:val="nil"/>
              <w:right w:val="nil"/>
            </w:tcBorders>
            <w:shd w:val="solid" w:color="000000" w:fill="FFFFFF"/>
          </w:tcPr>
          <w:p w:rsidR="00965D85" w:rsidRPr="002F202F"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2F202F">
              <w:rPr>
                <w:rFonts w:ascii="Calibri" w:eastAsiaTheme="minorEastAsia" w:hAnsi="Calibri" w:cs="Calibri"/>
                <w:i/>
                <w:iCs/>
                <w:color w:val="FFFFFF"/>
                <w:sz w:val="20"/>
                <w:lang w:eastAsia="en-AU"/>
              </w:rPr>
              <w:t>2015</w:t>
            </w:r>
            <w:r>
              <w:rPr>
                <w:rFonts w:ascii="Calibri" w:eastAsiaTheme="minorEastAsia" w:hAnsi="Calibri" w:cs="Calibri"/>
                <w:i/>
                <w:iCs/>
                <w:color w:val="FFFFFF"/>
                <w:sz w:val="20"/>
                <w:lang w:eastAsia="en-AU"/>
              </w:rPr>
              <w:noBreakHyphen/>
            </w:r>
            <w:r w:rsidRPr="002F202F">
              <w:rPr>
                <w:rFonts w:ascii="Calibri" w:eastAsiaTheme="minorEastAsia" w:hAnsi="Calibri" w:cs="Calibri"/>
                <w:i/>
                <w:iCs/>
                <w:color w:val="FFFFFF"/>
                <w:sz w:val="20"/>
                <w:lang w:eastAsia="en-AU"/>
              </w:rPr>
              <w:t xml:space="preserve">16 </w:t>
            </w:r>
          </w:p>
          <w:p w:rsidR="00965D85" w:rsidRPr="002F202F"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2F202F">
              <w:rPr>
                <w:rFonts w:ascii="Calibri" w:eastAsiaTheme="minorEastAsia" w:hAnsi="Calibri" w:cs="Calibri"/>
                <w:i/>
                <w:iCs/>
                <w:color w:val="FFFFFF"/>
                <w:sz w:val="20"/>
                <w:lang w:eastAsia="en-AU"/>
              </w:rPr>
              <w:t>revised</w:t>
            </w:r>
          </w:p>
        </w:tc>
        <w:tc>
          <w:tcPr>
            <w:tcW w:w="964" w:type="dxa"/>
            <w:tcBorders>
              <w:top w:val="nil"/>
              <w:left w:val="nil"/>
              <w:right w:val="nil"/>
            </w:tcBorders>
            <w:shd w:val="solid" w:color="000000" w:fill="FFFFFF"/>
          </w:tcPr>
          <w:p w:rsidR="00965D85" w:rsidRPr="002F202F"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2F202F">
              <w:rPr>
                <w:rFonts w:ascii="Calibri" w:eastAsiaTheme="minorEastAsia" w:hAnsi="Calibri" w:cs="Calibri"/>
                <w:i/>
                <w:iCs/>
                <w:color w:val="FFFFFF"/>
                <w:sz w:val="20"/>
                <w:lang w:eastAsia="en-AU"/>
              </w:rPr>
              <w:t>2016</w:t>
            </w:r>
            <w:r>
              <w:rPr>
                <w:rFonts w:ascii="Calibri" w:eastAsiaTheme="minorEastAsia" w:hAnsi="Calibri" w:cs="Calibri"/>
                <w:i/>
                <w:iCs/>
                <w:color w:val="FFFFFF"/>
                <w:sz w:val="20"/>
                <w:lang w:eastAsia="en-AU"/>
              </w:rPr>
              <w:noBreakHyphen/>
            </w:r>
            <w:r w:rsidRPr="002F202F">
              <w:rPr>
                <w:rFonts w:ascii="Calibri" w:eastAsiaTheme="minorEastAsia" w:hAnsi="Calibri" w:cs="Calibri"/>
                <w:i/>
                <w:iCs/>
                <w:color w:val="FFFFFF"/>
                <w:sz w:val="20"/>
                <w:lang w:eastAsia="en-AU"/>
              </w:rPr>
              <w:t xml:space="preserve">17 </w:t>
            </w:r>
          </w:p>
          <w:p w:rsidR="00965D85" w:rsidRPr="002F202F"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2F202F">
              <w:rPr>
                <w:rFonts w:ascii="Calibri" w:eastAsiaTheme="minorEastAsia" w:hAnsi="Calibri" w:cs="Calibri"/>
                <w:i/>
                <w:iCs/>
                <w:color w:val="FFFFFF"/>
                <w:sz w:val="20"/>
                <w:lang w:eastAsia="en-AU"/>
              </w:rPr>
              <w:t>estimate</w:t>
            </w:r>
          </w:p>
        </w:tc>
        <w:tc>
          <w:tcPr>
            <w:tcW w:w="964" w:type="dxa"/>
            <w:tcBorders>
              <w:top w:val="nil"/>
              <w:left w:val="nil"/>
              <w:right w:val="nil"/>
            </w:tcBorders>
            <w:shd w:val="solid" w:color="000000" w:fill="FFFFFF"/>
          </w:tcPr>
          <w:p w:rsidR="00965D85" w:rsidRPr="002F202F"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2F202F">
              <w:rPr>
                <w:rFonts w:ascii="Calibri" w:eastAsiaTheme="minorEastAsia" w:hAnsi="Calibri" w:cs="Calibri"/>
                <w:i/>
                <w:iCs/>
                <w:color w:val="FFFFFF"/>
                <w:sz w:val="20"/>
                <w:lang w:eastAsia="en-AU"/>
              </w:rPr>
              <w:t>2017</w:t>
            </w:r>
            <w:r>
              <w:rPr>
                <w:rFonts w:ascii="Calibri" w:eastAsiaTheme="minorEastAsia" w:hAnsi="Calibri" w:cs="Calibri"/>
                <w:i/>
                <w:iCs/>
                <w:color w:val="FFFFFF"/>
                <w:sz w:val="20"/>
                <w:lang w:eastAsia="en-AU"/>
              </w:rPr>
              <w:noBreakHyphen/>
            </w:r>
            <w:r w:rsidRPr="002F202F">
              <w:rPr>
                <w:rFonts w:ascii="Calibri" w:eastAsiaTheme="minorEastAsia" w:hAnsi="Calibri" w:cs="Calibri"/>
                <w:i/>
                <w:iCs/>
                <w:color w:val="FFFFFF"/>
                <w:sz w:val="20"/>
                <w:lang w:eastAsia="en-AU"/>
              </w:rPr>
              <w:t xml:space="preserve">18 </w:t>
            </w:r>
          </w:p>
          <w:p w:rsidR="00965D85" w:rsidRPr="002F202F"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2F202F">
              <w:rPr>
                <w:rFonts w:ascii="Calibri" w:eastAsiaTheme="minorEastAsia" w:hAnsi="Calibri" w:cs="Calibri"/>
                <w:i/>
                <w:iCs/>
                <w:color w:val="FFFFFF"/>
                <w:sz w:val="20"/>
                <w:lang w:eastAsia="en-AU"/>
              </w:rPr>
              <w:t>estimate</w:t>
            </w:r>
          </w:p>
        </w:tc>
        <w:tc>
          <w:tcPr>
            <w:tcW w:w="964" w:type="dxa"/>
            <w:tcBorders>
              <w:top w:val="nil"/>
              <w:left w:val="nil"/>
              <w:right w:val="nil"/>
            </w:tcBorders>
            <w:shd w:val="solid" w:color="000000" w:fill="FFFFFF"/>
          </w:tcPr>
          <w:p w:rsidR="00965D85" w:rsidRPr="002F202F"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2F202F">
              <w:rPr>
                <w:rFonts w:ascii="Calibri" w:eastAsiaTheme="minorEastAsia" w:hAnsi="Calibri" w:cs="Calibri"/>
                <w:i/>
                <w:iCs/>
                <w:color w:val="FFFFFF"/>
                <w:sz w:val="20"/>
                <w:lang w:eastAsia="en-AU"/>
              </w:rPr>
              <w:t>2018</w:t>
            </w:r>
            <w:r>
              <w:rPr>
                <w:rFonts w:ascii="Calibri" w:eastAsiaTheme="minorEastAsia" w:hAnsi="Calibri" w:cs="Calibri"/>
                <w:i/>
                <w:iCs/>
                <w:color w:val="FFFFFF"/>
                <w:sz w:val="20"/>
                <w:lang w:eastAsia="en-AU"/>
              </w:rPr>
              <w:noBreakHyphen/>
            </w:r>
            <w:r w:rsidRPr="002F202F">
              <w:rPr>
                <w:rFonts w:ascii="Calibri" w:eastAsiaTheme="minorEastAsia" w:hAnsi="Calibri" w:cs="Calibri"/>
                <w:i/>
                <w:iCs/>
                <w:color w:val="FFFFFF"/>
                <w:sz w:val="20"/>
                <w:lang w:eastAsia="en-AU"/>
              </w:rPr>
              <w:t xml:space="preserve">19 </w:t>
            </w:r>
          </w:p>
          <w:p w:rsidR="00965D85" w:rsidRPr="002F202F"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2F202F">
              <w:rPr>
                <w:rFonts w:ascii="Calibri" w:eastAsiaTheme="minorEastAsia" w:hAnsi="Calibri" w:cs="Calibri"/>
                <w:i/>
                <w:iCs/>
                <w:color w:val="FFFFFF"/>
                <w:sz w:val="20"/>
                <w:lang w:eastAsia="en-AU"/>
              </w:rPr>
              <w:t>estimate</w:t>
            </w:r>
          </w:p>
        </w:tc>
      </w:tr>
      <w:tr w:rsidR="00965D85" w:rsidRPr="002F202F" w:rsidTr="008B46DF">
        <w:tc>
          <w:tcPr>
            <w:tcW w:w="3911" w:type="dxa"/>
            <w:tcBorders>
              <w:top w:val="nil"/>
              <w:left w:val="nil"/>
              <w:right w:val="nil"/>
            </w:tcBorders>
            <w:shd w:val="clear" w:color="auto" w:fill="FFFFFF"/>
          </w:tcPr>
          <w:p w:rsidR="00965D85" w:rsidRPr="002F202F" w:rsidRDefault="00965D85" w:rsidP="008B46DF">
            <w:pPr>
              <w:autoSpaceDE w:val="0"/>
              <w:autoSpaceDN w:val="0"/>
              <w:adjustRightInd w:val="0"/>
              <w:spacing w:after="0"/>
              <w:ind w:left="227" w:hanging="227"/>
              <w:rPr>
                <w:rFonts w:ascii="Calibri" w:eastAsiaTheme="minorEastAsia" w:hAnsi="Calibri" w:cs="Calibri"/>
                <w:b/>
                <w:bCs/>
                <w:color w:val="000000"/>
                <w:sz w:val="20"/>
                <w:lang w:eastAsia="en-AU"/>
              </w:rPr>
            </w:pPr>
            <w:r w:rsidRPr="002F202F">
              <w:rPr>
                <w:rFonts w:ascii="Calibri" w:eastAsiaTheme="minorEastAsia" w:hAnsi="Calibri" w:cs="Calibri"/>
                <w:b/>
                <w:bCs/>
                <w:color w:val="000000"/>
                <w:sz w:val="20"/>
                <w:lang w:eastAsia="en-AU"/>
              </w:rPr>
              <w:t>Assets</w:t>
            </w:r>
          </w:p>
        </w:tc>
        <w:tc>
          <w:tcPr>
            <w:tcW w:w="964" w:type="dxa"/>
            <w:gridSpan w:val="2"/>
            <w:tcBorders>
              <w:top w:val="nil"/>
              <w:left w:val="nil"/>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 xml:space="preserve"> </w:t>
            </w:r>
          </w:p>
        </w:tc>
        <w:tc>
          <w:tcPr>
            <w:tcW w:w="964" w:type="dxa"/>
            <w:tcBorders>
              <w:top w:val="nil"/>
              <w:left w:val="nil"/>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 xml:space="preserve"> </w:t>
            </w:r>
          </w:p>
        </w:tc>
        <w:tc>
          <w:tcPr>
            <w:tcW w:w="964" w:type="dxa"/>
            <w:tcBorders>
              <w:top w:val="nil"/>
              <w:left w:val="nil"/>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 xml:space="preserve"> </w:t>
            </w:r>
          </w:p>
        </w:tc>
        <w:tc>
          <w:tcPr>
            <w:tcW w:w="964" w:type="dxa"/>
            <w:tcBorders>
              <w:top w:val="nil"/>
              <w:left w:val="nil"/>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 xml:space="preserve"> </w:t>
            </w:r>
          </w:p>
        </w:tc>
      </w:tr>
      <w:tr w:rsidR="00965D85" w:rsidRPr="002F202F" w:rsidTr="008B46DF">
        <w:tc>
          <w:tcPr>
            <w:tcW w:w="3911" w:type="dxa"/>
            <w:tcBorders>
              <w:top w:val="nil"/>
              <w:left w:val="nil"/>
              <w:right w:val="nil"/>
            </w:tcBorders>
            <w:shd w:val="clear" w:color="auto" w:fill="FFFFFF"/>
          </w:tcPr>
          <w:p w:rsidR="00965D85" w:rsidRPr="002F202F"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Cash and deposits</w:t>
            </w:r>
          </w:p>
        </w:tc>
        <w:tc>
          <w:tcPr>
            <w:tcW w:w="964" w:type="dxa"/>
            <w:gridSpan w:val="2"/>
            <w:tcBorders>
              <w:top w:val="nil"/>
              <w:left w:val="nil"/>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5 153</w:t>
            </w:r>
          </w:p>
        </w:tc>
        <w:tc>
          <w:tcPr>
            <w:tcW w:w="964" w:type="dxa"/>
            <w:tcBorders>
              <w:top w:val="nil"/>
              <w:left w:val="nil"/>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5 343</w:t>
            </w:r>
          </w:p>
        </w:tc>
        <w:tc>
          <w:tcPr>
            <w:tcW w:w="964" w:type="dxa"/>
            <w:tcBorders>
              <w:top w:val="nil"/>
              <w:left w:val="nil"/>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5 520</w:t>
            </w:r>
          </w:p>
        </w:tc>
        <w:tc>
          <w:tcPr>
            <w:tcW w:w="964" w:type="dxa"/>
            <w:tcBorders>
              <w:top w:val="nil"/>
              <w:left w:val="nil"/>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5 824</w:t>
            </w:r>
          </w:p>
        </w:tc>
      </w:tr>
      <w:tr w:rsidR="00965D85" w:rsidRPr="002F202F" w:rsidTr="008B46DF">
        <w:tc>
          <w:tcPr>
            <w:tcW w:w="3911" w:type="dxa"/>
            <w:tcBorders>
              <w:top w:val="nil"/>
              <w:left w:val="nil"/>
              <w:right w:val="nil"/>
            </w:tcBorders>
            <w:shd w:val="clear" w:color="auto" w:fill="FFFFFF"/>
          </w:tcPr>
          <w:p w:rsidR="00965D85" w:rsidRPr="002F202F"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Advances paid</w:t>
            </w:r>
          </w:p>
        </w:tc>
        <w:tc>
          <w:tcPr>
            <w:tcW w:w="964" w:type="dxa"/>
            <w:gridSpan w:val="2"/>
            <w:tcBorders>
              <w:top w:val="nil"/>
              <w:left w:val="nil"/>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 xml:space="preserve"> 81</w:t>
            </w:r>
          </w:p>
        </w:tc>
        <w:tc>
          <w:tcPr>
            <w:tcW w:w="964" w:type="dxa"/>
            <w:tcBorders>
              <w:top w:val="nil"/>
              <w:left w:val="nil"/>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 xml:space="preserve"> 76</w:t>
            </w:r>
          </w:p>
        </w:tc>
        <w:tc>
          <w:tcPr>
            <w:tcW w:w="964" w:type="dxa"/>
            <w:tcBorders>
              <w:top w:val="nil"/>
              <w:left w:val="nil"/>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 xml:space="preserve"> 69</w:t>
            </w:r>
          </w:p>
        </w:tc>
        <w:tc>
          <w:tcPr>
            <w:tcW w:w="964" w:type="dxa"/>
            <w:tcBorders>
              <w:top w:val="nil"/>
              <w:left w:val="nil"/>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 xml:space="preserve"> 63</w:t>
            </w:r>
          </w:p>
        </w:tc>
      </w:tr>
      <w:tr w:rsidR="00965D85" w:rsidRPr="002F202F" w:rsidTr="008B46DF">
        <w:tc>
          <w:tcPr>
            <w:tcW w:w="3911" w:type="dxa"/>
            <w:tcBorders>
              <w:top w:val="nil"/>
              <w:left w:val="nil"/>
              <w:bottom w:val="single" w:sz="6" w:space="0" w:color="auto"/>
              <w:right w:val="nil"/>
            </w:tcBorders>
            <w:shd w:val="clear" w:color="auto" w:fill="FFFFFF"/>
          </w:tcPr>
          <w:p w:rsidR="00965D85" w:rsidRPr="002F202F"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Investments, loans and placements</w:t>
            </w:r>
          </w:p>
        </w:tc>
        <w:tc>
          <w:tcPr>
            <w:tcW w:w="964" w:type="dxa"/>
            <w:gridSpan w:val="2"/>
            <w:tcBorders>
              <w:top w:val="nil"/>
              <w:left w:val="nil"/>
              <w:bottom w:val="single" w:sz="6" w:space="0" w:color="auto"/>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4 427</w:t>
            </w:r>
          </w:p>
        </w:tc>
        <w:tc>
          <w:tcPr>
            <w:tcW w:w="964" w:type="dxa"/>
            <w:tcBorders>
              <w:top w:val="nil"/>
              <w:left w:val="nil"/>
              <w:bottom w:val="single" w:sz="6" w:space="0" w:color="auto"/>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4 321</w:t>
            </w:r>
          </w:p>
        </w:tc>
        <w:tc>
          <w:tcPr>
            <w:tcW w:w="964" w:type="dxa"/>
            <w:tcBorders>
              <w:top w:val="nil"/>
              <w:left w:val="nil"/>
              <w:bottom w:val="single" w:sz="6" w:space="0" w:color="auto"/>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4 426</w:t>
            </w:r>
          </w:p>
        </w:tc>
        <w:tc>
          <w:tcPr>
            <w:tcW w:w="964" w:type="dxa"/>
            <w:tcBorders>
              <w:top w:val="nil"/>
              <w:left w:val="nil"/>
              <w:bottom w:val="single" w:sz="6" w:space="0" w:color="auto"/>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4 568</w:t>
            </w:r>
          </w:p>
        </w:tc>
      </w:tr>
      <w:tr w:rsidR="00965D85" w:rsidRPr="002F202F" w:rsidTr="008B46DF">
        <w:tc>
          <w:tcPr>
            <w:tcW w:w="3911" w:type="dxa"/>
            <w:tcBorders>
              <w:top w:val="single" w:sz="6" w:space="0" w:color="auto"/>
              <w:left w:val="nil"/>
              <w:right w:val="nil"/>
            </w:tcBorders>
            <w:shd w:val="clear" w:color="auto" w:fill="FFFFFF"/>
          </w:tcPr>
          <w:p w:rsidR="00965D85" w:rsidRPr="002F202F" w:rsidRDefault="00965D85" w:rsidP="008B46DF">
            <w:pPr>
              <w:autoSpaceDE w:val="0"/>
              <w:autoSpaceDN w:val="0"/>
              <w:adjustRightInd w:val="0"/>
              <w:spacing w:after="0"/>
              <w:ind w:left="227" w:hanging="227"/>
              <w:rPr>
                <w:rFonts w:ascii="Calibri" w:eastAsiaTheme="minorEastAsia" w:hAnsi="Calibri" w:cs="Calibri"/>
                <w:b/>
                <w:bCs/>
                <w:color w:val="000000"/>
                <w:sz w:val="20"/>
                <w:lang w:eastAsia="en-AU"/>
              </w:rPr>
            </w:pPr>
            <w:r w:rsidRPr="002F202F">
              <w:rPr>
                <w:rFonts w:ascii="Calibri" w:eastAsiaTheme="minorEastAsia" w:hAnsi="Calibri" w:cs="Calibri"/>
                <w:b/>
                <w:bCs/>
                <w:color w:val="000000"/>
                <w:sz w:val="20"/>
                <w:lang w:eastAsia="en-AU"/>
              </w:rPr>
              <w:t>Total</w:t>
            </w:r>
          </w:p>
        </w:tc>
        <w:tc>
          <w:tcPr>
            <w:tcW w:w="964" w:type="dxa"/>
            <w:gridSpan w:val="2"/>
            <w:tcBorders>
              <w:top w:val="single" w:sz="6" w:space="0" w:color="auto"/>
              <w:left w:val="nil"/>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2F202F">
              <w:rPr>
                <w:rFonts w:ascii="Calibri" w:eastAsiaTheme="minorEastAsia" w:hAnsi="Calibri" w:cs="Calibri"/>
                <w:b/>
                <w:bCs/>
                <w:color w:val="000000"/>
                <w:sz w:val="20"/>
                <w:lang w:eastAsia="en-AU"/>
              </w:rPr>
              <w:t>9 660</w:t>
            </w:r>
          </w:p>
        </w:tc>
        <w:tc>
          <w:tcPr>
            <w:tcW w:w="964" w:type="dxa"/>
            <w:tcBorders>
              <w:top w:val="single" w:sz="6" w:space="0" w:color="auto"/>
              <w:left w:val="nil"/>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2F202F">
              <w:rPr>
                <w:rFonts w:ascii="Calibri" w:eastAsiaTheme="minorEastAsia" w:hAnsi="Calibri" w:cs="Calibri"/>
                <w:b/>
                <w:bCs/>
                <w:color w:val="000000"/>
                <w:sz w:val="20"/>
                <w:lang w:eastAsia="en-AU"/>
              </w:rPr>
              <w:t>9 739</w:t>
            </w:r>
          </w:p>
        </w:tc>
        <w:tc>
          <w:tcPr>
            <w:tcW w:w="964" w:type="dxa"/>
            <w:tcBorders>
              <w:top w:val="single" w:sz="6" w:space="0" w:color="auto"/>
              <w:left w:val="nil"/>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2F202F">
              <w:rPr>
                <w:rFonts w:ascii="Calibri" w:eastAsiaTheme="minorEastAsia" w:hAnsi="Calibri" w:cs="Calibri"/>
                <w:b/>
                <w:bCs/>
                <w:color w:val="000000"/>
                <w:sz w:val="20"/>
                <w:lang w:eastAsia="en-AU"/>
              </w:rPr>
              <w:t>10 015</w:t>
            </w:r>
          </w:p>
        </w:tc>
        <w:tc>
          <w:tcPr>
            <w:tcW w:w="964" w:type="dxa"/>
            <w:tcBorders>
              <w:top w:val="single" w:sz="6" w:space="0" w:color="auto"/>
              <w:left w:val="nil"/>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2F202F">
              <w:rPr>
                <w:rFonts w:ascii="Calibri" w:eastAsiaTheme="minorEastAsia" w:hAnsi="Calibri" w:cs="Calibri"/>
                <w:b/>
                <w:bCs/>
                <w:color w:val="000000"/>
                <w:sz w:val="20"/>
                <w:lang w:eastAsia="en-AU"/>
              </w:rPr>
              <w:t>10 455</w:t>
            </w:r>
          </w:p>
        </w:tc>
      </w:tr>
      <w:tr w:rsidR="00965D85" w:rsidRPr="002F202F" w:rsidTr="008B46DF">
        <w:tc>
          <w:tcPr>
            <w:tcW w:w="3911" w:type="dxa"/>
            <w:tcBorders>
              <w:top w:val="nil"/>
              <w:left w:val="nil"/>
              <w:right w:val="nil"/>
            </w:tcBorders>
            <w:shd w:val="clear" w:color="auto" w:fill="FFFFFF"/>
          </w:tcPr>
          <w:p w:rsidR="00965D85" w:rsidRPr="002F202F" w:rsidRDefault="00965D85" w:rsidP="008B46DF">
            <w:pPr>
              <w:autoSpaceDE w:val="0"/>
              <w:autoSpaceDN w:val="0"/>
              <w:adjustRightInd w:val="0"/>
              <w:spacing w:after="0"/>
              <w:ind w:left="227" w:hanging="227"/>
              <w:rPr>
                <w:rFonts w:ascii="Calibri" w:eastAsiaTheme="minorEastAsia" w:hAnsi="Calibri" w:cs="Calibri"/>
                <w:b/>
                <w:bCs/>
                <w:color w:val="000000"/>
                <w:sz w:val="20"/>
                <w:lang w:eastAsia="en-AU"/>
              </w:rPr>
            </w:pPr>
            <w:r w:rsidRPr="002F202F">
              <w:rPr>
                <w:rFonts w:ascii="Calibri" w:eastAsiaTheme="minorEastAsia" w:hAnsi="Calibri" w:cs="Calibri"/>
                <w:b/>
                <w:bCs/>
                <w:color w:val="000000"/>
                <w:sz w:val="20"/>
                <w:lang w:eastAsia="en-AU"/>
              </w:rPr>
              <w:t>Liabilities</w:t>
            </w:r>
          </w:p>
        </w:tc>
        <w:tc>
          <w:tcPr>
            <w:tcW w:w="964" w:type="dxa"/>
            <w:gridSpan w:val="2"/>
            <w:tcBorders>
              <w:top w:val="nil"/>
              <w:left w:val="nil"/>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 xml:space="preserve"> </w:t>
            </w:r>
          </w:p>
        </w:tc>
        <w:tc>
          <w:tcPr>
            <w:tcW w:w="964" w:type="dxa"/>
            <w:tcBorders>
              <w:top w:val="nil"/>
              <w:left w:val="nil"/>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 xml:space="preserve"> </w:t>
            </w:r>
          </w:p>
        </w:tc>
        <w:tc>
          <w:tcPr>
            <w:tcW w:w="964" w:type="dxa"/>
            <w:tcBorders>
              <w:top w:val="nil"/>
              <w:left w:val="nil"/>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 xml:space="preserve"> </w:t>
            </w:r>
          </w:p>
        </w:tc>
        <w:tc>
          <w:tcPr>
            <w:tcW w:w="964" w:type="dxa"/>
            <w:tcBorders>
              <w:top w:val="nil"/>
              <w:left w:val="nil"/>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 xml:space="preserve"> </w:t>
            </w:r>
          </w:p>
        </w:tc>
      </w:tr>
      <w:tr w:rsidR="00965D85" w:rsidRPr="002F202F" w:rsidTr="008B46DF">
        <w:tc>
          <w:tcPr>
            <w:tcW w:w="3911" w:type="dxa"/>
            <w:tcBorders>
              <w:top w:val="nil"/>
              <w:left w:val="nil"/>
              <w:right w:val="nil"/>
            </w:tcBorders>
            <w:shd w:val="clear" w:color="auto" w:fill="FFFFFF"/>
          </w:tcPr>
          <w:p w:rsidR="00965D85" w:rsidRPr="002F202F"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Deposits held and advances received</w:t>
            </w:r>
          </w:p>
        </w:tc>
        <w:tc>
          <w:tcPr>
            <w:tcW w:w="964" w:type="dxa"/>
            <w:gridSpan w:val="2"/>
            <w:tcBorders>
              <w:top w:val="nil"/>
              <w:left w:val="nil"/>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 xml:space="preserve"> 637</w:t>
            </w:r>
          </w:p>
        </w:tc>
        <w:tc>
          <w:tcPr>
            <w:tcW w:w="964" w:type="dxa"/>
            <w:tcBorders>
              <w:top w:val="nil"/>
              <w:left w:val="nil"/>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 xml:space="preserve"> 638</w:t>
            </w:r>
          </w:p>
        </w:tc>
        <w:tc>
          <w:tcPr>
            <w:tcW w:w="964" w:type="dxa"/>
            <w:tcBorders>
              <w:top w:val="nil"/>
              <w:left w:val="nil"/>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 xml:space="preserve"> 639</w:t>
            </w:r>
          </w:p>
        </w:tc>
        <w:tc>
          <w:tcPr>
            <w:tcW w:w="964" w:type="dxa"/>
            <w:tcBorders>
              <w:top w:val="nil"/>
              <w:left w:val="nil"/>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 xml:space="preserve"> 641</w:t>
            </w:r>
          </w:p>
        </w:tc>
      </w:tr>
      <w:tr w:rsidR="00965D85" w:rsidRPr="002F202F" w:rsidTr="008B46DF">
        <w:tc>
          <w:tcPr>
            <w:tcW w:w="3911" w:type="dxa"/>
            <w:tcBorders>
              <w:top w:val="nil"/>
              <w:left w:val="nil"/>
              <w:bottom w:val="single" w:sz="6" w:space="0" w:color="auto"/>
              <w:right w:val="nil"/>
            </w:tcBorders>
            <w:shd w:val="clear" w:color="auto" w:fill="FFFFFF"/>
          </w:tcPr>
          <w:p w:rsidR="00965D85" w:rsidRPr="002F202F"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Borrowings</w:t>
            </w:r>
          </w:p>
        </w:tc>
        <w:tc>
          <w:tcPr>
            <w:tcW w:w="964" w:type="dxa"/>
            <w:gridSpan w:val="2"/>
            <w:tcBorders>
              <w:top w:val="nil"/>
              <w:left w:val="nil"/>
              <w:bottom w:val="single" w:sz="6" w:space="0" w:color="auto"/>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40 972</w:t>
            </w:r>
          </w:p>
        </w:tc>
        <w:tc>
          <w:tcPr>
            <w:tcW w:w="964" w:type="dxa"/>
            <w:tcBorders>
              <w:top w:val="nil"/>
              <w:left w:val="nil"/>
              <w:bottom w:val="single" w:sz="6" w:space="0" w:color="auto"/>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43 566</w:t>
            </w:r>
          </w:p>
        </w:tc>
        <w:tc>
          <w:tcPr>
            <w:tcW w:w="964" w:type="dxa"/>
            <w:tcBorders>
              <w:top w:val="nil"/>
              <w:left w:val="nil"/>
              <w:bottom w:val="single" w:sz="6" w:space="0" w:color="auto"/>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44 377</w:t>
            </w:r>
          </w:p>
        </w:tc>
        <w:tc>
          <w:tcPr>
            <w:tcW w:w="964" w:type="dxa"/>
            <w:tcBorders>
              <w:top w:val="nil"/>
              <w:left w:val="nil"/>
              <w:bottom w:val="single" w:sz="6" w:space="0" w:color="auto"/>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45 848</w:t>
            </w:r>
          </w:p>
        </w:tc>
      </w:tr>
      <w:tr w:rsidR="00965D85" w:rsidRPr="002F202F" w:rsidTr="008B46DF">
        <w:tc>
          <w:tcPr>
            <w:tcW w:w="3911" w:type="dxa"/>
            <w:tcBorders>
              <w:top w:val="single" w:sz="6" w:space="0" w:color="auto"/>
              <w:left w:val="nil"/>
              <w:bottom w:val="single" w:sz="6" w:space="0" w:color="auto"/>
              <w:right w:val="nil"/>
            </w:tcBorders>
            <w:shd w:val="clear" w:color="auto" w:fill="FFFFFF"/>
          </w:tcPr>
          <w:p w:rsidR="00965D85" w:rsidRPr="002F202F" w:rsidRDefault="00965D85" w:rsidP="008B46DF">
            <w:pPr>
              <w:autoSpaceDE w:val="0"/>
              <w:autoSpaceDN w:val="0"/>
              <w:adjustRightInd w:val="0"/>
              <w:spacing w:after="0"/>
              <w:ind w:left="227" w:hanging="227"/>
              <w:rPr>
                <w:rFonts w:ascii="Calibri" w:eastAsiaTheme="minorEastAsia" w:hAnsi="Calibri" w:cs="Calibri"/>
                <w:b/>
                <w:bCs/>
                <w:color w:val="000000"/>
                <w:sz w:val="20"/>
                <w:lang w:eastAsia="en-AU"/>
              </w:rPr>
            </w:pPr>
            <w:r w:rsidRPr="002F202F">
              <w:rPr>
                <w:rFonts w:ascii="Calibri" w:eastAsiaTheme="minorEastAsia" w:hAnsi="Calibri" w:cs="Calibri"/>
                <w:b/>
                <w:bCs/>
                <w:color w:val="000000"/>
                <w:sz w:val="20"/>
                <w:lang w:eastAsia="en-AU"/>
              </w:rPr>
              <w:t>Total</w:t>
            </w:r>
          </w:p>
        </w:tc>
        <w:tc>
          <w:tcPr>
            <w:tcW w:w="964" w:type="dxa"/>
            <w:gridSpan w:val="2"/>
            <w:tcBorders>
              <w:top w:val="single" w:sz="6" w:space="0" w:color="auto"/>
              <w:left w:val="nil"/>
              <w:bottom w:val="single" w:sz="6" w:space="0" w:color="auto"/>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2F202F">
              <w:rPr>
                <w:rFonts w:ascii="Calibri" w:eastAsiaTheme="minorEastAsia" w:hAnsi="Calibri" w:cs="Calibri"/>
                <w:b/>
                <w:bCs/>
                <w:color w:val="000000"/>
                <w:sz w:val="20"/>
                <w:lang w:eastAsia="en-AU"/>
              </w:rPr>
              <w:t>41 610</w:t>
            </w:r>
          </w:p>
        </w:tc>
        <w:tc>
          <w:tcPr>
            <w:tcW w:w="964" w:type="dxa"/>
            <w:tcBorders>
              <w:top w:val="single" w:sz="6" w:space="0" w:color="auto"/>
              <w:left w:val="nil"/>
              <w:bottom w:val="single" w:sz="6" w:space="0" w:color="auto"/>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2F202F">
              <w:rPr>
                <w:rFonts w:ascii="Calibri" w:eastAsiaTheme="minorEastAsia" w:hAnsi="Calibri" w:cs="Calibri"/>
                <w:b/>
                <w:bCs/>
                <w:color w:val="000000"/>
                <w:sz w:val="20"/>
                <w:lang w:eastAsia="en-AU"/>
              </w:rPr>
              <w:t>44 204</w:t>
            </w:r>
          </w:p>
        </w:tc>
        <w:tc>
          <w:tcPr>
            <w:tcW w:w="964" w:type="dxa"/>
            <w:tcBorders>
              <w:top w:val="single" w:sz="6" w:space="0" w:color="auto"/>
              <w:left w:val="nil"/>
              <w:bottom w:val="single" w:sz="6" w:space="0" w:color="auto"/>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2F202F">
              <w:rPr>
                <w:rFonts w:ascii="Calibri" w:eastAsiaTheme="minorEastAsia" w:hAnsi="Calibri" w:cs="Calibri"/>
                <w:b/>
                <w:bCs/>
                <w:color w:val="000000"/>
                <w:sz w:val="20"/>
                <w:lang w:eastAsia="en-AU"/>
              </w:rPr>
              <w:t>45 016</w:t>
            </w:r>
          </w:p>
        </w:tc>
        <w:tc>
          <w:tcPr>
            <w:tcW w:w="964" w:type="dxa"/>
            <w:tcBorders>
              <w:top w:val="single" w:sz="6" w:space="0" w:color="auto"/>
              <w:left w:val="nil"/>
              <w:bottom w:val="single" w:sz="6" w:space="0" w:color="auto"/>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2F202F">
              <w:rPr>
                <w:rFonts w:ascii="Calibri" w:eastAsiaTheme="minorEastAsia" w:hAnsi="Calibri" w:cs="Calibri"/>
                <w:b/>
                <w:bCs/>
                <w:color w:val="000000"/>
                <w:sz w:val="20"/>
                <w:lang w:eastAsia="en-AU"/>
              </w:rPr>
              <w:t>46 489</w:t>
            </w:r>
          </w:p>
        </w:tc>
      </w:tr>
      <w:tr w:rsidR="00965D85" w:rsidRPr="002F202F" w:rsidTr="008B46DF">
        <w:tc>
          <w:tcPr>
            <w:tcW w:w="3911" w:type="dxa"/>
            <w:tcBorders>
              <w:top w:val="single" w:sz="6" w:space="0" w:color="auto"/>
              <w:left w:val="nil"/>
              <w:right w:val="nil"/>
            </w:tcBorders>
            <w:shd w:val="clear" w:color="auto" w:fill="FFFFFF"/>
          </w:tcPr>
          <w:p w:rsidR="00965D85" w:rsidRPr="002F202F" w:rsidRDefault="00965D85" w:rsidP="008B46DF">
            <w:pPr>
              <w:autoSpaceDE w:val="0"/>
              <w:autoSpaceDN w:val="0"/>
              <w:adjustRightInd w:val="0"/>
              <w:spacing w:after="0"/>
              <w:ind w:left="227" w:hanging="227"/>
              <w:rPr>
                <w:rFonts w:ascii="Calibri" w:eastAsiaTheme="minorEastAsia" w:hAnsi="Calibri" w:cs="Calibri"/>
                <w:color w:val="000000"/>
                <w:sz w:val="20"/>
                <w:vertAlign w:val="superscript"/>
                <w:lang w:eastAsia="en-AU"/>
              </w:rPr>
            </w:pPr>
            <w:r w:rsidRPr="002F202F">
              <w:rPr>
                <w:rFonts w:ascii="Calibri" w:eastAsiaTheme="minorEastAsia" w:hAnsi="Calibri" w:cs="Calibri"/>
                <w:b/>
                <w:bCs/>
                <w:color w:val="000000"/>
                <w:sz w:val="20"/>
                <w:lang w:eastAsia="en-AU"/>
              </w:rPr>
              <w:t xml:space="preserve">Net debt </w:t>
            </w:r>
            <w:r w:rsidRPr="002F202F">
              <w:rPr>
                <w:rFonts w:ascii="Calibri" w:eastAsiaTheme="minorEastAsia" w:hAnsi="Calibri" w:cs="Calibri"/>
                <w:color w:val="000000"/>
                <w:sz w:val="20"/>
                <w:vertAlign w:val="superscript"/>
                <w:lang w:eastAsia="en-AU"/>
              </w:rPr>
              <w:t>(a)</w:t>
            </w:r>
          </w:p>
        </w:tc>
        <w:tc>
          <w:tcPr>
            <w:tcW w:w="964" w:type="dxa"/>
            <w:gridSpan w:val="2"/>
            <w:tcBorders>
              <w:top w:val="single" w:sz="6" w:space="0" w:color="auto"/>
              <w:left w:val="nil"/>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2F202F">
              <w:rPr>
                <w:rFonts w:ascii="Calibri" w:eastAsiaTheme="minorEastAsia" w:hAnsi="Calibri" w:cs="Calibri"/>
                <w:b/>
                <w:bCs/>
                <w:color w:val="000000"/>
                <w:sz w:val="20"/>
                <w:lang w:eastAsia="en-AU"/>
              </w:rPr>
              <w:t>31 949</w:t>
            </w:r>
          </w:p>
        </w:tc>
        <w:tc>
          <w:tcPr>
            <w:tcW w:w="964" w:type="dxa"/>
            <w:tcBorders>
              <w:top w:val="single" w:sz="6" w:space="0" w:color="auto"/>
              <w:left w:val="nil"/>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2F202F">
              <w:rPr>
                <w:rFonts w:ascii="Calibri" w:eastAsiaTheme="minorEastAsia" w:hAnsi="Calibri" w:cs="Calibri"/>
                <w:b/>
                <w:bCs/>
                <w:color w:val="000000"/>
                <w:sz w:val="20"/>
                <w:lang w:eastAsia="en-AU"/>
              </w:rPr>
              <w:t>34 465</w:t>
            </w:r>
          </w:p>
        </w:tc>
        <w:tc>
          <w:tcPr>
            <w:tcW w:w="964" w:type="dxa"/>
            <w:tcBorders>
              <w:top w:val="single" w:sz="6" w:space="0" w:color="auto"/>
              <w:left w:val="nil"/>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2F202F">
              <w:rPr>
                <w:rFonts w:ascii="Calibri" w:eastAsiaTheme="minorEastAsia" w:hAnsi="Calibri" w:cs="Calibri"/>
                <w:b/>
                <w:bCs/>
                <w:color w:val="000000"/>
                <w:sz w:val="20"/>
                <w:lang w:eastAsia="en-AU"/>
              </w:rPr>
              <w:t>35 000</w:t>
            </w:r>
          </w:p>
        </w:tc>
        <w:tc>
          <w:tcPr>
            <w:tcW w:w="964" w:type="dxa"/>
            <w:tcBorders>
              <w:top w:val="single" w:sz="6" w:space="0" w:color="auto"/>
              <w:left w:val="nil"/>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2F202F">
              <w:rPr>
                <w:rFonts w:ascii="Calibri" w:eastAsiaTheme="minorEastAsia" w:hAnsi="Calibri" w:cs="Calibri"/>
                <w:b/>
                <w:bCs/>
                <w:color w:val="000000"/>
                <w:sz w:val="20"/>
                <w:lang w:eastAsia="en-AU"/>
              </w:rPr>
              <w:t>36 035</w:t>
            </w:r>
          </w:p>
        </w:tc>
      </w:tr>
      <w:tr w:rsidR="00965D85" w:rsidRPr="002F202F" w:rsidTr="008B46DF">
        <w:tc>
          <w:tcPr>
            <w:tcW w:w="3911" w:type="dxa"/>
            <w:tcBorders>
              <w:top w:val="nil"/>
              <w:left w:val="nil"/>
              <w:bottom w:val="single" w:sz="6" w:space="0" w:color="auto"/>
              <w:right w:val="nil"/>
            </w:tcBorders>
            <w:shd w:val="clear" w:color="auto" w:fill="FFFFFF"/>
          </w:tcPr>
          <w:p w:rsidR="00965D85" w:rsidRPr="002F202F"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Superannuation</w:t>
            </w:r>
          </w:p>
        </w:tc>
        <w:tc>
          <w:tcPr>
            <w:tcW w:w="964" w:type="dxa"/>
            <w:gridSpan w:val="2"/>
            <w:tcBorders>
              <w:top w:val="nil"/>
              <w:left w:val="nil"/>
              <w:bottom w:val="single" w:sz="6" w:space="0" w:color="auto"/>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27 510</w:t>
            </w:r>
          </w:p>
        </w:tc>
        <w:tc>
          <w:tcPr>
            <w:tcW w:w="964" w:type="dxa"/>
            <w:tcBorders>
              <w:top w:val="nil"/>
              <w:left w:val="nil"/>
              <w:bottom w:val="single" w:sz="6" w:space="0" w:color="auto"/>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26 735</w:t>
            </w:r>
          </w:p>
        </w:tc>
        <w:tc>
          <w:tcPr>
            <w:tcW w:w="964" w:type="dxa"/>
            <w:tcBorders>
              <w:top w:val="nil"/>
              <w:left w:val="nil"/>
              <w:bottom w:val="single" w:sz="6" w:space="0" w:color="auto"/>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25 930</w:t>
            </w:r>
          </w:p>
        </w:tc>
        <w:tc>
          <w:tcPr>
            <w:tcW w:w="964" w:type="dxa"/>
            <w:tcBorders>
              <w:top w:val="nil"/>
              <w:left w:val="nil"/>
              <w:bottom w:val="single" w:sz="6" w:space="0" w:color="auto"/>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25 095</w:t>
            </w:r>
          </w:p>
        </w:tc>
      </w:tr>
      <w:tr w:rsidR="00965D85" w:rsidRPr="002F202F" w:rsidTr="008B46DF">
        <w:tc>
          <w:tcPr>
            <w:tcW w:w="3911" w:type="dxa"/>
            <w:tcBorders>
              <w:top w:val="single" w:sz="6" w:space="0" w:color="auto"/>
              <w:left w:val="nil"/>
              <w:right w:val="nil"/>
            </w:tcBorders>
            <w:shd w:val="clear" w:color="auto" w:fill="FFFFFF"/>
          </w:tcPr>
          <w:p w:rsidR="00965D85" w:rsidRPr="002F202F" w:rsidRDefault="00965D85" w:rsidP="008B46DF">
            <w:pPr>
              <w:autoSpaceDE w:val="0"/>
              <w:autoSpaceDN w:val="0"/>
              <w:adjustRightInd w:val="0"/>
              <w:spacing w:after="0"/>
              <w:ind w:left="227" w:hanging="227"/>
              <w:rPr>
                <w:rFonts w:ascii="Calibri" w:eastAsiaTheme="minorEastAsia" w:hAnsi="Calibri" w:cs="Calibri"/>
                <w:b/>
                <w:bCs/>
                <w:color w:val="000000"/>
                <w:sz w:val="20"/>
                <w:lang w:eastAsia="en-AU"/>
              </w:rPr>
            </w:pPr>
            <w:r w:rsidRPr="002F202F">
              <w:rPr>
                <w:rFonts w:ascii="Calibri" w:eastAsiaTheme="minorEastAsia" w:hAnsi="Calibri" w:cs="Calibri"/>
                <w:b/>
                <w:bCs/>
                <w:color w:val="000000"/>
                <w:sz w:val="20"/>
                <w:lang w:eastAsia="en-AU"/>
              </w:rPr>
              <w:t>Net debt plus superannuation liabilities</w:t>
            </w:r>
          </w:p>
        </w:tc>
        <w:tc>
          <w:tcPr>
            <w:tcW w:w="964" w:type="dxa"/>
            <w:gridSpan w:val="2"/>
            <w:tcBorders>
              <w:top w:val="single" w:sz="6" w:space="0" w:color="auto"/>
              <w:left w:val="nil"/>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b/>
                <w:color w:val="000000"/>
                <w:sz w:val="20"/>
                <w:lang w:eastAsia="en-AU"/>
              </w:rPr>
            </w:pPr>
            <w:r w:rsidRPr="002F202F">
              <w:rPr>
                <w:rFonts w:ascii="Calibri" w:eastAsiaTheme="minorEastAsia" w:hAnsi="Calibri" w:cs="Calibri"/>
                <w:b/>
                <w:color w:val="000000"/>
                <w:sz w:val="20"/>
                <w:lang w:eastAsia="en-AU"/>
              </w:rPr>
              <w:t>59 459</w:t>
            </w:r>
          </w:p>
        </w:tc>
        <w:tc>
          <w:tcPr>
            <w:tcW w:w="964" w:type="dxa"/>
            <w:tcBorders>
              <w:top w:val="single" w:sz="6" w:space="0" w:color="auto"/>
              <w:left w:val="nil"/>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b/>
                <w:color w:val="000000"/>
                <w:sz w:val="20"/>
                <w:lang w:eastAsia="en-AU"/>
              </w:rPr>
            </w:pPr>
            <w:r w:rsidRPr="002F202F">
              <w:rPr>
                <w:rFonts w:ascii="Calibri" w:eastAsiaTheme="minorEastAsia" w:hAnsi="Calibri" w:cs="Calibri"/>
                <w:b/>
                <w:color w:val="000000"/>
                <w:sz w:val="20"/>
                <w:lang w:eastAsia="en-AU"/>
              </w:rPr>
              <w:t>61 200</w:t>
            </w:r>
          </w:p>
        </w:tc>
        <w:tc>
          <w:tcPr>
            <w:tcW w:w="964" w:type="dxa"/>
            <w:tcBorders>
              <w:top w:val="single" w:sz="6" w:space="0" w:color="auto"/>
              <w:left w:val="nil"/>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b/>
                <w:color w:val="000000"/>
                <w:sz w:val="20"/>
                <w:lang w:eastAsia="en-AU"/>
              </w:rPr>
            </w:pPr>
            <w:r w:rsidRPr="002F202F">
              <w:rPr>
                <w:rFonts w:ascii="Calibri" w:eastAsiaTheme="minorEastAsia" w:hAnsi="Calibri" w:cs="Calibri"/>
                <w:b/>
                <w:color w:val="000000"/>
                <w:sz w:val="20"/>
                <w:lang w:eastAsia="en-AU"/>
              </w:rPr>
              <w:t>60 930</w:t>
            </w:r>
          </w:p>
        </w:tc>
        <w:tc>
          <w:tcPr>
            <w:tcW w:w="964" w:type="dxa"/>
            <w:tcBorders>
              <w:top w:val="single" w:sz="6" w:space="0" w:color="auto"/>
              <w:left w:val="nil"/>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b/>
                <w:color w:val="000000"/>
                <w:sz w:val="20"/>
                <w:lang w:eastAsia="en-AU"/>
              </w:rPr>
            </w:pPr>
            <w:r w:rsidRPr="002F202F">
              <w:rPr>
                <w:rFonts w:ascii="Calibri" w:eastAsiaTheme="minorEastAsia" w:hAnsi="Calibri" w:cs="Calibri"/>
                <w:b/>
                <w:color w:val="000000"/>
                <w:sz w:val="20"/>
                <w:lang w:eastAsia="en-AU"/>
              </w:rPr>
              <w:t>61 130</w:t>
            </w:r>
          </w:p>
        </w:tc>
      </w:tr>
      <w:tr w:rsidR="00965D85" w:rsidRPr="002F202F" w:rsidTr="008B46DF">
        <w:tc>
          <w:tcPr>
            <w:tcW w:w="3911" w:type="dxa"/>
            <w:tcBorders>
              <w:top w:val="nil"/>
              <w:left w:val="nil"/>
              <w:bottom w:val="single" w:sz="6" w:space="0" w:color="auto"/>
              <w:right w:val="nil"/>
            </w:tcBorders>
            <w:shd w:val="clear" w:color="auto" w:fill="FFFFFF"/>
          </w:tcPr>
          <w:p w:rsidR="00965D85" w:rsidRPr="002F202F" w:rsidRDefault="00965D85" w:rsidP="008B46DF">
            <w:pPr>
              <w:autoSpaceDE w:val="0"/>
              <w:autoSpaceDN w:val="0"/>
              <w:adjustRightInd w:val="0"/>
              <w:spacing w:after="0"/>
              <w:ind w:left="227" w:hanging="227"/>
              <w:rPr>
                <w:rFonts w:ascii="Calibri" w:eastAsiaTheme="minorEastAsia" w:hAnsi="Calibri" w:cs="Calibri"/>
                <w:color w:val="000000"/>
                <w:sz w:val="20"/>
                <w:vertAlign w:val="superscript"/>
                <w:lang w:eastAsia="en-AU"/>
              </w:rPr>
            </w:pPr>
            <w:r w:rsidRPr="002F202F">
              <w:rPr>
                <w:rFonts w:ascii="Calibri" w:eastAsiaTheme="minorEastAsia" w:hAnsi="Calibri" w:cs="Calibri"/>
                <w:color w:val="000000"/>
                <w:sz w:val="20"/>
                <w:lang w:eastAsia="en-AU"/>
              </w:rPr>
              <w:t xml:space="preserve">Other liabilities (net) </w:t>
            </w:r>
            <w:r w:rsidRPr="002F202F">
              <w:rPr>
                <w:rFonts w:ascii="Calibri" w:eastAsiaTheme="minorEastAsia" w:hAnsi="Calibri" w:cs="Calibri"/>
                <w:color w:val="000000"/>
                <w:sz w:val="20"/>
                <w:vertAlign w:val="superscript"/>
                <w:lang w:eastAsia="en-AU"/>
              </w:rPr>
              <w:t>(b)</w:t>
            </w:r>
          </w:p>
        </w:tc>
        <w:tc>
          <w:tcPr>
            <w:tcW w:w="964" w:type="dxa"/>
            <w:gridSpan w:val="2"/>
            <w:tcBorders>
              <w:top w:val="nil"/>
              <w:left w:val="nil"/>
              <w:bottom w:val="single" w:sz="6" w:space="0" w:color="auto"/>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5 492</w:t>
            </w:r>
          </w:p>
        </w:tc>
        <w:tc>
          <w:tcPr>
            <w:tcW w:w="964" w:type="dxa"/>
            <w:tcBorders>
              <w:top w:val="nil"/>
              <w:left w:val="nil"/>
              <w:bottom w:val="single" w:sz="6" w:space="0" w:color="auto"/>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5 565</w:t>
            </w:r>
          </w:p>
        </w:tc>
        <w:tc>
          <w:tcPr>
            <w:tcW w:w="964" w:type="dxa"/>
            <w:tcBorders>
              <w:top w:val="nil"/>
              <w:left w:val="nil"/>
              <w:bottom w:val="single" w:sz="6" w:space="0" w:color="auto"/>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5 592</w:t>
            </w:r>
          </w:p>
        </w:tc>
        <w:tc>
          <w:tcPr>
            <w:tcW w:w="964" w:type="dxa"/>
            <w:tcBorders>
              <w:top w:val="nil"/>
              <w:left w:val="nil"/>
              <w:bottom w:val="single" w:sz="6" w:space="0" w:color="auto"/>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5 518</w:t>
            </w:r>
          </w:p>
        </w:tc>
      </w:tr>
      <w:tr w:rsidR="00965D85" w:rsidRPr="002F202F" w:rsidTr="008B46DF">
        <w:tc>
          <w:tcPr>
            <w:tcW w:w="3911" w:type="dxa"/>
            <w:tcBorders>
              <w:top w:val="single" w:sz="6" w:space="0" w:color="auto"/>
              <w:left w:val="nil"/>
              <w:bottom w:val="single" w:sz="6" w:space="0" w:color="auto"/>
              <w:right w:val="nil"/>
            </w:tcBorders>
            <w:shd w:val="clear" w:color="auto" w:fill="FFFFFF"/>
          </w:tcPr>
          <w:p w:rsidR="00965D85" w:rsidRPr="002F202F" w:rsidRDefault="00965D85" w:rsidP="008B46DF">
            <w:pPr>
              <w:autoSpaceDE w:val="0"/>
              <w:autoSpaceDN w:val="0"/>
              <w:adjustRightInd w:val="0"/>
              <w:spacing w:after="0"/>
              <w:ind w:left="227" w:hanging="227"/>
              <w:rPr>
                <w:rFonts w:ascii="Calibri" w:eastAsiaTheme="minorEastAsia" w:hAnsi="Calibri" w:cs="Calibri"/>
                <w:color w:val="000000"/>
                <w:sz w:val="20"/>
                <w:vertAlign w:val="superscript"/>
                <w:lang w:eastAsia="en-AU"/>
              </w:rPr>
            </w:pPr>
            <w:r w:rsidRPr="002F202F">
              <w:rPr>
                <w:rFonts w:ascii="Calibri" w:eastAsiaTheme="minorEastAsia" w:hAnsi="Calibri" w:cs="Calibri"/>
                <w:b/>
                <w:bCs/>
                <w:color w:val="000000"/>
                <w:sz w:val="20"/>
                <w:lang w:eastAsia="en-AU"/>
              </w:rPr>
              <w:t xml:space="preserve">Net financial liabilities </w:t>
            </w:r>
            <w:r w:rsidRPr="002F202F">
              <w:rPr>
                <w:rFonts w:ascii="Calibri" w:eastAsiaTheme="minorEastAsia" w:hAnsi="Calibri" w:cs="Calibri"/>
                <w:color w:val="000000"/>
                <w:sz w:val="20"/>
                <w:vertAlign w:val="superscript"/>
                <w:lang w:eastAsia="en-AU"/>
              </w:rPr>
              <w:t>(c)</w:t>
            </w:r>
          </w:p>
        </w:tc>
        <w:tc>
          <w:tcPr>
            <w:tcW w:w="964" w:type="dxa"/>
            <w:gridSpan w:val="2"/>
            <w:tcBorders>
              <w:top w:val="single" w:sz="6" w:space="0" w:color="auto"/>
              <w:left w:val="nil"/>
              <w:bottom w:val="single" w:sz="6" w:space="0" w:color="auto"/>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2F202F">
              <w:rPr>
                <w:rFonts w:ascii="Calibri" w:eastAsiaTheme="minorEastAsia" w:hAnsi="Calibri" w:cs="Calibri"/>
                <w:b/>
                <w:bCs/>
                <w:color w:val="000000"/>
                <w:sz w:val="20"/>
                <w:lang w:eastAsia="en-AU"/>
              </w:rPr>
              <w:t>64 951</w:t>
            </w:r>
          </w:p>
        </w:tc>
        <w:tc>
          <w:tcPr>
            <w:tcW w:w="964" w:type="dxa"/>
            <w:tcBorders>
              <w:top w:val="single" w:sz="6" w:space="0" w:color="auto"/>
              <w:left w:val="nil"/>
              <w:bottom w:val="single" w:sz="6" w:space="0" w:color="auto"/>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2F202F">
              <w:rPr>
                <w:rFonts w:ascii="Calibri" w:eastAsiaTheme="minorEastAsia" w:hAnsi="Calibri" w:cs="Calibri"/>
                <w:b/>
                <w:bCs/>
                <w:color w:val="000000"/>
                <w:sz w:val="20"/>
                <w:lang w:eastAsia="en-AU"/>
              </w:rPr>
              <w:t>66 764</w:t>
            </w:r>
          </w:p>
        </w:tc>
        <w:tc>
          <w:tcPr>
            <w:tcW w:w="964" w:type="dxa"/>
            <w:tcBorders>
              <w:top w:val="single" w:sz="6" w:space="0" w:color="auto"/>
              <w:left w:val="nil"/>
              <w:bottom w:val="single" w:sz="6" w:space="0" w:color="auto"/>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2F202F">
              <w:rPr>
                <w:rFonts w:ascii="Calibri" w:eastAsiaTheme="minorEastAsia" w:hAnsi="Calibri" w:cs="Calibri"/>
                <w:b/>
                <w:bCs/>
                <w:color w:val="000000"/>
                <w:sz w:val="20"/>
                <w:lang w:eastAsia="en-AU"/>
              </w:rPr>
              <w:t>66 523</w:t>
            </w:r>
          </w:p>
        </w:tc>
        <w:tc>
          <w:tcPr>
            <w:tcW w:w="964" w:type="dxa"/>
            <w:tcBorders>
              <w:top w:val="single" w:sz="6" w:space="0" w:color="auto"/>
              <w:left w:val="nil"/>
              <w:bottom w:val="single" w:sz="6" w:space="0" w:color="auto"/>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2F202F">
              <w:rPr>
                <w:rFonts w:ascii="Calibri" w:eastAsiaTheme="minorEastAsia" w:hAnsi="Calibri" w:cs="Calibri"/>
                <w:b/>
                <w:bCs/>
                <w:color w:val="000000"/>
                <w:sz w:val="20"/>
                <w:lang w:eastAsia="en-AU"/>
              </w:rPr>
              <w:t>66 647</w:t>
            </w:r>
          </w:p>
        </w:tc>
      </w:tr>
      <w:tr w:rsidR="00965D85" w:rsidRPr="002F202F" w:rsidTr="008B46DF">
        <w:tc>
          <w:tcPr>
            <w:tcW w:w="3911" w:type="dxa"/>
            <w:tcBorders>
              <w:top w:val="single" w:sz="6" w:space="0" w:color="auto"/>
              <w:left w:val="nil"/>
              <w:right w:val="nil"/>
            </w:tcBorders>
            <w:shd w:val="clear" w:color="auto" w:fill="FFFFFF"/>
          </w:tcPr>
          <w:p w:rsidR="00965D85" w:rsidRPr="002F202F" w:rsidRDefault="00965D85" w:rsidP="008B46DF">
            <w:pPr>
              <w:autoSpaceDE w:val="0"/>
              <w:autoSpaceDN w:val="0"/>
              <w:adjustRightInd w:val="0"/>
              <w:spacing w:after="0"/>
              <w:ind w:left="227" w:hanging="227"/>
              <w:rPr>
                <w:rFonts w:ascii="Calibri" w:eastAsiaTheme="minorEastAsia" w:hAnsi="Calibri" w:cs="Calibri"/>
                <w:color w:val="000000"/>
                <w:sz w:val="20"/>
                <w:vertAlign w:val="superscript"/>
                <w:lang w:eastAsia="en-AU"/>
              </w:rPr>
            </w:pPr>
            <w:r w:rsidRPr="002F202F">
              <w:rPr>
                <w:rFonts w:ascii="Calibri" w:eastAsiaTheme="minorEastAsia" w:hAnsi="Calibri" w:cs="Calibri"/>
                <w:b/>
                <w:bCs/>
                <w:color w:val="000000"/>
                <w:sz w:val="20"/>
                <w:lang w:eastAsia="en-AU"/>
              </w:rPr>
              <w:t>Net debt to GSP</w:t>
            </w:r>
            <w:r w:rsidRPr="002F202F">
              <w:rPr>
                <w:rFonts w:ascii="Calibri" w:eastAsiaTheme="minorEastAsia" w:hAnsi="Calibri" w:cs="Calibri"/>
                <w:color w:val="000000"/>
                <w:sz w:val="20"/>
                <w:vertAlign w:val="superscript"/>
                <w:lang w:eastAsia="en-AU"/>
              </w:rPr>
              <w:t xml:space="preserve"> (d)</w:t>
            </w:r>
          </w:p>
        </w:tc>
        <w:tc>
          <w:tcPr>
            <w:tcW w:w="964" w:type="dxa"/>
            <w:gridSpan w:val="2"/>
            <w:tcBorders>
              <w:top w:val="single" w:sz="6" w:space="0" w:color="auto"/>
              <w:left w:val="nil"/>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2F202F">
              <w:rPr>
                <w:rFonts w:ascii="Calibri" w:eastAsiaTheme="minorEastAsia" w:hAnsi="Calibri" w:cs="Calibri"/>
                <w:b/>
                <w:bCs/>
                <w:color w:val="000000"/>
                <w:sz w:val="20"/>
                <w:lang w:eastAsia="en-AU"/>
              </w:rPr>
              <w:t>8.4</w:t>
            </w:r>
          </w:p>
        </w:tc>
        <w:tc>
          <w:tcPr>
            <w:tcW w:w="964" w:type="dxa"/>
            <w:tcBorders>
              <w:top w:val="single" w:sz="6" w:space="0" w:color="auto"/>
              <w:left w:val="nil"/>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2F202F">
              <w:rPr>
                <w:rFonts w:ascii="Calibri" w:eastAsiaTheme="minorEastAsia" w:hAnsi="Calibri" w:cs="Calibri"/>
                <w:b/>
                <w:bCs/>
                <w:color w:val="000000"/>
                <w:sz w:val="20"/>
                <w:lang w:eastAsia="en-AU"/>
              </w:rPr>
              <w:t>8.6</w:t>
            </w:r>
          </w:p>
        </w:tc>
        <w:tc>
          <w:tcPr>
            <w:tcW w:w="964" w:type="dxa"/>
            <w:tcBorders>
              <w:top w:val="single" w:sz="6" w:space="0" w:color="auto"/>
              <w:left w:val="nil"/>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2F202F">
              <w:rPr>
                <w:rFonts w:ascii="Calibri" w:eastAsiaTheme="minorEastAsia" w:hAnsi="Calibri" w:cs="Calibri"/>
                <w:b/>
                <w:bCs/>
                <w:color w:val="000000"/>
                <w:sz w:val="20"/>
                <w:lang w:eastAsia="en-AU"/>
              </w:rPr>
              <w:t>8.3</w:t>
            </w:r>
          </w:p>
        </w:tc>
        <w:tc>
          <w:tcPr>
            <w:tcW w:w="964" w:type="dxa"/>
            <w:tcBorders>
              <w:top w:val="single" w:sz="6" w:space="0" w:color="auto"/>
              <w:left w:val="nil"/>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2F202F">
              <w:rPr>
                <w:rFonts w:ascii="Calibri" w:eastAsiaTheme="minorEastAsia" w:hAnsi="Calibri" w:cs="Calibri"/>
                <w:b/>
                <w:bCs/>
                <w:color w:val="000000"/>
                <w:sz w:val="20"/>
                <w:lang w:eastAsia="en-AU"/>
              </w:rPr>
              <w:t>8.1</w:t>
            </w:r>
          </w:p>
        </w:tc>
      </w:tr>
      <w:tr w:rsidR="00965D85" w:rsidRPr="002F202F" w:rsidTr="008B46DF">
        <w:tc>
          <w:tcPr>
            <w:tcW w:w="4158" w:type="dxa"/>
            <w:gridSpan w:val="2"/>
            <w:tcBorders>
              <w:top w:val="nil"/>
              <w:left w:val="nil"/>
              <w:right w:val="nil"/>
            </w:tcBorders>
            <w:shd w:val="clear" w:color="auto" w:fill="FFFFFF"/>
          </w:tcPr>
          <w:p w:rsidR="00965D85" w:rsidRPr="002F202F" w:rsidRDefault="00965D85" w:rsidP="008B46DF">
            <w:pPr>
              <w:autoSpaceDE w:val="0"/>
              <w:autoSpaceDN w:val="0"/>
              <w:adjustRightInd w:val="0"/>
              <w:spacing w:after="0"/>
              <w:ind w:left="227" w:hanging="227"/>
              <w:rPr>
                <w:rFonts w:ascii="Calibri" w:eastAsiaTheme="minorEastAsia" w:hAnsi="Calibri" w:cs="Calibri"/>
                <w:color w:val="000000"/>
                <w:sz w:val="20"/>
                <w:vertAlign w:val="superscript"/>
                <w:lang w:eastAsia="en-AU"/>
              </w:rPr>
            </w:pPr>
            <w:r w:rsidRPr="002F202F">
              <w:rPr>
                <w:rFonts w:ascii="Calibri" w:eastAsiaTheme="minorEastAsia" w:hAnsi="Calibri" w:cs="Calibri"/>
                <w:b/>
                <w:bCs/>
                <w:color w:val="000000"/>
                <w:sz w:val="20"/>
                <w:lang w:eastAsia="en-AU"/>
              </w:rPr>
              <w:t xml:space="preserve">Net debt plus superannuation liabilities to GSP </w:t>
            </w:r>
            <w:r w:rsidRPr="002F202F">
              <w:rPr>
                <w:rFonts w:ascii="Calibri" w:eastAsiaTheme="minorEastAsia" w:hAnsi="Calibri" w:cs="Calibri"/>
                <w:color w:val="000000"/>
                <w:sz w:val="20"/>
                <w:vertAlign w:val="superscript"/>
                <w:lang w:eastAsia="en-AU"/>
              </w:rPr>
              <w:t>(d)</w:t>
            </w:r>
          </w:p>
        </w:tc>
        <w:tc>
          <w:tcPr>
            <w:tcW w:w="717" w:type="dxa"/>
            <w:tcBorders>
              <w:top w:val="nil"/>
              <w:left w:val="nil"/>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2F202F">
              <w:rPr>
                <w:rFonts w:ascii="Calibri" w:eastAsiaTheme="minorEastAsia" w:hAnsi="Calibri" w:cs="Calibri"/>
                <w:b/>
                <w:bCs/>
                <w:color w:val="000000"/>
                <w:sz w:val="20"/>
                <w:lang w:eastAsia="en-AU"/>
              </w:rPr>
              <w:t>15.7</w:t>
            </w:r>
          </w:p>
        </w:tc>
        <w:tc>
          <w:tcPr>
            <w:tcW w:w="964" w:type="dxa"/>
            <w:tcBorders>
              <w:top w:val="nil"/>
              <w:left w:val="nil"/>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2F202F">
              <w:rPr>
                <w:rFonts w:ascii="Calibri" w:eastAsiaTheme="minorEastAsia" w:hAnsi="Calibri" w:cs="Calibri"/>
                <w:b/>
                <w:bCs/>
                <w:color w:val="000000"/>
                <w:sz w:val="20"/>
                <w:lang w:eastAsia="en-AU"/>
              </w:rPr>
              <w:t>15.3</w:t>
            </w:r>
          </w:p>
        </w:tc>
        <w:tc>
          <w:tcPr>
            <w:tcW w:w="964" w:type="dxa"/>
            <w:tcBorders>
              <w:top w:val="nil"/>
              <w:left w:val="nil"/>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2F202F">
              <w:rPr>
                <w:rFonts w:ascii="Calibri" w:eastAsiaTheme="minorEastAsia" w:hAnsi="Calibri" w:cs="Calibri"/>
                <w:b/>
                <w:bCs/>
                <w:color w:val="000000"/>
                <w:sz w:val="20"/>
                <w:lang w:eastAsia="en-AU"/>
              </w:rPr>
              <w:t>14.4</w:t>
            </w:r>
          </w:p>
        </w:tc>
        <w:tc>
          <w:tcPr>
            <w:tcW w:w="964" w:type="dxa"/>
            <w:tcBorders>
              <w:top w:val="nil"/>
              <w:left w:val="nil"/>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2F202F">
              <w:rPr>
                <w:rFonts w:ascii="Calibri" w:eastAsiaTheme="minorEastAsia" w:hAnsi="Calibri" w:cs="Calibri"/>
                <w:b/>
                <w:bCs/>
                <w:color w:val="000000"/>
                <w:sz w:val="20"/>
                <w:lang w:eastAsia="en-AU"/>
              </w:rPr>
              <w:t>13.7</w:t>
            </w:r>
          </w:p>
        </w:tc>
      </w:tr>
      <w:tr w:rsidR="00965D85" w:rsidRPr="002F202F" w:rsidTr="008B46DF">
        <w:tc>
          <w:tcPr>
            <w:tcW w:w="3911" w:type="dxa"/>
            <w:tcBorders>
              <w:top w:val="nil"/>
              <w:left w:val="nil"/>
              <w:bottom w:val="single" w:sz="12" w:space="0" w:color="auto"/>
              <w:right w:val="nil"/>
            </w:tcBorders>
            <w:shd w:val="clear" w:color="auto" w:fill="FFFFFF"/>
          </w:tcPr>
          <w:p w:rsidR="00965D85" w:rsidRPr="002F202F" w:rsidRDefault="00965D85" w:rsidP="008B46DF">
            <w:pPr>
              <w:autoSpaceDE w:val="0"/>
              <w:autoSpaceDN w:val="0"/>
              <w:adjustRightInd w:val="0"/>
              <w:spacing w:after="0"/>
              <w:ind w:left="227" w:hanging="227"/>
              <w:rPr>
                <w:rFonts w:ascii="Calibri" w:eastAsiaTheme="minorEastAsia" w:hAnsi="Calibri" w:cs="Calibri"/>
                <w:color w:val="000000"/>
                <w:sz w:val="20"/>
                <w:vertAlign w:val="superscript"/>
                <w:lang w:eastAsia="en-AU"/>
              </w:rPr>
            </w:pPr>
            <w:r w:rsidRPr="002F202F">
              <w:rPr>
                <w:rFonts w:ascii="Calibri" w:eastAsiaTheme="minorEastAsia" w:hAnsi="Calibri" w:cs="Calibri"/>
                <w:b/>
                <w:bCs/>
                <w:color w:val="000000"/>
                <w:sz w:val="20"/>
                <w:lang w:eastAsia="en-AU"/>
              </w:rPr>
              <w:t>Net financial liabilities to GSP</w:t>
            </w:r>
            <w:r w:rsidRPr="002F202F">
              <w:rPr>
                <w:rFonts w:ascii="Calibri" w:eastAsiaTheme="minorEastAsia" w:hAnsi="Calibri" w:cs="Calibri"/>
                <w:color w:val="000000"/>
                <w:sz w:val="20"/>
                <w:vertAlign w:val="superscript"/>
                <w:lang w:eastAsia="en-AU"/>
              </w:rPr>
              <w:t xml:space="preserve"> (d)</w:t>
            </w:r>
          </w:p>
        </w:tc>
        <w:tc>
          <w:tcPr>
            <w:tcW w:w="964" w:type="dxa"/>
            <w:gridSpan w:val="2"/>
            <w:tcBorders>
              <w:top w:val="nil"/>
              <w:left w:val="nil"/>
              <w:bottom w:val="single" w:sz="12" w:space="0" w:color="auto"/>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2F202F">
              <w:rPr>
                <w:rFonts w:ascii="Calibri" w:eastAsiaTheme="minorEastAsia" w:hAnsi="Calibri" w:cs="Calibri"/>
                <w:b/>
                <w:bCs/>
                <w:color w:val="000000"/>
                <w:sz w:val="20"/>
                <w:lang w:eastAsia="en-AU"/>
              </w:rPr>
              <w:t>17.1</w:t>
            </w:r>
          </w:p>
        </w:tc>
        <w:tc>
          <w:tcPr>
            <w:tcW w:w="964" w:type="dxa"/>
            <w:tcBorders>
              <w:top w:val="nil"/>
              <w:left w:val="nil"/>
              <w:bottom w:val="single" w:sz="12" w:space="0" w:color="auto"/>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2F202F">
              <w:rPr>
                <w:rFonts w:ascii="Calibri" w:eastAsiaTheme="minorEastAsia" w:hAnsi="Calibri" w:cs="Calibri"/>
                <w:b/>
                <w:bCs/>
                <w:color w:val="000000"/>
                <w:sz w:val="20"/>
                <w:lang w:eastAsia="en-AU"/>
              </w:rPr>
              <w:t>16.7</w:t>
            </w:r>
          </w:p>
        </w:tc>
        <w:tc>
          <w:tcPr>
            <w:tcW w:w="964" w:type="dxa"/>
            <w:tcBorders>
              <w:top w:val="nil"/>
              <w:left w:val="nil"/>
              <w:bottom w:val="single" w:sz="12" w:space="0" w:color="auto"/>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2F202F">
              <w:rPr>
                <w:rFonts w:ascii="Calibri" w:eastAsiaTheme="minorEastAsia" w:hAnsi="Calibri" w:cs="Calibri"/>
                <w:b/>
                <w:bCs/>
                <w:color w:val="000000"/>
                <w:sz w:val="20"/>
                <w:lang w:eastAsia="en-AU"/>
              </w:rPr>
              <w:t>15.8</w:t>
            </w:r>
          </w:p>
        </w:tc>
        <w:tc>
          <w:tcPr>
            <w:tcW w:w="964" w:type="dxa"/>
            <w:tcBorders>
              <w:top w:val="nil"/>
              <w:left w:val="nil"/>
              <w:bottom w:val="single" w:sz="12" w:space="0" w:color="auto"/>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2F202F">
              <w:rPr>
                <w:rFonts w:ascii="Calibri" w:eastAsiaTheme="minorEastAsia" w:hAnsi="Calibri" w:cs="Calibri"/>
                <w:b/>
                <w:bCs/>
                <w:color w:val="000000"/>
                <w:sz w:val="20"/>
                <w:lang w:eastAsia="en-AU"/>
              </w:rPr>
              <w:t>15.0</w:t>
            </w:r>
          </w:p>
        </w:tc>
      </w:tr>
    </w:tbl>
    <w:p w:rsidR="00965D85" w:rsidRPr="00AF5B40" w:rsidRDefault="00965D85" w:rsidP="008B46DF">
      <w:pPr>
        <w:pStyle w:val="Source"/>
      </w:pPr>
      <w:r>
        <w:fldChar w:fldCharType="end"/>
      </w:r>
      <w:r w:rsidRPr="00AF5B40">
        <w:t>Source: Department of Treasury and Finance</w:t>
      </w:r>
    </w:p>
    <w:p w:rsidR="00965D85" w:rsidRPr="00DE6CD2" w:rsidRDefault="00965D85" w:rsidP="008B46DF">
      <w:pPr>
        <w:pStyle w:val="Notes"/>
      </w:pPr>
      <w:r w:rsidRPr="0018744A">
        <w:t>Notes:</w:t>
      </w:r>
    </w:p>
    <w:p w:rsidR="00965D85" w:rsidRPr="0018744A" w:rsidRDefault="00965D85" w:rsidP="008B46DF">
      <w:pPr>
        <w:pStyle w:val="Notes"/>
      </w:pPr>
      <w:r>
        <w:t>(a)</w:t>
      </w:r>
      <w:r>
        <w:tab/>
      </w:r>
      <w:r w:rsidRPr="0018744A">
        <w:t>Net debt is the sum of deposits held, advances received and borrowings less the sum of cash, advances paid and investments, loans and placements.</w:t>
      </w:r>
    </w:p>
    <w:p w:rsidR="00965D85" w:rsidRPr="0018744A" w:rsidRDefault="00965D85" w:rsidP="008B46DF">
      <w:pPr>
        <w:pStyle w:val="Notes"/>
      </w:pPr>
      <w:r>
        <w:t>(b)</w:t>
      </w:r>
      <w:r>
        <w:tab/>
      </w:r>
      <w:r w:rsidRPr="0018744A">
        <w:t>Includes other benefits and provisions, payables and other liabilities less other non</w:t>
      </w:r>
      <w:r>
        <w:noBreakHyphen/>
      </w:r>
      <w:r w:rsidRPr="0018744A">
        <w:t>equity financial assets</w:t>
      </w:r>
      <w:r>
        <w:t>.</w:t>
      </w:r>
    </w:p>
    <w:p w:rsidR="00965D85" w:rsidRPr="0018744A" w:rsidRDefault="00965D85" w:rsidP="008B46DF">
      <w:pPr>
        <w:pStyle w:val="Notes"/>
      </w:pPr>
      <w:r>
        <w:t>(c)</w:t>
      </w:r>
      <w:r>
        <w:tab/>
      </w:r>
      <w:r w:rsidRPr="0018744A">
        <w:t>Net financial liabilities is the sum of superannuation, borrowings and other net liabilities less not</w:t>
      </w:r>
      <w:r>
        <w:noBreakHyphen/>
      </w:r>
      <w:r w:rsidRPr="0018744A">
        <w:t>equity financial assets.</w:t>
      </w:r>
    </w:p>
    <w:p w:rsidR="00965D85" w:rsidRDefault="00965D85" w:rsidP="008B46DF">
      <w:pPr>
        <w:pStyle w:val="Notes"/>
      </w:pPr>
      <w:r>
        <w:t>(d)</w:t>
      </w:r>
      <w:r>
        <w:tab/>
      </w:r>
      <w:r w:rsidRPr="0018744A">
        <w:t>Ratios to GSP may vary from publications year to year due to revisions made by ABS to its published GSP data.</w:t>
      </w:r>
    </w:p>
    <w:p w:rsidR="00965D85" w:rsidRPr="0018744A" w:rsidRDefault="00965D85" w:rsidP="008B46DF"/>
    <w:p w:rsidR="00965D85" w:rsidRPr="00A27500" w:rsidRDefault="00965D85" w:rsidP="008B46DF">
      <w:r w:rsidRPr="00A27500">
        <w:t>Table 3.9 provides projections of several indicators of financial sustainability for the NFP sector which are improving, particularly in 2017</w:t>
      </w:r>
      <w:r>
        <w:noBreakHyphen/>
      </w:r>
      <w:r w:rsidRPr="00A27500">
        <w:t>18</w:t>
      </w:r>
      <w:r>
        <w:t>,</w:t>
      </w:r>
      <w:r w:rsidRPr="00A27500">
        <w:t xml:space="preserve"> before stabilising in subsequent years.</w:t>
      </w:r>
    </w:p>
    <w:p w:rsidR="00965D85" w:rsidRPr="00A27500" w:rsidRDefault="00965D85" w:rsidP="008B46DF">
      <w:r w:rsidRPr="00A27500">
        <w:t>The ratio of operating cash flow to revenue is a measure of the relative size of the operating result and therefore provides a measure of operating performance. The growth in this ratio over the forward estimates indicates an increasing level of cash generated from operations</w:t>
      </w:r>
      <w:r>
        <w:t>,</w:t>
      </w:r>
      <w:r w:rsidRPr="00A27500">
        <w:t xml:space="preserve"> which can be</w:t>
      </w:r>
      <w:r w:rsidRPr="00A27500">
        <w:rPr>
          <w:b/>
          <w:caps/>
        </w:rPr>
        <w:t xml:space="preserve"> </w:t>
      </w:r>
      <w:r w:rsidRPr="00A27500">
        <w:t>used to fund necessary infrastructure and also meet the State</w:t>
      </w:r>
      <w:r>
        <w:t>’s commitment to fully fund</w:t>
      </w:r>
      <w:r w:rsidRPr="00A27500">
        <w:t xml:space="preserve"> t</w:t>
      </w:r>
      <w:r>
        <w:t xml:space="preserve">he superannuation liability by </w:t>
      </w:r>
      <w:r w:rsidRPr="00A27500">
        <w:t>2035.</w:t>
      </w:r>
    </w:p>
    <w:p w:rsidR="00965D85" w:rsidRDefault="00965D85">
      <w:pPr>
        <w:spacing w:after="0"/>
      </w:pPr>
      <w:r>
        <w:br w:type="page"/>
      </w:r>
    </w:p>
    <w:p w:rsidR="00965D85" w:rsidRPr="00A27500" w:rsidRDefault="00965D85" w:rsidP="008B46DF">
      <w:r>
        <w:lastRenderedPageBreak/>
        <w:t>The ratio of the NFP sector’</w:t>
      </w:r>
      <w:r w:rsidRPr="00A27500">
        <w:t>s interest expense to revenue is a measure of the State</w:t>
      </w:r>
      <w:r>
        <w:t>’</w:t>
      </w:r>
      <w:r w:rsidRPr="00A27500">
        <w:t>s debt service burden. This r</w:t>
      </w:r>
      <w:r>
        <w:t>atio is expected to be 4.6 per cent</w:t>
      </w:r>
      <w:r w:rsidRPr="00A27500">
        <w:t xml:space="preserve"> in 2015</w:t>
      </w:r>
      <w:r>
        <w:noBreakHyphen/>
        <w:t>16, before declining to 4.3 per cent by 2018</w:t>
      </w:r>
      <w:r>
        <w:noBreakHyphen/>
        <w:t>19</w:t>
      </w:r>
      <w:r w:rsidRPr="00A27500">
        <w:t xml:space="preserve"> as debt levels moderate. This is broadly in line with the ratio projected in the </w:t>
      </w:r>
      <w:r w:rsidRPr="00A27500">
        <w:rPr>
          <w:i/>
        </w:rPr>
        <w:t>2015</w:t>
      </w:r>
      <w:r>
        <w:rPr>
          <w:i/>
        </w:rPr>
        <w:noBreakHyphen/>
      </w:r>
      <w:r w:rsidRPr="00A27500">
        <w:rPr>
          <w:i/>
        </w:rPr>
        <w:t>16 Budget.</w:t>
      </w:r>
      <w:r w:rsidRPr="00A27500">
        <w:t xml:space="preserve"> The debt burden is demonstrated by the ratio of gross debt to revenue</w:t>
      </w:r>
      <w:r>
        <w:t>,</w:t>
      </w:r>
      <w:r w:rsidRPr="00A27500">
        <w:t xml:space="preserve"> which falls from a peak of </w:t>
      </w:r>
      <w:r>
        <w:t>73.3 per cent</w:t>
      </w:r>
      <w:r w:rsidRPr="00A27500">
        <w:t xml:space="preserve"> in 2016</w:t>
      </w:r>
      <w:r>
        <w:noBreakHyphen/>
      </w:r>
      <w:r w:rsidRPr="00A27500">
        <w:t xml:space="preserve">17 to </w:t>
      </w:r>
      <w:r>
        <w:t>72.1 per cent</w:t>
      </w:r>
      <w:r w:rsidRPr="00A27500">
        <w:t xml:space="preserve"> in 2018</w:t>
      </w:r>
      <w:r>
        <w:noBreakHyphen/>
      </w:r>
      <w:r w:rsidRPr="00A27500">
        <w:t>19.</w:t>
      </w:r>
    </w:p>
    <w:p w:rsidR="00965D85" w:rsidRDefault="00965D85" w:rsidP="008B46DF">
      <w:pPr>
        <w:pStyle w:val="Tableheading"/>
        <w:rPr>
          <w:rFonts w:ascii="Times New Roman" w:hAnsi="Times New Roman"/>
          <w:i/>
          <w:sz w:val="20"/>
          <w:lang w:eastAsia="en-AU"/>
        </w:rPr>
      </w:pPr>
      <w:r w:rsidRPr="0018744A">
        <w:t xml:space="preserve">Table 3.9 </w:t>
      </w:r>
      <w:r>
        <w:tab/>
      </w:r>
      <w:r w:rsidRPr="0018744A">
        <w:t>Indicators of financial sustainability non</w:t>
      </w:r>
      <w:r>
        <w:noBreakHyphen/>
      </w:r>
      <w:r w:rsidRPr="0018744A">
        <w:t>financial public sector</w:t>
      </w:r>
      <w:r>
        <w:fldChar w:fldCharType="begin" w:fldLock="1"/>
      </w:r>
      <w:r>
        <w:instrText xml:space="preserve"> LINK Excel.Sheet.12 "\\\\PDCPTPRDFIL01\\DTFDATA02$\\SECURED\\Budget\\BudgetUpdate\\Chapter3\\Chapter 3 NFPS WoG Tables.xlsx" Ind_Fin_SusNFPS!Ind_FS_NFPS \f 4 \r \* MERGEFORMAT </w:instrText>
      </w:r>
      <w:r>
        <w:fldChar w:fldCharType="separate"/>
      </w:r>
    </w:p>
    <w:tbl>
      <w:tblPr>
        <w:tblW w:w="7767" w:type="dxa"/>
        <w:tblInd w:w="28" w:type="dxa"/>
        <w:tblLayout w:type="fixed"/>
        <w:tblCellMar>
          <w:left w:w="28" w:type="dxa"/>
          <w:right w:w="28" w:type="dxa"/>
        </w:tblCellMar>
        <w:tblLook w:val="0000" w:firstRow="0" w:lastRow="0" w:firstColumn="0" w:lastColumn="0" w:noHBand="0" w:noVBand="0"/>
      </w:tblPr>
      <w:tblGrid>
        <w:gridCol w:w="3911"/>
        <w:gridCol w:w="964"/>
        <w:gridCol w:w="964"/>
        <w:gridCol w:w="964"/>
        <w:gridCol w:w="964"/>
      </w:tblGrid>
      <w:tr w:rsidR="00965D85" w:rsidRPr="002F202F" w:rsidTr="008B46DF">
        <w:tc>
          <w:tcPr>
            <w:tcW w:w="7767" w:type="dxa"/>
            <w:gridSpan w:val="5"/>
            <w:tcBorders>
              <w:top w:val="nil"/>
              <w:left w:val="nil"/>
              <w:bottom w:val="nil"/>
              <w:right w:val="nil"/>
            </w:tcBorders>
          </w:tcPr>
          <w:p w:rsidR="00965D85" w:rsidRPr="002F202F" w:rsidRDefault="00965D85" w:rsidP="008B46DF">
            <w:pPr>
              <w:pStyle w:val="million"/>
              <w:rPr>
                <w:rFonts w:eastAsiaTheme="minorEastAsia"/>
                <w:lang w:eastAsia="en-AU"/>
              </w:rPr>
            </w:pPr>
            <w:r w:rsidRPr="002F202F">
              <w:rPr>
                <w:rFonts w:eastAsiaTheme="minorEastAsia"/>
                <w:lang w:eastAsia="en-AU"/>
              </w:rPr>
              <w:t>(per cent)</w:t>
            </w:r>
          </w:p>
        </w:tc>
      </w:tr>
      <w:tr w:rsidR="00965D85" w:rsidRPr="002F202F" w:rsidTr="008B46DF">
        <w:trPr>
          <w:trHeight w:val="488"/>
        </w:trPr>
        <w:tc>
          <w:tcPr>
            <w:tcW w:w="3911" w:type="dxa"/>
            <w:tcBorders>
              <w:top w:val="nil"/>
              <w:left w:val="nil"/>
              <w:right w:val="nil"/>
            </w:tcBorders>
            <w:shd w:val="solid" w:color="000000" w:fill="FFFFFF"/>
          </w:tcPr>
          <w:p w:rsidR="00965D85" w:rsidRPr="002F202F" w:rsidRDefault="00965D85" w:rsidP="008B46DF">
            <w:pPr>
              <w:autoSpaceDE w:val="0"/>
              <w:autoSpaceDN w:val="0"/>
              <w:adjustRightInd w:val="0"/>
              <w:spacing w:after="0"/>
              <w:rPr>
                <w:rFonts w:ascii="Calibri" w:eastAsiaTheme="minorEastAsia" w:hAnsi="Calibri" w:cs="Calibri"/>
                <w:i/>
                <w:iCs/>
                <w:color w:val="FFFFFF"/>
                <w:sz w:val="20"/>
                <w:lang w:eastAsia="en-AU"/>
              </w:rPr>
            </w:pPr>
            <w:r w:rsidRPr="002F202F">
              <w:rPr>
                <w:rFonts w:ascii="Calibri" w:eastAsiaTheme="minorEastAsia" w:hAnsi="Calibri" w:cs="Calibri"/>
                <w:i/>
                <w:iCs/>
                <w:color w:val="FFFFFF"/>
                <w:sz w:val="20"/>
                <w:lang w:eastAsia="en-AU"/>
              </w:rPr>
              <w:t xml:space="preserve"> </w:t>
            </w:r>
          </w:p>
          <w:p w:rsidR="00965D85" w:rsidRPr="002F202F" w:rsidRDefault="00965D85" w:rsidP="008B46DF">
            <w:pPr>
              <w:autoSpaceDE w:val="0"/>
              <w:autoSpaceDN w:val="0"/>
              <w:adjustRightInd w:val="0"/>
              <w:spacing w:after="0"/>
              <w:rPr>
                <w:rFonts w:ascii="Calibri" w:eastAsiaTheme="minorEastAsia" w:hAnsi="Calibri" w:cs="Calibri"/>
                <w:i/>
                <w:iCs/>
                <w:color w:val="FFFFFF"/>
                <w:sz w:val="20"/>
                <w:lang w:eastAsia="en-AU"/>
              </w:rPr>
            </w:pPr>
            <w:r w:rsidRPr="002F202F">
              <w:rPr>
                <w:rFonts w:ascii="Calibri" w:eastAsiaTheme="minorEastAsia" w:hAnsi="Calibri" w:cs="Calibri"/>
                <w:i/>
                <w:iCs/>
                <w:color w:val="FFFFFF"/>
                <w:sz w:val="20"/>
                <w:lang w:eastAsia="en-AU"/>
              </w:rPr>
              <w:t xml:space="preserve"> </w:t>
            </w:r>
          </w:p>
        </w:tc>
        <w:tc>
          <w:tcPr>
            <w:tcW w:w="964" w:type="dxa"/>
            <w:tcBorders>
              <w:top w:val="nil"/>
              <w:left w:val="nil"/>
              <w:right w:val="nil"/>
            </w:tcBorders>
            <w:shd w:val="solid" w:color="000000" w:fill="FFFFFF"/>
          </w:tcPr>
          <w:p w:rsidR="00965D85" w:rsidRPr="002F202F"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2F202F">
              <w:rPr>
                <w:rFonts w:ascii="Calibri" w:eastAsiaTheme="minorEastAsia" w:hAnsi="Calibri" w:cs="Calibri"/>
                <w:i/>
                <w:iCs/>
                <w:color w:val="FFFFFF"/>
                <w:sz w:val="20"/>
                <w:lang w:eastAsia="en-AU"/>
              </w:rPr>
              <w:t>2015</w:t>
            </w:r>
            <w:r>
              <w:rPr>
                <w:rFonts w:ascii="Calibri" w:eastAsiaTheme="minorEastAsia" w:hAnsi="Calibri" w:cs="Calibri"/>
                <w:i/>
                <w:iCs/>
                <w:color w:val="FFFFFF"/>
                <w:sz w:val="20"/>
                <w:lang w:eastAsia="en-AU"/>
              </w:rPr>
              <w:noBreakHyphen/>
            </w:r>
            <w:r w:rsidRPr="002F202F">
              <w:rPr>
                <w:rFonts w:ascii="Calibri" w:eastAsiaTheme="minorEastAsia" w:hAnsi="Calibri" w:cs="Calibri"/>
                <w:i/>
                <w:iCs/>
                <w:color w:val="FFFFFF"/>
                <w:sz w:val="20"/>
                <w:lang w:eastAsia="en-AU"/>
              </w:rPr>
              <w:t xml:space="preserve">16 </w:t>
            </w:r>
          </w:p>
          <w:p w:rsidR="00965D85" w:rsidRPr="002F202F"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2F202F">
              <w:rPr>
                <w:rFonts w:ascii="Calibri" w:eastAsiaTheme="minorEastAsia" w:hAnsi="Calibri" w:cs="Calibri"/>
                <w:i/>
                <w:iCs/>
                <w:color w:val="FFFFFF"/>
                <w:sz w:val="20"/>
                <w:lang w:eastAsia="en-AU"/>
              </w:rPr>
              <w:t>revised</w:t>
            </w:r>
          </w:p>
        </w:tc>
        <w:tc>
          <w:tcPr>
            <w:tcW w:w="964" w:type="dxa"/>
            <w:tcBorders>
              <w:top w:val="nil"/>
              <w:left w:val="nil"/>
              <w:right w:val="nil"/>
            </w:tcBorders>
            <w:shd w:val="solid" w:color="000000" w:fill="FFFFFF"/>
          </w:tcPr>
          <w:p w:rsidR="00965D85" w:rsidRPr="002F202F"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2F202F">
              <w:rPr>
                <w:rFonts w:ascii="Calibri" w:eastAsiaTheme="minorEastAsia" w:hAnsi="Calibri" w:cs="Calibri"/>
                <w:i/>
                <w:iCs/>
                <w:color w:val="FFFFFF"/>
                <w:sz w:val="20"/>
                <w:lang w:eastAsia="en-AU"/>
              </w:rPr>
              <w:t>2016</w:t>
            </w:r>
            <w:r>
              <w:rPr>
                <w:rFonts w:ascii="Calibri" w:eastAsiaTheme="minorEastAsia" w:hAnsi="Calibri" w:cs="Calibri"/>
                <w:i/>
                <w:iCs/>
                <w:color w:val="FFFFFF"/>
                <w:sz w:val="20"/>
                <w:lang w:eastAsia="en-AU"/>
              </w:rPr>
              <w:noBreakHyphen/>
            </w:r>
            <w:r w:rsidRPr="002F202F">
              <w:rPr>
                <w:rFonts w:ascii="Calibri" w:eastAsiaTheme="minorEastAsia" w:hAnsi="Calibri" w:cs="Calibri"/>
                <w:i/>
                <w:iCs/>
                <w:color w:val="FFFFFF"/>
                <w:sz w:val="20"/>
                <w:lang w:eastAsia="en-AU"/>
              </w:rPr>
              <w:t xml:space="preserve">17 </w:t>
            </w:r>
          </w:p>
          <w:p w:rsidR="00965D85" w:rsidRPr="002F202F"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2F202F">
              <w:rPr>
                <w:rFonts w:ascii="Calibri" w:eastAsiaTheme="minorEastAsia" w:hAnsi="Calibri" w:cs="Calibri"/>
                <w:i/>
                <w:iCs/>
                <w:color w:val="FFFFFF"/>
                <w:sz w:val="20"/>
                <w:lang w:eastAsia="en-AU"/>
              </w:rPr>
              <w:t>estimate</w:t>
            </w:r>
          </w:p>
        </w:tc>
        <w:tc>
          <w:tcPr>
            <w:tcW w:w="964" w:type="dxa"/>
            <w:tcBorders>
              <w:top w:val="nil"/>
              <w:left w:val="nil"/>
              <w:right w:val="nil"/>
            </w:tcBorders>
            <w:shd w:val="solid" w:color="000000" w:fill="FFFFFF"/>
          </w:tcPr>
          <w:p w:rsidR="00965D85" w:rsidRPr="002F202F"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2F202F">
              <w:rPr>
                <w:rFonts w:ascii="Calibri" w:eastAsiaTheme="minorEastAsia" w:hAnsi="Calibri" w:cs="Calibri"/>
                <w:i/>
                <w:iCs/>
                <w:color w:val="FFFFFF"/>
                <w:sz w:val="20"/>
                <w:lang w:eastAsia="en-AU"/>
              </w:rPr>
              <w:t>2017</w:t>
            </w:r>
            <w:r>
              <w:rPr>
                <w:rFonts w:ascii="Calibri" w:eastAsiaTheme="minorEastAsia" w:hAnsi="Calibri" w:cs="Calibri"/>
                <w:i/>
                <w:iCs/>
                <w:color w:val="FFFFFF"/>
                <w:sz w:val="20"/>
                <w:lang w:eastAsia="en-AU"/>
              </w:rPr>
              <w:noBreakHyphen/>
            </w:r>
            <w:r w:rsidRPr="002F202F">
              <w:rPr>
                <w:rFonts w:ascii="Calibri" w:eastAsiaTheme="minorEastAsia" w:hAnsi="Calibri" w:cs="Calibri"/>
                <w:i/>
                <w:iCs/>
                <w:color w:val="FFFFFF"/>
                <w:sz w:val="20"/>
                <w:lang w:eastAsia="en-AU"/>
              </w:rPr>
              <w:t xml:space="preserve">18 </w:t>
            </w:r>
          </w:p>
          <w:p w:rsidR="00965D85" w:rsidRPr="002F202F"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2F202F">
              <w:rPr>
                <w:rFonts w:ascii="Calibri" w:eastAsiaTheme="minorEastAsia" w:hAnsi="Calibri" w:cs="Calibri"/>
                <w:i/>
                <w:iCs/>
                <w:color w:val="FFFFFF"/>
                <w:sz w:val="20"/>
                <w:lang w:eastAsia="en-AU"/>
              </w:rPr>
              <w:t>estimate</w:t>
            </w:r>
          </w:p>
        </w:tc>
        <w:tc>
          <w:tcPr>
            <w:tcW w:w="964" w:type="dxa"/>
            <w:tcBorders>
              <w:top w:val="nil"/>
              <w:left w:val="nil"/>
              <w:right w:val="nil"/>
            </w:tcBorders>
            <w:shd w:val="solid" w:color="000000" w:fill="FFFFFF"/>
          </w:tcPr>
          <w:p w:rsidR="00965D85" w:rsidRPr="002F202F"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2F202F">
              <w:rPr>
                <w:rFonts w:ascii="Calibri" w:eastAsiaTheme="minorEastAsia" w:hAnsi="Calibri" w:cs="Calibri"/>
                <w:i/>
                <w:iCs/>
                <w:color w:val="FFFFFF"/>
                <w:sz w:val="20"/>
                <w:lang w:eastAsia="en-AU"/>
              </w:rPr>
              <w:t>2018</w:t>
            </w:r>
            <w:r>
              <w:rPr>
                <w:rFonts w:ascii="Calibri" w:eastAsiaTheme="minorEastAsia" w:hAnsi="Calibri" w:cs="Calibri"/>
                <w:i/>
                <w:iCs/>
                <w:color w:val="FFFFFF"/>
                <w:sz w:val="20"/>
                <w:lang w:eastAsia="en-AU"/>
              </w:rPr>
              <w:noBreakHyphen/>
            </w:r>
            <w:r w:rsidRPr="002F202F">
              <w:rPr>
                <w:rFonts w:ascii="Calibri" w:eastAsiaTheme="minorEastAsia" w:hAnsi="Calibri" w:cs="Calibri"/>
                <w:i/>
                <w:iCs/>
                <w:color w:val="FFFFFF"/>
                <w:sz w:val="20"/>
                <w:lang w:eastAsia="en-AU"/>
              </w:rPr>
              <w:t xml:space="preserve">19 </w:t>
            </w:r>
          </w:p>
          <w:p w:rsidR="00965D85" w:rsidRPr="002F202F"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2F202F">
              <w:rPr>
                <w:rFonts w:ascii="Calibri" w:eastAsiaTheme="minorEastAsia" w:hAnsi="Calibri" w:cs="Calibri"/>
                <w:i/>
                <w:iCs/>
                <w:color w:val="FFFFFF"/>
                <w:sz w:val="20"/>
                <w:lang w:eastAsia="en-AU"/>
              </w:rPr>
              <w:t>estimate</w:t>
            </w:r>
          </w:p>
        </w:tc>
      </w:tr>
      <w:tr w:rsidR="00965D85" w:rsidRPr="002F202F" w:rsidTr="008B46DF">
        <w:tc>
          <w:tcPr>
            <w:tcW w:w="3911" w:type="dxa"/>
            <w:tcBorders>
              <w:top w:val="nil"/>
              <w:left w:val="nil"/>
              <w:right w:val="nil"/>
            </w:tcBorders>
            <w:shd w:val="clear" w:color="auto" w:fill="FFFFFF"/>
          </w:tcPr>
          <w:p w:rsidR="00965D85" w:rsidRPr="002F202F"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Operating cash flow surplus to revenue</w:t>
            </w:r>
          </w:p>
        </w:tc>
        <w:tc>
          <w:tcPr>
            <w:tcW w:w="964" w:type="dxa"/>
            <w:tcBorders>
              <w:top w:val="nil"/>
              <w:left w:val="nil"/>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8.5</w:t>
            </w:r>
          </w:p>
        </w:tc>
        <w:tc>
          <w:tcPr>
            <w:tcW w:w="964" w:type="dxa"/>
            <w:tcBorders>
              <w:top w:val="nil"/>
              <w:left w:val="nil"/>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8.8</w:t>
            </w:r>
          </w:p>
        </w:tc>
        <w:tc>
          <w:tcPr>
            <w:tcW w:w="964" w:type="dxa"/>
            <w:tcBorders>
              <w:top w:val="nil"/>
              <w:left w:val="nil"/>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9.4</w:t>
            </w:r>
          </w:p>
        </w:tc>
        <w:tc>
          <w:tcPr>
            <w:tcW w:w="964" w:type="dxa"/>
            <w:tcBorders>
              <w:top w:val="nil"/>
              <w:left w:val="nil"/>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9.2</w:t>
            </w:r>
          </w:p>
        </w:tc>
      </w:tr>
      <w:tr w:rsidR="00965D85" w:rsidRPr="002F202F" w:rsidTr="008B46DF">
        <w:tc>
          <w:tcPr>
            <w:tcW w:w="3911" w:type="dxa"/>
            <w:tcBorders>
              <w:top w:val="nil"/>
              <w:left w:val="nil"/>
              <w:right w:val="nil"/>
            </w:tcBorders>
            <w:shd w:val="clear" w:color="auto" w:fill="FFFFFF"/>
          </w:tcPr>
          <w:p w:rsidR="00965D85" w:rsidRPr="002F202F" w:rsidRDefault="00965D85" w:rsidP="008B46DF">
            <w:pPr>
              <w:autoSpaceDE w:val="0"/>
              <w:autoSpaceDN w:val="0"/>
              <w:adjustRightInd w:val="0"/>
              <w:spacing w:after="0"/>
              <w:ind w:left="227" w:hanging="227"/>
              <w:rPr>
                <w:rFonts w:ascii="Calibri" w:eastAsiaTheme="minorEastAsia" w:hAnsi="Calibri" w:cs="Calibri"/>
                <w:color w:val="000000"/>
                <w:sz w:val="20"/>
                <w:vertAlign w:val="superscript"/>
                <w:lang w:eastAsia="en-AU"/>
              </w:rPr>
            </w:pPr>
            <w:r w:rsidRPr="002F202F">
              <w:rPr>
                <w:rFonts w:ascii="Calibri" w:eastAsiaTheme="minorEastAsia" w:hAnsi="Calibri" w:cs="Calibri"/>
                <w:color w:val="000000"/>
                <w:sz w:val="20"/>
                <w:lang w:eastAsia="en-AU"/>
              </w:rPr>
              <w:t xml:space="preserve">Gross debt to revenue </w:t>
            </w:r>
            <w:r w:rsidRPr="002F202F">
              <w:rPr>
                <w:rFonts w:ascii="Calibri" w:eastAsiaTheme="minorEastAsia" w:hAnsi="Calibri" w:cs="Calibri"/>
                <w:color w:val="000000"/>
                <w:sz w:val="20"/>
                <w:vertAlign w:val="superscript"/>
                <w:lang w:eastAsia="en-AU"/>
              </w:rPr>
              <w:t>(a)</w:t>
            </w:r>
          </w:p>
        </w:tc>
        <w:tc>
          <w:tcPr>
            <w:tcW w:w="964" w:type="dxa"/>
            <w:tcBorders>
              <w:top w:val="nil"/>
              <w:left w:val="nil"/>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70.3</w:t>
            </w:r>
          </w:p>
        </w:tc>
        <w:tc>
          <w:tcPr>
            <w:tcW w:w="964" w:type="dxa"/>
            <w:tcBorders>
              <w:top w:val="nil"/>
              <w:left w:val="nil"/>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73.3</w:t>
            </w:r>
          </w:p>
        </w:tc>
        <w:tc>
          <w:tcPr>
            <w:tcW w:w="964" w:type="dxa"/>
            <w:tcBorders>
              <w:top w:val="nil"/>
              <w:left w:val="nil"/>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71.5</w:t>
            </w:r>
          </w:p>
        </w:tc>
        <w:tc>
          <w:tcPr>
            <w:tcW w:w="964" w:type="dxa"/>
            <w:tcBorders>
              <w:top w:val="nil"/>
              <w:left w:val="nil"/>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72.1</w:t>
            </w:r>
          </w:p>
        </w:tc>
      </w:tr>
      <w:tr w:rsidR="00965D85" w:rsidRPr="002F202F" w:rsidTr="008B46DF">
        <w:tc>
          <w:tcPr>
            <w:tcW w:w="3911" w:type="dxa"/>
            <w:tcBorders>
              <w:top w:val="nil"/>
              <w:left w:val="nil"/>
              <w:bottom w:val="single" w:sz="6" w:space="0" w:color="auto"/>
              <w:right w:val="nil"/>
            </w:tcBorders>
            <w:shd w:val="clear" w:color="auto" w:fill="FFFFFF"/>
          </w:tcPr>
          <w:p w:rsidR="00965D85" w:rsidRPr="002F202F"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Interest expense to revenue</w:t>
            </w:r>
          </w:p>
        </w:tc>
        <w:tc>
          <w:tcPr>
            <w:tcW w:w="964" w:type="dxa"/>
            <w:tcBorders>
              <w:top w:val="nil"/>
              <w:left w:val="nil"/>
              <w:bottom w:val="single" w:sz="6" w:space="0" w:color="auto"/>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4.6</w:t>
            </w:r>
          </w:p>
        </w:tc>
        <w:tc>
          <w:tcPr>
            <w:tcW w:w="964" w:type="dxa"/>
            <w:tcBorders>
              <w:top w:val="nil"/>
              <w:left w:val="nil"/>
              <w:bottom w:val="single" w:sz="6" w:space="0" w:color="auto"/>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4.5</w:t>
            </w:r>
          </w:p>
        </w:tc>
        <w:tc>
          <w:tcPr>
            <w:tcW w:w="964" w:type="dxa"/>
            <w:tcBorders>
              <w:top w:val="nil"/>
              <w:left w:val="nil"/>
              <w:bottom w:val="single" w:sz="6" w:space="0" w:color="auto"/>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4.4</w:t>
            </w:r>
          </w:p>
        </w:tc>
        <w:tc>
          <w:tcPr>
            <w:tcW w:w="964" w:type="dxa"/>
            <w:tcBorders>
              <w:top w:val="nil"/>
              <w:left w:val="nil"/>
              <w:bottom w:val="single" w:sz="6" w:space="0" w:color="auto"/>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4.3</w:t>
            </w:r>
          </w:p>
        </w:tc>
      </w:tr>
    </w:tbl>
    <w:p w:rsidR="00965D85" w:rsidRPr="0018744A" w:rsidRDefault="00965D85" w:rsidP="008B46DF">
      <w:pPr>
        <w:pStyle w:val="Source"/>
      </w:pPr>
      <w:r>
        <w:fldChar w:fldCharType="end"/>
      </w:r>
      <w:r w:rsidRPr="0018744A">
        <w:t>Source: Department of Treasury and Finance</w:t>
      </w:r>
    </w:p>
    <w:p w:rsidR="00965D85" w:rsidRPr="0018744A" w:rsidRDefault="00965D85" w:rsidP="008B46DF">
      <w:pPr>
        <w:pStyle w:val="Notes"/>
      </w:pPr>
      <w:r w:rsidRPr="0018744A">
        <w:t>Note:</w:t>
      </w:r>
    </w:p>
    <w:p w:rsidR="00965D85" w:rsidRPr="0018744A" w:rsidRDefault="00965D85" w:rsidP="008B46DF">
      <w:pPr>
        <w:pStyle w:val="Notes"/>
      </w:pPr>
      <w:r>
        <w:t>(a)</w:t>
      </w:r>
      <w:r>
        <w:tab/>
        <w:t>Gross debt</w:t>
      </w:r>
      <w:r w:rsidRPr="0018744A">
        <w:t xml:space="preserve"> </w:t>
      </w:r>
      <w:r>
        <w:t>includes borrowings and deposits held and advances received</w:t>
      </w:r>
      <w:r w:rsidRPr="0018744A">
        <w:t>.</w:t>
      </w:r>
    </w:p>
    <w:p w:rsidR="00965D85" w:rsidRDefault="00965D85">
      <w:pPr>
        <w:spacing w:after="0"/>
        <w:rPr>
          <w:rFonts w:ascii="Calibri" w:hAnsi="Calibri"/>
          <w:b/>
          <w:caps/>
          <w:sz w:val="26"/>
          <w:szCs w:val="22"/>
        </w:rPr>
      </w:pPr>
      <w:r>
        <w:br w:type="page"/>
      </w:r>
    </w:p>
    <w:p w:rsidR="00965D85" w:rsidRPr="00427D0E" w:rsidRDefault="00965D85" w:rsidP="008B46DF">
      <w:pPr>
        <w:pStyle w:val="Heading1"/>
      </w:pPr>
      <w:bookmarkStart w:id="42" w:name="_Toc436147539"/>
      <w:r w:rsidRPr="00427D0E">
        <w:lastRenderedPageBreak/>
        <w:t>State of Victoria</w:t>
      </w:r>
      <w:bookmarkEnd w:id="42"/>
    </w:p>
    <w:p w:rsidR="00965D85" w:rsidRPr="00F17ACF" w:rsidRDefault="00965D85" w:rsidP="008B46DF">
      <w:r w:rsidRPr="00F17ACF">
        <w:t>The State of Victoria financial results are obtained by consolidating the PFC sector with the NFP sector. There are two broad types of PFC</w:t>
      </w:r>
      <w:r>
        <w:t>s: t</w:t>
      </w:r>
      <w:r w:rsidRPr="00F17ACF">
        <w:t>hose that provide services to the general public and businesses</w:t>
      </w:r>
      <w:r>
        <w:t xml:space="preserve"> </w:t>
      </w:r>
      <w:r w:rsidRPr="00F17ACF">
        <w:t>(statutory insurers such as the TAC and WorkSafe</w:t>
      </w:r>
      <w:r>
        <w:t xml:space="preserve"> Victoria)</w:t>
      </w:r>
      <w:r w:rsidRPr="00F17ACF">
        <w:t>, and those that provide f</w:t>
      </w:r>
      <w:r>
        <w:t>inancial services</w:t>
      </w:r>
      <w:r w:rsidRPr="00F17ACF">
        <w:t xml:space="preserve"> predominantly to other government entities (such as the Victorian Funds Management Corporation and Treasury Corporation of Victoria</w:t>
      </w:r>
      <w:r>
        <w:t>)</w:t>
      </w:r>
      <w:r w:rsidRPr="00F17ACF">
        <w:t>.</w:t>
      </w:r>
    </w:p>
    <w:p w:rsidR="00965D85" w:rsidRPr="002F202F" w:rsidRDefault="00965D85" w:rsidP="008B46DF">
      <w:pPr>
        <w:pStyle w:val="Tableheading"/>
        <w:rPr>
          <w:rFonts w:ascii="Times New Roman" w:hAnsi="Times New Roman"/>
          <w:b w:val="0"/>
          <w:sz w:val="20"/>
          <w:lang w:eastAsia="en-AU"/>
        </w:rPr>
      </w:pPr>
      <w:r w:rsidRPr="00F17ACF">
        <w:t xml:space="preserve">Table 3.10 </w:t>
      </w:r>
      <w:r>
        <w:tab/>
      </w:r>
      <w:r w:rsidRPr="00F17ACF">
        <w:t xml:space="preserve">Summary operating statement for the State of Victoria </w:t>
      </w:r>
      <w:r w:rsidRPr="00F17ACF">
        <w:rPr>
          <w:vertAlign w:val="superscript"/>
        </w:rPr>
        <w:t>(a</w:t>
      </w:r>
      <w:r>
        <w:rPr>
          <w:vertAlign w:val="superscript"/>
        </w:rPr>
        <w:t>)</w:t>
      </w:r>
      <w:r w:rsidRPr="0018744A">
        <w:t xml:space="preserve"> </w:t>
      </w:r>
      <w:r>
        <w:fldChar w:fldCharType="begin" w:fldLock="1"/>
      </w:r>
      <w:r>
        <w:instrText xml:space="preserve"> LINK Excel.Sheet.12 "\\\\PDCPTPRDFIL01\\DTFDATA02$\\SECURED\\Budget\\BudgetUpdate\\Chapter3\\Chapter 3 NFPS WoG Tables.xlsx" WoG_OpSt!Op_St_WoG \f 4 \r \* MERGEFORMAT </w:instrText>
      </w:r>
      <w:r>
        <w:fldChar w:fldCharType="separate"/>
      </w:r>
    </w:p>
    <w:tbl>
      <w:tblPr>
        <w:tblW w:w="7767" w:type="dxa"/>
        <w:tblInd w:w="28" w:type="dxa"/>
        <w:tblLayout w:type="fixed"/>
        <w:tblCellMar>
          <w:left w:w="28" w:type="dxa"/>
          <w:right w:w="28" w:type="dxa"/>
        </w:tblCellMar>
        <w:tblLook w:val="0000" w:firstRow="0" w:lastRow="0" w:firstColumn="0" w:lastColumn="0" w:noHBand="0" w:noVBand="0"/>
      </w:tblPr>
      <w:tblGrid>
        <w:gridCol w:w="4368"/>
        <w:gridCol w:w="849"/>
        <w:gridCol w:w="850"/>
        <w:gridCol w:w="850"/>
        <w:gridCol w:w="850"/>
      </w:tblGrid>
      <w:tr w:rsidR="00965D85" w:rsidRPr="002F202F" w:rsidTr="008B46DF">
        <w:tc>
          <w:tcPr>
            <w:tcW w:w="7767" w:type="dxa"/>
            <w:gridSpan w:val="5"/>
            <w:tcBorders>
              <w:top w:val="nil"/>
              <w:left w:val="nil"/>
              <w:bottom w:val="nil"/>
              <w:right w:val="nil"/>
            </w:tcBorders>
          </w:tcPr>
          <w:p w:rsidR="00965D85" w:rsidRPr="002F202F" w:rsidRDefault="00965D85" w:rsidP="008B46DF">
            <w:pPr>
              <w:pStyle w:val="million"/>
              <w:rPr>
                <w:rFonts w:eastAsiaTheme="minorEastAsia" w:cs="Calibri"/>
                <w:iCs/>
                <w:color w:val="000000"/>
                <w:sz w:val="20"/>
                <w:lang w:eastAsia="en-AU"/>
              </w:rPr>
            </w:pPr>
            <w:r w:rsidRPr="002F202F">
              <w:rPr>
                <w:rFonts w:eastAsiaTheme="minorEastAsia"/>
                <w:lang w:eastAsia="en-AU"/>
              </w:rPr>
              <w:t>($ million</w:t>
            </w:r>
            <w:r w:rsidRPr="002F202F">
              <w:rPr>
                <w:rFonts w:eastAsiaTheme="minorEastAsia" w:cs="Calibri"/>
                <w:iCs/>
                <w:color w:val="000000"/>
                <w:sz w:val="20"/>
                <w:lang w:eastAsia="en-AU"/>
              </w:rPr>
              <w:t>)</w:t>
            </w:r>
          </w:p>
        </w:tc>
      </w:tr>
      <w:tr w:rsidR="00965D85" w:rsidRPr="002F202F" w:rsidTr="008B46DF">
        <w:trPr>
          <w:trHeight w:val="488"/>
        </w:trPr>
        <w:tc>
          <w:tcPr>
            <w:tcW w:w="4368" w:type="dxa"/>
            <w:tcBorders>
              <w:top w:val="nil"/>
              <w:left w:val="nil"/>
              <w:right w:val="nil"/>
            </w:tcBorders>
            <w:shd w:val="solid" w:color="000000" w:fill="FFFFFF"/>
          </w:tcPr>
          <w:p w:rsidR="00965D85" w:rsidRPr="002F202F" w:rsidRDefault="00965D85" w:rsidP="008B46DF">
            <w:pPr>
              <w:autoSpaceDE w:val="0"/>
              <w:autoSpaceDN w:val="0"/>
              <w:adjustRightInd w:val="0"/>
              <w:spacing w:after="0"/>
              <w:rPr>
                <w:rFonts w:ascii="Calibri" w:eastAsiaTheme="minorEastAsia" w:hAnsi="Calibri" w:cs="Calibri"/>
                <w:i/>
                <w:iCs/>
                <w:color w:val="FFFFFF"/>
                <w:sz w:val="20"/>
                <w:lang w:eastAsia="en-AU"/>
              </w:rPr>
            </w:pPr>
            <w:r w:rsidRPr="002F202F">
              <w:rPr>
                <w:rFonts w:ascii="Calibri" w:eastAsiaTheme="minorEastAsia" w:hAnsi="Calibri" w:cs="Calibri"/>
                <w:i/>
                <w:iCs/>
                <w:color w:val="FFFFFF"/>
                <w:sz w:val="20"/>
                <w:lang w:eastAsia="en-AU"/>
              </w:rPr>
              <w:t xml:space="preserve"> </w:t>
            </w:r>
          </w:p>
          <w:p w:rsidR="00965D85" w:rsidRPr="002F202F" w:rsidRDefault="00965D85" w:rsidP="008B46DF">
            <w:pPr>
              <w:autoSpaceDE w:val="0"/>
              <w:autoSpaceDN w:val="0"/>
              <w:adjustRightInd w:val="0"/>
              <w:spacing w:after="0"/>
              <w:rPr>
                <w:rFonts w:ascii="Calibri" w:eastAsiaTheme="minorEastAsia" w:hAnsi="Calibri" w:cs="Calibri"/>
                <w:i/>
                <w:iCs/>
                <w:color w:val="FFFFFF"/>
                <w:sz w:val="20"/>
                <w:lang w:eastAsia="en-AU"/>
              </w:rPr>
            </w:pPr>
            <w:r w:rsidRPr="002F202F">
              <w:rPr>
                <w:rFonts w:ascii="Calibri" w:eastAsiaTheme="minorEastAsia" w:hAnsi="Calibri" w:cs="Calibri"/>
                <w:i/>
                <w:iCs/>
                <w:color w:val="FFFFFF"/>
                <w:sz w:val="20"/>
                <w:lang w:eastAsia="en-AU"/>
              </w:rPr>
              <w:t xml:space="preserve"> </w:t>
            </w:r>
          </w:p>
        </w:tc>
        <w:tc>
          <w:tcPr>
            <w:tcW w:w="849" w:type="dxa"/>
            <w:tcBorders>
              <w:top w:val="nil"/>
              <w:left w:val="nil"/>
              <w:right w:val="nil"/>
            </w:tcBorders>
            <w:shd w:val="solid" w:color="000000" w:fill="FFFFFF"/>
          </w:tcPr>
          <w:p w:rsidR="00965D85" w:rsidRPr="002F202F"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2F202F">
              <w:rPr>
                <w:rFonts w:ascii="Calibri" w:eastAsiaTheme="minorEastAsia" w:hAnsi="Calibri" w:cs="Calibri"/>
                <w:i/>
                <w:iCs/>
                <w:color w:val="FFFFFF"/>
                <w:sz w:val="20"/>
                <w:lang w:eastAsia="en-AU"/>
              </w:rPr>
              <w:t>2015</w:t>
            </w:r>
            <w:r>
              <w:rPr>
                <w:rFonts w:ascii="Calibri" w:eastAsiaTheme="minorEastAsia" w:hAnsi="Calibri" w:cs="Calibri"/>
                <w:i/>
                <w:iCs/>
                <w:color w:val="FFFFFF"/>
                <w:sz w:val="20"/>
                <w:lang w:eastAsia="en-AU"/>
              </w:rPr>
              <w:noBreakHyphen/>
            </w:r>
            <w:r w:rsidRPr="002F202F">
              <w:rPr>
                <w:rFonts w:ascii="Calibri" w:eastAsiaTheme="minorEastAsia" w:hAnsi="Calibri" w:cs="Calibri"/>
                <w:i/>
                <w:iCs/>
                <w:color w:val="FFFFFF"/>
                <w:sz w:val="20"/>
                <w:lang w:eastAsia="en-AU"/>
              </w:rPr>
              <w:t xml:space="preserve">16 </w:t>
            </w:r>
          </w:p>
          <w:p w:rsidR="00965D85" w:rsidRPr="002F202F"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2F202F">
              <w:rPr>
                <w:rFonts w:ascii="Calibri" w:eastAsiaTheme="minorEastAsia" w:hAnsi="Calibri" w:cs="Calibri"/>
                <w:i/>
                <w:iCs/>
                <w:color w:val="FFFFFF"/>
                <w:sz w:val="20"/>
                <w:lang w:eastAsia="en-AU"/>
              </w:rPr>
              <w:t>revised</w:t>
            </w:r>
          </w:p>
        </w:tc>
        <w:tc>
          <w:tcPr>
            <w:tcW w:w="850" w:type="dxa"/>
            <w:tcBorders>
              <w:top w:val="nil"/>
              <w:left w:val="nil"/>
              <w:right w:val="nil"/>
            </w:tcBorders>
            <w:shd w:val="solid" w:color="000000" w:fill="FFFFFF"/>
          </w:tcPr>
          <w:p w:rsidR="00965D85" w:rsidRPr="002F202F"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2F202F">
              <w:rPr>
                <w:rFonts w:ascii="Calibri" w:eastAsiaTheme="minorEastAsia" w:hAnsi="Calibri" w:cs="Calibri"/>
                <w:i/>
                <w:iCs/>
                <w:color w:val="FFFFFF"/>
                <w:sz w:val="20"/>
                <w:lang w:eastAsia="en-AU"/>
              </w:rPr>
              <w:t>2016</w:t>
            </w:r>
            <w:r>
              <w:rPr>
                <w:rFonts w:ascii="Calibri" w:eastAsiaTheme="minorEastAsia" w:hAnsi="Calibri" w:cs="Calibri"/>
                <w:i/>
                <w:iCs/>
                <w:color w:val="FFFFFF"/>
                <w:sz w:val="20"/>
                <w:lang w:eastAsia="en-AU"/>
              </w:rPr>
              <w:noBreakHyphen/>
            </w:r>
            <w:r w:rsidRPr="002F202F">
              <w:rPr>
                <w:rFonts w:ascii="Calibri" w:eastAsiaTheme="minorEastAsia" w:hAnsi="Calibri" w:cs="Calibri"/>
                <w:i/>
                <w:iCs/>
                <w:color w:val="FFFFFF"/>
                <w:sz w:val="20"/>
                <w:lang w:eastAsia="en-AU"/>
              </w:rPr>
              <w:t xml:space="preserve">17 </w:t>
            </w:r>
          </w:p>
          <w:p w:rsidR="00965D85" w:rsidRPr="002F202F"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2F202F">
              <w:rPr>
                <w:rFonts w:ascii="Calibri" w:eastAsiaTheme="minorEastAsia" w:hAnsi="Calibri" w:cs="Calibri"/>
                <w:i/>
                <w:iCs/>
                <w:color w:val="FFFFFF"/>
                <w:sz w:val="20"/>
                <w:lang w:eastAsia="en-AU"/>
              </w:rPr>
              <w:t>estimate</w:t>
            </w:r>
          </w:p>
        </w:tc>
        <w:tc>
          <w:tcPr>
            <w:tcW w:w="850" w:type="dxa"/>
            <w:tcBorders>
              <w:top w:val="nil"/>
              <w:left w:val="nil"/>
              <w:right w:val="nil"/>
            </w:tcBorders>
            <w:shd w:val="solid" w:color="000000" w:fill="FFFFFF"/>
          </w:tcPr>
          <w:p w:rsidR="00965D85" w:rsidRPr="002F202F"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2F202F">
              <w:rPr>
                <w:rFonts w:ascii="Calibri" w:eastAsiaTheme="minorEastAsia" w:hAnsi="Calibri" w:cs="Calibri"/>
                <w:i/>
                <w:iCs/>
                <w:color w:val="FFFFFF"/>
                <w:sz w:val="20"/>
                <w:lang w:eastAsia="en-AU"/>
              </w:rPr>
              <w:t>2017</w:t>
            </w:r>
            <w:r>
              <w:rPr>
                <w:rFonts w:ascii="Calibri" w:eastAsiaTheme="minorEastAsia" w:hAnsi="Calibri" w:cs="Calibri"/>
                <w:i/>
                <w:iCs/>
                <w:color w:val="FFFFFF"/>
                <w:sz w:val="20"/>
                <w:lang w:eastAsia="en-AU"/>
              </w:rPr>
              <w:noBreakHyphen/>
            </w:r>
            <w:r w:rsidRPr="002F202F">
              <w:rPr>
                <w:rFonts w:ascii="Calibri" w:eastAsiaTheme="minorEastAsia" w:hAnsi="Calibri" w:cs="Calibri"/>
                <w:i/>
                <w:iCs/>
                <w:color w:val="FFFFFF"/>
                <w:sz w:val="20"/>
                <w:lang w:eastAsia="en-AU"/>
              </w:rPr>
              <w:t xml:space="preserve">18 </w:t>
            </w:r>
          </w:p>
          <w:p w:rsidR="00965D85" w:rsidRPr="002F202F"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2F202F">
              <w:rPr>
                <w:rFonts w:ascii="Calibri" w:eastAsiaTheme="minorEastAsia" w:hAnsi="Calibri" w:cs="Calibri"/>
                <w:i/>
                <w:iCs/>
                <w:color w:val="FFFFFF"/>
                <w:sz w:val="20"/>
                <w:lang w:eastAsia="en-AU"/>
              </w:rPr>
              <w:t>estimate</w:t>
            </w:r>
          </w:p>
        </w:tc>
        <w:tc>
          <w:tcPr>
            <w:tcW w:w="850" w:type="dxa"/>
            <w:tcBorders>
              <w:top w:val="nil"/>
              <w:left w:val="nil"/>
              <w:right w:val="nil"/>
            </w:tcBorders>
            <w:shd w:val="solid" w:color="000000" w:fill="FFFFFF"/>
          </w:tcPr>
          <w:p w:rsidR="00965D85" w:rsidRPr="002F202F"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2F202F">
              <w:rPr>
                <w:rFonts w:ascii="Calibri" w:eastAsiaTheme="minorEastAsia" w:hAnsi="Calibri" w:cs="Calibri"/>
                <w:i/>
                <w:iCs/>
                <w:color w:val="FFFFFF"/>
                <w:sz w:val="20"/>
                <w:lang w:eastAsia="en-AU"/>
              </w:rPr>
              <w:t>2018</w:t>
            </w:r>
            <w:r>
              <w:rPr>
                <w:rFonts w:ascii="Calibri" w:eastAsiaTheme="minorEastAsia" w:hAnsi="Calibri" w:cs="Calibri"/>
                <w:i/>
                <w:iCs/>
                <w:color w:val="FFFFFF"/>
                <w:sz w:val="20"/>
                <w:lang w:eastAsia="en-AU"/>
              </w:rPr>
              <w:noBreakHyphen/>
            </w:r>
            <w:r w:rsidRPr="002F202F">
              <w:rPr>
                <w:rFonts w:ascii="Calibri" w:eastAsiaTheme="minorEastAsia" w:hAnsi="Calibri" w:cs="Calibri"/>
                <w:i/>
                <w:iCs/>
                <w:color w:val="FFFFFF"/>
                <w:sz w:val="20"/>
                <w:lang w:eastAsia="en-AU"/>
              </w:rPr>
              <w:t xml:space="preserve">19 </w:t>
            </w:r>
          </w:p>
          <w:p w:rsidR="00965D85" w:rsidRPr="002F202F"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2F202F">
              <w:rPr>
                <w:rFonts w:ascii="Calibri" w:eastAsiaTheme="minorEastAsia" w:hAnsi="Calibri" w:cs="Calibri"/>
                <w:i/>
                <w:iCs/>
                <w:color w:val="FFFFFF"/>
                <w:sz w:val="20"/>
                <w:lang w:eastAsia="en-AU"/>
              </w:rPr>
              <w:t>estimate</w:t>
            </w:r>
          </w:p>
        </w:tc>
      </w:tr>
      <w:tr w:rsidR="00965D85" w:rsidRPr="002F202F" w:rsidTr="008B46DF">
        <w:tc>
          <w:tcPr>
            <w:tcW w:w="4368" w:type="dxa"/>
            <w:tcBorders>
              <w:top w:val="nil"/>
              <w:left w:val="nil"/>
              <w:right w:val="nil"/>
            </w:tcBorders>
            <w:shd w:val="clear" w:color="auto" w:fill="FFFFFF"/>
          </w:tcPr>
          <w:p w:rsidR="00965D85" w:rsidRPr="002F202F"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Taxation revenue</w:t>
            </w:r>
          </w:p>
        </w:tc>
        <w:tc>
          <w:tcPr>
            <w:tcW w:w="849" w:type="dxa"/>
            <w:tcBorders>
              <w:top w:val="nil"/>
              <w:left w:val="nil"/>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18 988</w:t>
            </w:r>
          </w:p>
        </w:tc>
        <w:tc>
          <w:tcPr>
            <w:tcW w:w="850" w:type="dxa"/>
            <w:tcBorders>
              <w:top w:val="nil"/>
              <w:left w:val="nil"/>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19 774</w:t>
            </w:r>
          </w:p>
        </w:tc>
        <w:tc>
          <w:tcPr>
            <w:tcW w:w="850" w:type="dxa"/>
            <w:tcBorders>
              <w:top w:val="nil"/>
              <w:left w:val="nil"/>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20 278</w:t>
            </w:r>
          </w:p>
        </w:tc>
        <w:tc>
          <w:tcPr>
            <w:tcW w:w="850" w:type="dxa"/>
            <w:tcBorders>
              <w:top w:val="nil"/>
              <w:left w:val="nil"/>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21 158</w:t>
            </w:r>
          </w:p>
        </w:tc>
      </w:tr>
      <w:tr w:rsidR="00965D85" w:rsidRPr="002F202F" w:rsidTr="008B46DF">
        <w:tc>
          <w:tcPr>
            <w:tcW w:w="4368" w:type="dxa"/>
            <w:tcBorders>
              <w:top w:val="nil"/>
              <w:left w:val="nil"/>
              <w:right w:val="nil"/>
            </w:tcBorders>
            <w:shd w:val="clear" w:color="auto" w:fill="FFFFFF"/>
          </w:tcPr>
          <w:p w:rsidR="00965D85" w:rsidRPr="002F202F"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Interest revenue</w:t>
            </w:r>
          </w:p>
        </w:tc>
        <w:tc>
          <w:tcPr>
            <w:tcW w:w="849" w:type="dxa"/>
            <w:tcBorders>
              <w:top w:val="nil"/>
              <w:left w:val="nil"/>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 xml:space="preserve"> 608</w:t>
            </w:r>
          </w:p>
        </w:tc>
        <w:tc>
          <w:tcPr>
            <w:tcW w:w="850" w:type="dxa"/>
            <w:tcBorders>
              <w:top w:val="nil"/>
              <w:left w:val="nil"/>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 xml:space="preserve"> 773</w:t>
            </w:r>
          </w:p>
        </w:tc>
        <w:tc>
          <w:tcPr>
            <w:tcW w:w="850" w:type="dxa"/>
            <w:tcBorders>
              <w:top w:val="nil"/>
              <w:left w:val="nil"/>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 xml:space="preserve"> 832</w:t>
            </w:r>
          </w:p>
        </w:tc>
        <w:tc>
          <w:tcPr>
            <w:tcW w:w="850" w:type="dxa"/>
            <w:tcBorders>
              <w:top w:val="nil"/>
              <w:left w:val="nil"/>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 xml:space="preserve"> 835</w:t>
            </w:r>
          </w:p>
        </w:tc>
      </w:tr>
      <w:tr w:rsidR="00965D85" w:rsidRPr="002F202F" w:rsidTr="008B46DF">
        <w:tc>
          <w:tcPr>
            <w:tcW w:w="4368" w:type="dxa"/>
            <w:tcBorders>
              <w:top w:val="nil"/>
              <w:left w:val="nil"/>
              <w:right w:val="nil"/>
            </w:tcBorders>
            <w:shd w:val="clear" w:color="auto" w:fill="FFFFFF"/>
          </w:tcPr>
          <w:p w:rsidR="00965D85" w:rsidRPr="002F202F"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Dividends and income tax equivalent and rate equivalent revenue</w:t>
            </w:r>
          </w:p>
        </w:tc>
        <w:tc>
          <w:tcPr>
            <w:tcW w:w="849" w:type="dxa"/>
            <w:tcBorders>
              <w:top w:val="nil"/>
              <w:left w:val="nil"/>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 xml:space="preserve"> 520</w:t>
            </w:r>
          </w:p>
        </w:tc>
        <w:tc>
          <w:tcPr>
            <w:tcW w:w="850" w:type="dxa"/>
            <w:tcBorders>
              <w:top w:val="nil"/>
              <w:left w:val="nil"/>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1 213</w:t>
            </w:r>
          </w:p>
        </w:tc>
        <w:tc>
          <w:tcPr>
            <w:tcW w:w="850" w:type="dxa"/>
            <w:tcBorders>
              <w:top w:val="nil"/>
              <w:left w:val="nil"/>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1 164</w:t>
            </w:r>
          </w:p>
        </w:tc>
        <w:tc>
          <w:tcPr>
            <w:tcW w:w="850" w:type="dxa"/>
            <w:tcBorders>
              <w:top w:val="nil"/>
              <w:left w:val="nil"/>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1 125</w:t>
            </w:r>
          </w:p>
        </w:tc>
      </w:tr>
      <w:tr w:rsidR="00965D85" w:rsidRPr="002F202F" w:rsidTr="008B46DF">
        <w:tc>
          <w:tcPr>
            <w:tcW w:w="4368" w:type="dxa"/>
            <w:tcBorders>
              <w:top w:val="nil"/>
              <w:left w:val="nil"/>
              <w:right w:val="nil"/>
            </w:tcBorders>
            <w:shd w:val="clear" w:color="auto" w:fill="FFFFFF"/>
          </w:tcPr>
          <w:p w:rsidR="00965D85" w:rsidRPr="002F202F"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Sales of goods and services</w:t>
            </w:r>
          </w:p>
        </w:tc>
        <w:tc>
          <w:tcPr>
            <w:tcW w:w="849" w:type="dxa"/>
            <w:tcBorders>
              <w:top w:val="nil"/>
              <w:left w:val="nil"/>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14 248</w:t>
            </w:r>
          </w:p>
        </w:tc>
        <w:tc>
          <w:tcPr>
            <w:tcW w:w="850" w:type="dxa"/>
            <w:tcBorders>
              <w:top w:val="nil"/>
              <w:left w:val="nil"/>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14 177</w:t>
            </w:r>
          </w:p>
        </w:tc>
        <w:tc>
          <w:tcPr>
            <w:tcW w:w="850" w:type="dxa"/>
            <w:tcBorders>
              <w:top w:val="nil"/>
              <w:left w:val="nil"/>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14 616</w:t>
            </w:r>
          </w:p>
        </w:tc>
        <w:tc>
          <w:tcPr>
            <w:tcW w:w="850" w:type="dxa"/>
            <w:tcBorders>
              <w:top w:val="nil"/>
              <w:left w:val="nil"/>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15 030</w:t>
            </w:r>
          </w:p>
        </w:tc>
      </w:tr>
      <w:tr w:rsidR="00965D85" w:rsidRPr="002F202F" w:rsidTr="008B46DF">
        <w:tc>
          <w:tcPr>
            <w:tcW w:w="4368" w:type="dxa"/>
            <w:tcBorders>
              <w:top w:val="nil"/>
              <w:left w:val="nil"/>
              <w:right w:val="nil"/>
            </w:tcBorders>
            <w:shd w:val="clear" w:color="auto" w:fill="FFFFFF"/>
          </w:tcPr>
          <w:p w:rsidR="00965D85" w:rsidRPr="002F202F"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Grant revenue</w:t>
            </w:r>
          </w:p>
        </w:tc>
        <w:tc>
          <w:tcPr>
            <w:tcW w:w="849" w:type="dxa"/>
            <w:tcBorders>
              <w:top w:val="nil"/>
              <w:left w:val="nil"/>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25 317</w:t>
            </w:r>
          </w:p>
        </w:tc>
        <w:tc>
          <w:tcPr>
            <w:tcW w:w="850" w:type="dxa"/>
            <w:tcBorders>
              <w:top w:val="nil"/>
              <w:left w:val="nil"/>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25 869</w:t>
            </w:r>
          </w:p>
        </w:tc>
        <w:tc>
          <w:tcPr>
            <w:tcW w:w="850" w:type="dxa"/>
            <w:tcBorders>
              <w:top w:val="nil"/>
              <w:left w:val="nil"/>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27 694</w:t>
            </w:r>
          </w:p>
        </w:tc>
        <w:tc>
          <w:tcPr>
            <w:tcW w:w="850" w:type="dxa"/>
            <w:tcBorders>
              <w:top w:val="nil"/>
              <w:left w:val="nil"/>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28 238</w:t>
            </w:r>
          </w:p>
        </w:tc>
      </w:tr>
      <w:tr w:rsidR="00965D85" w:rsidRPr="002F202F" w:rsidTr="008B46DF">
        <w:tc>
          <w:tcPr>
            <w:tcW w:w="4368" w:type="dxa"/>
            <w:tcBorders>
              <w:top w:val="nil"/>
              <w:left w:val="nil"/>
              <w:bottom w:val="single" w:sz="6" w:space="0" w:color="auto"/>
              <w:right w:val="nil"/>
            </w:tcBorders>
            <w:shd w:val="clear" w:color="auto" w:fill="FFFFFF"/>
          </w:tcPr>
          <w:p w:rsidR="00965D85" w:rsidRPr="002F202F"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Other revenue</w:t>
            </w:r>
          </w:p>
        </w:tc>
        <w:tc>
          <w:tcPr>
            <w:tcW w:w="849" w:type="dxa"/>
            <w:tcBorders>
              <w:top w:val="nil"/>
              <w:left w:val="nil"/>
              <w:bottom w:val="single" w:sz="6" w:space="0" w:color="auto"/>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2 924</w:t>
            </w:r>
          </w:p>
        </w:tc>
        <w:tc>
          <w:tcPr>
            <w:tcW w:w="850" w:type="dxa"/>
            <w:tcBorders>
              <w:top w:val="nil"/>
              <w:left w:val="nil"/>
              <w:bottom w:val="single" w:sz="6" w:space="0" w:color="auto"/>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3 006</w:t>
            </w:r>
          </w:p>
        </w:tc>
        <w:tc>
          <w:tcPr>
            <w:tcW w:w="850" w:type="dxa"/>
            <w:tcBorders>
              <w:top w:val="nil"/>
              <w:left w:val="nil"/>
              <w:bottom w:val="single" w:sz="6" w:space="0" w:color="auto"/>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2 969</w:t>
            </w:r>
          </w:p>
        </w:tc>
        <w:tc>
          <w:tcPr>
            <w:tcW w:w="850" w:type="dxa"/>
            <w:tcBorders>
              <w:top w:val="nil"/>
              <w:left w:val="nil"/>
              <w:bottom w:val="single" w:sz="6" w:space="0" w:color="auto"/>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2 987</w:t>
            </w:r>
          </w:p>
        </w:tc>
      </w:tr>
      <w:tr w:rsidR="00965D85" w:rsidRPr="002F202F" w:rsidTr="008B46DF">
        <w:tc>
          <w:tcPr>
            <w:tcW w:w="4368" w:type="dxa"/>
            <w:tcBorders>
              <w:top w:val="single" w:sz="6" w:space="0" w:color="auto"/>
              <w:left w:val="nil"/>
              <w:right w:val="nil"/>
            </w:tcBorders>
            <w:shd w:val="clear" w:color="auto" w:fill="FFFFFF"/>
          </w:tcPr>
          <w:p w:rsidR="00965D85" w:rsidRPr="002F202F" w:rsidRDefault="00965D85" w:rsidP="008B46DF">
            <w:pPr>
              <w:autoSpaceDE w:val="0"/>
              <w:autoSpaceDN w:val="0"/>
              <w:adjustRightInd w:val="0"/>
              <w:spacing w:after="0"/>
              <w:ind w:left="227" w:hanging="227"/>
              <w:rPr>
                <w:rFonts w:ascii="Calibri" w:eastAsiaTheme="minorEastAsia" w:hAnsi="Calibri" w:cs="Calibri"/>
                <w:b/>
                <w:bCs/>
                <w:color w:val="000000"/>
                <w:sz w:val="20"/>
                <w:lang w:eastAsia="en-AU"/>
              </w:rPr>
            </w:pPr>
            <w:r w:rsidRPr="002F202F">
              <w:rPr>
                <w:rFonts w:ascii="Calibri" w:eastAsiaTheme="minorEastAsia" w:hAnsi="Calibri" w:cs="Calibri"/>
                <w:b/>
                <w:bCs/>
                <w:color w:val="000000"/>
                <w:sz w:val="20"/>
                <w:lang w:eastAsia="en-AU"/>
              </w:rPr>
              <w:t>Total revenue from transactions</w:t>
            </w:r>
          </w:p>
        </w:tc>
        <w:tc>
          <w:tcPr>
            <w:tcW w:w="849" w:type="dxa"/>
            <w:tcBorders>
              <w:top w:val="single" w:sz="6" w:space="0" w:color="auto"/>
              <w:left w:val="nil"/>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2F202F">
              <w:rPr>
                <w:rFonts w:ascii="Calibri" w:eastAsiaTheme="minorEastAsia" w:hAnsi="Calibri" w:cs="Calibri"/>
                <w:b/>
                <w:bCs/>
                <w:color w:val="000000"/>
                <w:sz w:val="20"/>
                <w:lang w:eastAsia="en-AU"/>
              </w:rPr>
              <w:t>62 606</w:t>
            </w:r>
          </w:p>
        </w:tc>
        <w:tc>
          <w:tcPr>
            <w:tcW w:w="850" w:type="dxa"/>
            <w:tcBorders>
              <w:top w:val="single" w:sz="6" w:space="0" w:color="auto"/>
              <w:left w:val="nil"/>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2F202F">
              <w:rPr>
                <w:rFonts w:ascii="Calibri" w:eastAsiaTheme="minorEastAsia" w:hAnsi="Calibri" w:cs="Calibri"/>
                <w:b/>
                <w:bCs/>
                <w:color w:val="000000"/>
                <w:sz w:val="20"/>
                <w:lang w:eastAsia="en-AU"/>
              </w:rPr>
              <w:t>64 812</w:t>
            </w:r>
          </w:p>
        </w:tc>
        <w:tc>
          <w:tcPr>
            <w:tcW w:w="850" w:type="dxa"/>
            <w:tcBorders>
              <w:top w:val="single" w:sz="6" w:space="0" w:color="auto"/>
              <w:left w:val="nil"/>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2F202F">
              <w:rPr>
                <w:rFonts w:ascii="Calibri" w:eastAsiaTheme="minorEastAsia" w:hAnsi="Calibri" w:cs="Calibri"/>
                <w:b/>
                <w:bCs/>
                <w:color w:val="000000"/>
                <w:sz w:val="20"/>
                <w:lang w:eastAsia="en-AU"/>
              </w:rPr>
              <w:t>67 554</w:t>
            </w:r>
          </w:p>
        </w:tc>
        <w:tc>
          <w:tcPr>
            <w:tcW w:w="850" w:type="dxa"/>
            <w:tcBorders>
              <w:top w:val="single" w:sz="6" w:space="0" w:color="auto"/>
              <w:left w:val="nil"/>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2F202F">
              <w:rPr>
                <w:rFonts w:ascii="Calibri" w:eastAsiaTheme="minorEastAsia" w:hAnsi="Calibri" w:cs="Calibri"/>
                <w:b/>
                <w:bCs/>
                <w:color w:val="000000"/>
                <w:sz w:val="20"/>
                <w:lang w:eastAsia="en-AU"/>
              </w:rPr>
              <w:t>69 373</w:t>
            </w:r>
          </w:p>
        </w:tc>
      </w:tr>
      <w:tr w:rsidR="00965D85" w:rsidRPr="002F202F" w:rsidTr="008B46DF">
        <w:tc>
          <w:tcPr>
            <w:tcW w:w="4368" w:type="dxa"/>
            <w:tcBorders>
              <w:top w:val="nil"/>
              <w:left w:val="nil"/>
              <w:right w:val="nil"/>
            </w:tcBorders>
            <w:shd w:val="clear" w:color="auto" w:fill="FFFFFF"/>
          </w:tcPr>
          <w:p w:rsidR="00965D85" w:rsidRPr="002F202F" w:rsidRDefault="00965D85" w:rsidP="008B46DF">
            <w:pPr>
              <w:autoSpaceDE w:val="0"/>
              <w:autoSpaceDN w:val="0"/>
              <w:adjustRightInd w:val="0"/>
              <w:spacing w:after="0"/>
              <w:ind w:left="227" w:hanging="227"/>
              <w:rPr>
                <w:rFonts w:ascii="Calibri" w:eastAsiaTheme="minorEastAsia" w:hAnsi="Calibri" w:cs="Calibri"/>
                <w:i/>
                <w:iCs/>
                <w:color w:val="000000"/>
                <w:sz w:val="20"/>
                <w:vertAlign w:val="superscript"/>
                <w:lang w:eastAsia="en-AU"/>
              </w:rPr>
            </w:pPr>
            <w:r w:rsidRPr="002F202F">
              <w:rPr>
                <w:rFonts w:ascii="Calibri" w:eastAsiaTheme="minorEastAsia" w:hAnsi="Calibri" w:cs="Calibri"/>
                <w:i/>
                <w:iCs/>
                <w:color w:val="000000"/>
                <w:sz w:val="20"/>
                <w:lang w:eastAsia="en-AU"/>
              </w:rPr>
              <w:t xml:space="preserve">% change </w:t>
            </w:r>
            <w:r w:rsidRPr="002F202F">
              <w:rPr>
                <w:rFonts w:ascii="Calibri" w:eastAsiaTheme="minorEastAsia" w:hAnsi="Calibri" w:cs="Calibri"/>
                <w:i/>
                <w:iCs/>
                <w:color w:val="000000"/>
                <w:sz w:val="20"/>
                <w:vertAlign w:val="superscript"/>
                <w:lang w:eastAsia="en-AU"/>
              </w:rPr>
              <w:t>(b)</w:t>
            </w:r>
          </w:p>
        </w:tc>
        <w:tc>
          <w:tcPr>
            <w:tcW w:w="849" w:type="dxa"/>
            <w:tcBorders>
              <w:top w:val="nil"/>
              <w:left w:val="nil"/>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2.5</w:t>
            </w:r>
          </w:p>
        </w:tc>
        <w:tc>
          <w:tcPr>
            <w:tcW w:w="850" w:type="dxa"/>
            <w:tcBorders>
              <w:top w:val="nil"/>
              <w:left w:val="nil"/>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3.5</w:t>
            </w:r>
          </w:p>
        </w:tc>
        <w:tc>
          <w:tcPr>
            <w:tcW w:w="850" w:type="dxa"/>
            <w:tcBorders>
              <w:top w:val="nil"/>
              <w:left w:val="nil"/>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4.2</w:t>
            </w:r>
          </w:p>
        </w:tc>
        <w:tc>
          <w:tcPr>
            <w:tcW w:w="850" w:type="dxa"/>
            <w:tcBorders>
              <w:top w:val="nil"/>
              <w:left w:val="nil"/>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2.7</w:t>
            </w:r>
          </w:p>
        </w:tc>
      </w:tr>
      <w:tr w:rsidR="00965D85" w:rsidRPr="002F202F" w:rsidTr="008B46DF">
        <w:tc>
          <w:tcPr>
            <w:tcW w:w="4368" w:type="dxa"/>
            <w:tcBorders>
              <w:top w:val="nil"/>
              <w:left w:val="nil"/>
              <w:right w:val="nil"/>
            </w:tcBorders>
            <w:shd w:val="clear" w:color="auto" w:fill="FFFFFF"/>
          </w:tcPr>
          <w:p w:rsidR="00965D85" w:rsidRPr="002F202F" w:rsidRDefault="00965D85" w:rsidP="008B46DF">
            <w:pPr>
              <w:autoSpaceDE w:val="0"/>
              <w:autoSpaceDN w:val="0"/>
              <w:adjustRightInd w:val="0"/>
              <w:spacing w:after="0"/>
              <w:ind w:left="227" w:hanging="227"/>
              <w:rPr>
                <w:rFonts w:ascii="Calibri" w:eastAsiaTheme="minorEastAsia" w:hAnsi="Calibri" w:cs="Calibri"/>
                <w:b/>
                <w:bCs/>
                <w:color w:val="000000"/>
                <w:sz w:val="20"/>
                <w:lang w:eastAsia="en-AU"/>
              </w:rPr>
            </w:pPr>
            <w:r w:rsidRPr="002F202F">
              <w:rPr>
                <w:rFonts w:ascii="Calibri" w:eastAsiaTheme="minorEastAsia" w:hAnsi="Calibri" w:cs="Calibri"/>
                <w:b/>
                <w:bCs/>
                <w:color w:val="000000"/>
                <w:sz w:val="20"/>
                <w:lang w:eastAsia="en-AU"/>
              </w:rPr>
              <w:t>Expenses from transactions</w:t>
            </w:r>
          </w:p>
        </w:tc>
        <w:tc>
          <w:tcPr>
            <w:tcW w:w="849" w:type="dxa"/>
            <w:tcBorders>
              <w:top w:val="nil"/>
              <w:left w:val="nil"/>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 xml:space="preserve"> </w:t>
            </w:r>
          </w:p>
        </w:tc>
        <w:tc>
          <w:tcPr>
            <w:tcW w:w="850" w:type="dxa"/>
            <w:tcBorders>
              <w:top w:val="nil"/>
              <w:left w:val="nil"/>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 xml:space="preserve"> </w:t>
            </w:r>
          </w:p>
        </w:tc>
        <w:tc>
          <w:tcPr>
            <w:tcW w:w="850" w:type="dxa"/>
            <w:tcBorders>
              <w:top w:val="nil"/>
              <w:left w:val="nil"/>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 xml:space="preserve"> </w:t>
            </w:r>
          </w:p>
        </w:tc>
        <w:tc>
          <w:tcPr>
            <w:tcW w:w="850" w:type="dxa"/>
            <w:tcBorders>
              <w:top w:val="nil"/>
              <w:left w:val="nil"/>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 xml:space="preserve"> </w:t>
            </w:r>
          </w:p>
        </w:tc>
      </w:tr>
      <w:tr w:rsidR="00965D85" w:rsidRPr="002F202F" w:rsidTr="008B46DF">
        <w:tc>
          <w:tcPr>
            <w:tcW w:w="4368" w:type="dxa"/>
            <w:tcBorders>
              <w:top w:val="nil"/>
              <w:left w:val="nil"/>
              <w:right w:val="nil"/>
            </w:tcBorders>
            <w:shd w:val="clear" w:color="auto" w:fill="FFFFFF"/>
          </w:tcPr>
          <w:p w:rsidR="00965D85" w:rsidRPr="002F202F"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Employee expenses</w:t>
            </w:r>
          </w:p>
        </w:tc>
        <w:tc>
          <w:tcPr>
            <w:tcW w:w="849" w:type="dxa"/>
            <w:tcBorders>
              <w:top w:val="nil"/>
              <w:left w:val="nil"/>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21 116</w:t>
            </w:r>
          </w:p>
        </w:tc>
        <w:tc>
          <w:tcPr>
            <w:tcW w:w="850" w:type="dxa"/>
            <w:tcBorders>
              <w:top w:val="nil"/>
              <w:left w:val="nil"/>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21 797</w:t>
            </w:r>
          </w:p>
        </w:tc>
        <w:tc>
          <w:tcPr>
            <w:tcW w:w="850" w:type="dxa"/>
            <w:tcBorders>
              <w:top w:val="nil"/>
              <w:left w:val="nil"/>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22 758</w:t>
            </w:r>
          </w:p>
        </w:tc>
        <w:tc>
          <w:tcPr>
            <w:tcW w:w="850" w:type="dxa"/>
            <w:tcBorders>
              <w:top w:val="nil"/>
              <w:left w:val="nil"/>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23 678</w:t>
            </w:r>
          </w:p>
        </w:tc>
      </w:tr>
      <w:tr w:rsidR="00965D85" w:rsidRPr="002F202F" w:rsidTr="008B46DF">
        <w:tc>
          <w:tcPr>
            <w:tcW w:w="4368" w:type="dxa"/>
            <w:tcBorders>
              <w:top w:val="nil"/>
              <w:left w:val="nil"/>
              <w:right w:val="nil"/>
            </w:tcBorders>
            <w:shd w:val="clear" w:color="auto" w:fill="FFFFFF"/>
          </w:tcPr>
          <w:p w:rsidR="00965D85" w:rsidRPr="002F202F" w:rsidRDefault="00965D85" w:rsidP="008B46DF">
            <w:pPr>
              <w:autoSpaceDE w:val="0"/>
              <w:autoSpaceDN w:val="0"/>
              <w:adjustRightInd w:val="0"/>
              <w:spacing w:after="0"/>
              <w:ind w:left="227" w:hanging="227"/>
              <w:rPr>
                <w:rFonts w:ascii="Calibri" w:eastAsiaTheme="minorEastAsia" w:hAnsi="Calibri" w:cs="Calibri"/>
                <w:color w:val="000000"/>
                <w:sz w:val="20"/>
                <w:vertAlign w:val="superscript"/>
                <w:lang w:eastAsia="en-AU"/>
              </w:rPr>
            </w:pPr>
            <w:r w:rsidRPr="002F202F">
              <w:rPr>
                <w:rFonts w:ascii="Calibri" w:eastAsiaTheme="minorEastAsia" w:hAnsi="Calibri" w:cs="Calibri"/>
                <w:color w:val="000000"/>
                <w:sz w:val="20"/>
                <w:lang w:eastAsia="en-AU"/>
              </w:rPr>
              <w:t xml:space="preserve">Net superannuation interest expense </w:t>
            </w:r>
            <w:r w:rsidRPr="002F202F">
              <w:rPr>
                <w:rFonts w:ascii="Calibri" w:eastAsiaTheme="minorEastAsia" w:hAnsi="Calibri" w:cs="Calibri"/>
                <w:color w:val="000000"/>
                <w:sz w:val="20"/>
                <w:vertAlign w:val="superscript"/>
                <w:lang w:eastAsia="en-AU"/>
              </w:rPr>
              <w:t>(c)</w:t>
            </w:r>
          </w:p>
        </w:tc>
        <w:tc>
          <w:tcPr>
            <w:tcW w:w="849" w:type="dxa"/>
            <w:tcBorders>
              <w:top w:val="nil"/>
              <w:left w:val="nil"/>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 xml:space="preserve"> 878</w:t>
            </w:r>
          </w:p>
        </w:tc>
        <w:tc>
          <w:tcPr>
            <w:tcW w:w="850" w:type="dxa"/>
            <w:tcBorders>
              <w:top w:val="nil"/>
              <w:left w:val="nil"/>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 xml:space="preserve"> 821</w:t>
            </w:r>
          </w:p>
        </w:tc>
        <w:tc>
          <w:tcPr>
            <w:tcW w:w="850" w:type="dxa"/>
            <w:tcBorders>
              <w:top w:val="nil"/>
              <w:left w:val="nil"/>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 xml:space="preserve"> 803</w:t>
            </w:r>
          </w:p>
        </w:tc>
        <w:tc>
          <w:tcPr>
            <w:tcW w:w="850" w:type="dxa"/>
            <w:tcBorders>
              <w:top w:val="nil"/>
              <w:left w:val="nil"/>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 xml:space="preserve"> 807</w:t>
            </w:r>
          </w:p>
        </w:tc>
      </w:tr>
      <w:tr w:rsidR="00965D85" w:rsidRPr="002F202F" w:rsidTr="008B46DF">
        <w:tc>
          <w:tcPr>
            <w:tcW w:w="4368" w:type="dxa"/>
            <w:tcBorders>
              <w:top w:val="nil"/>
              <w:left w:val="nil"/>
              <w:right w:val="nil"/>
            </w:tcBorders>
            <w:shd w:val="clear" w:color="auto" w:fill="FFFFFF"/>
          </w:tcPr>
          <w:p w:rsidR="00965D85" w:rsidRPr="002F202F"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Other superannuation</w:t>
            </w:r>
          </w:p>
        </w:tc>
        <w:tc>
          <w:tcPr>
            <w:tcW w:w="849" w:type="dxa"/>
            <w:tcBorders>
              <w:top w:val="nil"/>
              <w:left w:val="nil"/>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2 167</w:t>
            </w:r>
          </w:p>
        </w:tc>
        <w:tc>
          <w:tcPr>
            <w:tcW w:w="850" w:type="dxa"/>
            <w:tcBorders>
              <w:top w:val="nil"/>
              <w:left w:val="nil"/>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2 207</w:t>
            </w:r>
          </w:p>
        </w:tc>
        <w:tc>
          <w:tcPr>
            <w:tcW w:w="850" w:type="dxa"/>
            <w:tcBorders>
              <w:top w:val="nil"/>
              <w:left w:val="nil"/>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2 228</w:t>
            </w:r>
          </w:p>
        </w:tc>
        <w:tc>
          <w:tcPr>
            <w:tcW w:w="850" w:type="dxa"/>
            <w:tcBorders>
              <w:top w:val="nil"/>
              <w:left w:val="nil"/>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2 260</w:t>
            </w:r>
          </w:p>
        </w:tc>
      </w:tr>
      <w:tr w:rsidR="00965D85" w:rsidRPr="002F202F" w:rsidTr="008B46DF">
        <w:tc>
          <w:tcPr>
            <w:tcW w:w="4368" w:type="dxa"/>
            <w:tcBorders>
              <w:top w:val="nil"/>
              <w:left w:val="nil"/>
              <w:right w:val="nil"/>
            </w:tcBorders>
            <w:shd w:val="clear" w:color="auto" w:fill="FFFFFF"/>
          </w:tcPr>
          <w:p w:rsidR="00965D85" w:rsidRPr="002F202F"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Depreciation</w:t>
            </w:r>
          </w:p>
        </w:tc>
        <w:tc>
          <w:tcPr>
            <w:tcW w:w="849" w:type="dxa"/>
            <w:tcBorders>
              <w:top w:val="nil"/>
              <w:left w:val="nil"/>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4 681</w:t>
            </w:r>
          </w:p>
        </w:tc>
        <w:tc>
          <w:tcPr>
            <w:tcW w:w="850" w:type="dxa"/>
            <w:tcBorders>
              <w:top w:val="nil"/>
              <w:left w:val="nil"/>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4 817</w:t>
            </w:r>
          </w:p>
        </w:tc>
        <w:tc>
          <w:tcPr>
            <w:tcW w:w="850" w:type="dxa"/>
            <w:tcBorders>
              <w:top w:val="nil"/>
              <w:left w:val="nil"/>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5 068</w:t>
            </w:r>
          </w:p>
        </w:tc>
        <w:tc>
          <w:tcPr>
            <w:tcW w:w="850" w:type="dxa"/>
            <w:tcBorders>
              <w:top w:val="nil"/>
              <w:left w:val="nil"/>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5 406</w:t>
            </w:r>
          </w:p>
        </w:tc>
      </w:tr>
      <w:tr w:rsidR="00965D85" w:rsidRPr="002F202F" w:rsidTr="008B46DF">
        <w:tc>
          <w:tcPr>
            <w:tcW w:w="4368" w:type="dxa"/>
            <w:tcBorders>
              <w:top w:val="nil"/>
              <w:left w:val="nil"/>
              <w:right w:val="nil"/>
            </w:tcBorders>
            <w:shd w:val="clear" w:color="auto" w:fill="FFFFFF"/>
          </w:tcPr>
          <w:p w:rsidR="00965D85" w:rsidRPr="002F202F"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Interest expense</w:t>
            </w:r>
          </w:p>
        </w:tc>
        <w:tc>
          <w:tcPr>
            <w:tcW w:w="849" w:type="dxa"/>
            <w:tcBorders>
              <w:top w:val="nil"/>
              <w:left w:val="nil"/>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2 816</w:t>
            </w:r>
          </w:p>
        </w:tc>
        <w:tc>
          <w:tcPr>
            <w:tcW w:w="850" w:type="dxa"/>
            <w:tcBorders>
              <w:top w:val="nil"/>
              <w:left w:val="nil"/>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2 765</w:t>
            </w:r>
          </w:p>
        </w:tc>
        <w:tc>
          <w:tcPr>
            <w:tcW w:w="850" w:type="dxa"/>
            <w:tcBorders>
              <w:top w:val="nil"/>
              <w:left w:val="nil"/>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2 809</w:t>
            </w:r>
          </w:p>
        </w:tc>
        <w:tc>
          <w:tcPr>
            <w:tcW w:w="850" w:type="dxa"/>
            <w:tcBorders>
              <w:top w:val="nil"/>
              <w:left w:val="nil"/>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2 809</w:t>
            </w:r>
          </w:p>
        </w:tc>
      </w:tr>
      <w:tr w:rsidR="00965D85" w:rsidRPr="002F202F" w:rsidTr="008B46DF">
        <w:tc>
          <w:tcPr>
            <w:tcW w:w="4368" w:type="dxa"/>
            <w:tcBorders>
              <w:top w:val="nil"/>
              <w:left w:val="nil"/>
              <w:right w:val="nil"/>
            </w:tcBorders>
            <w:shd w:val="clear" w:color="auto" w:fill="FFFFFF"/>
          </w:tcPr>
          <w:p w:rsidR="00965D85" w:rsidRPr="002F202F"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Grant expenses</w:t>
            </w:r>
          </w:p>
        </w:tc>
        <w:tc>
          <w:tcPr>
            <w:tcW w:w="849" w:type="dxa"/>
            <w:tcBorders>
              <w:top w:val="nil"/>
              <w:left w:val="nil"/>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5 511</w:t>
            </w:r>
          </w:p>
        </w:tc>
        <w:tc>
          <w:tcPr>
            <w:tcW w:w="850" w:type="dxa"/>
            <w:tcBorders>
              <w:top w:val="nil"/>
              <w:left w:val="nil"/>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6 179</w:t>
            </w:r>
          </w:p>
        </w:tc>
        <w:tc>
          <w:tcPr>
            <w:tcW w:w="850" w:type="dxa"/>
            <w:tcBorders>
              <w:top w:val="nil"/>
              <w:left w:val="nil"/>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6 459</w:t>
            </w:r>
          </w:p>
        </w:tc>
        <w:tc>
          <w:tcPr>
            <w:tcW w:w="850" w:type="dxa"/>
            <w:tcBorders>
              <w:top w:val="nil"/>
              <w:left w:val="nil"/>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6 773</w:t>
            </w:r>
          </w:p>
        </w:tc>
      </w:tr>
      <w:tr w:rsidR="00965D85" w:rsidRPr="002F202F" w:rsidTr="008B46DF">
        <w:tc>
          <w:tcPr>
            <w:tcW w:w="4368" w:type="dxa"/>
            <w:tcBorders>
              <w:top w:val="nil"/>
              <w:left w:val="nil"/>
              <w:bottom w:val="single" w:sz="6" w:space="0" w:color="auto"/>
              <w:right w:val="nil"/>
            </w:tcBorders>
            <w:shd w:val="clear" w:color="auto" w:fill="FFFFFF"/>
          </w:tcPr>
          <w:p w:rsidR="00965D85" w:rsidRPr="002F202F"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Other operating expenses</w:t>
            </w:r>
          </w:p>
        </w:tc>
        <w:tc>
          <w:tcPr>
            <w:tcW w:w="849" w:type="dxa"/>
            <w:tcBorders>
              <w:top w:val="nil"/>
              <w:left w:val="nil"/>
              <w:bottom w:val="single" w:sz="6" w:space="0" w:color="auto"/>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26 602</w:t>
            </w:r>
          </w:p>
        </w:tc>
        <w:tc>
          <w:tcPr>
            <w:tcW w:w="850" w:type="dxa"/>
            <w:tcBorders>
              <w:top w:val="nil"/>
              <w:left w:val="nil"/>
              <w:bottom w:val="single" w:sz="6" w:space="0" w:color="auto"/>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26 587</w:t>
            </w:r>
          </w:p>
        </w:tc>
        <w:tc>
          <w:tcPr>
            <w:tcW w:w="850" w:type="dxa"/>
            <w:tcBorders>
              <w:top w:val="nil"/>
              <w:left w:val="nil"/>
              <w:bottom w:val="single" w:sz="6" w:space="0" w:color="auto"/>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27 536</w:t>
            </w:r>
          </w:p>
        </w:tc>
        <w:tc>
          <w:tcPr>
            <w:tcW w:w="850" w:type="dxa"/>
            <w:tcBorders>
              <w:top w:val="nil"/>
              <w:left w:val="nil"/>
              <w:bottom w:val="single" w:sz="6" w:space="0" w:color="auto"/>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27 892</w:t>
            </w:r>
          </w:p>
        </w:tc>
      </w:tr>
      <w:tr w:rsidR="00965D85" w:rsidRPr="002F202F" w:rsidTr="008B46DF">
        <w:tc>
          <w:tcPr>
            <w:tcW w:w="4368" w:type="dxa"/>
            <w:tcBorders>
              <w:top w:val="single" w:sz="6" w:space="0" w:color="auto"/>
              <w:left w:val="nil"/>
              <w:right w:val="nil"/>
            </w:tcBorders>
            <w:shd w:val="clear" w:color="auto" w:fill="FFFFFF"/>
          </w:tcPr>
          <w:p w:rsidR="00965D85" w:rsidRPr="002F202F" w:rsidRDefault="00965D85" w:rsidP="008B46DF">
            <w:pPr>
              <w:autoSpaceDE w:val="0"/>
              <w:autoSpaceDN w:val="0"/>
              <w:adjustRightInd w:val="0"/>
              <w:spacing w:after="0"/>
              <w:ind w:left="227" w:hanging="227"/>
              <w:rPr>
                <w:rFonts w:ascii="Calibri" w:eastAsiaTheme="minorEastAsia" w:hAnsi="Calibri" w:cs="Calibri"/>
                <w:b/>
                <w:bCs/>
                <w:color w:val="000000"/>
                <w:sz w:val="20"/>
                <w:lang w:eastAsia="en-AU"/>
              </w:rPr>
            </w:pPr>
            <w:r w:rsidRPr="002F202F">
              <w:rPr>
                <w:rFonts w:ascii="Calibri" w:eastAsiaTheme="minorEastAsia" w:hAnsi="Calibri" w:cs="Calibri"/>
                <w:b/>
                <w:bCs/>
                <w:color w:val="000000"/>
                <w:sz w:val="20"/>
                <w:lang w:eastAsia="en-AU"/>
              </w:rPr>
              <w:t>Total expenses from transactions</w:t>
            </w:r>
          </w:p>
        </w:tc>
        <w:tc>
          <w:tcPr>
            <w:tcW w:w="849" w:type="dxa"/>
            <w:tcBorders>
              <w:top w:val="single" w:sz="6" w:space="0" w:color="auto"/>
              <w:left w:val="nil"/>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2F202F">
              <w:rPr>
                <w:rFonts w:ascii="Calibri" w:eastAsiaTheme="minorEastAsia" w:hAnsi="Calibri" w:cs="Calibri"/>
                <w:b/>
                <w:bCs/>
                <w:color w:val="000000"/>
                <w:sz w:val="20"/>
                <w:lang w:eastAsia="en-AU"/>
              </w:rPr>
              <w:t>63 770</w:t>
            </w:r>
          </w:p>
        </w:tc>
        <w:tc>
          <w:tcPr>
            <w:tcW w:w="850" w:type="dxa"/>
            <w:tcBorders>
              <w:top w:val="single" w:sz="6" w:space="0" w:color="auto"/>
              <w:left w:val="nil"/>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2F202F">
              <w:rPr>
                <w:rFonts w:ascii="Calibri" w:eastAsiaTheme="minorEastAsia" w:hAnsi="Calibri" w:cs="Calibri"/>
                <w:b/>
                <w:bCs/>
                <w:color w:val="000000"/>
                <w:sz w:val="20"/>
                <w:lang w:eastAsia="en-AU"/>
              </w:rPr>
              <w:t>65 173</w:t>
            </w:r>
          </w:p>
        </w:tc>
        <w:tc>
          <w:tcPr>
            <w:tcW w:w="850" w:type="dxa"/>
            <w:tcBorders>
              <w:top w:val="single" w:sz="6" w:space="0" w:color="auto"/>
              <w:left w:val="nil"/>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2F202F">
              <w:rPr>
                <w:rFonts w:ascii="Calibri" w:eastAsiaTheme="minorEastAsia" w:hAnsi="Calibri" w:cs="Calibri"/>
                <w:b/>
                <w:bCs/>
                <w:color w:val="000000"/>
                <w:sz w:val="20"/>
                <w:lang w:eastAsia="en-AU"/>
              </w:rPr>
              <w:t>67 661</w:t>
            </w:r>
          </w:p>
        </w:tc>
        <w:tc>
          <w:tcPr>
            <w:tcW w:w="850" w:type="dxa"/>
            <w:tcBorders>
              <w:top w:val="single" w:sz="6" w:space="0" w:color="auto"/>
              <w:left w:val="nil"/>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2F202F">
              <w:rPr>
                <w:rFonts w:ascii="Calibri" w:eastAsiaTheme="minorEastAsia" w:hAnsi="Calibri" w:cs="Calibri"/>
                <w:b/>
                <w:bCs/>
                <w:color w:val="000000"/>
                <w:sz w:val="20"/>
                <w:lang w:eastAsia="en-AU"/>
              </w:rPr>
              <w:t>69 624</w:t>
            </w:r>
          </w:p>
        </w:tc>
      </w:tr>
      <w:tr w:rsidR="00965D85" w:rsidRPr="002F202F" w:rsidTr="008B46DF">
        <w:tc>
          <w:tcPr>
            <w:tcW w:w="4368" w:type="dxa"/>
            <w:tcBorders>
              <w:top w:val="nil"/>
              <w:left w:val="nil"/>
              <w:right w:val="nil"/>
            </w:tcBorders>
            <w:shd w:val="clear" w:color="auto" w:fill="FFFFFF"/>
          </w:tcPr>
          <w:p w:rsidR="00965D85" w:rsidRPr="002F202F" w:rsidRDefault="00965D85" w:rsidP="008B46DF">
            <w:pPr>
              <w:autoSpaceDE w:val="0"/>
              <w:autoSpaceDN w:val="0"/>
              <w:adjustRightInd w:val="0"/>
              <w:spacing w:after="0"/>
              <w:ind w:left="227" w:hanging="227"/>
              <w:rPr>
                <w:rFonts w:ascii="Calibri" w:eastAsiaTheme="minorEastAsia" w:hAnsi="Calibri" w:cs="Calibri"/>
                <w:i/>
                <w:iCs/>
                <w:color w:val="000000"/>
                <w:sz w:val="20"/>
                <w:vertAlign w:val="superscript"/>
                <w:lang w:eastAsia="en-AU"/>
              </w:rPr>
            </w:pPr>
            <w:r w:rsidRPr="002F202F">
              <w:rPr>
                <w:rFonts w:ascii="Calibri" w:eastAsiaTheme="minorEastAsia" w:hAnsi="Calibri" w:cs="Calibri"/>
                <w:i/>
                <w:iCs/>
                <w:color w:val="000000"/>
                <w:sz w:val="20"/>
                <w:lang w:eastAsia="en-AU"/>
              </w:rPr>
              <w:t xml:space="preserve">% change </w:t>
            </w:r>
            <w:r w:rsidRPr="002F202F">
              <w:rPr>
                <w:rFonts w:ascii="Calibri" w:eastAsiaTheme="minorEastAsia" w:hAnsi="Calibri" w:cs="Calibri"/>
                <w:i/>
                <w:iCs/>
                <w:color w:val="000000"/>
                <w:sz w:val="20"/>
                <w:vertAlign w:val="superscript"/>
                <w:lang w:eastAsia="en-AU"/>
              </w:rPr>
              <w:t>(b)</w:t>
            </w:r>
          </w:p>
        </w:tc>
        <w:tc>
          <w:tcPr>
            <w:tcW w:w="849" w:type="dxa"/>
            <w:tcBorders>
              <w:top w:val="nil"/>
              <w:left w:val="nil"/>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3.4</w:t>
            </w:r>
          </w:p>
        </w:tc>
        <w:tc>
          <w:tcPr>
            <w:tcW w:w="850" w:type="dxa"/>
            <w:tcBorders>
              <w:top w:val="nil"/>
              <w:left w:val="nil"/>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2.2</w:t>
            </w:r>
          </w:p>
        </w:tc>
        <w:tc>
          <w:tcPr>
            <w:tcW w:w="850" w:type="dxa"/>
            <w:tcBorders>
              <w:top w:val="nil"/>
              <w:left w:val="nil"/>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3.8</w:t>
            </w:r>
          </w:p>
        </w:tc>
        <w:tc>
          <w:tcPr>
            <w:tcW w:w="850" w:type="dxa"/>
            <w:tcBorders>
              <w:top w:val="nil"/>
              <w:left w:val="nil"/>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2.9</w:t>
            </w:r>
          </w:p>
        </w:tc>
      </w:tr>
      <w:tr w:rsidR="00965D85" w:rsidRPr="002F202F" w:rsidTr="008B46DF">
        <w:tc>
          <w:tcPr>
            <w:tcW w:w="4368" w:type="dxa"/>
            <w:tcBorders>
              <w:top w:val="nil"/>
              <w:left w:val="nil"/>
              <w:bottom w:val="single" w:sz="6" w:space="0" w:color="auto"/>
              <w:right w:val="nil"/>
            </w:tcBorders>
            <w:shd w:val="clear" w:color="auto" w:fill="FFFFFF"/>
          </w:tcPr>
          <w:p w:rsidR="00965D85" w:rsidRPr="002F202F" w:rsidRDefault="00965D85" w:rsidP="008B46DF">
            <w:pPr>
              <w:autoSpaceDE w:val="0"/>
              <w:autoSpaceDN w:val="0"/>
              <w:adjustRightInd w:val="0"/>
              <w:spacing w:after="0"/>
              <w:ind w:left="227" w:hanging="227"/>
              <w:rPr>
                <w:rFonts w:ascii="Calibri" w:eastAsiaTheme="minorEastAsia" w:hAnsi="Calibri" w:cs="Calibri"/>
                <w:b/>
                <w:bCs/>
                <w:color w:val="000000"/>
                <w:sz w:val="20"/>
                <w:lang w:eastAsia="en-AU"/>
              </w:rPr>
            </w:pPr>
            <w:r w:rsidRPr="002F202F">
              <w:rPr>
                <w:rFonts w:ascii="Calibri" w:eastAsiaTheme="minorEastAsia" w:hAnsi="Calibri" w:cs="Calibri"/>
                <w:b/>
                <w:bCs/>
                <w:color w:val="000000"/>
                <w:sz w:val="20"/>
                <w:lang w:eastAsia="en-AU"/>
              </w:rPr>
              <w:t>Net result from transactions – net operating balance</w:t>
            </w:r>
          </w:p>
        </w:tc>
        <w:tc>
          <w:tcPr>
            <w:tcW w:w="849" w:type="dxa"/>
            <w:tcBorders>
              <w:top w:val="nil"/>
              <w:left w:val="nil"/>
              <w:bottom w:val="single" w:sz="6" w:space="0" w:color="auto"/>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2F202F">
              <w:rPr>
                <w:rFonts w:ascii="Calibri" w:eastAsiaTheme="minorEastAsia" w:hAnsi="Calibri" w:cs="Calibri"/>
                <w:b/>
                <w:bCs/>
                <w:color w:val="000000"/>
                <w:sz w:val="20"/>
                <w:lang w:eastAsia="en-AU"/>
              </w:rPr>
              <w:t xml:space="preserve"> (1 164)</w:t>
            </w:r>
          </w:p>
        </w:tc>
        <w:tc>
          <w:tcPr>
            <w:tcW w:w="850" w:type="dxa"/>
            <w:tcBorders>
              <w:top w:val="nil"/>
              <w:left w:val="nil"/>
              <w:bottom w:val="single" w:sz="6" w:space="0" w:color="auto"/>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20"/>
                <w:lang w:eastAsia="en-AU"/>
              </w:rPr>
              <w:t>(</w:t>
            </w:r>
            <w:r w:rsidRPr="002F202F">
              <w:rPr>
                <w:rFonts w:ascii="Calibri" w:eastAsiaTheme="minorEastAsia" w:hAnsi="Calibri" w:cs="Calibri"/>
                <w:b/>
                <w:bCs/>
                <w:color w:val="000000"/>
                <w:sz w:val="20"/>
                <w:lang w:eastAsia="en-AU"/>
              </w:rPr>
              <w:t>361)</w:t>
            </w:r>
          </w:p>
        </w:tc>
        <w:tc>
          <w:tcPr>
            <w:tcW w:w="850" w:type="dxa"/>
            <w:tcBorders>
              <w:top w:val="nil"/>
              <w:left w:val="nil"/>
              <w:bottom w:val="single" w:sz="6" w:space="0" w:color="auto"/>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20"/>
                <w:lang w:eastAsia="en-AU"/>
              </w:rPr>
              <w:t>(</w:t>
            </w:r>
            <w:r w:rsidRPr="002F202F">
              <w:rPr>
                <w:rFonts w:ascii="Calibri" w:eastAsiaTheme="minorEastAsia" w:hAnsi="Calibri" w:cs="Calibri"/>
                <w:b/>
                <w:bCs/>
                <w:color w:val="000000"/>
                <w:sz w:val="20"/>
                <w:lang w:eastAsia="en-AU"/>
              </w:rPr>
              <w:t>107)</w:t>
            </w:r>
          </w:p>
        </w:tc>
        <w:tc>
          <w:tcPr>
            <w:tcW w:w="850" w:type="dxa"/>
            <w:tcBorders>
              <w:top w:val="nil"/>
              <w:left w:val="nil"/>
              <w:bottom w:val="single" w:sz="6" w:space="0" w:color="auto"/>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20"/>
                <w:lang w:eastAsia="en-AU"/>
              </w:rPr>
              <w:t>(</w:t>
            </w:r>
            <w:r w:rsidRPr="002F202F">
              <w:rPr>
                <w:rFonts w:ascii="Calibri" w:eastAsiaTheme="minorEastAsia" w:hAnsi="Calibri" w:cs="Calibri"/>
                <w:b/>
                <w:bCs/>
                <w:color w:val="000000"/>
                <w:sz w:val="20"/>
                <w:lang w:eastAsia="en-AU"/>
              </w:rPr>
              <w:t>250)</w:t>
            </w:r>
          </w:p>
        </w:tc>
      </w:tr>
      <w:tr w:rsidR="00965D85" w:rsidRPr="002F202F" w:rsidTr="008B46DF">
        <w:tc>
          <w:tcPr>
            <w:tcW w:w="4368" w:type="dxa"/>
            <w:tcBorders>
              <w:top w:val="single" w:sz="6" w:space="0" w:color="auto"/>
              <w:left w:val="nil"/>
              <w:bottom w:val="single" w:sz="6" w:space="0" w:color="auto"/>
              <w:right w:val="nil"/>
            </w:tcBorders>
            <w:shd w:val="clear" w:color="auto" w:fill="FFFFFF"/>
          </w:tcPr>
          <w:p w:rsidR="00965D85" w:rsidRPr="002F202F" w:rsidRDefault="00965D85" w:rsidP="008B46DF">
            <w:pPr>
              <w:autoSpaceDE w:val="0"/>
              <w:autoSpaceDN w:val="0"/>
              <w:adjustRightInd w:val="0"/>
              <w:spacing w:after="0"/>
              <w:ind w:left="227" w:hanging="227"/>
              <w:rPr>
                <w:rFonts w:ascii="Calibri" w:eastAsiaTheme="minorEastAsia" w:hAnsi="Calibri" w:cs="Calibri"/>
                <w:b/>
                <w:bCs/>
                <w:color w:val="000000"/>
                <w:sz w:val="20"/>
                <w:lang w:eastAsia="en-AU"/>
              </w:rPr>
            </w:pPr>
            <w:r w:rsidRPr="002F202F">
              <w:rPr>
                <w:rFonts w:ascii="Calibri" w:eastAsiaTheme="minorEastAsia" w:hAnsi="Calibri" w:cs="Calibri"/>
                <w:b/>
                <w:bCs/>
                <w:color w:val="000000"/>
                <w:sz w:val="20"/>
                <w:lang w:eastAsia="en-AU"/>
              </w:rPr>
              <w:t>Total other economic flows included in net result</w:t>
            </w:r>
          </w:p>
        </w:tc>
        <w:tc>
          <w:tcPr>
            <w:tcW w:w="849" w:type="dxa"/>
            <w:tcBorders>
              <w:top w:val="single" w:sz="6" w:space="0" w:color="auto"/>
              <w:left w:val="nil"/>
              <w:bottom w:val="single" w:sz="6" w:space="0" w:color="auto"/>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2F202F">
              <w:rPr>
                <w:rFonts w:ascii="Calibri" w:eastAsiaTheme="minorEastAsia" w:hAnsi="Calibri" w:cs="Calibri"/>
                <w:b/>
                <w:bCs/>
                <w:color w:val="000000"/>
                <w:sz w:val="20"/>
                <w:lang w:eastAsia="en-AU"/>
              </w:rPr>
              <w:t>3 357</w:t>
            </w:r>
          </w:p>
        </w:tc>
        <w:tc>
          <w:tcPr>
            <w:tcW w:w="850" w:type="dxa"/>
            <w:tcBorders>
              <w:top w:val="single" w:sz="6" w:space="0" w:color="auto"/>
              <w:left w:val="nil"/>
              <w:bottom w:val="single" w:sz="6" w:space="0" w:color="auto"/>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2F202F">
              <w:rPr>
                <w:rFonts w:ascii="Calibri" w:eastAsiaTheme="minorEastAsia" w:hAnsi="Calibri" w:cs="Calibri"/>
                <w:b/>
                <w:bCs/>
                <w:color w:val="000000"/>
                <w:sz w:val="20"/>
                <w:lang w:eastAsia="en-AU"/>
              </w:rPr>
              <w:t>1 259</w:t>
            </w:r>
          </w:p>
        </w:tc>
        <w:tc>
          <w:tcPr>
            <w:tcW w:w="850" w:type="dxa"/>
            <w:tcBorders>
              <w:top w:val="single" w:sz="6" w:space="0" w:color="auto"/>
              <w:left w:val="nil"/>
              <w:bottom w:val="single" w:sz="6" w:space="0" w:color="auto"/>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2F202F">
              <w:rPr>
                <w:rFonts w:ascii="Calibri" w:eastAsiaTheme="minorEastAsia" w:hAnsi="Calibri" w:cs="Calibri"/>
                <w:b/>
                <w:bCs/>
                <w:color w:val="000000"/>
                <w:sz w:val="20"/>
                <w:lang w:eastAsia="en-AU"/>
              </w:rPr>
              <w:t>1 374</w:t>
            </w:r>
          </w:p>
        </w:tc>
        <w:tc>
          <w:tcPr>
            <w:tcW w:w="850" w:type="dxa"/>
            <w:tcBorders>
              <w:top w:val="single" w:sz="6" w:space="0" w:color="auto"/>
              <w:left w:val="nil"/>
              <w:bottom w:val="single" w:sz="6" w:space="0" w:color="auto"/>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2F202F">
              <w:rPr>
                <w:rFonts w:ascii="Calibri" w:eastAsiaTheme="minorEastAsia" w:hAnsi="Calibri" w:cs="Calibri"/>
                <w:b/>
                <w:bCs/>
                <w:color w:val="000000"/>
                <w:sz w:val="20"/>
                <w:lang w:eastAsia="en-AU"/>
              </w:rPr>
              <w:t>1 520</w:t>
            </w:r>
          </w:p>
        </w:tc>
      </w:tr>
      <w:tr w:rsidR="00965D85" w:rsidRPr="002F202F" w:rsidTr="008B46DF">
        <w:tc>
          <w:tcPr>
            <w:tcW w:w="4368" w:type="dxa"/>
            <w:tcBorders>
              <w:top w:val="single" w:sz="6" w:space="0" w:color="auto"/>
              <w:left w:val="nil"/>
              <w:bottom w:val="single" w:sz="12" w:space="0" w:color="auto"/>
              <w:right w:val="nil"/>
            </w:tcBorders>
            <w:shd w:val="clear" w:color="auto" w:fill="FFFFFF"/>
          </w:tcPr>
          <w:p w:rsidR="00965D85" w:rsidRPr="002F202F" w:rsidRDefault="00965D85" w:rsidP="008B46DF">
            <w:pPr>
              <w:autoSpaceDE w:val="0"/>
              <w:autoSpaceDN w:val="0"/>
              <w:adjustRightInd w:val="0"/>
              <w:spacing w:after="0"/>
              <w:ind w:left="227" w:hanging="227"/>
              <w:rPr>
                <w:rFonts w:ascii="Calibri" w:eastAsiaTheme="minorEastAsia" w:hAnsi="Calibri" w:cs="Calibri"/>
                <w:b/>
                <w:bCs/>
                <w:color w:val="000000"/>
                <w:sz w:val="20"/>
                <w:lang w:eastAsia="en-AU"/>
              </w:rPr>
            </w:pPr>
            <w:r w:rsidRPr="002F202F">
              <w:rPr>
                <w:rFonts w:ascii="Calibri" w:eastAsiaTheme="minorEastAsia" w:hAnsi="Calibri" w:cs="Calibri"/>
                <w:b/>
                <w:bCs/>
                <w:color w:val="000000"/>
                <w:sz w:val="20"/>
                <w:lang w:eastAsia="en-AU"/>
              </w:rPr>
              <w:t>Net result</w:t>
            </w:r>
          </w:p>
        </w:tc>
        <w:tc>
          <w:tcPr>
            <w:tcW w:w="849" w:type="dxa"/>
            <w:tcBorders>
              <w:top w:val="single" w:sz="6" w:space="0" w:color="auto"/>
              <w:left w:val="nil"/>
              <w:bottom w:val="single" w:sz="12" w:space="0" w:color="auto"/>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2F202F">
              <w:rPr>
                <w:rFonts w:ascii="Calibri" w:eastAsiaTheme="minorEastAsia" w:hAnsi="Calibri" w:cs="Calibri"/>
                <w:b/>
                <w:bCs/>
                <w:color w:val="000000"/>
                <w:sz w:val="20"/>
                <w:lang w:eastAsia="en-AU"/>
              </w:rPr>
              <w:t>2 193</w:t>
            </w:r>
          </w:p>
        </w:tc>
        <w:tc>
          <w:tcPr>
            <w:tcW w:w="850" w:type="dxa"/>
            <w:tcBorders>
              <w:top w:val="single" w:sz="6" w:space="0" w:color="auto"/>
              <w:left w:val="nil"/>
              <w:bottom w:val="single" w:sz="12" w:space="0" w:color="auto"/>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2F202F">
              <w:rPr>
                <w:rFonts w:ascii="Calibri" w:eastAsiaTheme="minorEastAsia" w:hAnsi="Calibri" w:cs="Calibri"/>
                <w:b/>
                <w:bCs/>
                <w:color w:val="000000"/>
                <w:sz w:val="20"/>
                <w:lang w:eastAsia="en-AU"/>
              </w:rPr>
              <w:t xml:space="preserve"> 898</w:t>
            </w:r>
          </w:p>
        </w:tc>
        <w:tc>
          <w:tcPr>
            <w:tcW w:w="850" w:type="dxa"/>
            <w:tcBorders>
              <w:top w:val="single" w:sz="6" w:space="0" w:color="auto"/>
              <w:left w:val="nil"/>
              <w:bottom w:val="single" w:sz="12" w:space="0" w:color="auto"/>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2F202F">
              <w:rPr>
                <w:rFonts w:ascii="Calibri" w:eastAsiaTheme="minorEastAsia" w:hAnsi="Calibri" w:cs="Calibri"/>
                <w:b/>
                <w:bCs/>
                <w:color w:val="000000"/>
                <w:sz w:val="20"/>
                <w:lang w:eastAsia="en-AU"/>
              </w:rPr>
              <w:t>1 267</w:t>
            </w:r>
          </w:p>
        </w:tc>
        <w:tc>
          <w:tcPr>
            <w:tcW w:w="850" w:type="dxa"/>
            <w:tcBorders>
              <w:top w:val="single" w:sz="6" w:space="0" w:color="auto"/>
              <w:left w:val="nil"/>
              <w:bottom w:val="single" w:sz="12" w:space="0" w:color="auto"/>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2F202F">
              <w:rPr>
                <w:rFonts w:ascii="Calibri" w:eastAsiaTheme="minorEastAsia" w:hAnsi="Calibri" w:cs="Calibri"/>
                <w:b/>
                <w:bCs/>
                <w:color w:val="000000"/>
                <w:sz w:val="20"/>
                <w:lang w:eastAsia="en-AU"/>
              </w:rPr>
              <w:t>1 270</w:t>
            </w:r>
          </w:p>
        </w:tc>
      </w:tr>
    </w:tbl>
    <w:p w:rsidR="00965D85" w:rsidRPr="0018744A" w:rsidRDefault="00965D85" w:rsidP="008B46DF">
      <w:pPr>
        <w:pStyle w:val="Source"/>
        <w:rPr>
          <w:sz w:val="20"/>
        </w:rPr>
      </w:pPr>
      <w:r>
        <w:fldChar w:fldCharType="end"/>
      </w:r>
      <w:r w:rsidRPr="0018744A">
        <w:t>Source: Department of Treasury and Finance</w:t>
      </w:r>
    </w:p>
    <w:p w:rsidR="00965D85" w:rsidRPr="0018744A" w:rsidRDefault="00965D85" w:rsidP="008B46DF">
      <w:pPr>
        <w:pStyle w:val="Notes"/>
      </w:pPr>
      <w:r w:rsidRPr="0018744A">
        <w:t>Notes:</w:t>
      </w:r>
    </w:p>
    <w:p w:rsidR="00965D85" w:rsidRDefault="00965D85" w:rsidP="008B46DF">
      <w:pPr>
        <w:pStyle w:val="Notes"/>
        <w:numPr>
          <w:ilvl w:val="0"/>
          <w:numId w:val="41"/>
        </w:numPr>
        <w:tabs>
          <w:tab w:val="clear" w:pos="454"/>
        </w:tabs>
        <w:ind w:left="426" w:hanging="426"/>
        <w:rPr>
          <w:i w:val="0"/>
        </w:rPr>
      </w:pPr>
      <w:r w:rsidRPr="0018744A">
        <w:t xml:space="preserve">This is a summary operating statement. The comprehensive operating statement is presented in Chapter </w:t>
      </w:r>
      <w:r>
        <w:t>5</w:t>
      </w:r>
      <w:r w:rsidRPr="0018744A">
        <w:t xml:space="preserve"> </w:t>
      </w:r>
      <w:r w:rsidRPr="000E03A9">
        <w:rPr>
          <w:i w:val="0"/>
        </w:rPr>
        <w:t>Supplementary uniform presentation framework tables.</w:t>
      </w:r>
    </w:p>
    <w:p w:rsidR="00965D85" w:rsidRDefault="00965D85" w:rsidP="008B46DF">
      <w:pPr>
        <w:pStyle w:val="Notes"/>
        <w:numPr>
          <w:ilvl w:val="0"/>
          <w:numId w:val="41"/>
        </w:numPr>
        <w:tabs>
          <w:tab w:val="clear" w:pos="454"/>
        </w:tabs>
        <w:ind w:left="426" w:hanging="426"/>
      </w:pPr>
      <w:r w:rsidRPr="0018744A">
        <w:t>The revenue and expense growth for 2015</w:t>
      </w:r>
      <w:r>
        <w:noBreakHyphen/>
      </w:r>
      <w:r w:rsidRPr="0018744A">
        <w:t>16 is b</w:t>
      </w:r>
      <w:r>
        <w:t>ased on published numbers in the</w:t>
      </w:r>
      <w:r w:rsidRPr="0018744A">
        <w:t xml:space="preserve"> </w:t>
      </w:r>
      <w:r w:rsidRPr="00D5775C">
        <w:rPr>
          <w:i w:val="0"/>
        </w:rPr>
        <w:t>2014</w:t>
      </w:r>
      <w:r>
        <w:rPr>
          <w:i w:val="0"/>
        </w:rPr>
        <w:noBreakHyphen/>
      </w:r>
      <w:r w:rsidRPr="00D5775C">
        <w:rPr>
          <w:i w:val="0"/>
        </w:rPr>
        <w:t>15 Financial Report</w:t>
      </w:r>
      <w:r w:rsidRPr="0018744A">
        <w:t>.</w:t>
      </w:r>
    </w:p>
    <w:p w:rsidR="00965D85" w:rsidRDefault="00965D85" w:rsidP="008B46DF">
      <w:pPr>
        <w:pStyle w:val="Notes"/>
        <w:numPr>
          <w:ilvl w:val="0"/>
          <w:numId w:val="41"/>
        </w:numPr>
        <w:tabs>
          <w:tab w:val="clear" w:pos="454"/>
        </w:tabs>
        <w:ind w:left="426" w:hanging="426"/>
      </w:pPr>
      <w:r w:rsidRPr="0018744A">
        <w:t>Comprises superannuation interest expense and other superannuation expenses.</w:t>
      </w:r>
    </w:p>
    <w:p w:rsidR="00965D85" w:rsidRDefault="00965D85" w:rsidP="008B46DF">
      <w:pPr>
        <w:pStyle w:val="Notes"/>
        <w:ind w:left="720" w:firstLine="0"/>
      </w:pPr>
    </w:p>
    <w:p w:rsidR="00965D85" w:rsidRPr="0018744A" w:rsidRDefault="00965D85" w:rsidP="008B46DF"/>
    <w:p w:rsidR="00965D85" w:rsidRDefault="00965D85">
      <w:pPr>
        <w:spacing w:after="0"/>
      </w:pPr>
      <w:r>
        <w:br w:type="page"/>
      </w:r>
    </w:p>
    <w:p w:rsidR="00965D85" w:rsidRDefault="00965D85" w:rsidP="008B46DF">
      <w:r w:rsidRPr="00A27500">
        <w:lastRenderedPageBreak/>
        <w:t>Table 3.10 shows that the State of Victor</w:t>
      </w:r>
      <w:r>
        <w:t>ia is projected to record a surplus net result of $2.2 billion in 2015</w:t>
      </w:r>
      <w:r>
        <w:noBreakHyphen/>
        <w:t>16. Thereafter, the surplus net result stabilises at $1.3 billion by 2017</w:t>
      </w:r>
      <w:r>
        <w:noBreakHyphen/>
        <w:t>18.</w:t>
      </w:r>
      <w:r w:rsidRPr="001C7A4F">
        <w:t xml:space="preserve"> </w:t>
      </w:r>
    </w:p>
    <w:p w:rsidR="00965D85" w:rsidRDefault="00965D85" w:rsidP="008B46DF">
      <w:r>
        <w:t xml:space="preserve">Other economic cash flows make a significant contribution </w:t>
      </w:r>
      <w:r w:rsidRPr="00A27500">
        <w:t>to the surplus</w:t>
      </w:r>
      <w:r>
        <w:t xml:space="preserve"> net result</w:t>
      </w:r>
      <w:r w:rsidRPr="00A27500">
        <w:t xml:space="preserve"> per year over the budget and the forward estimates period. Other economic flows largely comprise projected investment returns of the State</w:t>
      </w:r>
      <w:r>
        <w:t>’</w:t>
      </w:r>
      <w:r w:rsidRPr="00A27500">
        <w:t>s insurers which are used to service their liabilities. Other economic flows also include valuation gains and revaluation of financial liabilities, which primarily result from movement in bond rates used to value liabilities such as insura</w:t>
      </w:r>
      <w:r>
        <w:t xml:space="preserve">nce claims and superannuation. </w:t>
      </w:r>
      <w:r w:rsidRPr="00A27500">
        <w:t xml:space="preserve">For this reason, the net result is considered a more meaningful measure of the expressed operating position on </w:t>
      </w:r>
      <w:r>
        <w:t>the PFC</w:t>
      </w:r>
      <w:r w:rsidRPr="00A27500">
        <w:t xml:space="preserve"> sector and the S</w:t>
      </w:r>
      <w:r>
        <w:t>tate.</w:t>
      </w:r>
    </w:p>
    <w:p w:rsidR="00965D85" w:rsidRDefault="00965D85" w:rsidP="008B46DF">
      <w:r>
        <w:t xml:space="preserve">Net result from transactions </w:t>
      </w:r>
      <w:r w:rsidRPr="00A27500">
        <w:t>for 2015</w:t>
      </w:r>
      <w:r>
        <w:noBreakHyphen/>
      </w:r>
      <w:r w:rsidRPr="00A27500">
        <w:t>16</w:t>
      </w:r>
      <w:r>
        <w:t xml:space="preserve"> is a </w:t>
      </w:r>
      <w:r w:rsidRPr="00A27500">
        <w:t>deficit</w:t>
      </w:r>
      <w:r>
        <w:t xml:space="preserve"> of $1.2 billion</w:t>
      </w:r>
      <w:r w:rsidRPr="00A27500">
        <w:t>, improving to a deficit of $</w:t>
      </w:r>
      <w:r>
        <w:t>107 million</w:t>
      </w:r>
      <w:r w:rsidRPr="00A27500">
        <w:t xml:space="preserve"> by 2017</w:t>
      </w:r>
      <w:r>
        <w:noBreakHyphen/>
      </w:r>
      <w:r w:rsidRPr="00A27500">
        <w:t xml:space="preserve">18. </w:t>
      </w:r>
      <w:r>
        <w:t xml:space="preserve">The </w:t>
      </w:r>
      <w:r w:rsidRPr="00A27500">
        <w:t>2015</w:t>
      </w:r>
      <w:r>
        <w:noBreakHyphen/>
      </w:r>
      <w:r w:rsidRPr="00A27500">
        <w:t xml:space="preserve">16 revised deficit estimate is </w:t>
      </w:r>
      <w:r>
        <w:t>higher</w:t>
      </w:r>
      <w:r w:rsidRPr="00A27500">
        <w:t xml:space="preserve"> compared to what was estimated in the </w:t>
      </w:r>
      <w:r w:rsidRPr="00A27500">
        <w:rPr>
          <w:i/>
        </w:rPr>
        <w:t>2015</w:t>
      </w:r>
      <w:r>
        <w:rPr>
          <w:i/>
        </w:rPr>
        <w:noBreakHyphen/>
      </w:r>
      <w:r w:rsidRPr="00A27500">
        <w:rPr>
          <w:i/>
        </w:rPr>
        <w:t xml:space="preserve">16 Budget. </w:t>
      </w:r>
      <w:r w:rsidRPr="00A27500">
        <w:t>This is mainly due to lower profit forecast</w:t>
      </w:r>
      <w:r>
        <w:t>s for TAC</w:t>
      </w:r>
      <w:r w:rsidRPr="00A27500">
        <w:t xml:space="preserve"> and WorkSafe</w:t>
      </w:r>
      <w:r>
        <w:t xml:space="preserve"> Victoria</w:t>
      </w:r>
      <w:r w:rsidRPr="00A27500">
        <w:t xml:space="preserve"> as a result of lower investment returns and the impact of lower interest rates </w:t>
      </w:r>
      <w:r>
        <w:t>on the value</w:t>
      </w:r>
      <w:r w:rsidRPr="00A27500">
        <w:t xml:space="preserve"> </w:t>
      </w:r>
      <w:r>
        <w:t xml:space="preserve">of </w:t>
      </w:r>
      <w:r w:rsidRPr="00A27500">
        <w:t>the</w:t>
      </w:r>
      <w:r>
        <w:t>ir</w:t>
      </w:r>
      <w:r w:rsidRPr="00A27500">
        <w:t xml:space="preserve"> claims liabilities. </w:t>
      </w:r>
    </w:p>
    <w:p w:rsidR="00965D85" w:rsidRDefault="00965D85" w:rsidP="008B46DF">
      <w:pPr>
        <w:pStyle w:val="Tableheading"/>
        <w:rPr>
          <w:rFonts w:ascii="Times New Roman" w:hAnsi="Times New Roman"/>
          <w:i/>
          <w:sz w:val="20"/>
          <w:lang w:eastAsia="en-AU"/>
        </w:rPr>
      </w:pPr>
      <w:r w:rsidRPr="0018744A">
        <w:t xml:space="preserve">Table 3.11 </w:t>
      </w:r>
      <w:r>
        <w:tab/>
      </w:r>
      <w:r w:rsidRPr="0018744A">
        <w:t>Summary balance sheet for the State of Victoria</w:t>
      </w:r>
      <w:r>
        <w:fldChar w:fldCharType="begin" w:fldLock="1"/>
      </w:r>
      <w:r>
        <w:instrText xml:space="preserve"> LINK Excel.Sheet.12 "\\\\PDCPTPRDFIL01\\DTFDATA02$\\SECURED\\Budget\\BudgetUpdate\\Chapter3\\Chapter 3 NFPS WoG Tables.xlsx" WoG_BS!BS_WoG \f 4 \r \* MERGEFORMAT </w:instrText>
      </w:r>
      <w:r>
        <w:fldChar w:fldCharType="separate"/>
      </w:r>
    </w:p>
    <w:tbl>
      <w:tblPr>
        <w:tblW w:w="7767" w:type="dxa"/>
        <w:tblInd w:w="28" w:type="dxa"/>
        <w:tblLayout w:type="fixed"/>
        <w:tblCellMar>
          <w:left w:w="28" w:type="dxa"/>
          <w:right w:w="28" w:type="dxa"/>
        </w:tblCellMar>
        <w:tblLook w:val="0000" w:firstRow="0" w:lastRow="0" w:firstColumn="0" w:lastColumn="0" w:noHBand="0" w:noVBand="0"/>
      </w:tblPr>
      <w:tblGrid>
        <w:gridCol w:w="3911"/>
        <w:gridCol w:w="964"/>
        <w:gridCol w:w="964"/>
        <w:gridCol w:w="964"/>
        <w:gridCol w:w="964"/>
      </w:tblGrid>
      <w:tr w:rsidR="00965D85" w:rsidRPr="002F202F" w:rsidTr="008B46DF">
        <w:tc>
          <w:tcPr>
            <w:tcW w:w="7767" w:type="dxa"/>
            <w:gridSpan w:val="5"/>
            <w:tcBorders>
              <w:top w:val="nil"/>
              <w:left w:val="nil"/>
              <w:bottom w:val="nil"/>
              <w:right w:val="nil"/>
            </w:tcBorders>
          </w:tcPr>
          <w:p w:rsidR="00965D85" w:rsidRPr="002F202F" w:rsidRDefault="00965D85" w:rsidP="008B46DF">
            <w:pPr>
              <w:pStyle w:val="million"/>
              <w:rPr>
                <w:rFonts w:eastAsiaTheme="minorEastAsia" w:cs="Calibri"/>
                <w:iCs/>
                <w:color w:val="000000"/>
                <w:sz w:val="20"/>
                <w:lang w:eastAsia="en-AU"/>
              </w:rPr>
            </w:pPr>
            <w:r w:rsidRPr="002F202F">
              <w:rPr>
                <w:rFonts w:eastAsiaTheme="minorEastAsia"/>
                <w:lang w:eastAsia="en-AU"/>
              </w:rPr>
              <w:t>($ million</w:t>
            </w:r>
            <w:r w:rsidRPr="002F202F">
              <w:rPr>
                <w:rFonts w:eastAsiaTheme="minorEastAsia" w:cs="Calibri"/>
                <w:iCs/>
                <w:color w:val="000000"/>
                <w:sz w:val="20"/>
                <w:lang w:eastAsia="en-AU"/>
              </w:rPr>
              <w:t>)</w:t>
            </w:r>
          </w:p>
        </w:tc>
      </w:tr>
      <w:tr w:rsidR="00965D85" w:rsidRPr="002F202F" w:rsidTr="008B46DF">
        <w:trPr>
          <w:trHeight w:val="488"/>
        </w:trPr>
        <w:tc>
          <w:tcPr>
            <w:tcW w:w="3911" w:type="dxa"/>
            <w:tcBorders>
              <w:top w:val="nil"/>
              <w:left w:val="nil"/>
              <w:right w:val="nil"/>
            </w:tcBorders>
            <w:shd w:val="solid" w:color="000000" w:fill="FFFFFF"/>
          </w:tcPr>
          <w:p w:rsidR="00965D85" w:rsidRPr="002F202F" w:rsidRDefault="00965D85" w:rsidP="008B46DF">
            <w:pPr>
              <w:autoSpaceDE w:val="0"/>
              <w:autoSpaceDN w:val="0"/>
              <w:adjustRightInd w:val="0"/>
              <w:spacing w:after="0"/>
              <w:rPr>
                <w:rFonts w:ascii="Calibri" w:eastAsiaTheme="minorEastAsia" w:hAnsi="Calibri" w:cs="Calibri"/>
                <w:i/>
                <w:iCs/>
                <w:color w:val="FFFFFF"/>
                <w:sz w:val="20"/>
                <w:lang w:eastAsia="en-AU"/>
              </w:rPr>
            </w:pPr>
            <w:r w:rsidRPr="002F202F">
              <w:rPr>
                <w:rFonts w:ascii="Calibri" w:eastAsiaTheme="minorEastAsia" w:hAnsi="Calibri" w:cs="Calibri"/>
                <w:i/>
                <w:iCs/>
                <w:color w:val="FFFFFF"/>
                <w:sz w:val="20"/>
                <w:lang w:eastAsia="en-AU"/>
              </w:rPr>
              <w:t xml:space="preserve"> </w:t>
            </w:r>
          </w:p>
          <w:p w:rsidR="00965D85" w:rsidRPr="002F202F" w:rsidRDefault="00965D85" w:rsidP="008B46DF">
            <w:pPr>
              <w:autoSpaceDE w:val="0"/>
              <w:autoSpaceDN w:val="0"/>
              <w:adjustRightInd w:val="0"/>
              <w:spacing w:after="0"/>
              <w:rPr>
                <w:rFonts w:ascii="Calibri" w:eastAsiaTheme="minorEastAsia" w:hAnsi="Calibri" w:cs="Calibri"/>
                <w:i/>
                <w:iCs/>
                <w:color w:val="FFFFFF"/>
                <w:sz w:val="20"/>
                <w:lang w:eastAsia="en-AU"/>
              </w:rPr>
            </w:pPr>
            <w:r w:rsidRPr="002F202F">
              <w:rPr>
                <w:rFonts w:ascii="Calibri" w:eastAsiaTheme="minorEastAsia" w:hAnsi="Calibri" w:cs="Calibri"/>
                <w:i/>
                <w:iCs/>
                <w:color w:val="FFFFFF"/>
                <w:sz w:val="20"/>
                <w:lang w:eastAsia="en-AU"/>
              </w:rPr>
              <w:t xml:space="preserve"> </w:t>
            </w:r>
          </w:p>
        </w:tc>
        <w:tc>
          <w:tcPr>
            <w:tcW w:w="964" w:type="dxa"/>
            <w:tcBorders>
              <w:top w:val="nil"/>
              <w:left w:val="nil"/>
              <w:right w:val="nil"/>
            </w:tcBorders>
            <w:shd w:val="solid" w:color="000000" w:fill="FFFFFF"/>
          </w:tcPr>
          <w:p w:rsidR="00965D85" w:rsidRPr="002F202F"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2F202F">
              <w:rPr>
                <w:rFonts w:ascii="Calibri" w:eastAsiaTheme="minorEastAsia" w:hAnsi="Calibri" w:cs="Calibri"/>
                <w:i/>
                <w:iCs/>
                <w:color w:val="FFFFFF"/>
                <w:sz w:val="20"/>
                <w:lang w:eastAsia="en-AU"/>
              </w:rPr>
              <w:t>2015</w:t>
            </w:r>
            <w:r>
              <w:rPr>
                <w:rFonts w:ascii="Calibri" w:eastAsiaTheme="minorEastAsia" w:hAnsi="Calibri" w:cs="Calibri"/>
                <w:i/>
                <w:iCs/>
                <w:color w:val="FFFFFF"/>
                <w:sz w:val="20"/>
                <w:lang w:eastAsia="en-AU"/>
              </w:rPr>
              <w:noBreakHyphen/>
            </w:r>
            <w:r w:rsidRPr="002F202F">
              <w:rPr>
                <w:rFonts w:ascii="Calibri" w:eastAsiaTheme="minorEastAsia" w:hAnsi="Calibri" w:cs="Calibri"/>
                <w:i/>
                <w:iCs/>
                <w:color w:val="FFFFFF"/>
                <w:sz w:val="20"/>
                <w:lang w:eastAsia="en-AU"/>
              </w:rPr>
              <w:t xml:space="preserve">16 </w:t>
            </w:r>
          </w:p>
          <w:p w:rsidR="00965D85" w:rsidRPr="002F202F"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2F202F">
              <w:rPr>
                <w:rFonts w:ascii="Calibri" w:eastAsiaTheme="minorEastAsia" w:hAnsi="Calibri" w:cs="Calibri"/>
                <w:i/>
                <w:iCs/>
                <w:color w:val="FFFFFF"/>
                <w:sz w:val="20"/>
                <w:lang w:eastAsia="en-AU"/>
              </w:rPr>
              <w:t>revised</w:t>
            </w:r>
          </w:p>
        </w:tc>
        <w:tc>
          <w:tcPr>
            <w:tcW w:w="964" w:type="dxa"/>
            <w:tcBorders>
              <w:top w:val="nil"/>
              <w:left w:val="nil"/>
              <w:right w:val="nil"/>
            </w:tcBorders>
            <w:shd w:val="solid" w:color="000000" w:fill="FFFFFF"/>
          </w:tcPr>
          <w:p w:rsidR="00965D85" w:rsidRPr="002F202F"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2F202F">
              <w:rPr>
                <w:rFonts w:ascii="Calibri" w:eastAsiaTheme="minorEastAsia" w:hAnsi="Calibri" w:cs="Calibri"/>
                <w:i/>
                <w:iCs/>
                <w:color w:val="FFFFFF"/>
                <w:sz w:val="20"/>
                <w:lang w:eastAsia="en-AU"/>
              </w:rPr>
              <w:t>2016</w:t>
            </w:r>
            <w:r>
              <w:rPr>
                <w:rFonts w:ascii="Calibri" w:eastAsiaTheme="minorEastAsia" w:hAnsi="Calibri" w:cs="Calibri"/>
                <w:i/>
                <w:iCs/>
                <w:color w:val="FFFFFF"/>
                <w:sz w:val="20"/>
                <w:lang w:eastAsia="en-AU"/>
              </w:rPr>
              <w:noBreakHyphen/>
            </w:r>
            <w:r w:rsidRPr="002F202F">
              <w:rPr>
                <w:rFonts w:ascii="Calibri" w:eastAsiaTheme="minorEastAsia" w:hAnsi="Calibri" w:cs="Calibri"/>
                <w:i/>
                <w:iCs/>
                <w:color w:val="FFFFFF"/>
                <w:sz w:val="20"/>
                <w:lang w:eastAsia="en-AU"/>
              </w:rPr>
              <w:t xml:space="preserve">17 </w:t>
            </w:r>
          </w:p>
          <w:p w:rsidR="00965D85" w:rsidRPr="002F202F"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2F202F">
              <w:rPr>
                <w:rFonts w:ascii="Calibri" w:eastAsiaTheme="minorEastAsia" w:hAnsi="Calibri" w:cs="Calibri"/>
                <w:i/>
                <w:iCs/>
                <w:color w:val="FFFFFF"/>
                <w:sz w:val="20"/>
                <w:lang w:eastAsia="en-AU"/>
              </w:rPr>
              <w:t>estimate</w:t>
            </w:r>
          </w:p>
        </w:tc>
        <w:tc>
          <w:tcPr>
            <w:tcW w:w="964" w:type="dxa"/>
            <w:tcBorders>
              <w:top w:val="nil"/>
              <w:left w:val="nil"/>
              <w:right w:val="nil"/>
            </w:tcBorders>
            <w:shd w:val="solid" w:color="000000" w:fill="FFFFFF"/>
          </w:tcPr>
          <w:p w:rsidR="00965D85" w:rsidRPr="002F202F"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2F202F">
              <w:rPr>
                <w:rFonts w:ascii="Calibri" w:eastAsiaTheme="minorEastAsia" w:hAnsi="Calibri" w:cs="Calibri"/>
                <w:i/>
                <w:iCs/>
                <w:color w:val="FFFFFF"/>
                <w:sz w:val="20"/>
                <w:lang w:eastAsia="en-AU"/>
              </w:rPr>
              <w:t>2017</w:t>
            </w:r>
            <w:r>
              <w:rPr>
                <w:rFonts w:ascii="Calibri" w:eastAsiaTheme="minorEastAsia" w:hAnsi="Calibri" w:cs="Calibri"/>
                <w:i/>
                <w:iCs/>
                <w:color w:val="FFFFFF"/>
                <w:sz w:val="20"/>
                <w:lang w:eastAsia="en-AU"/>
              </w:rPr>
              <w:noBreakHyphen/>
            </w:r>
            <w:r w:rsidRPr="002F202F">
              <w:rPr>
                <w:rFonts w:ascii="Calibri" w:eastAsiaTheme="minorEastAsia" w:hAnsi="Calibri" w:cs="Calibri"/>
                <w:i/>
                <w:iCs/>
                <w:color w:val="FFFFFF"/>
                <w:sz w:val="20"/>
                <w:lang w:eastAsia="en-AU"/>
              </w:rPr>
              <w:t xml:space="preserve">18 </w:t>
            </w:r>
          </w:p>
          <w:p w:rsidR="00965D85" w:rsidRPr="002F202F"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2F202F">
              <w:rPr>
                <w:rFonts w:ascii="Calibri" w:eastAsiaTheme="minorEastAsia" w:hAnsi="Calibri" w:cs="Calibri"/>
                <w:i/>
                <w:iCs/>
                <w:color w:val="FFFFFF"/>
                <w:sz w:val="20"/>
                <w:lang w:eastAsia="en-AU"/>
              </w:rPr>
              <w:t>estimate</w:t>
            </w:r>
          </w:p>
        </w:tc>
        <w:tc>
          <w:tcPr>
            <w:tcW w:w="964" w:type="dxa"/>
            <w:tcBorders>
              <w:top w:val="nil"/>
              <w:left w:val="nil"/>
              <w:right w:val="nil"/>
            </w:tcBorders>
            <w:shd w:val="solid" w:color="000000" w:fill="FFFFFF"/>
          </w:tcPr>
          <w:p w:rsidR="00965D85" w:rsidRPr="002F202F"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2F202F">
              <w:rPr>
                <w:rFonts w:ascii="Calibri" w:eastAsiaTheme="minorEastAsia" w:hAnsi="Calibri" w:cs="Calibri"/>
                <w:i/>
                <w:iCs/>
                <w:color w:val="FFFFFF"/>
                <w:sz w:val="20"/>
                <w:lang w:eastAsia="en-AU"/>
              </w:rPr>
              <w:t>2018</w:t>
            </w:r>
            <w:r>
              <w:rPr>
                <w:rFonts w:ascii="Calibri" w:eastAsiaTheme="minorEastAsia" w:hAnsi="Calibri" w:cs="Calibri"/>
                <w:i/>
                <w:iCs/>
                <w:color w:val="FFFFFF"/>
                <w:sz w:val="20"/>
                <w:lang w:eastAsia="en-AU"/>
              </w:rPr>
              <w:noBreakHyphen/>
            </w:r>
            <w:r w:rsidRPr="002F202F">
              <w:rPr>
                <w:rFonts w:ascii="Calibri" w:eastAsiaTheme="minorEastAsia" w:hAnsi="Calibri" w:cs="Calibri"/>
                <w:i/>
                <w:iCs/>
                <w:color w:val="FFFFFF"/>
                <w:sz w:val="20"/>
                <w:lang w:eastAsia="en-AU"/>
              </w:rPr>
              <w:t xml:space="preserve">19 </w:t>
            </w:r>
          </w:p>
          <w:p w:rsidR="00965D85" w:rsidRPr="002F202F"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2F202F">
              <w:rPr>
                <w:rFonts w:ascii="Calibri" w:eastAsiaTheme="minorEastAsia" w:hAnsi="Calibri" w:cs="Calibri"/>
                <w:i/>
                <w:iCs/>
                <w:color w:val="FFFFFF"/>
                <w:sz w:val="20"/>
                <w:lang w:eastAsia="en-AU"/>
              </w:rPr>
              <w:t>estimate</w:t>
            </w:r>
          </w:p>
        </w:tc>
      </w:tr>
      <w:tr w:rsidR="00965D85" w:rsidRPr="002F202F" w:rsidTr="008B46DF">
        <w:tc>
          <w:tcPr>
            <w:tcW w:w="3911" w:type="dxa"/>
            <w:tcBorders>
              <w:top w:val="nil"/>
              <w:left w:val="nil"/>
              <w:right w:val="nil"/>
            </w:tcBorders>
            <w:shd w:val="clear" w:color="auto" w:fill="FFFFFF"/>
          </w:tcPr>
          <w:p w:rsidR="00965D85" w:rsidRPr="002F202F" w:rsidRDefault="00965D85" w:rsidP="008B46DF">
            <w:pPr>
              <w:autoSpaceDE w:val="0"/>
              <w:autoSpaceDN w:val="0"/>
              <w:adjustRightInd w:val="0"/>
              <w:spacing w:after="0"/>
              <w:ind w:left="227" w:hanging="227"/>
              <w:rPr>
                <w:rFonts w:ascii="Calibri" w:eastAsiaTheme="minorEastAsia" w:hAnsi="Calibri" w:cs="Calibri"/>
                <w:b/>
                <w:bCs/>
                <w:color w:val="000000"/>
                <w:sz w:val="20"/>
                <w:lang w:eastAsia="en-AU"/>
              </w:rPr>
            </w:pPr>
            <w:r w:rsidRPr="002F202F">
              <w:rPr>
                <w:rFonts w:ascii="Calibri" w:eastAsiaTheme="minorEastAsia" w:hAnsi="Calibri" w:cs="Calibri"/>
                <w:b/>
                <w:bCs/>
                <w:color w:val="000000"/>
                <w:sz w:val="20"/>
                <w:lang w:eastAsia="en-AU"/>
              </w:rPr>
              <w:t>Assets</w:t>
            </w:r>
          </w:p>
        </w:tc>
        <w:tc>
          <w:tcPr>
            <w:tcW w:w="964" w:type="dxa"/>
            <w:tcBorders>
              <w:top w:val="nil"/>
              <w:left w:val="nil"/>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 xml:space="preserve"> </w:t>
            </w:r>
          </w:p>
        </w:tc>
        <w:tc>
          <w:tcPr>
            <w:tcW w:w="964" w:type="dxa"/>
            <w:tcBorders>
              <w:top w:val="nil"/>
              <w:left w:val="nil"/>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 xml:space="preserve"> </w:t>
            </w:r>
          </w:p>
        </w:tc>
        <w:tc>
          <w:tcPr>
            <w:tcW w:w="964" w:type="dxa"/>
            <w:tcBorders>
              <w:top w:val="nil"/>
              <w:left w:val="nil"/>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 xml:space="preserve"> </w:t>
            </w:r>
          </w:p>
        </w:tc>
        <w:tc>
          <w:tcPr>
            <w:tcW w:w="964" w:type="dxa"/>
            <w:tcBorders>
              <w:top w:val="nil"/>
              <w:left w:val="nil"/>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 xml:space="preserve"> </w:t>
            </w:r>
          </w:p>
        </w:tc>
      </w:tr>
      <w:tr w:rsidR="00965D85" w:rsidRPr="002F202F" w:rsidTr="008B46DF">
        <w:tc>
          <w:tcPr>
            <w:tcW w:w="3911" w:type="dxa"/>
            <w:tcBorders>
              <w:top w:val="nil"/>
              <w:left w:val="nil"/>
              <w:right w:val="nil"/>
            </w:tcBorders>
            <w:shd w:val="clear" w:color="auto" w:fill="FFFFFF"/>
          </w:tcPr>
          <w:p w:rsidR="00965D85" w:rsidRPr="002F202F"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Financial assets</w:t>
            </w:r>
          </w:p>
        </w:tc>
        <w:tc>
          <w:tcPr>
            <w:tcW w:w="964" w:type="dxa"/>
            <w:tcBorders>
              <w:top w:val="nil"/>
              <w:left w:val="nil"/>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49 718</w:t>
            </w:r>
          </w:p>
        </w:tc>
        <w:tc>
          <w:tcPr>
            <w:tcW w:w="964" w:type="dxa"/>
            <w:tcBorders>
              <w:top w:val="nil"/>
              <w:left w:val="nil"/>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51 518</w:t>
            </w:r>
          </w:p>
        </w:tc>
        <w:tc>
          <w:tcPr>
            <w:tcW w:w="964" w:type="dxa"/>
            <w:tcBorders>
              <w:top w:val="nil"/>
              <w:left w:val="nil"/>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52 325</w:t>
            </w:r>
          </w:p>
        </w:tc>
        <w:tc>
          <w:tcPr>
            <w:tcW w:w="964" w:type="dxa"/>
            <w:tcBorders>
              <w:top w:val="nil"/>
              <w:left w:val="nil"/>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54 908</w:t>
            </w:r>
          </w:p>
        </w:tc>
      </w:tr>
      <w:tr w:rsidR="00965D85" w:rsidRPr="002F202F" w:rsidTr="008B46DF">
        <w:tc>
          <w:tcPr>
            <w:tcW w:w="3911" w:type="dxa"/>
            <w:tcBorders>
              <w:top w:val="nil"/>
              <w:left w:val="nil"/>
              <w:bottom w:val="single" w:sz="6" w:space="0" w:color="auto"/>
              <w:right w:val="nil"/>
            </w:tcBorders>
            <w:shd w:val="clear" w:color="auto" w:fill="FFFFFF"/>
          </w:tcPr>
          <w:p w:rsidR="00965D85" w:rsidRPr="002F202F"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Non</w:t>
            </w:r>
            <w:r>
              <w:rPr>
                <w:rFonts w:ascii="Calibri" w:eastAsiaTheme="minorEastAsia" w:hAnsi="Calibri" w:cs="Calibri"/>
                <w:color w:val="000000"/>
                <w:sz w:val="20"/>
                <w:lang w:eastAsia="en-AU"/>
              </w:rPr>
              <w:noBreakHyphen/>
            </w:r>
            <w:r w:rsidRPr="002F202F">
              <w:rPr>
                <w:rFonts w:ascii="Calibri" w:eastAsiaTheme="minorEastAsia" w:hAnsi="Calibri" w:cs="Calibri"/>
                <w:color w:val="000000"/>
                <w:sz w:val="20"/>
                <w:lang w:eastAsia="en-AU"/>
              </w:rPr>
              <w:t>financial assets</w:t>
            </w:r>
          </w:p>
        </w:tc>
        <w:tc>
          <w:tcPr>
            <w:tcW w:w="964" w:type="dxa"/>
            <w:tcBorders>
              <w:top w:val="nil"/>
              <w:left w:val="nil"/>
              <w:bottom w:val="single" w:sz="6" w:space="0" w:color="auto"/>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210 874</w:t>
            </w:r>
          </w:p>
        </w:tc>
        <w:tc>
          <w:tcPr>
            <w:tcW w:w="964" w:type="dxa"/>
            <w:tcBorders>
              <w:top w:val="nil"/>
              <w:left w:val="nil"/>
              <w:bottom w:val="single" w:sz="6" w:space="0" w:color="auto"/>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214 841</w:t>
            </w:r>
          </w:p>
        </w:tc>
        <w:tc>
          <w:tcPr>
            <w:tcW w:w="964" w:type="dxa"/>
            <w:tcBorders>
              <w:top w:val="nil"/>
              <w:left w:val="nil"/>
              <w:bottom w:val="single" w:sz="6" w:space="0" w:color="auto"/>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226 772</w:t>
            </w:r>
          </w:p>
        </w:tc>
        <w:tc>
          <w:tcPr>
            <w:tcW w:w="964" w:type="dxa"/>
            <w:tcBorders>
              <w:top w:val="nil"/>
              <w:left w:val="nil"/>
              <w:bottom w:val="single" w:sz="6" w:space="0" w:color="auto"/>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228 850</w:t>
            </w:r>
          </w:p>
        </w:tc>
      </w:tr>
      <w:tr w:rsidR="00965D85" w:rsidRPr="002F202F" w:rsidTr="008B46DF">
        <w:tc>
          <w:tcPr>
            <w:tcW w:w="3911" w:type="dxa"/>
            <w:tcBorders>
              <w:top w:val="single" w:sz="6" w:space="0" w:color="auto"/>
              <w:left w:val="nil"/>
              <w:right w:val="nil"/>
            </w:tcBorders>
            <w:shd w:val="clear" w:color="auto" w:fill="FFFFFF"/>
          </w:tcPr>
          <w:p w:rsidR="00965D85" w:rsidRPr="002F202F" w:rsidRDefault="00965D85" w:rsidP="008B46DF">
            <w:pPr>
              <w:autoSpaceDE w:val="0"/>
              <w:autoSpaceDN w:val="0"/>
              <w:adjustRightInd w:val="0"/>
              <w:spacing w:after="0"/>
              <w:ind w:left="227" w:hanging="227"/>
              <w:rPr>
                <w:rFonts w:ascii="Calibri" w:eastAsiaTheme="minorEastAsia" w:hAnsi="Calibri" w:cs="Calibri"/>
                <w:b/>
                <w:bCs/>
                <w:color w:val="000000"/>
                <w:sz w:val="20"/>
                <w:lang w:eastAsia="en-AU"/>
              </w:rPr>
            </w:pPr>
            <w:r w:rsidRPr="002F202F">
              <w:rPr>
                <w:rFonts w:ascii="Calibri" w:eastAsiaTheme="minorEastAsia" w:hAnsi="Calibri" w:cs="Calibri"/>
                <w:b/>
                <w:bCs/>
                <w:color w:val="000000"/>
                <w:sz w:val="20"/>
                <w:lang w:eastAsia="en-AU"/>
              </w:rPr>
              <w:t>Total Assets</w:t>
            </w:r>
          </w:p>
        </w:tc>
        <w:tc>
          <w:tcPr>
            <w:tcW w:w="964" w:type="dxa"/>
            <w:tcBorders>
              <w:top w:val="single" w:sz="6" w:space="0" w:color="auto"/>
              <w:left w:val="nil"/>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b/>
                <w:color w:val="000000"/>
                <w:sz w:val="20"/>
                <w:lang w:eastAsia="en-AU"/>
              </w:rPr>
            </w:pPr>
            <w:r w:rsidRPr="002F202F">
              <w:rPr>
                <w:rFonts w:ascii="Calibri" w:eastAsiaTheme="minorEastAsia" w:hAnsi="Calibri" w:cs="Calibri"/>
                <w:b/>
                <w:color w:val="000000"/>
                <w:sz w:val="20"/>
                <w:lang w:eastAsia="en-AU"/>
              </w:rPr>
              <w:t>260 591</w:t>
            </w:r>
          </w:p>
        </w:tc>
        <w:tc>
          <w:tcPr>
            <w:tcW w:w="964" w:type="dxa"/>
            <w:tcBorders>
              <w:top w:val="single" w:sz="6" w:space="0" w:color="auto"/>
              <w:left w:val="nil"/>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b/>
                <w:color w:val="000000"/>
                <w:sz w:val="20"/>
                <w:lang w:eastAsia="en-AU"/>
              </w:rPr>
            </w:pPr>
            <w:r w:rsidRPr="002F202F">
              <w:rPr>
                <w:rFonts w:ascii="Calibri" w:eastAsiaTheme="minorEastAsia" w:hAnsi="Calibri" w:cs="Calibri"/>
                <w:b/>
                <w:color w:val="000000"/>
                <w:sz w:val="20"/>
                <w:lang w:eastAsia="en-AU"/>
              </w:rPr>
              <w:t>266 359</w:t>
            </w:r>
          </w:p>
        </w:tc>
        <w:tc>
          <w:tcPr>
            <w:tcW w:w="964" w:type="dxa"/>
            <w:tcBorders>
              <w:top w:val="single" w:sz="6" w:space="0" w:color="auto"/>
              <w:left w:val="nil"/>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b/>
                <w:color w:val="000000"/>
                <w:sz w:val="20"/>
                <w:lang w:eastAsia="en-AU"/>
              </w:rPr>
            </w:pPr>
            <w:r w:rsidRPr="002F202F">
              <w:rPr>
                <w:rFonts w:ascii="Calibri" w:eastAsiaTheme="minorEastAsia" w:hAnsi="Calibri" w:cs="Calibri"/>
                <w:b/>
                <w:color w:val="000000"/>
                <w:sz w:val="20"/>
                <w:lang w:eastAsia="en-AU"/>
              </w:rPr>
              <w:t>279 097</w:t>
            </w:r>
          </w:p>
        </w:tc>
        <w:tc>
          <w:tcPr>
            <w:tcW w:w="964" w:type="dxa"/>
            <w:tcBorders>
              <w:top w:val="single" w:sz="6" w:space="0" w:color="auto"/>
              <w:left w:val="nil"/>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b/>
                <w:color w:val="000000"/>
                <w:sz w:val="20"/>
                <w:lang w:eastAsia="en-AU"/>
              </w:rPr>
            </w:pPr>
            <w:r w:rsidRPr="002F202F">
              <w:rPr>
                <w:rFonts w:ascii="Calibri" w:eastAsiaTheme="minorEastAsia" w:hAnsi="Calibri" w:cs="Calibri"/>
                <w:b/>
                <w:color w:val="000000"/>
                <w:sz w:val="20"/>
                <w:lang w:eastAsia="en-AU"/>
              </w:rPr>
              <w:t>283 758</w:t>
            </w:r>
          </w:p>
        </w:tc>
      </w:tr>
      <w:tr w:rsidR="00965D85" w:rsidRPr="002F202F" w:rsidTr="008B46DF">
        <w:tc>
          <w:tcPr>
            <w:tcW w:w="3911" w:type="dxa"/>
            <w:tcBorders>
              <w:top w:val="nil"/>
              <w:left w:val="nil"/>
              <w:right w:val="nil"/>
            </w:tcBorders>
            <w:shd w:val="clear" w:color="auto" w:fill="FFFFFF"/>
          </w:tcPr>
          <w:p w:rsidR="00965D85" w:rsidRPr="002F202F" w:rsidRDefault="00965D85" w:rsidP="008B46DF">
            <w:pPr>
              <w:autoSpaceDE w:val="0"/>
              <w:autoSpaceDN w:val="0"/>
              <w:adjustRightInd w:val="0"/>
              <w:spacing w:after="0"/>
              <w:ind w:left="227" w:hanging="227"/>
              <w:rPr>
                <w:rFonts w:ascii="Calibri" w:eastAsiaTheme="minorEastAsia" w:hAnsi="Calibri" w:cs="Calibri"/>
                <w:b/>
                <w:bCs/>
                <w:color w:val="000000"/>
                <w:sz w:val="20"/>
                <w:lang w:eastAsia="en-AU"/>
              </w:rPr>
            </w:pPr>
            <w:r w:rsidRPr="002F202F">
              <w:rPr>
                <w:rFonts w:ascii="Calibri" w:eastAsiaTheme="minorEastAsia" w:hAnsi="Calibri" w:cs="Calibri"/>
                <w:b/>
                <w:bCs/>
                <w:color w:val="000000"/>
                <w:sz w:val="20"/>
                <w:lang w:eastAsia="en-AU"/>
              </w:rPr>
              <w:t>Liabilities</w:t>
            </w:r>
          </w:p>
        </w:tc>
        <w:tc>
          <w:tcPr>
            <w:tcW w:w="964" w:type="dxa"/>
            <w:tcBorders>
              <w:top w:val="nil"/>
              <w:left w:val="nil"/>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 xml:space="preserve"> </w:t>
            </w:r>
          </w:p>
        </w:tc>
        <w:tc>
          <w:tcPr>
            <w:tcW w:w="964" w:type="dxa"/>
            <w:tcBorders>
              <w:top w:val="nil"/>
              <w:left w:val="nil"/>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 xml:space="preserve"> </w:t>
            </w:r>
          </w:p>
        </w:tc>
        <w:tc>
          <w:tcPr>
            <w:tcW w:w="964" w:type="dxa"/>
            <w:tcBorders>
              <w:top w:val="nil"/>
              <w:left w:val="nil"/>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 xml:space="preserve"> </w:t>
            </w:r>
          </w:p>
        </w:tc>
        <w:tc>
          <w:tcPr>
            <w:tcW w:w="964" w:type="dxa"/>
            <w:tcBorders>
              <w:top w:val="nil"/>
              <w:left w:val="nil"/>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 xml:space="preserve"> </w:t>
            </w:r>
          </w:p>
        </w:tc>
      </w:tr>
      <w:tr w:rsidR="00965D85" w:rsidRPr="002F202F" w:rsidTr="008B46DF">
        <w:tc>
          <w:tcPr>
            <w:tcW w:w="3911" w:type="dxa"/>
            <w:tcBorders>
              <w:top w:val="nil"/>
              <w:left w:val="nil"/>
              <w:right w:val="nil"/>
            </w:tcBorders>
            <w:shd w:val="clear" w:color="auto" w:fill="FFFFFF"/>
          </w:tcPr>
          <w:p w:rsidR="00965D85" w:rsidRPr="002F202F"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Superannuation</w:t>
            </w:r>
          </w:p>
        </w:tc>
        <w:tc>
          <w:tcPr>
            <w:tcW w:w="964" w:type="dxa"/>
            <w:tcBorders>
              <w:top w:val="nil"/>
              <w:left w:val="nil"/>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27 510</w:t>
            </w:r>
          </w:p>
        </w:tc>
        <w:tc>
          <w:tcPr>
            <w:tcW w:w="964" w:type="dxa"/>
            <w:tcBorders>
              <w:top w:val="nil"/>
              <w:left w:val="nil"/>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26 735</w:t>
            </w:r>
          </w:p>
        </w:tc>
        <w:tc>
          <w:tcPr>
            <w:tcW w:w="964" w:type="dxa"/>
            <w:tcBorders>
              <w:top w:val="nil"/>
              <w:left w:val="nil"/>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25 930</w:t>
            </w:r>
          </w:p>
        </w:tc>
        <w:tc>
          <w:tcPr>
            <w:tcW w:w="964" w:type="dxa"/>
            <w:tcBorders>
              <w:top w:val="nil"/>
              <w:left w:val="nil"/>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25 095</w:t>
            </w:r>
          </w:p>
        </w:tc>
      </w:tr>
      <w:tr w:rsidR="00965D85" w:rsidRPr="002F202F" w:rsidTr="008B46DF">
        <w:tc>
          <w:tcPr>
            <w:tcW w:w="3911" w:type="dxa"/>
            <w:tcBorders>
              <w:top w:val="nil"/>
              <w:left w:val="nil"/>
              <w:right w:val="nil"/>
            </w:tcBorders>
            <w:shd w:val="clear" w:color="auto" w:fill="FFFFFF"/>
          </w:tcPr>
          <w:p w:rsidR="00965D85" w:rsidRPr="002F202F"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Borrowings</w:t>
            </w:r>
          </w:p>
        </w:tc>
        <w:tc>
          <w:tcPr>
            <w:tcW w:w="964" w:type="dxa"/>
            <w:tcBorders>
              <w:top w:val="nil"/>
              <w:left w:val="nil"/>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47 096</w:t>
            </w:r>
          </w:p>
        </w:tc>
        <w:tc>
          <w:tcPr>
            <w:tcW w:w="964" w:type="dxa"/>
            <w:tcBorders>
              <w:top w:val="nil"/>
              <w:left w:val="nil"/>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49 684</w:t>
            </w:r>
          </w:p>
        </w:tc>
        <w:tc>
          <w:tcPr>
            <w:tcW w:w="964" w:type="dxa"/>
            <w:tcBorders>
              <w:top w:val="nil"/>
              <w:left w:val="nil"/>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50 493</w:t>
            </w:r>
          </w:p>
        </w:tc>
        <w:tc>
          <w:tcPr>
            <w:tcW w:w="964" w:type="dxa"/>
            <w:tcBorders>
              <w:top w:val="nil"/>
              <w:left w:val="nil"/>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51 959</w:t>
            </w:r>
          </w:p>
        </w:tc>
      </w:tr>
      <w:tr w:rsidR="00965D85" w:rsidRPr="002F202F" w:rsidTr="008B46DF">
        <w:tc>
          <w:tcPr>
            <w:tcW w:w="3911" w:type="dxa"/>
            <w:tcBorders>
              <w:top w:val="nil"/>
              <w:left w:val="nil"/>
              <w:right w:val="nil"/>
            </w:tcBorders>
            <w:shd w:val="clear" w:color="auto" w:fill="FFFFFF"/>
          </w:tcPr>
          <w:p w:rsidR="00965D85" w:rsidRPr="002F202F"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Deposits held and advances received</w:t>
            </w:r>
          </w:p>
        </w:tc>
        <w:tc>
          <w:tcPr>
            <w:tcW w:w="964" w:type="dxa"/>
            <w:tcBorders>
              <w:top w:val="nil"/>
              <w:left w:val="nil"/>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2 243</w:t>
            </w:r>
          </w:p>
        </w:tc>
        <w:tc>
          <w:tcPr>
            <w:tcW w:w="964" w:type="dxa"/>
            <w:tcBorders>
              <w:top w:val="nil"/>
              <w:left w:val="nil"/>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2 244</w:t>
            </w:r>
          </w:p>
        </w:tc>
        <w:tc>
          <w:tcPr>
            <w:tcW w:w="964" w:type="dxa"/>
            <w:tcBorders>
              <w:top w:val="nil"/>
              <w:left w:val="nil"/>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2 246</w:t>
            </w:r>
          </w:p>
        </w:tc>
        <w:tc>
          <w:tcPr>
            <w:tcW w:w="964" w:type="dxa"/>
            <w:tcBorders>
              <w:top w:val="nil"/>
              <w:left w:val="nil"/>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2 248</w:t>
            </w:r>
          </w:p>
        </w:tc>
      </w:tr>
      <w:tr w:rsidR="00965D85" w:rsidRPr="002F202F" w:rsidTr="008B46DF">
        <w:tc>
          <w:tcPr>
            <w:tcW w:w="3911" w:type="dxa"/>
            <w:tcBorders>
              <w:top w:val="nil"/>
              <w:left w:val="nil"/>
              <w:bottom w:val="single" w:sz="6" w:space="0" w:color="auto"/>
              <w:right w:val="nil"/>
            </w:tcBorders>
            <w:shd w:val="clear" w:color="auto" w:fill="FFFFFF"/>
          </w:tcPr>
          <w:p w:rsidR="00965D85" w:rsidRPr="002F202F"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other liabilities</w:t>
            </w:r>
          </w:p>
        </w:tc>
        <w:tc>
          <w:tcPr>
            <w:tcW w:w="964" w:type="dxa"/>
            <w:tcBorders>
              <w:top w:val="nil"/>
              <w:left w:val="nil"/>
              <w:bottom w:val="single" w:sz="6" w:space="0" w:color="auto"/>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41 636</w:t>
            </w:r>
          </w:p>
        </w:tc>
        <w:tc>
          <w:tcPr>
            <w:tcW w:w="964" w:type="dxa"/>
            <w:tcBorders>
              <w:top w:val="nil"/>
              <w:left w:val="nil"/>
              <w:bottom w:val="single" w:sz="6" w:space="0" w:color="auto"/>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43 203</w:t>
            </w:r>
          </w:p>
        </w:tc>
        <w:tc>
          <w:tcPr>
            <w:tcW w:w="964" w:type="dxa"/>
            <w:tcBorders>
              <w:top w:val="nil"/>
              <w:left w:val="nil"/>
              <w:bottom w:val="single" w:sz="6" w:space="0" w:color="auto"/>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44 809</w:t>
            </w:r>
          </w:p>
        </w:tc>
        <w:tc>
          <w:tcPr>
            <w:tcW w:w="964" w:type="dxa"/>
            <w:tcBorders>
              <w:top w:val="nil"/>
              <w:left w:val="nil"/>
              <w:bottom w:val="single" w:sz="6" w:space="0" w:color="auto"/>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2F202F">
              <w:rPr>
                <w:rFonts w:ascii="Calibri" w:eastAsiaTheme="minorEastAsia" w:hAnsi="Calibri" w:cs="Calibri"/>
                <w:color w:val="000000"/>
                <w:sz w:val="20"/>
                <w:lang w:eastAsia="en-AU"/>
              </w:rPr>
              <w:t>46 419</w:t>
            </w:r>
          </w:p>
        </w:tc>
      </w:tr>
      <w:tr w:rsidR="00965D85" w:rsidRPr="002F202F" w:rsidTr="008B46DF">
        <w:tc>
          <w:tcPr>
            <w:tcW w:w="3911" w:type="dxa"/>
            <w:tcBorders>
              <w:top w:val="single" w:sz="6" w:space="0" w:color="auto"/>
              <w:left w:val="nil"/>
              <w:bottom w:val="single" w:sz="6" w:space="0" w:color="auto"/>
              <w:right w:val="nil"/>
            </w:tcBorders>
            <w:shd w:val="clear" w:color="auto" w:fill="FFFFFF"/>
          </w:tcPr>
          <w:p w:rsidR="00965D85" w:rsidRPr="002F202F" w:rsidRDefault="00965D85" w:rsidP="008B46DF">
            <w:pPr>
              <w:autoSpaceDE w:val="0"/>
              <w:autoSpaceDN w:val="0"/>
              <w:adjustRightInd w:val="0"/>
              <w:spacing w:after="0"/>
              <w:ind w:left="227" w:hanging="227"/>
              <w:rPr>
                <w:rFonts w:ascii="Calibri" w:eastAsiaTheme="minorEastAsia" w:hAnsi="Calibri" w:cs="Calibri"/>
                <w:b/>
                <w:bCs/>
                <w:color w:val="000000"/>
                <w:sz w:val="20"/>
                <w:lang w:eastAsia="en-AU"/>
              </w:rPr>
            </w:pPr>
            <w:r w:rsidRPr="002F202F">
              <w:rPr>
                <w:rFonts w:ascii="Calibri" w:eastAsiaTheme="minorEastAsia" w:hAnsi="Calibri" w:cs="Calibri"/>
                <w:b/>
                <w:bCs/>
                <w:color w:val="000000"/>
                <w:sz w:val="20"/>
                <w:lang w:eastAsia="en-AU"/>
              </w:rPr>
              <w:t>Total liabilities</w:t>
            </w:r>
          </w:p>
        </w:tc>
        <w:tc>
          <w:tcPr>
            <w:tcW w:w="964" w:type="dxa"/>
            <w:tcBorders>
              <w:top w:val="single" w:sz="6" w:space="0" w:color="auto"/>
              <w:left w:val="nil"/>
              <w:bottom w:val="single" w:sz="6" w:space="0" w:color="auto"/>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b/>
                <w:color w:val="000000"/>
                <w:sz w:val="20"/>
                <w:lang w:eastAsia="en-AU"/>
              </w:rPr>
            </w:pPr>
            <w:r w:rsidRPr="002F202F">
              <w:rPr>
                <w:rFonts w:ascii="Calibri" w:eastAsiaTheme="minorEastAsia" w:hAnsi="Calibri" w:cs="Calibri"/>
                <w:b/>
                <w:color w:val="000000"/>
                <w:sz w:val="20"/>
                <w:lang w:eastAsia="en-AU"/>
              </w:rPr>
              <w:t>118 483</w:t>
            </w:r>
          </w:p>
        </w:tc>
        <w:tc>
          <w:tcPr>
            <w:tcW w:w="964" w:type="dxa"/>
            <w:tcBorders>
              <w:top w:val="single" w:sz="6" w:space="0" w:color="auto"/>
              <w:left w:val="nil"/>
              <w:bottom w:val="single" w:sz="6" w:space="0" w:color="auto"/>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b/>
                <w:color w:val="000000"/>
                <w:sz w:val="20"/>
                <w:lang w:eastAsia="en-AU"/>
              </w:rPr>
            </w:pPr>
            <w:r w:rsidRPr="002F202F">
              <w:rPr>
                <w:rFonts w:ascii="Calibri" w:eastAsiaTheme="minorEastAsia" w:hAnsi="Calibri" w:cs="Calibri"/>
                <w:b/>
                <w:color w:val="000000"/>
                <w:sz w:val="20"/>
                <w:lang w:eastAsia="en-AU"/>
              </w:rPr>
              <w:t>121 866</w:t>
            </w:r>
          </w:p>
        </w:tc>
        <w:tc>
          <w:tcPr>
            <w:tcW w:w="964" w:type="dxa"/>
            <w:tcBorders>
              <w:top w:val="single" w:sz="6" w:space="0" w:color="auto"/>
              <w:left w:val="nil"/>
              <w:bottom w:val="single" w:sz="6" w:space="0" w:color="auto"/>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b/>
                <w:color w:val="000000"/>
                <w:sz w:val="20"/>
                <w:lang w:eastAsia="en-AU"/>
              </w:rPr>
            </w:pPr>
            <w:r w:rsidRPr="002F202F">
              <w:rPr>
                <w:rFonts w:ascii="Calibri" w:eastAsiaTheme="minorEastAsia" w:hAnsi="Calibri" w:cs="Calibri"/>
                <w:b/>
                <w:color w:val="000000"/>
                <w:sz w:val="20"/>
                <w:lang w:eastAsia="en-AU"/>
              </w:rPr>
              <w:t>123 478</w:t>
            </w:r>
          </w:p>
        </w:tc>
        <w:tc>
          <w:tcPr>
            <w:tcW w:w="964" w:type="dxa"/>
            <w:tcBorders>
              <w:top w:val="single" w:sz="6" w:space="0" w:color="auto"/>
              <w:left w:val="nil"/>
              <w:bottom w:val="single" w:sz="6" w:space="0" w:color="auto"/>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b/>
                <w:color w:val="000000"/>
                <w:sz w:val="20"/>
                <w:lang w:eastAsia="en-AU"/>
              </w:rPr>
            </w:pPr>
            <w:r w:rsidRPr="002F202F">
              <w:rPr>
                <w:rFonts w:ascii="Calibri" w:eastAsiaTheme="minorEastAsia" w:hAnsi="Calibri" w:cs="Calibri"/>
                <w:b/>
                <w:color w:val="000000"/>
                <w:sz w:val="20"/>
                <w:lang w:eastAsia="en-AU"/>
              </w:rPr>
              <w:t>125 721</w:t>
            </w:r>
          </w:p>
        </w:tc>
      </w:tr>
      <w:tr w:rsidR="00965D85" w:rsidRPr="002F202F" w:rsidTr="008B46DF">
        <w:tc>
          <w:tcPr>
            <w:tcW w:w="3911" w:type="dxa"/>
            <w:tcBorders>
              <w:top w:val="single" w:sz="6" w:space="0" w:color="auto"/>
              <w:left w:val="nil"/>
              <w:bottom w:val="single" w:sz="12" w:space="0" w:color="auto"/>
              <w:right w:val="nil"/>
            </w:tcBorders>
            <w:shd w:val="clear" w:color="auto" w:fill="FFFFFF"/>
          </w:tcPr>
          <w:p w:rsidR="00965D85" w:rsidRPr="002F202F" w:rsidRDefault="00965D85" w:rsidP="008B46DF">
            <w:pPr>
              <w:autoSpaceDE w:val="0"/>
              <w:autoSpaceDN w:val="0"/>
              <w:adjustRightInd w:val="0"/>
              <w:spacing w:after="0"/>
              <w:ind w:left="227" w:hanging="227"/>
              <w:rPr>
                <w:rFonts w:ascii="Calibri" w:eastAsiaTheme="minorEastAsia" w:hAnsi="Calibri" w:cs="Calibri"/>
                <w:b/>
                <w:bCs/>
                <w:color w:val="000000"/>
                <w:sz w:val="20"/>
                <w:lang w:eastAsia="en-AU"/>
              </w:rPr>
            </w:pPr>
            <w:r w:rsidRPr="002F202F">
              <w:rPr>
                <w:rFonts w:ascii="Calibri" w:eastAsiaTheme="minorEastAsia" w:hAnsi="Calibri" w:cs="Calibri"/>
                <w:b/>
                <w:bCs/>
                <w:color w:val="000000"/>
                <w:sz w:val="20"/>
                <w:lang w:eastAsia="en-AU"/>
              </w:rPr>
              <w:t>Net assets</w:t>
            </w:r>
          </w:p>
        </w:tc>
        <w:tc>
          <w:tcPr>
            <w:tcW w:w="964" w:type="dxa"/>
            <w:tcBorders>
              <w:top w:val="single" w:sz="6" w:space="0" w:color="auto"/>
              <w:left w:val="nil"/>
              <w:bottom w:val="single" w:sz="12" w:space="0" w:color="auto"/>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b/>
                <w:color w:val="000000"/>
                <w:sz w:val="20"/>
                <w:lang w:eastAsia="en-AU"/>
              </w:rPr>
            </w:pPr>
            <w:r w:rsidRPr="002F202F">
              <w:rPr>
                <w:rFonts w:ascii="Calibri" w:eastAsiaTheme="minorEastAsia" w:hAnsi="Calibri" w:cs="Calibri"/>
                <w:b/>
                <w:color w:val="000000"/>
                <w:sz w:val="20"/>
                <w:lang w:eastAsia="en-AU"/>
              </w:rPr>
              <w:t>142 108</w:t>
            </w:r>
          </w:p>
        </w:tc>
        <w:tc>
          <w:tcPr>
            <w:tcW w:w="964" w:type="dxa"/>
            <w:tcBorders>
              <w:top w:val="single" w:sz="6" w:space="0" w:color="auto"/>
              <w:left w:val="nil"/>
              <w:bottom w:val="single" w:sz="12" w:space="0" w:color="auto"/>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b/>
                <w:color w:val="000000"/>
                <w:sz w:val="20"/>
                <w:lang w:eastAsia="en-AU"/>
              </w:rPr>
            </w:pPr>
            <w:r w:rsidRPr="002F202F">
              <w:rPr>
                <w:rFonts w:ascii="Calibri" w:eastAsiaTheme="minorEastAsia" w:hAnsi="Calibri" w:cs="Calibri"/>
                <w:b/>
                <w:color w:val="000000"/>
                <w:sz w:val="20"/>
                <w:lang w:eastAsia="en-AU"/>
              </w:rPr>
              <w:t>144 493</w:t>
            </w:r>
          </w:p>
        </w:tc>
        <w:tc>
          <w:tcPr>
            <w:tcW w:w="964" w:type="dxa"/>
            <w:tcBorders>
              <w:top w:val="single" w:sz="6" w:space="0" w:color="auto"/>
              <w:left w:val="nil"/>
              <w:bottom w:val="single" w:sz="12" w:space="0" w:color="auto"/>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b/>
                <w:color w:val="000000"/>
                <w:sz w:val="20"/>
                <w:lang w:eastAsia="en-AU"/>
              </w:rPr>
            </w:pPr>
            <w:r w:rsidRPr="002F202F">
              <w:rPr>
                <w:rFonts w:ascii="Calibri" w:eastAsiaTheme="minorEastAsia" w:hAnsi="Calibri" w:cs="Calibri"/>
                <w:b/>
                <w:color w:val="000000"/>
                <w:sz w:val="20"/>
                <w:lang w:eastAsia="en-AU"/>
              </w:rPr>
              <w:t>155 619</w:t>
            </w:r>
          </w:p>
        </w:tc>
        <w:tc>
          <w:tcPr>
            <w:tcW w:w="964" w:type="dxa"/>
            <w:tcBorders>
              <w:top w:val="single" w:sz="6" w:space="0" w:color="auto"/>
              <w:left w:val="nil"/>
              <w:bottom w:val="single" w:sz="12" w:space="0" w:color="auto"/>
              <w:right w:val="nil"/>
            </w:tcBorders>
            <w:shd w:val="clear" w:color="auto" w:fill="FFFFFF"/>
          </w:tcPr>
          <w:p w:rsidR="00965D85" w:rsidRPr="002F202F" w:rsidRDefault="00965D85" w:rsidP="008B46DF">
            <w:pPr>
              <w:autoSpaceDE w:val="0"/>
              <w:autoSpaceDN w:val="0"/>
              <w:adjustRightInd w:val="0"/>
              <w:spacing w:after="0"/>
              <w:jc w:val="right"/>
              <w:rPr>
                <w:rFonts w:ascii="Calibri" w:eastAsiaTheme="minorEastAsia" w:hAnsi="Calibri" w:cs="Calibri"/>
                <w:b/>
                <w:color w:val="000000"/>
                <w:sz w:val="20"/>
                <w:lang w:eastAsia="en-AU"/>
              </w:rPr>
            </w:pPr>
            <w:r w:rsidRPr="002F202F">
              <w:rPr>
                <w:rFonts w:ascii="Calibri" w:eastAsiaTheme="minorEastAsia" w:hAnsi="Calibri" w:cs="Calibri"/>
                <w:b/>
                <w:color w:val="000000"/>
                <w:sz w:val="20"/>
                <w:lang w:eastAsia="en-AU"/>
              </w:rPr>
              <w:t>158 037</w:t>
            </w:r>
          </w:p>
        </w:tc>
      </w:tr>
    </w:tbl>
    <w:p w:rsidR="00965D85" w:rsidRDefault="00965D85" w:rsidP="008B46DF">
      <w:pPr>
        <w:pStyle w:val="Source"/>
      </w:pPr>
      <w:r>
        <w:fldChar w:fldCharType="end"/>
      </w:r>
      <w:r w:rsidRPr="0018744A">
        <w:t>Source: Department of Treasury and Finance</w:t>
      </w:r>
    </w:p>
    <w:p w:rsidR="00965D85" w:rsidRPr="00573F93" w:rsidRDefault="00965D85" w:rsidP="008B46DF"/>
    <w:p w:rsidR="00965D85" w:rsidRDefault="00965D85" w:rsidP="008B46DF">
      <w:r w:rsidRPr="00A27500">
        <w:t>Table 3.11 highlights that the State</w:t>
      </w:r>
      <w:r>
        <w:t>’</w:t>
      </w:r>
      <w:r w:rsidRPr="00A27500">
        <w:t>s financial position over the revised budget and the forward estimates. Borrowings are projected to increase during 2016</w:t>
      </w:r>
      <w:r>
        <w:noBreakHyphen/>
      </w:r>
      <w:r w:rsidRPr="00A27500">
        <w:t>17 while financial assets are projected to increase in line with longer term trends in investment returns. As a result</w:t>
      </w:r>
      <w:r>
        <w:t>,</w:t>
      </w:r>
      <w:r w:rsidRPr="00A27500">
        <w:t xml:space="preserve"> the State</w:t>
      </w:r>
      <w:r>
        <w:t>’</w:t>
      </w:r>
      <w:r w:rsidRPr="00A27500">
        <w:t xml:space="preserve">s net assets are </w:t>
      </w:r>
      <w:r>
        <w:t>forecast to increase from $142.1 billion</w:t>
      </w:r>
      <w:r w:rsidRPr="00A27500">
        <w:t xml:space="preserve"> in 2015</w:t>
      </w:r>
      <w:r>
        <w:noBreakHyphen/>
        <w:t>16 to $158 billion</w:t>
      </w:r>
      <w:r w:rsidRPr="00A27500">
        <w:t xml:space="preserve"> in 2018</w:t>
      </w:r>
      <w:r>
        <w:noBreakHyphen/>
      </w:r>
      <w:r w:rsidRPr="00A27500">
        <w:t xml:space="preserve">19. </w:t>
      </w:r>
    </w:p>
    <w:p w:rsidR="00965D85" w:rsidRDefault="00965D85" w:rsidP="008B46DF"/>
    <w:p w:rsidR="00965D85" w:rsidRDefault="00965D85" w:rsidP="00DF54C9">
      <w:pPr>
        <w:sectPr w:rsidR="00965D85" w:rsidSect="00DF54C9">
          <w:footerReference w:type="even" r:id="rId21"/>
          <w:footerReference w:type="default" r:id="rId22"/>
          <w:type w:val="oddPage"/>
          <w:pgSz w:w="9979" w:h="14175" w:code="138"/>
          <w:pgMar w:top="1140" w:right="1140" w:bottom="1140" w:left="1140" w:header="720" w:footer="431" w:gutter="0"/>
          <w:cols w:space="708"/>
          <w:docGrid w:linePitch="360"/>
        </w:sectPr>
      </w:pPr>
    </w:p>
    <w:p w:rsidR="00965D85" w:rsidRPr="00427D0E" w:rsidRDefault="00965D85" w:rsidP="00074C4D">
      <w:pPr>
        <w:pStyle w:val="ChapterHeading"/>
      </w:pPr>
      <w:bookmarkStart w:id="43" w:name="_Toc436147540"/>
      <w:r w:rsidRPr="00427D0E">
        <w:lastRenderedPageBreak/>
        <w:t>Chapter 4 – Estimated financial statements and notes</w:t>
      </w:r>
      <w:bookmarkEnd w:id="43"/>
    </w:p>
    <w:p w:rsidR="00965D85" w:rsidRPr="00E22AD9" w:rsidRDefault="00965D85" w:rsidP="008B46DF">
      <w:pPr>
        <w:pStyle w:val="Tableheading"/>
        <w:rPr>
          <w:rFonts w:ascii="Times New Roman" w:hAnsi="Times New Roman"/>
          <w:b w:val="0"/>
          <w:sz w:val="20"/>
          <w:lang w:eastAsia="en-AU"/>
        </w:rPr>
      </w:pPr>
      <w:r w:rsidRPr="00DF57FA">
        <w:t>Table 4.1:</w:t>
      </w:r>
      <w:r w:rsidRPr="00DF57FA">
        <w:tab/>
        <w:t>Estimated general government sector comprehensive operating statement for the financial year ended 30 June</w:t>
      </w:r>
    </w:p>
    <w:tbl>
      <w:tblPr>
        <w:tblW w:w="7764" w:type="dxa"/>
        <w:tblInd w:w="45" w:type="dxa"/>
        <w:tblLayout w:type="fixed"/>
        <w:tblCellMar>
          <w:left w:w="45" w:type="dxa"/>
          <w:right w:w="45" w:type="dxa"/>
        </w:tblCellMar>
        <w:tblLook w:val="0000" w:firstRow="0" w:lastRow="0" w:firstColumn="0" w:lastColumn="0" w:noHBand="0" w:noVBand="0"/>
      </w:tblPr>
      <w:tblGrid>
        <w:gridCol w:w="2890"/>
        <w:gridCol w:w="611"/>
        <w:gridCol w:w="846"/>
        <w:gridCol w:w="850"/>
        <w:gridCol w:w="865"/>
        <w:gridCol w:w="283"/>
        <w:gridCol w:w="283"/>
        <w:gridCol w:w="284"/>
        <w:gridCol w:w="283"/>
        <w:gridCol w:w="283"/>
        <w:gridCol w:w="286"/>
      </w:tblGrid>
      <w:tr w:rsidR="00965D85" w:rsidRPr="00E22AD9" w:rsidTr="008B46DF">
        <w:trPr>
          <w:tblHeader/>
        </w:trPr>
        <w:tc>
          <w:tcPr>
            <w:tcW w:w="7764" w:type="dxa"/>
            <w:gridSpan w:val="11"/>
            <w:tcBorders>
              <w:top w:val="nil"/>
              <w:left w:val="nil"/>
              <w:bottom w:val="nil"/>
              <w:right w:val="nil"/>
            </w:tcBorders>
          </w:tcPr>
          <w:p w:rsidR="00965D85" w:rsidRPr="00E22AD9" w:rsidRDefault="00965D85" w:rsidP="008B46DF">
            <w:pPr>
              <w:pStyle w:val="million"/>
              <w:rPr>
                <w:rFonts w:eastAsiaTheme="minorEastAsia"/>
                <w:sz w:val="19"/>
                <w:lang w:eastAsia="en-AU"/>
              </w:rPr>
            </w:pPr>
            <w:r w:rsidRPr="00E22AD9">
              <w:rPr>
                <w:rFonts w:eastAsiaTheme="minorEastAsia"/>
                <w:sz w:val="19"/>
                <w:lang w:eastAsia="en-AU"/>
              </w:rPr>
              <w:t>($ million)</w:t>
            </w:r>
          </w:p>
        </w:tc>
      </w:tr>
      <w:tr w:rsidR="00965D85" w:rsidRPr="00E22AD9" w:rsidTr="008B46DF">
        <w:trPr>
          <w:trHeight w:val="464"/>
          <w:tblHeader/>
        </w:trPr>
        <w:tc>
          <w:tcPr>
            <w:tcW w:w="2890" w:type="dxa"/>
            <w:tcBorders>
              <w:top w:val="nil"/>
              <w:left w:val="nil"/>
              <w:right w:val="nil"/>
            </w:tcBorders>
            <w:shd w:val="solid" w:color="000000" w:fill="auto"/>
          </w:tcPr>
          <w:p w:rsidR="00965D85" w:rsidRPr="00E22AD9" w:rsidRDefault="00965D85" w:rsidP="008B46DF">
            <w:pPr>
              <w:autoSpaceDE w:val="0"/>
              <w:autoSpaceDN w:val="0"/>
              <w:adjustRightInd w:val="0"/>
              <w:spacing w:after="0"/>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 xml:space="preserve"> </w:t>
            </w:r>
          </w:p>
          <w:p w:rsidR="00965D85" w:rsidRPr="00E22AD9" w:rsidRDefault="00965D85" w:rsidP="008B46DF">
            <w:pPr>
              <w:autoSpaceDE w:val="0"/>
              <w:autoSpaceDN w:val="0"/>
              <w:adjustRightInd w:val="0"/>
              <w:spacing w:after="0"/>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 xml:space="preserve"> </w:t>
            </w:r>
          </w:p>
        </w:tc>
        <w:tc>
          <w:tcPr>
            <w:tcW w:w="611" w:type="dxa"/>
            <w:tcBorders>
              <w:top w:val="nil"/>
              <w:left w:val="nil"/>
              <w:right w:val="nil"/>
            </w:tcBorders>
            <w:shd w:val="solid" w:color="000000" w:fill="auto"/>
          </w:tcPr>
          <w:p w:rsidR="00965D85" w:rsidRPr="00E22AD9" w:rsidRDefault="00965D85" w:rsidP="008B46DF">
            <w:pPr>
              <w:autoSpaceDE w:val="0"/>
              <w:autoSpaceDN w:val="0"/>
              <w:adjustRightInd w:val="0"/>
              <w:spacing w:after="0"/>
              <w:jc w:val="center"/>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 xml:space="preserve"> </w:t>
            </w:r>
          </w:p>
          <w:p w:rsidR="00965D85" w:rsidRPr="00E22AD9" w:rsidRDefault="00965D85" w:rsidP="008B46DF">
            <w:pPr>
              <w:autoSpaceDE w:val="0"/>
              <w:autoSpaceDN w:val="0"/>
              <w:adjustRightInd w:val="0"/>
              <w:spacing w:after="0"/>
              <w:jc w:val="center"/>
              <w:rPr>
                <w:rFonts w:ascii="Calibri" w:eastAsiaTheme="minorEastAsia" w:hAnsi="Calibri" w:cs="Calibri"/>
                <w:color w:val="000000"/>
                <w:sz w:val="19"/>
                <w:lang w:eastAsia="en-AU"/>
              </w:rPr>
            </w:pPr>
            <w:r w:rsidRPr="00E22AD9">
              <w:rPr>
                <w:rFonts w:ascii="Calibri" w:eastAsiaTheme="minorEastAsia" w:hAnsi="Calibri" w:cs="Calibri"/>
                <w:i/>
                <w:iCs/>
                <w:color w:val="FFFFFF"/>
                <w:sz w:val="19"/>
                <w:lang w:eastAsia="en-AU"/>
              </w:rPr>
              <w:t>Notes</w:t>
            </w:r>
          </w:p>
        </w:tc>
        <w:tc>
          <w:tcPr>
            <w:tcW w:w="846" w:type="dxa"/>
            <w:tcBorders>
              <w:top w:val="nil"/>
              <w:left w:val="nil"/>
              <w:right w:val="nil"/>
            </w:tcBorders>
            <w:shd w:val="solid" w:color="000000" w:fill="auto"/>
          </w:tcPr>
          <w:p w:rsidR="00965D85" w:rsidRPr="00E22AD9" w:rsidRDefault="00965D85" w:rsidP="008B46DF">
            <w:pPr>
              <w:autoSpaceDE w:val="0"/>
              <w:autoSpaceDN w:val="0"/>
              <w:adjustRightInd w:val="0"/>
              <w:spacing w:after="0"/>
              <w:jc w:val="right"/>
              <w:rPr>
                <w:rFonts w:ascii="Calibri" w:eastAsiaTheme="minorEastAsia" w:hAnsi="Calibri" w:cs="Calibri"/>
                <w:i/>
                <w:iCs/>
                <w:color w:val="FFFFFF"/>
                <w:sz w:val="19"/>
                <w:lang w:eastAsia="en-AU"/>
              </w:rPr>
            </w:pPr>
            <w:r w:rsidRPr="00E22AD9">
              <w:rPr>
                <w:rFonts w:ascii="Calibri" w:eastAsiaTheme="minorEastAsia" w:hAnsi="Calibri" w:cs="Calibri"/>
                <w:i/>
                <w:iCs/>
                <w:color w:val="FFFFFF"/>
                <w:sz w:val="19"/>
                <w:lang w:eastAsia="en-AU"/>
              </w:rPr>
              <w:t>2015</w:t>
            </w:r>
            <w:r>
              <w:rPr>
                <w:rFonts w:ascii="Calibri" w:eastAsiaTheme="minorEastAsia" w:hAnsi="Calibri" w:cs="Calibri"/>
                <w:i/>
                <w:iCs/>
                <w:color w:val="FFFFFF"/>
                <w:sz w:val="19"/>
                <w:lang w:eastAsia="en-AU"/>
              </w:rPr>
              <w:noBreakHyphen/>
            </w:r>
            <w:r w:rsidRPr="00E22AD9">
              <w:rPr>
                <w:rFonts w:ascii="Calibri" w:eastAsiaTheme="minorEastAsia" w:hAnsi="Calibri" w:cs="Calibri"/>
                <w:i/>
                <w:iCs/>
                <w:color w:val="FFFFFF"/>
                <w:sz w:val="19"/>
                <w:lang w:eastAsia="en-AU"/>
              </w:rPr>
              <w:t>16</w:t>
            </w:r>
          </w:p>
          <w:p w:rsidR="00965D85" w:rsidRPr="00E22AD9" w:rsidRDefault="00965D85" w:rsidP="008B46DF">
            <w:pPr>
              <w:autoSpaceDE w:val="0"/>
              <w:autoSpaceDN w:val="0"/>
              <w:adjustRightInd w:val="0"/>
              <w:spacing w:after="0"/>
              <w:jc w:val="right"/>
              <w:rPr>
                <w:rFonts w:ascii="Calibri" w:eastAsiaTheme="minorEastAsia" w:hAnsi="Calibri" w:cs="Calibri"/>
                <w:i/>
                <w:iCs/>
                <w:color w:val="FFFFFF"/>
                <w:sz w:val="19"/>
                <w:lang w:eastAsia="en-AU"/>
              </w:rPr>
            </w:pPr>
            <w:r w:rsidRPr="00E22AD9">
              <w:rPr>
                <w:rFonts w:ascii="Calibri" w:eastAsiaTheme="minorEastAsia" w:hAnsi="Calibri" w:cs="Calibri"/>
                <w:i/>
                <w:iCs/>
                <w:color w:val="FFFFFF"/>
                <w:sz w:val="19"/>
                <w:lang w:eastAsia="en-AU"/>
              </w:rPr>
              <w:t>budget</w:t>
            </w:r>
          </w:p>
        </w:tc>
        <w:tc>
          <w:tcPr>
            <w:tcW w:w="850" w:type="dxa"/>
            <w:tcBorders>
              <w:top w:val="nil"/>
              <w:left w:val="nil"/>
              <w:right w:val="nil"/>
            </w:tcBorders>
            <w:shd w:val="solid" w:color="000000" w:fill="auto"/>
          </w:tcPr>
          <w:p w:rsidR="00965D85" w:rsidRPr="00E22AD9" w:rsidRDefault="00965D85" w:rsidP="008B46DF">
            <w:pPr>
              <w:autoSpaceDE w:val="0"/>
              <w:autoSpaceDN w:val="0"/>
              <w:adjustRightInd w:val="0"/>
              <w:spacing w:after="0"/>
              <w:jc w:val="right"/>
              <w:rPr>
                <w:rFonts w:ascii="Calibri" w:eastAsiaTheme="minorEastAsia" w:hAnsi="Calibri" w:cs="Calibri"/>
                <w:i/>
                <w:iCs/>
                <w:color w:val="FFFFFF"/>
                <w:sz w:val="19"/>
                <w:lang w:eastAsia="en-AU"/>
              </w:rPr>
            </w:pPr>
            <w:r w:rsidRPr="00E22AD9">
              <w:rPr>
                <w:rFonts w:ascii="Calibri" w:eastAsiaTheme="minorEastAsia" w:hAnsi="Calibri" w:cs="Calibri"/>
                <w:i/>
                <w:iCs/>
                <w:color w:val="FFFFFF"/>
                <w:sz w:val="19"/>
                <w:lang w:eastAsia="en-AU"/>
              </w:rPr>
              <w:t>2015</w:t>
            </w:r>
            <w:r>
              <w:rPr>
                <w:rFonts w:ascii="Calibri" w:eastAsiaTheme="minorEastAsia" w:hAnsi="Calibri" w:cs="Calibri"/>
                <w:i/>
                <w:iCs/>
                <w:color w:val="FFFFFF"/>
                <w:sz w:val="19"/>
                <w:lang w:eastAsia="en-AU"/>
              </w:rPr>
              <w:noBreakHyphen/>
            </w:r>
            <w:r w:rsidRPr="00E22AD9">
              <w:rPr>
                <w:rFonts w:ascii="Calibri" w:eastAsiaTheme="minorEastAsia" w:hAnsi="Calibri" w:cs="Calibri"/>
                <w:i/>
                <w:iCs/>
                <w:color w:val="FFFFFF"/>
                <w:sz w:val="19"/>
                <w:lang w:eastAsia="en-AU"/>
              </w:rPr>
              <w:t>16</w:t>
            </w:r>
          </w:p>
          <w:p w:rsidR="00965D85" w:rsidRPr="00E22AD9" w:rsidRDefault="00965D85" w:rsidP="008B46DF">
            <w:pPr>
              <w:autoSpaceDE w:val="0"/>
              <w:autoSpaceDN w:val="0"/>
              <w:adjustRightInd w:val="0"/>
              <w:spacing w:after="0"/>
              <w:jc w:val="right"/>
              <w:rPr>
                <w:rFonts w:ascii="Calibri" w:eastAsiaTheme="minorEastAsia" w:hAnsi="Calibri" w:cs="Calibri"/>
                <w:i/>
                <w:iCs/>
                <w:color w:val="FFFFFF"/>
                <w:sz w:val="19"/>
                <w:lang w:eastAsia="en-AU"/>
              </w:rPr>
            </w:pPr>
            <w:r w:rsidRPr="00E22AD9">
              <w:rPr>
                <w:rFonts w:ascii="Calibri" w:eastAsiaTheme="minorEastAsia" w:hAnsi="Calibri" w:cs="Calibri"/>
                <w:i/>
                <w:iCs/>
                <w:color w:val="FFFFFF"/>
                <w:sz w:val="19"/>
                <w:lang w:eastAsia="en-AU"/>
              </w:rPr>
              <w:t>revised</w:t>
            </w:r>
          </w:p>
        </w:tc>
        <w:tc>
          <w:tcPr>
            <w:tcW w:w="865" w:type="dxa"/>
            <w:tcBorders>
              <w:top w:val="nil"/>
              <w:left w:val="nil"/>
              <w:right w:val="nil"/>
            </w:tcBorders>
            <w:shd w:val="solid" w:color="000000" w:fill="auto"/>
          </w:tcPr>
          <w:p w:rsidR="00965D85" w:rsidRPr="00E22AD9" w:rsidRDefault="00965D85" w:rsidP="008B46DF">
            <w:pPr>
              <w:autoSpaceDE w:val="0"/>
              <w:autoSpaceDN w:val="0"/>
              <w:adjustRightInd w:val="0"/>
              <w:spacing w:after="0"/>
              <w:jc w:val="right"/>
              <w:rPr>
                <w:rFonts w:ascii="Calibri" w:eastAsiaTheme="minorEastAsia" w:hAnsi="Calibri" w:cs="Calibri"/>
                <w:i/>
                <w:iCs/>
                <w:color w:val="FFFFFF"/>
                <w:sz w:val="19"/>
                <w:lang w:eastAsia="en-AU"/>
              </w:rPr>
            </w:pPr>
            <w:r w:rsidRPr="00E22AD9">
              <w:rPr>
                <w:rFonts w:ascii="Calibri" w:eastAsiaTheme="minorEastAsia" w:hAnsi="Calibri" w:cs="Calibri"/>
                <w:i/>
                <w:iCs/>
                <w:color w:val="FFFFFF"/>
                <w:sz w:val="19"/>
                <w:lang w:eastAsia="en-AU"/>
              </w:rPr>
              <w:t>2016</w:t>
            </w:r>
            <w:r>
              <w:rPr>
                <w:rFonts w:ascii="Calibri" w:eastAsiaTheme="minorEastAsia" w:hAnsi="Calibri" w:cs="Calibri"/>
                <w:i/>
                <w:iCs/>
                <w:color w:val="FFFFFF"/>
                <w:sz w:val="19"/>
                <w:lang w:eastAsia="en-AU"/>
              </w:rPr>
              <w:noBreakHyphen/>
            </w:r>
            <w:r w:rsidRPr="00E22AD9">
              <w:rPr>
                <w:rFonts w:ascii="Calibri" w:eastAsiaTheme="minorEastAsia" w:hAnsi="Calibri" w:cs="Calibri"/>
                <w:i/>
                <w:iCs/>
                <w:color w:val="FFFFFF"/>
                <w:sz w:val="19"/>
                <w:lang w:eastAsia="en-AU"/>
              </w:rPr>
              <w:t>17</w:t>
            </w:r>
          </w:p>
          <w:p w:rsidR="00965D85" w:rsidRPr="00E22AD9" w:rsidRDefault="00965D85" w:rsidP="008B46DF">
            <w:pPr>
              <w:autoSpaceDE w:val="0"/>
              <w:autoSpaceDN w:val="0"/>
              <w:adjustRightInd w:val="0"/>
              <w:spacing w:after="0"/>
              <w:jc w:val="right"/>
              <w:rPr>
                <w:rFonts w:ascii="Calibri" w:eastAsiaTheme="minorEastAsia" w:hAnsi="Calibri" w:cs="Calibri"/>
                <w:i/>
                <w:iCs/>
                <w:color w:val="FFFFFF"/>
                <w:sz w:val="19"/>
                <w:lang w:eastAsia="en-AU"/>
              </w:rPr>
            </w:pPr>
            <w:r w:rsidRPr="00E22AD9">
              <w:rPr>
                <w:rFonts w:ascii="Calibri" w:eastAsiaTheme="minorEastAsia" w:hAnsi="Calibri" w:cs="Calibri"/>
                <w:i/>
                <w:iCs/>
                <w:color w:val="FFFFFF"/>
                <w:sz w:val="19"/>
                <w:lang w:eastAsia="en-AU"/>
              </w:rPr>
              <w:t>estimate</w:t>
            </w:r>
          </w:p>
        </w:tc>
        <w:tc>
          <w:tcPr>
            <w:tcW w:w="850" w:type="dxa"/>
            <w:gridSpan w:val="3"/>
            <w:tcBorders>
              <w:top w:val="nil"/>
              <w:left w:val="nil"/>
              <w:right w:val="nil"/>
            </w:tcBorders>
            <w:shd w:val="solid" w:color="000000" w:fill="auto"/>
          </w:tcPr>
          <w:p w:rsidR="00965D85" w:rsidRPr="00E22AD9" w:rsidRDefault="00965D85" w:rsidP="008B46DF">
            <w:pPr>
              <w:autoSpaceDE w:val="0"/>
              <w:autoSpaceDN w:val="0"/>
              <w:adjustRightInd w:val="0"/>
              <w:spacing w:after="0"/>
              <w:jc w:val="right"/>
              <w:rPr>
                <w:rFonts w:ascii="Calibri" w:eastAsiaTheme="minorEastAsia" w:hAnsi="Calibri" w:cs="Calibri"/>
                <w:i/>
                <w:iCs/>
                <w:color w:val="FFFFFF"/>
                <w:sz w:val="19"/>
                <w:lang w:eastAsia="en-AU"/>
              </w:rPr>
            </w:pPr>
            <w:r w:rsidRPr="00E22AD9">
              <w:rPr>
                <w:rFonts w:ascii="Calibri" w:eastAsiaTheme="minorEastAsia" w:hAnsi="Calibri" w:cs="Calibri"/>
                <w:i/>
                <w:iCs/>
                <w:color w:val="FFFFFF"/>
                <w:sz w:val="19"/>
                <w:lang w:eastAsia="en-AU"/>
              </w:rPr>
              <w:t>2017</w:t>
            </w:r>
            <w:r>
              <w:rPr>
                <w:rFonts w:ascii="Calibri" w:eastAsiaTheme="minorEastAsia" w:hAnsi="Calibri" w:cs="Calibri"/>
                <w:i/>
                <w:iCs/>
                <w:color w:val="FFFFFF"/>
                <w:sz w:val="19"/>
                <w:lang w:eastAsia="en-AU"/>
              </w:rPr>
              <w:noBreakHyphen/>
            </w:r>
            <w:r w:rsidRPr="00E22AD9">
              <w:rPr>
                <w:rFonts w:ascii="Calibri" w:eastAsiaTheme="minorEastAsia" w:hAnsi="Calibri" w:cs="Calibri"/>
                <w:i/>
                <w:iCs/>
                <w:color w:val="FFFFFF"/>
                <w:sz w:val="19"/>
                <w:lang w:eastAsia="en-AU"/>
              </w:rPr>
              <w:t>18</w:t>
            </w:r>
          </w:p>
          <w:p w:rsidR="00965D85" w:rsidRPr="00E22AD9" w:rsidRDefault="00965D85" w:rsidP="008B46DF">
            <w:pPr>
              <w:autoSpaceDE w:val="0"/>
              <w:autoSpaceDN w:val="0"/>
              <w:adjustRightInd w:val="0"/>
              <w:spacing w:after="0"/>
              <w:jc w:val="right"/>
              <w:rPr>
                <w:rFonts w:ascii="Calibri" w:eastAsiaTheme="minorEastAsia" w:hAnsi="Calibri" w:cs="Calibri"/>
                <w:i/>
                <w:iCs/>
                <w:color w:val="FFFFFF"/>
                <w:sz w:val="19"/>
                <w:lang w:eastAsia="en-AU"/>
              </w:rPr>
            </w:pPr>
            <w:r w:rsidRPr="00E22AD9">
              <w:rPr>
                <w:rFonts w:ascii="Calibri" w:eastAsiaTheme="minorEastAsia" w:hAnsi="Calibri" w:cs="Calibri"/>
                <w:i/>
                <w:iCs/>
                <w:color w:val="FFFFFF"/>
                <w:sz w:val="19"/>
                <w:lang w:eastAsia="en-AU"/>
              </w:rPr>
              <w:t>estimate</w:t>
            </w:r>
          </w:p>
        </w:tc>
        <w:tc>
          <w:tcPr>
            <w:tcW w:w="852" w:type="dxa"/>
            <w:gridSpan w:val="3"/>
            <w:tcBorders>
              <w:top w:val="nil"/>
              <w:left w:val="nil"/>
              <w:right w:val="nil"/>
            </w:tcBorders>
            <w:shd w:val="solid" w:color="000000" w:fill="auto"/>
          </w:tcPr>
          <w:p w:rsidR="00965D85" w:rsidRPr="00E22AD9" w:rsidRDefault="00965D85" w:rsidP="008B46DF">
            <w:pPr>
              <w:autoSpaceDE w:val="0"/>
              <w:autoSpaceDN w:val="0"/>
              <w:adjustRightInd w:val="0"/>
              <w:spacing w:after="0"/>
              <w:jc w:val="right"/>
              <w:rPr>
                <w:rFonts w:ascii="Calibri" w:eastAsiaTheme="minorEastAsia" w:hAnsi="Calibri" w:cs="Calibri"/>
                <w:i/>
                <w:iCs/>
                <w:color w:val="FFFFFF"/>
                <w:sz w:val="19"/>
                <w:lang w:eastAsia="en-AU"/>
              </w:rPr>
            </w:pPr>
            <w:r w:rsidRPr="00E22AD9">
              <w:rPr>
                <w:rFonts w:ascii="Calibri" w:eastAsiaTheme="minorEastAsia" w:hAnsi="Calibri" w:cs="Calibri"/>
                <w:i/>
                <w:iCs/>
                <w:color w:val="FFFFFF"/>
                <w:sz w:val="19"/>
                <w:lang w:eastAsia="en-AU"/>
              </w:rPr>
              <w:t>2018</w:t>
            </w:r>
            <w:r>
              <w:rPr>
                <w:rFonts w:ascii="Calibri" w:eastAsiaTheme="minorEastAsia" w:hAnsi="Calibri" w:cs="Calibri"/>
                <w:i/>
                <w:iCs/>
                <w:color w:val="FFFFFF"/>
                <w:sz w:val="19"/>
                <w:lang w:eastAsia="en-AU"/>
              </w:rPr>
              <w:noBreakHyphen/>
            </w:r>
            <w:r w:rsidRPr="00E22AD9">
              <w:rPr>
                <w:rFonts w:ascii="Calibri" w:eastAsiaTheme="minorEastAsia" w:hAnsi="Calibri" w:cs="Calibri"/>
                <w:i/>
                <w:iCs/>
                <w:color w:val="FFFFFF"/>
                <w:sz w:val="19"/>
                <w:lang w:eastAsia="en-AU"/>
              </w:rPr>
              <w:t>19</w:t>
            </w:r>
          </w:p>
          <w:p w:rsidR="00965D85" w:rsidRPr="00E22AD9" w:rsidRDefault="00965D85" w:rsidP="008B46DF">
            <w:pPr>
              <w:autoSpaceDE w:val="0"/>
              <w:autoSpaceDN w:val="0"/>
              <w:adjustRightInd w:val="0"/>
              <w:spacing w:after="0"/>
              <w:jc w:val="right"/>
              <w:rPr>
                <w:rFonts w:ascii="Calibri" w:eastAsiaTheme="minorEastAsia" w:hAnsi="Calibri" w:cs="Calibri"/>
                <w:i/>
                <w:iCs/>
                <w:color w:val="FFFFFF"/>
                <w:sz w:val="19"/>
                <w:lang w:eastAsia="en-AU"/>
              </w:rPr>
            </w:pPr>
            <w:r w:rsidRPr="00E22AD9">
              <w:rPr>
                <w:rFonts w:ascii="Calibri" w:eastAsiaTheme="minorEastAsia" w:hAnsi="Calibri" w:cs="Calibri"/>
                <w:i/>
                <w:iCs/>
                <w:color w:val="FFFFFF"/>
                <w:sz w:val="19"/>
                <w:lang w:eastAsia="en-AU"/>
              </w:rPr>
              <w:t>estimate</w:t>
            </w:r>
          </w:p>
        </w:tc>
      </w:tr>
      <w:tr w:rsidR="00965D85" w:rsidRPr="00E22AD9" w:rsidTr="008B46DF">
        <w:tc>
          <w:tcPr>
            <w:tcW w:w="2890" w:type="dxa"/>
            <w:tcBorders>
              <w:top w:val="nil"/>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b/>
                <w:bCs/>
                <w:color w:val="000000"/>
                <w:sz w:val="19"/>
                <w:lang w:eastAsia="en-AU"/>
              </w:rPr>
            </w:pPr>
            <w:r w:rsidRPr="00E22AD9">
              <w:rPr>
                <w:rFonts w:ascii="Calibri" w:eastAsiaTheme="minorEastAsia" w:hAnsi="Calibri" w:cs="Calibri"/>
                <w:b/>
                <w:bCs/>
                <w:color w:val="000000"/>
                <w:sz w:val="19"/>
                <w:lang w:eastAsia="en-AU"/>
              </w:rPr>
              <w:t>Revenue from transactions</w:t>
            </w:r>
          </w:p>
        </w:tc>
        <w:tc>
          <w:tcPr>
            <w:tcW w:w="611"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center"/>
              <w:rPr>
                <w:rFonts w:ascii="Calibri" w:eastAsiaTheme="minorEastAsia" w:hAnsi="Calibri" w:cs="Calibri"/>
                <w:b/>
                <w:bCs/>
                <w:color w:val="000000"/>
                <w:sz w:val="19"/>
                <w:lang w:eastAsia="en-AU"/>
              </w:rPr>
            </w:pPr>
            <w:r w:rsidRPr="00E22AD9">
              <w:rPr>
                <w:rFonts w:ascii="Calibri" w:eastAsiaTheme="minorEastAsia" w:hAnsi="Calibri" w:cs="Calibri"/>
                <w:b/>
                <w:bCs/>
                <w:color w:val="000000"/>
                <w:sz w:val="19"/>
                <w:lang w:eastAsia="en-AU"/>
              </w:rPr>
              <w:t xml:space="preserve"> </w:t>
            </w:r>
          </w:p>
        </w:tc>
        <w:tc>
          <w:tcPr>
            <w:tcW w:w="846"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850"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865"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850" w:type="dxa"/>
            <w:gridSpan w:val="3"/>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852" w:type="dxa"/>
            <w:gridSpan w:val="3"/>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r>
      <w:tr w:rsidR="00965D85" w:rsidRPr="00E22AD9" w:rsidTr="008B46DF">
        <w:tc>
          <w:tcPr>
            <w:tcW w:w="2890" w:type="dxa"/>
            <w:tcBorders>
              <w:top w:val="nil"/>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Taxation revenue</w:t>
            </w:r>
          </w:p>
        </w:tc>
        <w:tc>
          <w:tcPr>
            <w:tcW w:w="611"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center"/>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2</w:t>
            </w:r>
          </w:p>
        </w:tc>
        <w:tc>
          <w:tcPr>
            <w:tcW w:w="846"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19 024.5</w:t>
            </w:r>
          </w:p>
        </w:tc>
        <w:tc>
          <w:tcPr>
            <w:tcW w:w="850"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19 435.6</w:t>
            </w:r>
          </w:p>
        </w:tc>
        <w:tc>
          <w:tcPr>
            <w:tcW w:w="865"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20 025.4</w:t>
            </w:r>
          </w:p>
        </w:tc>
        <w:tc>
          <w:tcPr>
            <w:tcW w:w="850" w:type="dxa"/>
            <w:gridSpan w:val="3"/>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20 547.0</w:t>
            </w:r>
          </w:p>
        </w:tc>
        <w:tc>
          <w:tcPr>
            <w:tcW w:w="852" w:type="dxa"/>
            <w:gridSpan w:val="3"/>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21 442.2</w:t>
            </w:r>
          </w:p>
        </w:tc>
      </w:tr>
      <w:tr w:rsidR="00965D85" w:rsidRPr="00E22AD9" w:rsidTr="008B46DF">
        <w:tc>
          <w:tcPr>
            <w:tcW w:w="2890" w:type="dxa"/>
            <w:tcBorders>
              <w:top w:val="nil"/>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Interest revenue</w:t>
            </w:r>
          </w:p>
        </w:tc>
        <w:tc>
          <w:tcPr>
            <w:tcW w:w="611"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center"/>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 xml:space="preserve"> </w:t>
            </w:r>
          </w:p>
        </w:tc>
        <w:tc>
          <w:tcPr>
            <w:tcW w:w="846"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830.8</w:t>
            </w:r>
          </w:p>
        </w:tc>
        <w:tc>
          <w:tcPr>
            <w:tcW w:w="850"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806.3</w:t>
            </w:r>
          </w:p>
        </w:tc>
        <w:tc>
          <w:tcPr>
            <w:tcW w:w="865"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812.7</w:t>
            </w:r>
          </w:p>
        </w:tc>
        <w:tc>
          <w:tcPr>
            <w:tcW w:w="850" w:type="dxa"/>
            <w:gridSpan w:val="3"/>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821.8</w:t>
            </w:r>
          </w:p>
        </w:tc>
        <w:tc>
          <w:tcPr>
            <w:tcW w:w="852" w:type="dxa"/>
            <w:gridSpan w:val="3"/>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824.7</w:t>
            </w:r>
          </w:p>
        </w:tc>
      </w:tr>
      <w:tr w:rsidR="00965D85" w:rsidRPr="00E22AD9" w:rsidTr="008B46DF">
        <w:tc>
          <w:tcPr>
            <w:tcW w:w="2890" w:type="dxa"/>
            <w:tcBorders>
              <w:top w:val="nil"/>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Dividends and income tax equivalent and rate equivalent revenue</w:t>
            </w:r>
          </w:p>
        </w:tc>
        <w:tc>
          <w:tcPr>
            <w:tcW w:w="611"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center"/>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3</w:t>
            </w:r>
          </w:p>
        </w:tc>
        <w:tc>
          <w:tcPr>
            <w:tcW w:w="846"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1 144.3</w:t>
            </w:r>
          </w:p>
        </w:tc>
        <w:tc>
          <w:tcPr>
            <w:tcW w:w="850"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1 120.8</w:t>
            </w:r>
          </w:p>
        </w:tc>
        <w:tc>
          <w:tcPr>
            <w:tcW w:w="865"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969.4</w:t>
            </w:r>
          </w:p>
        </w:tc>
        <w:tc>
          <w:tcPr>
            <w:tcW w:w="850" w:type="dxa"/>
            <w:gridSpan w:val="3"/>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979.9</w:t>
            </w:r>
          </w:p>
        </w:tc>
        <w:tc>
          <w:tcPr>
            <w:tcW w:w="852" w:type="dxa"/>
            <w:gridSpan w:val="3"/>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886.5</w:t>
            </w:r>
          </w:p>
        </w:tc>
      </w:tr>
      <w:tr w:rsidR="00965D85" w:rsidRPr="00E22AD9" w:rsidTr="008B46DF">
        <w:tc>
          <w:tcPr>
            <w:tcW w:w="2890" w:type="dxa"/>
            <w:tcBorders>
              <w:top w:val="nil"/>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Sales of goods and services</w:t>
            </w:r>
          </w:p>
        </w:tc>
        <w:tc>
          <w:tcPr>
            <w:tcW w:w="611"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center"/>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4</w:t>
            </w:r>
          </w:p>
        </w:tc>
        <w:tc>
          <w:tcPr>
            <w:tcW w:w="846"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6 779.1</w:t>
            </w:r>
          </w:p>
        </w:tc>
        <w:tc>
          <w:tcPr>
            <w:tcW w:w="850"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6 809.1</w:t>
            </w:r>
          </w:p>
        </w:tc>
        <w:tc>
          <w:tcPr>
            <w:tcW w:w="865"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6 897.1</w:t>
            </w:r>
          </w:p>
        </w:tc>
        <w:tc>
          <w:tcPr>
            <w:tcW w:w="850" w:type="dxa"/>
            <w:gridSpan w:val="3"/>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6 969.4</w:t>
            </w:r>
          </w:p>
        </w:tc>
        <w:tc>
          <w:tcPr>
            <w:tcW w:w="852" w:type="dxa"/>
            <w:gridSpan w:val="3"/>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7 020.9</w:t>
            </w:r>
          </w:p>
        </w:tc>
      </w:tr>
      <w:tr w:rsidR="00965D85" w:rsidRPr="00E22AD9" w:rsidTr="008B46DF">
        <w:tc>
          <w:tcPr>
            <w:tcW w:w="2890" w:type="dxa"/>
            <w:tcBorders>
              <w:top w:val="nil"/>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Grant revenue</w:t>
            </w:r>
          </w:p>
        </w:tc>
        <w:tc>
          <w:tcPr>
            <w:tcW w:w="611"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center"/>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5</w:t>
            </w:r>
          </w:p>
        </w:tc>
        <w:tc>
          <w:tcPr>
            <w:tcW w:w="846"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25 579.5</w:t>
            </w:r>
          </w:p>
        </w:tc>
        <w:tc>
          <w:tcPr>
            <w:tcW w:w="850"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25 454.6</w:t>
            </w:r>
          </w:p>
        </w:tc>
        <w:tc>
          <w:tcPr>
            <w:tcW w:w="865"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26 009.6</w:t>
            </w:r>
          </w:p>
        </w:tc>
        <w:tc>
          <w:tcPr>
            <w:tcW w:w="850" w:type="dxa"/>
            <w:gridSpan w:val="3"/>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27 821.7</w:t>
            </w:r>
          </w:p>
        </w:tc>
        <w:tc>
          <w:tcPr>
            <w:tcW w:w="852" w:type="dxa"/>
            <w:gridSpan w:val="3"/>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28 358.3</w:t>
            </w:r>
          </w:p>
        </w:tc>
      </w:tr>
      <w:tr w:rsidR="00965D85" w:rsidRPr="00E22AD9" w:rsidTr="008B46DF">
        <w:tc>
          <w:tcPr>
            <w:tcW w:w="2890"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Other revenue</w:t>
            </w:r>
          </w:p>
        </w:tc>
        <w:tc>
          <w:tcPr>
            <w:tcW w:w="611"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center"/>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6</w:t>
            </w:r>
          </w:p>
        </w:tc>
        <w:tc>
          <w:tcPr>
            <w:tcW w:w="846"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2 170.6</w:t>
            </w:r>
          </w:p>
        </w:tc>
        <w:tc>
          <w:tcPr>
            <w:tcW w:w="850"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2 440.0</w:t>
            </w:r>
          </w:p>
        </w:tc>
        <w:tc>
          <w:tcPr>
            <w:tcW w:w="865"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2 521.6</w:t>
            </w:r>
          </w:p>
        </w:tc>
        <w:tc>
          <w:tcPr>
            <w:tcW w:w="850" w:type="dxa"/>
            <w:gridSpan w:val="3"/>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2 461.6</w:t>
            </w:r>
          </w:p>
        </w:tc>
        <w:tc>
          <w:tcPr>
            <w:tcW w:w="852" w:type="dxa"/>
            <w:gridSpan w:val="3"/>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2 465.5</w:t>
            </w:r>
          </w:p>
        </w:tc>
      </w:tr>
      <w:tr w:rsidR="00965D85" w:rsidRPr="00E22AD9" w:rsidTr="008B46DF">
        <w:tc>
          <w:tcPr>
            <w:tcW w:w="2890" w:type="dxa"/>
            <w:tcBorders>
              <w:top w:val="single" w:sz="6" w:space="0" w:color="000000"/>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b/>
                <w:bCs/>
                <w:color w:val="000000"/>
                <w:sz w:val="19"/>
                <w:lang w:eastAsia="en-AU"/>
              </w:rPr>
            </w:pPr>
            <w:r w:rsidRPr="00E22AD9">
              <w:rPr>
                <w:rFonts w:ascii="Calibri" w:eastAsiaTheme="minorEastAsia" w:hAnsi="Calibri" w:cs="Calibri"/>
                <w:b/>
                <w:bCs/>
                <w:color w:val="000000"/>
                <w:sz w:val="19"/>
                <w:lang w:eastAsia="en-AU"/>
              </w:rPr>
              <w:t>Total revenue from transactions</w:t>
            </w:r>
          </w:p>
        </w:tc>
        <w:tc>
          <w:tcPr>
            <w:tcW w:w="611" w:type="dxa"/>
            <w:tcBorders>
              <w:top w:val="single" w:sz="6" w:space="0" w:color="000000"/>
              <w:left w:val="nil"/>
              <w:right w:val="nil"/>
            </w:tcBorders>
            <w:shd w:val="clear" w:color="auto" w:fill="FFFFFF"/>
          </w:tcPr>
          <w:p w:rsidR="00965D85" w:rsidRPr="00E22AD9" w:rsidRDefault="00965D85" w:rsidP="008B46DF">
            <w:pPr>
              <w:autoSpaceDE w:val="0"/>
              <w:autoSpaceDN w:val="0"/>
              <w:adjustRightInd w:val="0"/>
              <w:spacing w:after="0"/>
              <w:jc w:val="center"/>
              <w:rPr>
                <w:rFonts w:ascii="Calibri" w:eastAsiaTheme="minorEastAsia" w:hAnsi="Calibri" w:cs="Calibri"/>
                <w:b/>
                <w:bCs/>
                <w:color w:val="000000"/>
                <w:sz w:val="19"/>
                <w:lang w:eastAsia="en-AU"/>
              </w:rPr>
            </w:pPr>
            <w:r w:rsidRPr="00E22AD9">
              <w:rPr>
                <w:rFonts w:ascii="Calibri" w:eastAsiaTheme="minorEastAsia" w:hAnsi="Calibri" w:cs="Calibri"/>
                <w:b/>
                <w:bCs/>
                <w:color w:val="000000"/>
                <w:sz w:val="19"/>
                <w:lang w:eastAsia="en-AU"/>
              </w:rPr>
              <w:t xml:space="preserve"> </w:t>
            </w:r>
          </w:p>
        </w:tc>
        <w:tc>
          <w:tcPr>
            <w:tcW w:w="846" w:type="dxa"/>
            <w:tcBorders>
              <w:top w:val="single" w:sz="6" w:space="0" w:color="000000"/>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19"/>
                <w:lang w:eastAsia="en-AU"/>
              </w:rPr>
            </w:pPr>
            <w:r w:rsidRPr="00E22AD9">
              <w:rPr>
                <w:rFonts w:ascii="Calibri" w:eastAsiaTheme="minorEastAsia" w:hAnsi="Calibri" w:cs="Calibri"/>
                <w:b/>
                <w:bCs/>
                <w:color w:val="000000"/>
                <w:sz w:val="19"/>
                <w:lang w:eastAsia="en-AU"/>
              </w:rPr>
              <w:t>55 528.7</w:t>
            </w:r>
          </w:p>
        </w:tc>
        <w:tc>
          <w:tcPr>
            <w:tcW w:w="850" w:type="dxa"/>
            <w:tcBorders>
              <w:top w:val="single" w:sz="6" w:space="0" w:color="000000"/>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19"/>
                <w:lang w:eastAsia="en-AU"/>
              </w:rPr>
            </w:pPr>
            <w:r w:rsidRPr="00E22AD9">
              <w:rPr>
                <w:rFonts w:ascii="Calibri" w:eastAsiaTheme="minorEastAsia" w:hAnsi="Calibri" w:cs="Calibri"/>
                <w:b/>
                <w:bCs/>
                <w:color w:val="000000"/>
                <w:sz w:val="19"/>
                <w:lang w:eastAsia="en-AU"/>
              </w:rPr>
              <w:t>56 066.4</w:t>
            </w:r>
          </w:p>
        </w:tc>
        <w:tc>
          <w:tcPr>
            <w:tcW w:w="865" w:type="dxa"/>
            <w:tcBorders>
              <w:top w:val="single" w:sz="6" w:space="0" w:color="000000"/>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19"/>
                <w:lang w:eastAsia="en-AU"/>
              </w:rPr>
            </w:pPr>
            <w:r w:rsidRPr="00E22AD9">
              <w:rPr>
                <w:rFonts w:ascii="Calibri" w:eastAsiaTheme="minorEastAsia" w:hAnsi="Calibri" w:cs="Calibri"/>
                <w:b/>
                <w:bCs/>
                <w:color w:val="000000"/>
                <w:sz w:val="19"/>
                <w:lang w:eastAsia="en-AU"/>
              </w:rPr>
              <w:t>57 235.7</w:t>
            </w:r>
          </w:p>
        </w:tc>
        <w:tc>
          <w:tcPr>
            <w:tcW w:w="850" w:type="dxa"/>
            <w:gridSpan w:val="3"/>
            <w:tcBorders>
              <w:top w:val="single" w:sz="6" w:space="0" w:color="000000"/>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19"/>
                <w:lang w:eastAsia="en-AU"/>
              </w:rPr>
            </w:pPr>
            <w:r w:rsidRPr="00E22AD9">
              <w:rPr>
                <w:rFonts w:ascii="Calibri" w:eastAsiaTheme="minorEastAsia" w:hAnsi="Calibri" w:cs="Calibri"/>
                <w:b/>
                <w:bCs/>
                <w:color w:val="000000"/>
                <w:sz w:val="19"/>
                <w:lang w:eastAsia="en-AU"/>
              </w:rPr>
              <w:t>59 601.4</w:t>
            </w:r>
          </w:p>
        </w:tc>
        <w:tc>
          <w:tcPr>
            <w:tcW w:w="852" w:type="dxa"/>
            <w:gridSpan w:val="3"/>
            <w:tcBorders>
              <w:top w:val="single" w:sz="6" w:space="0" w:color="000000"/>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19"/>
                <w:lang w:eastAsia="en-AU"/>
              </w:rPr>
            </w:pPr>
            <w:r w:rsidRPr="00E22AD9">
              <w:rPr>
                <w:rFonts w:ascii="Calibri" w:eastAsiaTheme="minorEastAsia" w:hAnsi="Calibri" w:cs="Calibri"/>
                <w:b/>
                <w:bCs/>
                <w:color w:val="000000"/>
                <w:sz w:val="19"/>
                <w:lang w:eastAsia="en-AU"/>
              </w:rPr>
              <w:t>60 998.0</w:t>
            </w:r>
          </w:p>
        </w:tc>
      </w:tr>
      <w:tr w:rsidR="00965D85" w:rsidRPr="00E22AD9" w:rsidTr="008B46DF">
        <w:tc>
          <w:tcPr>
            <w:tcW w:w="2890" w:type="dxa"/>
            <w:tcBorders>
              <w:top w:val="nil"/>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b/>
                <w:bCs/>
                <w:color w:val="000000"/>
                <w:sz w:val="19"/>
                <w:lang w:eastAsia="en-AU"/>
              </w:rPr>
            </w:pPr>
            <w:r w:rsidRPr="00E22AD9">
              <w:rPr>
                <w:rFonts w:ascii="Calibri" w:eastAsiaTheme="minorEastAsia" w:hAnsi="Calibri" w:cs="Calibri"/>
                <w:b/>
                <w:bCs/>
                <w:color w:val="000000"/>
                <w:sz w:val="19"/>
                <w:lang w:eastAsia="en-AU"/>
              </w:rPr>
              <w:t>Expenses from transactions</w:t>
            </w:r>
          </w:p>
        </w:tc>
        <w:tc>
          <w:tcPr>
            <w:tcW w:w="611"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center"/>
              <w:rPr>
                <w:rFonts w:ascii="Calibri" w:eastAsiaTheme="minorEastAsia" w:hAnsi="Calibri" w:cs="Calibri"/>
                <w:b/>
                <w:bCs/>
                <w:color w:val="000000"/>
                <w:sz w:val="19"/>
                <w:lang w:eastAsia="en-AU"/>
              </w:rPr>
            </w:pPr>
            <w:r w:rsidRPr="00E22AD9">
              <w:rPr>
                <w:rFonts w:ascii="Calibri" w:eastAsiaTheme="minorEastAsia" w:hAnsi="Calibri" w:cs="Calibri"/>
                <w:b/>
                <w:bCs/>
                <w:color w:val="000000"/>
                <w:sz w:val="19"/>
                <w:lang w:eastAsia="en-AU"/>
              </w:rPr>
              <w:t xml:space="preserve"> </w:t>
            </w:r>
          </w:p>
        </w:tc>
        <w:tc>
          <w:tcPr>
            <w:tcW w:w="846"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850"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865"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850" w:type="dxa"/>
            <w:gridSpan w:val="3"/>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852" w:type="dxa"/>
            <w:gridSpan w:val="3"/>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r>
      <w:tr w:rsidR="00965D85" w:rsidRPr="00E22AD9" w:rsidTr="008B46DF">
        <w:tc>
          <w:tcPr>
            <w:tcW w:w="2890" w:type="dxa"/>
            <w:tcBorders>
              <w:top w:val="nil"/>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Employee expenses</w:t>
            </w:r>
          </w:p>
        </w:tc>
        <w:tc>
          <w:tcPr>
            <w:tcW w:w="611"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center"/>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 xml:space="preserve"> </w:t>
            </w:r>
          </w:p>
        </w:tc>
        <w:tc>
          <w:tcPr>
            <w:tcW w:w="846"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19 903.4</w:t>
            </w:r>
          </w:p>
        </w:tc>
        <w:tc>
          <w:tcPr>
            <w:tcW w:w="850"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20 069.1</w:t>
            </w:r>
          </w:p>
        </w:tc>
        <w:tc>
          <w:tcPr>
            <w:tcW w:w="865"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20 767.6</w:t>
            </w:r>
          </w:p>
        </w:tc>
        <w:tc>
          <w:tcPr>
            <w:tcW w:w="850" w:type="dxa"/>
            <w:gridSpan w:val="3"/>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21 696.0</w:t>
            </w:r>
          </w:p>
        </w:tc>
        <w:tc>
          <w:tcPr>
            <w:tcW w:w="852" w:type="dxa"/>
            <w:gridSpan w:val="3"/>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22 587.6</w:t>
            </w:r>
          </w:p>
        </w:tc>
      </w:tr>
      <w:tr w:rsidR="00965D85" w:rsidRPr="00E22AD9" w:rsidTr="008B46DF">
        <w:tc>
          <w:tcPr>
            <w:tcW w:w="2890" w:type="dxa"/>
            <w:tcBorders>
              <w:top w:val="nil"/>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Net superannuation interest expense</w:t>
            </w:r>
          </w:p>
        </w:tc>
        <w:tc>
          <w:tcPr>
            <w:tcW w:w="611"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center"/>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7a</w:t>
            </w:r>
          </w:p>
        </w:tc>
        <w:tc>
          <w:tcPr>
            <w:tcW w:w="846"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886.5</w:t>
            </w:r>
          </w:p>
        </w:tc>
        <w:tc>
          <w:tcPr>
            <w:tcW w:w="850"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878.0</w:t>
            </w:r>
          </w:p>
        </w:tc>
        <w:tc>
          <w:tcPr>
            <w:tcW w:w="865"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820.6</w:t>
            </w:r>
          </w:p>
        </w:tc>
        <w:tc>
          <w:tcPr>
            <w:tcW w:w="850" w:type="dxa"/>
            <w:gridSpan w:val="3"/>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803.2</w:t>
            </w:r>
          </w:p>
        </w:tc>
        <w:tc>
          <w:tcPr>
            <w:tcW w:w="852" w:type="dxa"/>
            <w:gridSpan w:val="3"/>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806.7</w:t>
            </w:r>
          </w:p>
        </w:tc>
      </w:tr>
      <w:tr w:rsidR="00965D85" w:rsidRPr="00E22AD9" w:rsidTr="008B46DF">
        <w:tc>
          <w:tcPr>
            <w:tcW w:w="2890" w:type="dxa"/>
            <w:tcBorders>
              <w:top w:val="nil"/>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Other superannuation</w:t>
            </w:r>
          </w:p>
        </w:tc>
        <w:tc>
          <w:tcPr>
            <w:tcW w:w="611"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center"/>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7a</w:t>
            </w:r>
          </w:p>
        </w:tc>
        <w:tc>
          <w:tcPr>
            <w:tcW w:w="846"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2 101.7</w:t>
            </w:r>
          </w:p>
        </w:tc>
        <w:tc>
          <w:tcPr>
            <w:tcW w:w="850"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2 048.6</w:t>
            </w:r>
          </w:p>
        </w:tc>
        <w:tc>
          <w:tcPr>
            <w:tcW w:w="865"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2 088.2</w:t>
            </w:r>
          </w:p>
        </w:tc>
        <w:tc>
          <w:tcPr>
            <w:tcW w:w="850" w:type="dxa"/>
            <w:gridSpan w:val="3"/>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2 106.1</w:t>
            </w:r>
          </w:p>
        </w:tc>
        <w:tc>
          <w:tcPr>
            <w:tcW w:w="852" w:type="dxa"/>
            <w:gridSpan w:val="3"/>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2 135.8</w:t>
            </w:r>
          </w:p>
        </w:tc>
      </w:tr>
      <w:tr w:rsidR="00965D85" w:rsidRPr="00E22AD9" w:rsidTr="008B46DF">
        <w:tc>
          <w:tcPr>
            <w:tcW w:w="2890" w:type="dxa"/>
            <w:tcBorders>
              <w:top w:val="nil"/>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Depreciation</w:t>
            </w:r>
          </w:p>
        </w:tc>
        <w:tc>
          <w:tcPr>
            <w:tcW w:w="611"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center"/>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8</w:t>
            </w:r>
          </w:p>
        </w:tc>
        <w:tc>
          <w:tcPr>
            <w:tcW w:w="846"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2 576.9</w:t>
            </w:r>
          </w:p>
        </w:tc>
        <w:tc>
          <w:tcPr>
            <w:tcW w:w="850"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2 509.6</w:t>
            </w:r>
          </w:p>
        </w:tc>
        <w:tc>
          <w:tcPr>
            <w:tcW w:w="865"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2 656.9</w:t>
            </w:r>
          </w:p>
        </w:tc>
        <w:tc>
          <w:tcPr>
            <w:tcW w:w="850" w:type="dxa"/>
            <w:gridSpan w:val="3"/>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2 820.4</w:t>
            </w:r>
          </w:p>
        </w:tc>
        <w:tc>
          <w:tcPr>
            <w:tcW w:w="852" w:type="dxa"/>
            <w:gridSpan w:val="3"/>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3 069.6</w:t>
            </w:r>
          </w:p>
        </w:tc>
      </w:tr>
      <w:tr w:rsidR="00965D85" w:rsidRPr="00E22AD9" w:rsidTr="008B46DF">
        <w:tc>
          <w:tcPr>
            <w:tcW w:w="2890" w:type="dxa"/>
            <w:tcBorders>
              <w:top w:val="nil"/>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Interest expense</w:t>
            </w:r>
          </w:p>
        </w:tc>
        <w:tc>
          <w:tcPr>
            <w:tcW w:w="611"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center"/>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9</w:t>
            </w:r>
          </w:p>
        </w:tc>
        <w:tc>
          <w:tcPr>
            <w:tcW w:w="846"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2 096.1</w:t>
            </w:r>
          </w:p>
        </w:tc>
        <w:tc>
          <w:tcPr>
            <w:tcW w:w="850"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2 131.5</w:t>
            </w:r>
          </w:p>
        </w:tc>
        <w:tc>
          <w:tcPr>
            <w:tcW w:w="865"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2 108.3</w:t>
            </w:r>
          </w:p>
        </w:tc>
        <w:tc>
          <w:tcPr>
            <w:tcW w:w="850" w:type="dxa"/>
            <w:gridSpan w:val="3"/>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2 167.2</w:t>
            </w:r>
          </w:p>
        </w:tc>
        <w:tc>
          <w:tcPr>
            <w:tcW w:w="852" w:type="dxa"/>
            <w:gridSpan w:val="3"/>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2 159.5</w:t>
            </w:r>
          </w:p>
        </w:tc>
      </w:tr>
      <w:tr w:rsidR="00965D85" w:rsidRPr="00E22AD9" w:rsidTr="008B46DF">
        <w:tc>
          <w:tcPr>
            <w:tcW w:w="2890" w:type="dxa"/>
            <w:tcBorders>
              <w:top w:val="nil"/>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Grant expense</w:t>
            </w:r>
          </w:p>
        </w:tc>
        <w:tc>
          <w:tcPr>
            <w:tcW w:w="611"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center"/>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10</w:t>
            </w:r>
          </w:p>
        </w:tc>
        <w:tc>
          <w:tcPr>
            <w:tcW w:w="846"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8 686.9</w:t>
            </w:r>
          </w:p>
        </w:tc>
        <w:tc>
          <w:tcPr>
            <w:tcW w:w="850"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8 446.4</w:t>
            </w:r>
          </w:p>
        </w:tc>
        <w:tc>
          <w:tcPr>
            <w:tcW w:w="865"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9 170.1</w:t>
            </w:r>
          </w:p>
        </w:tc>
        <w:tc>
          <w:tcPr>
            <w:tcW w:w="850" w:type="dxa"/>
            <w:gridSpan w:val="3"/>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9 499.2</w:t>
            </w:r>
          </w:p>
        </w:tc>
        <w:tc>
          <w:tcPr>
            <w:tcW w:w="852" w:type="dxa"/>
            <w:gridSpan w:val="3"/>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9 767.0</w:t>
            </w:r>
          </w:p>
        </w:tc>
      </w:tr>
      <w:tr w:rsidR="00965D85" w:rsidRPr="00E22AD9" w:rsidTr="008B46DF">
        <w:tc>
          <w:tcPr>
            <w:tcW w:w="2890"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Other operating expenses</w:t>
            </w:r>
          </w:p>
        </w:tc>
        <w:tc>
          <w:tcPr>
            <w:tcW w:w="611"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center"/>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11</w:t>
            </w:r>
          </w:p>
        </w:tc>
        <w:tc>
          <w:tcPr>
            <w:tcW w:w="846"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18 058.3</w:t>
            </w:r>
          </w:p>
        </w:tc>
        <w:tc>
          <w:tcPr>
            <w:tcW w:w="850"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18 271.3</w:t>
            </w:r>
          </w:p>
        </w:tc>
        <w:tc>
          <w:tcPr>
            <w:tcW w:w="865"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18 079.5</w:t>
            </w:r>
          </w:p>
        </w:tc>
        <w:tc>
          <w:tcPr>
            <w:tcW w:w="850" w:type="dxa"/>
            <w:gridSpan w:val="3"/>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18 663.8</w:t>
            </w:r>
          </w:p>
        </w:tc>
        <w:tc>
          <w:tcPr>
            <w:tcW w:w="852" w:type="dxa"/>
            <w:gridSpan w:val="3"/>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18 917.1</w:t>
            </w:r>
          </w:p>
        </w:tc>
      </w:tr>
      <w:tr w:rsidR="00965D85" w:rsidRPr="00E22AD9" w:rsidTr="008B46DF">
        <w:tc>
          <w:tcPr>
            <w:tcW w:w="2890" w:type="dxa"/>
            <w:tcBorders>
              <w:top w:val="single" w:sz="6" w:space="0" w:color="000000"/>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b/>
                <w:bCs/>
                <w:color w:val="000000"/>
                <w:sz w:val="19"/>
                <w:lang w:eastAsia="en-AU"/>
              </w:rPr>
            </w:pPr>
            <w:r w:rsidRPr="00E22AD9">
              <w:rPr>
                <w:rFonts w:ascii="Calibri" w:eastAsiaTheme="minorEastAsia" w:hAnsi="Calibri" w:cs="Calibri"/>
                <w:b/>
                <w:bCs/>
                <w:color w:val="000000"/>
                <w:sz w:val="19"/>
                <w:lang w:eastAsia="en-AU"/>
              </w:rPr>
              <w:t>Total expenses from transactions</w:t>
            </w:r>
          </w:p>
        </w:tc>
        <w:tc>
          <w:tcPr>
            <w:tcW w:w="611" w:type="dxa"/>
            <w:tcBorders>
              <w:top w:val="single" w:sz="6" w:space="0" w:color="000000"/>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center"/>
              <w:rPr>
                <w:rFonts w:ascii="Calibri" w:eastAsiaTheme="minorEastAsia" w:hAnsi="Calibri" w:cs="Calibri"/>
                <w:b/>
                <w:bCs/>
                <w:color w:val="000000"/>
                <w:sz w:val="19"/>
                <w:lang w:eastAsia="en-AU"/>
              </w:rPr>
            </w:pPr>
            <w:r w:rsidRPr="00E22AD9">
              <w:rPr>
                <w:rFonts w:ascii="Calibri" w:eastAsiaTheme="minorEastAsia" w:hAnsi="Calibri" w:cs="Calibri"/>
                <w:b/>
                <w:bCs/>
                <w:color w:val="000000"/>
                <w:sz w:val="19"/>
                <w:lang w:eastAsia="en-AU"/>
              </w:rPr>
              <w:t>12</w:t>
            </w:r>
          </w:p>
        </w:tc>
        <w:tc>
          <w:tcPr>
            <w:tcW w:w="846" w:type="dxa"/>
            <w:tcBorders>
              <w:top w:val="single" w:sz="6" w:space="0" w:color="000000"/>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19"/>
                <w:lang w:eastAsia="en-AU"/>
              </w:rPr>
            </w:pPr>
            <w:r w:rsidRPr="00E22AD9">
              <w:rPr>
                <w:rFonts w:ascii="Calibri" w:eastAsiaTheme="minorEastAsia" w:hAnsi="Calibri" w:cs="Calibri"/>
                <w:b/>
                <w:bCs/>
                <w:color w:val="000000"/>
                <w:sz w:val="19"/>
                <w:lang w:eastAsia="en-AU"/>
              </w:rPr>
              <w:t>54 309.8</w:t>
            </w:r>
          </w:p>
        </w:tc>
        <w:tc>
          <w:tcPr>
            <w:tcW w:w="850" w:type="dxa"/>
            <w:tcBorders>
              <w:top w:val="single" w:sz="6" w:space="0" w:color="000000"/>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19"/>
                <w:lang w:eastAsia="en-AU"/>
              </w:rPr>
            </w:pPr>
            <w:r w:rsidRPr="00E22AD9">
              <w:rPr>
                <w:rFonts w:ascii="Calibri" w:eastAsiaTheme="minorEastAsia" w:hAnsi="Calibri" w:cs="Calibri"/>
                <w:b/>
                <w:bCs/>
                <w:color w:val="000000"/>
                <w:sz w:val="19"/>
                <w:lang w:eastAsia="en-AU"/>
              </w:rPr>
              <w:t>54 354.5</w:t>
            </w:r>
          </w:p>
        </w:tc>
        <w:tc>
          <w:tcPr>
            <w:tcW w:w="865" w:type="dxa"/>
            <w:tcBorders>
              <w:top w:val="single" w:sz="6" w:space="0" w:color="000000"/>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19"/>
                <w:lang w:eastAsia="en-AU"/>
              </w:rPr>
            </w:pPr>
            <w:r w:rsidRPr="00E22AD9">
              <w:rPr>
                <w:rFonts w:ascii="Calibri" w:eastAsiaTheme="minorEastAsia" w:hAnsi="Calibri" w:cs="Calibri"/>
                <w:b/>
                <w:bCs/>
                <w:color w:val="000000"/>
                <w:sz w:val="19"/>
                <w:lang w:eastAsia="en-AU"/>
              </w:rPr>
              <w:t>55 691.2</w:t>
            </w:r>
          </w:p>
        </w:tc>
        <w:tc>
          <w:tcPr>
            <w:tcW w:w="850" w:type="dxa"/>
            <w:gridSpan w:val="3"/>
            <w:tcBorders>
              <w:top w:val="single" w:sz="6" w:space="0" w:color="000000"/>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19"/>
                <w:lang w:eastAsia="en-AU"/>
              </w:rPr>
            </w:pPr>
            <w:r w:rsidRPr="00E22AD9">
              <w:rPr>
                <w:rFonts w:ascii="Calibri" w:eastAsiaTheme="minorEastAsia" w:hAnsi="Calibri" w:cs="Calibri"/>
                <w:b/>
                <w:bCs/>
                <w:color w:val="000000"/>
                <w:sz w:val="19"/>
                <w:lang w:eastAsia="en-AU"/>
              </w:rPr>
              <w:t>57 755.9</w:t>
            </w:r>
          </w:p>
        </w:tc>
        <w:tc>
          <w:tcPr>
            <w:tcW w:w="852" w:type="dxa"/>
            <w:gridSpan w:val="3"/>
            <w:tcBorders>
              <w:top w:val="single" w:sz="6" w:space="0" w:color="000000"/>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19"/>
                <w:lang w:eastAsia="en-AU"/>
              </w:rPr>
            </w:pPr>
            <w:r w:rsidRPr="00E22AD9">
              <w:rPr>
                <w:rFonts w:ascii="Calibri" w:eastAsiaTheme="minorEastAsia" w:hAnsi="Calibri" w:cs="Calibri"/>
                <w:b/>
                <w:bCs/>
                <w:color w:val="000000"/>
                <w:sz w:val="19"/>
                <w:lang w:eastAsia="en-AU"/>
              </w:rPr>
              <w:t>59 443.3</w:t>
            </w:r>
          </w:p>
        </w:tc>
      </w:tr>
      <w:tr w:rsidR="00965D85" w:rsidRPr="00E22AD9" w:rsidTr="008B46DF">
        <w:tc>
          <w:tcPr>
            <w:tcW w:w="2890" w:type="dxa"/>
            <w:tcBorders>
              <w:top w:val="single" w:sz="6" w:space="0" w:color="000000"/>
              <w:left w:val="nil"/>
              <w:bottom w:val="single" w:sz="12" w:space="0" w:color="000000"/>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b/>
                <w:bCs/>
                <w:color w:val="000000"/>
                <w:sz w:val="19"/>
                <w:lang w:eastAsia="en-AU"/>
              </w:rPr>
            </w:pPr>
            <w:r w:rsidRPr="00E22AD9">
              <w:rPr>
                <w:rFonts w:ascii="Calibri" w:eastAsiaTheme="minorEastAsia" w:hAnsi="Calibri" w:cs="Calibri"/>
                <w:b/>
                <w:bCs/>
                <w:color w:val="000000"/>
                <w:sz w:val="19"/>
                <w:lang w:eastAsia="en-AU"/>
              </w:rPr>
              <w:t>Net result from transactions – net operating balance</w:t>
            </w:r>
          </w:p>
        </w:tc>
        <w:tc>
          <w:tcPr>
            <w:tcW w:w="611" w:type="dxa"/>
            <w:tcBorders>
              <w:top w:val="single" w:sz="6" w:space="0" w:color="000000"/>
              <w:left w:val="nil"/>
              <w:bottom w:val="single" w:sz="12" w:space="0" w:color="000000"/>
              <w:right w:val="nil"/>
            </w:tcBorders>
            <w:shd w:val="clear" w:color="auto" w:fill="FFFFFF"/>
          </w:tcPr>
          <w:p w:rsidR="00965D85" w:rsidRPr="00E22AD9" w:rsidRDefault="00965D85" w:rsidP="008B46DF">
            <w:pPr>
              <w:autoSpaceDE w:val="0"/>
              <w:autoSpaceDN w:val="0"/>
              <w:adjustRightInd w:val="0"/>
              <w:spacing w:after="0"/>
              <w:jc w:val="center"/>
              <w:rPr>
                <w:rFonts w:ascii="Calibri" w:eastAsiaTheme="minorEastAsia" w:hAnsi="Calibri" w:cs="Calibri"/>
                <w:b/>
                <w:bCs/>
                <w:color w:val="000000"/>
                <w:sz w:val="19"/>
                <w:lang w:eastAsia="en-AU"/>
              </w:rPr>
            </w:pPr>
            <w:r w:rsidRPr="00E22AD9">
              <w:rPr>
                <w:rFonts w:ascii="Calibri" w:eastAsiaTheme="minorEastAsia" w:hAnsi="Calibri" w:cs="Calibri"/>
                <w:b/>
                <w:bCs/>
                <w:color w:val="000000"/>
                <w:sz w:val="19"/>
                <w:lang w:eastAsia="en-AU"/>
              </w:rPr>
              <w:t xml:space="preserve"> </w:t>
            </w:r>
          </w:p>
        </w:tc>
        <w:tc>
          <w:tcPr>
            <w:tcW w:w="846" w:type="dxa"/>
            <w:tcBorders>
              <w:top w:val="single" w:sz="6" w:space="0" w:color="000000"/>
              <w:left w:val="nil"/>
              <w:bottom w:val="single" w:sz="12"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19"/>
                <w:lang w:eastAsia="en-AU"/>
              </w:rPr>
            </w:pPr>
            <w:r w:rsidRPr="00E22AD9">
              <w:rPr>
                <w:rFonts w:ascii="Calibri" w:eastAsiaTheme="minorEastAsia" w:hAnsi="Calibri" w:cs="Calibri"/>
                <w:b/>
                <w:bCs/>
                <w:color w:val="000000"/>
                <w:sz w:val="19"/>
                <w:lang w:eastAsia="en-AU"/>
              </w:rPr>
              <w:t>1 218.9</w:t>
            </w:r>
          </w:p>
        </w:tc>
        <w:tc>
          <w:tcPr>
            <w:tcW w:w="850" w:type="dxa"/>
            <w:tcBorders>
              <w:top w:val="single" w:sz="6" w:space="0" w:color="000000"/>
              <w:left w:val="nil"/>
              <w:bottom w:val="single" w:sz="12"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19"/>
                <w:lang w:eastAsia="en-AU"/>
              </w:rPr>
            </w:pPr>
            <w:r w:rsidRPr="00E22AD9">
              <w:rPr>
                <w:rFonts w:ascii="Calibri" w:eastAsiaTheme="minorEastAsia" w:hAnsi="Calibri" w:cs="Calibri"/>
                <w:b/>
                <w:bCs/>
                <w:color w:val="000000"/>
                <w:sz w:val="19"/>
                <w:lang w:eastAsia="en-AU"/>
              </w:rPr>
              <w:t>1 711.8</w:t>
            </w:r>
          </w:p>
        </w:tc>
        <w:tc>
          <w:tcPr>
            <w:tcW w:w="865" w:type="dxa"/>
            <w:tcBorders>
              <w:top w:val="single" w:sz="6" w:space="0" w:color="000000"/>
              <w:left w:val="nil"/>
              <w:bottom w:val="single" w:sz="12"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19"/>
                <w:lang w:eastAsia="en-AU"/>
              </w:rPr>
            </w:pPr>
            <w:r w:rsidRPr="00E22AD9">
              <w:rPr>
                <w:rFonts w:ascii="Calibri" w:eastAsiaTheme="minorEastAsia" w:hAnsi="Calibri" w:cs="Calibri"/>
                <w:b/>
                <w:bCs/>
                <w:color w:val="000000"/>
                <w:sz w:val="19"/>
                <w:lang w:eastAsia="en-AU"/>
              </w:rPr>
              <w:t>1 544.5</w:t>
            </w:r>
          </w:p>
        </w:tc>
        <w:tc>
          <w:tcPr>
            <w:tcW w:w="850" w:type="dxa"/>
            <w:gridSpan w:val="3"/>
            <w:tcBorders>
              <w:top w:val="single" w:sz="6" w:space="0" w:color="000000"/>
              <w:left w:val="nil"/>
              <w:bottom w:val="single" w:sz="12"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19"/>
                <w:lang w:eastAsia="en-AU"/>
              </w:rPr>
            </w:pPr>
            <w:r w:rsidRPr="00E22AD9">
              <w:rPr>
                <w:rFonts w:ascii="Calibri" w:eastAsiaTheme="minorEastAsia" w:hAnsi="Calibri" w:cs="Calibri"/>
                <w:b/>
                <w:bCs/>
                <w:color w:val="000000"/>
                <w:sz w:val="19"/>
                <w:lang w:eastAsia="en-AU"/>
              </w:rPr>
              <w:t>1 845.5</w:t>
            </w:r>
          </w:p>
        </w:tc>
        <w:tc>
          <w:tcPr>
            <w:tcW w:w="852" w:type="dxa"/>
            <w:gridSpan w:val="3"/>
            <w:tcBorders>
              <w:top w:val="single" w:sz="6" w:space="0" w:color="000000"/>
              <w:left w:val="nil"/>
              <w:bottom w:val="single" w:sz="12"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19"/>
                <w:lang w:eastAsia="en-AU"/>
              </w:rPr>
            </w:pPr>
            <w:r w:rsidRPr="00E22AD9">
              <w:rPr>
                <w:rFonts w:ascii="Calibri" w:eastAsiaTheme="minorEastAsia" w:hAnsi="Calibri" w:cs="Calibri"/>
                <w:b/>
                <w:bCs/>
                <w:color w:val="000000"/>
                <w:sz w:val="19"/>
                <w:lang w:eastAsia="en-AU"/>
              </w:rPr>
              <w:t>1 554.7</w:t>
            </w:r>
          </w:p>
        </w:tc>
      </w:tr>
      <w:tr w:rsidR="00965D85" w:rsidRPr="00E22AD9" w:rsidTr="008B46DF">
        <w:tc>
          <w:tcPr>
            <w:tcW w:w="6062" w:type="dxa"/>
            <w:gridSpan w:val="5"/>
            <w:tcBorders>
              <w:top w:val="single" w:sz="12" w:space="0" w:color="000000"/>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b/>
                <w:bCs/>
                <w:color w:val="000000"/>
                <w:sz w:val="19"/>
                <w:lang w:eastAsia="en-AU"/>
              </w:rPr>
            </w:pPr>
            <w:r w:rsidRPr="00E22AD9">
              <w:rPr>
                <w:rFonts w:ascii="Calibri" w:eastAsiaTheme="minorEastAsia" w:hAnsi="Calibri" w:cs="Calibri"/>
                <w:b/>
                <w:bCs/>
                <w:color w:val="000000"/>
                <w:sz w:val="19"/>
                <w:lang w:eastAsia="en-AU"/>
              </w:rPr>
              <w:t>Other economic flows included in net result</w:t>
            </w:r>
          </w:p>
        </w:tc>
        <w:tc>
          <w:tcPr>
            <w:tcW w:w="283" w:type="dxa"/>
            <w:tcBorders>
              <w:top w:val="single" w:sz="12" w:space="0" w:color="000000"/>
              <w:left w:val="nil"/>
              <w:right w:val="nil"/>
            </w:tcBorders>
            <w:shd w:val="clear" w:color="auto" w:fill="FFFFFF"/>
          </w:tcPr>
          <w:p w:rsidR="00965D85" w:rsidRPr="00E22AD9" w:rsidRDefault="00965D85" w:rsidP="008B46DF">
            <w:pPr>
              <w:autoSpaceDE w:val="0"/>
              <w:autoSpaceDN w:val="0"/>
              <w:adjustRightInd w:val="0"/>
              <w:spacing w:after="0"/>
              <w:jc w:val="center"/>
              <w:rPr>
                <w:rFonts w:ascii="Calibri" w:eastAsiaTheme="minorEastAsia" w:hAnsi="Calibri" w:cs="Calibri"/>
                <w:b/>
                <w:bCs/>
                <w:color w:val="000000"/>
                <w:sz w:val="19"/>
                <w:lang w:eastAsia="en-AU"/>
              </w:rPr>
            </w:pPr>
            <w:r w:rsidRPr="00E22AD9">
              <w:rPr>
                <w:rFonts w:ascii="Calibri" w:eastAsiaTheme="minorEastAsia" w:hAnsi="Calibri" w:cs="Calibri"/>
                <w:b/>
                <w:bCs/>
                <w:color w:val="000000"/>
                <w:sz w:val="19"/>
                <w:lang w:eastAsia="en-AU"/>
              </w:rPr>
              <w:t xml:space="preserve"> </w:t>
            </w:r>
          </w:p>
        </w:tc>
        <w:tc>
          <w:tcPr>
            <w:tcW w:w="283" w:type="dxa"/>
            <w:tcBorders>
              <w:top w:val="single" w:sz="12" w:space="0" w:color="000000"/>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284" w:type="dxa"/>
            <w:tcBorders>
              <w:top w:val="single" w:sz="12" w:space="0" w:color="000000"/>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283" w:type="dxa"/>
            <w:tcBorders>
              <w:top w:val="single" w:sz="12" w:space="0" w:color="000000"/>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283" w:type="dxa"/>
            <w:tcBorders>
              <w:top w:val="single" w:sz="12" w:space="0" w:color="000000"/>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286" w:type="dxa"/>
            <w:tcBorders>
              <w:top w:val="single" w:sz="12" w:space="0" w:color="000000"/>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r>
      <w:tr w:rsidR="00965D85" w:rsidRPr="00E22AD9" w:rsidTr="008B46DF">
        <w:tc>
          <w:tcPr>
            <w:tcW w:w="2890" w:type="dxa"/>
            <w:tcBorders>
              <w:top w:val="nil"/>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Net gain/(loss) on disposal of non</w:t>
            </w:r>
            <w:r>
              <w:rPr>
                <w:rFonts w:ascii="Calibri" w:eastAsiaTheme="minorEastAsia" w:hAnsi="Calibri" w:cs="Calibri"/>
                <w:color w:val="000000"/>
                <w:sz w:val="19"/>
                <w:lang w:eastAsia="en-AU"/>
              </w:rPr>
              <w:noBreakHyphen/>
            </w:r>
            <w:r w:rsidRPr="00E22AD9">
              <w:rPr>
                <w:rFonts w:ascii="Calibri" w:eastAsiaTheme="minorEastAsia" w:hAnsi="Calibri" w:cs="Calibri"/>
                <w:color w:val="000000"/>
                <w:sz w:val="19"/>
                <w:lang w:eastAsia="en-AU"/>
              </w:rPr>
              <w:t>financial assets</w:t>
            </w:r>
          </w:p>
        </w:tc>
        <w:tc>
          <w:tcPr>
            <w:tcW w:w="611"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center"/>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 xml:space="preserve"> </w:t>
            </w:r>
          </w:p>
        </w:tc>
        <w:tc>
          <w:tcPr>
            <w:tcW w:w="846"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63.6</w:t>
            </w:r>
          </w:p>
        </w:tc>
        <w:tc>
          <w:tcPr>
            <w:tcW w:w="850"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74.2</w:t>
            </w:r>
          </w:p>
        </w:tc>
        <w:tc>
          <w:tcPr>
            <w:tcW w:w="865"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87.2</w:t>
            </w:r>
          </w:p>
        </w:tc>
        <w:tc>
          <w:tcPr>
            <w:tcW w:w="850" w:type="dxa"/>
            <w:gridSpan w:val="3"/>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96.7</w:t>
            </w:r>
          </w:p>
        </w:tc>
        <w:tc>
          <w:tcPr>
            <w:tcW w:w="852" w:type="dxa"/>
            <w:gridSpan w:val="3"/>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65.3</w:t>
            </w:r>
          </w:p>
        </w:tc>
      </w:tr>
      <w:tr w:rsidR="00965D85" w:rsidRPr="00E22AD9" w:rsidTr="008B46DF">
        <w:tc>
          <w:tcPr>
            <w:tcW w:w="2890" w:type="dxa"/>
            <w:tcBorders>
              <w:top w:val="nil"/>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Net gain/(loss) on financial assets or liabilities at fair value</w:t>
            </w:r>
          </w:p>
        </w:tc>
        <w:tc>
          <w:tcPr>
            <w:tcW w:w="611"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center"/>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 xml:space="preserve"> </w:t>
            </w:r>
          </w:p>
        </w:tc>
        <w:tc>
          <w:tcPr>
            <w:tcW w:w="846"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5 402.2</w:t>
            </w:r>
          </w:p>
        </w:tc>
        <w:tc>
          <w:tcPr>
            <w:tcW w:w="850"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3 737.5</w:t>
            </w:r>
          </w:p>
        </w:tc>
        <w:tc>
          <w:tcPr>
            <w:tcW w:w="865"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7.2</w:t>
            </w:r>
          </w:p>
        </w:tc>
        <w:tc>
          <w:tcPr>
            <w:tcW w:w="850" w:type="dxa"/>
            <w:gridSpan w:val="3"/>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7.2</w:t>
            </w:r>
          </w:p>
        </w:tc>
        <w:tc>
          <w:tcPr>
            <w:tcW w:w="852" w:type="dxa"/>
            <w:gridSpan w:val="3"/>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7.2</w:t>
            </w:r>
          </w:p>
        </w:tc>
      </w:tr>
      <w:tr w:rsidR="00965D85" w:rsidRPr="00E22AD9" w:rsidTr="008B46DF">
        <w:tc>
          <w:tcPr>
            <w:tcW w:w="2890"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Other gains/(losses) from other economic flows</w:t>
            </w:r>
          </w:p>
        </w:tc>
        <w:tc>
          <w:tcPr>
            <w:tcW w:w="611"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center"/>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13</w:t>
            </w:r>
          </w:p>
        </w:tc>
        <w:tc>
          <w:tcPr>
            <w:tcW w:w="846"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(318.4)</w:t>
            </w:r>
          </w:p>
        </w:tc>
        <w:tc>
          <w:tcPr>
            <w:tcW w:w="850"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(332.7)</w:t>
            </w:r>
          </w:p>
        </w:tc>
        <w:tc>
          <w:tcPr>
            <w:tcW w:w="865"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(332.9)</w:t>
            </w:r>
          </w:p>
        </w:tc>
        <w:tc>
          <w:tcPr>
            <w:tcW w:w="850" w:type="dxa"/>
            <w:gridSpan w:val="3"/>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(341.6)</w:t>
            </w:r>
          </w:p>
        </w:tc>
        <w:tc>
          <w:tcPr>
            <w:tcW w:w="852" w:type="dxa"/>
            <w:gridSpan w:val="3"/>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(352.1)</w:t>
            </w:r>
          </w:p>
        </w:tc>
      </w:tr>
      <w:tr w:rsidR="00965D85" w:rsidRPr="00E22AD9" w:rsidTr="008B46DF">
        <w:tc>
          <w:tcPr>
            <w:tcW w:w="2890" w:type="dxa"/>
            <w:tcBorders>
              <w:top w:val="single" w:sz="6" w:space="0" w:color="000000"/>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b/>
                <w:bCs/>
                <w:color w:val="000000"/>
                <w:sz w:val="19"/>
                <w:lang w:eastAsia="en-AU"/>
              </w:rPr>
            </w:pPr>
            <w:r w:rsidRPr="00E22AD9">
              <w:rPr>
                <w:rFonts w:ascii="Calibri" w:eastAsiaTheme="minorEastAsia" w:hAnsi="Calibri" w:cs="Calibri"/>
                <w:b/>
                <w:bCs/>
                <w:color w:val="000000"/>
                <w:sz w:val="19"/>
                <w:lang w:eastAsia="en-AU"/>
              </w:rPr>
              <w:t>Total other economic flows included in net result</w:t>
            </w:r>
          </w:p>
        </w:tc>
        <w:tc>
          <w:tcPr>
            <w:tcW w:w="611" w:type="dxa"/>
            <w:tcBorders>
              <w:top w:val="single" w:sz="6" w:space="0" w:color="000000"/>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center"/>
              <w:rPr>
                <w:rFonts w:ascii="Calibri" w:eastAsiaTheme="minorEastAsia" w:hAnsi="Calibri" w:cs="Calibri"/>
                <w:b/>
                <w:bCs/>
                <w:color w:val="000000"/>
                <w:sz w:val="19"/>
                <w:lang w:eastAsia="en-AU"/>
              </w:rPr>
            </w:pPr>
            <w:r w:rsidRPr="00E22AD9">
              <w:rPr>
                <w:rFonts w:ascii="Calibri" w:eastAsiaTheme="minorEastAsia" w:hAnsi="Calibri" w:cs="Calibri"/>
                <w:b/>
                <w:bCs/>
                <w:color w:val="000000"/>
                <w:sz w:val="19"/>
                <w:lang w:eastAsia="en-AU"/>
              </w:rPr>
              <w:t xml:space="preserve"> </w:t>
            </w:r>
          </w:p>
        </w:tc>
        <w:tc>
          <w:tcPr>
            <w:tcW w:w="846" w:type="dxa"/>
            <w:tcBorders>
              <w:top w:val="single" w:sz="6" w:space="0" w:color="000000"/>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19"/>
                <w:lang w:eastAsia="en-AU"/>
              </w:rPr>
            </w:pPr>
            <w:r w:rsidRPr="00E22AD9">
              <w:rPr>
                <w:rFonts w:ascii="Calibri" w:eastAsiaTheme="minorEastAsia" w:hAnsi="Calibri" w:cs="Calibri"/>
                <w:b/>
                <w:bCs/>
                <w:color w:val="000000"/>
                <w:sz w:val="19"/>
                <w:lang w:eastAsia="en-AU"/>
              </w:rPr>
              <w:t>5 147.4</w:t>
            </w:r>
          </w:p>
        </w:tc>
        <w:tc>
          <w:tcPr>
            <w:tcW w:w="850" w:type="dxa"/>
            <w:tcBorders>
              <w:top w:val="single" w:sz="6" w:space="0" w:color="000000"/>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19"/>
                <w:lang w:eastAsia="en-AU"/>
              </w:rPr>
            </w:pPr>
            <w:r w:rsidRPr="00E22AD9">
              <w:rPr>
                <w:rFonts w:ascii="Calibri" w:eastAsiaTheme="minorEastAsia" w:hAnsi="Calibri" w:cs="Calibri"/>
                <w:b/>
                <w:bCs/>
                <w:color w:val="000000"/>
                <w:sz w:val="19"/>
                <w:lang w:eastAsia="en-AU"/>
              </w:rPr>
              <w:t>3 479.0</w:t>
            </w:r>
          </w:p>
        </w:tc>
        <w:tc>
          <w:tcPr>
            <w:tcW w:w="865" w:type="dxa"/>
            <w:tcBorders>
              <w:top w:val="single" w:sz="6" w:space="0" w:color="000000"/>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19"/>
                <w:lang w:eastAsia="en-AU"/>
              </w:rPr>
              <w:t>(238.5)</w:t>
            </w:r>
          </w:p>
        </w:tc>
        <w:tc>
          <w:tcPr>
            <w:tcW w:w="850" w:type="dxa"/>
            <w:gridSpan w:val="3"/>
            <w:tcBorders>
              <w:top w:val="single" w:sz="6" w:space="0" w:color="000000"/>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19"/>
                <w:lang w:eastAsia="en-AU"/>
              </w:rPr>
              <w:t>(237.7)</w:t>
            </w:r>
          </w:p>
        </w:tc>
        <w:tc>
          <w:tcPr>
            <w:tcW w:w="852" w:type="dxa"/>
            <w:gridSpan w:val="3"/>
            <w:tcBorders>
              <w:top w:val="single" w:sz="6" w:space="0" w:color="000000"/>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19"/>
                <w:lang w:eastAsia="en-AU"/>
              </w:rPr>
              <w:t>(279.6)</w:t>
            </w:r>
          </w:p>
        </w:tc>
      </w:tr>
      <w:tr w:rsidR="00965D85" w:rsidRPr="00E22AD9" w:rsidTr="008B46DF">
        <w:tc>
          <w:tcPr>
            <w:tcW w:w="2890" w:type="dxa"/>
            <w:tcBorders>
              <w:top w:val="single" w:sz="6" w:space="0" w:color="000000"/>
              <w:left w:val="nil"/>
              <w:bottom w:val="single" w:sz="12" w:space="0" w:color="000000"/>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b/>
                <w:bCs/>
                <w:color w:val="000000"/>
                <w:sz w:val="19"/>
                <w:lang w:eastAsia="en-AU"/>
              </w:rPr>
            </w:pPr>
            <w:r w:rsidRPr="00E22AD9">
              <w:rPr>
                <w:rFonts w:ascii="Calibri" w:eastAsiaTheme="minorEastAsia" w:hAnsi="Calibri" w:cs="Calibri"/>
                <w:b/>
                <w:bCs/>
                <w:color w:val="000000"/>
                <w:sz w:val="19"/>
                <w:lang w:eastAsia="en-AU"/>
              </w:rPr>
              <w:t>Net result</w:t>
            </w:r>
          </w:p>
        </w:tc>
        <w:tc>
          <w:tcPr>
            <w:tcW w:w="611" w:type="dxa"/>
            <w:tcBorders>
              <w:top w:val="single" w:sz="6" w:space="0" w:color="000000"/>
              <w:left w:val="nil"/>
              <w:bottom w:val="single" w:sz="12" w:space="0" w:color="000000"/>
              <w:right w:val="nil"/>
            </w:tcBorders>
            <w:shd w:val="clear" w:color="auto" w:fill="FFFFFF"/>
          </w:tcPr>
          <w:p w:rsidR="00965D85" w:rsidRPr="00E22AD9" w:rsidRDefault="00965D85" w:rsidP="008B46DF">
            <w:pPr>
              <w:autoSpaceDE w:val="0"/>
              <w:autoSpaceDN w:val="0"/>
              <w:adjustRightInd w:val="0"/>
              <w:spacing w:after="0"/>
              <w:jc w:val="center"/>
              <w:rPr>
                <w:rFonts w:ascii="Calibri" w:eastAsiaTheme="minorEastAsia" w:hAnsi="Calibri" w:cs="Calibri"/>
                <w:b/>
                <w:bCs/>
                <w:color w:val="000000"/>
                <w:sz w:val="19"/>
                <w:lang w:eastAsia="en-AU"/>
              </w:rPr>
            </w:pPr>
            <w:r w:rsidRPr="00E22AD9">
              <w:rPr>
                <w:rFonts w:ascii="Calibri" w:eastAsiaTheme="minorEastAsia" w:hAnsi="Calibri" w:cs="Calibri"/>
                <w:b/>
                <w:bCs/>
                <w:color w:val="000000"/>
                <w:sz w:val="19"/>
                <w:lang w:eastAsia="en-AU"/>
              </w:rPr>
              <w:t xml:space="preserve"> </w:t>
            </w:r>
          </w:p>
        </w:tc>
        <w:tc>
          <w:tcPr>
            <w:tcW w:w="846" w:type="dxa"/>
            <w:tcBorders>
              <w:top w:val="single" w:sz="6" w:space="0" w:color="000000"/>
              <w:left w:val="nil"/>
              <w:bottom w:val="single" w:sz="12"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19"/>
                <w:lang w:eastAsia="en-AU"/>
              </w:rPr>
            </w:pPr>
            <w:r w:rsidRPr="00E22AD9">
              <w:rPr>
                <w:rFonts w:ascii="Calibri" w:eastAsiaTheme="minorEastAsia" w:hAnsi="Calibri" w:cs="Calibri"/>
                <w:b/>
                <w:bCs/>
                <w:color w:val="000000"/>
                <w:sz w:val="19"/>
                <w:lang w:eastAsia="en-AU"/>
              </w:rPr>
              <w:t>6 366.3</w:t>
            </w:r>
          </w:p>
        </w:tc>
        <w:tc>
          <w:tcPr>
            <w:tcW w:w="850" w:type="dxa"/>
            <w:tcBorders>
              <w:top w:val="single" w:sz="6" w:space="0" w:color="000000"/>
              <w:left w:val="nil"/>
              <w:bottom w:val="single" w:sz="12"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19"/>
                <w:lang w:eastAsia="en-AU"/>
              </w:rPr>
            </w:pPr>
            <w:r w:rsidRPr="00E22AD9">
              <w:rPr>
                <w:rFonts w:ascii="Calibri" w:eastAsiaTheme="minorEastAsia" w:hAnsi="Calibri" w:cs="Calibri"/>
                <w:b/>
                <w:bCs/>
                <w:color w:val="000000"/>
                <w:sz w:val="19"/>
                <w:lang w:eastAsia="en-AU"/>
              </w:rPr>
              <w:t>5 190.8</w:t>
            </w:r>
          </w:p>
        </w:tc>
        <w:tc>
          <w:tcPr>
            <w:tcW w:w="865" w:type="dxa"/>
            <w:tcBorders>
              <w:top w:val="single" w:sz="6" w:space="0" w:color="000000"/>
              <w:left w:val="nil"/>
              <w:bottom w:val="single" w:sz="12"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19"/>
                <w:lang w:eastAsia="en-AU"/>
              </w:rPr>
            </w:pPr>
            <w:r w:rsidRPr="00E22AD9">
              <w:rPr>
                <w:rFonts w:ascii="Calibri" w:eastAsiaTheme="minorEastAsia" w:hAnsi="Calibri" w:cs="Calibri"/>
                <w:b/>
                <w:bCs/>
                <w:color w:val="000000"/>
                <w:sz w:val="19"/>
                <w:lang w:eastAsia="en-AU"/>
              </w:rPr>
              <w:t>1 306.0</w:t>
            </w:r>
          </w:p>
        </w:tc>
        <w:tc>
          <w:tcPr>
            <w:tcW w:w="850" w:type="dxa"/>
            <w:gridSpan w:val="3"/>
            <w:tcBorders>
              <w:top w:val="single" w:sz="6" w:space="0" w:color="000000"/>
              <w:left w:val="nil"/>
              <w:bottom w:val="single" w:sz="12"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19"/>
                <w:lang w:eastAsia="en-AU"/>
              </w:rPr>
            </w:pPr>
            <w:r w:rsidRPr="00E22AD9">
              <w:rPr>
                <w:rFonts w:ascii="Calibri" w:eastAsiaTheme="minorEastAsia" w:hAnsi="Calibri" w:cs="Calibri"/>
                <w:b/>
                <w:bCs/>
                <w:color w:val="000000"/>
                <w:sz w:val="19"/>
                <w:lang w:eastAsia="en-AU"/>
              </w:rPr>
              <w:t>1 607.8</w:t>
            </w:r>
          </w:p>
        </w:tc>
        <w:tc>
          <w:tcPr>
            <w:tcW w:w="852" w:type="dxa"/>
            <w:gridSpan w:val="3"/>
            <w:tcBorders>
              <w:top w:val="single" w:sz="6" w:space="0" w:color="000000"/>
              <w:left w:val="nil"/>
              <w:bottom w:val="single" w:sz="12"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19"/>
                <w:lang w:eastAsia="en-AU"/>
              </w:rPr>
            </w:pPr>
            <w:r w:rsidRPr="00E22AD9">
              <w:rPr>
                <w:rFonts w:ascii="Calibri" w:eastAsiaTheme="minorEastAsia" w:hAnsi="Calibri" w:cs="Calibri"/>
                <w:b/>
                <w:bCs/>
                <w:color w:val="000000"/>
                <w:sz w:val="19"/>
                <w:lang w:eastAsia="en-AU"/>
              </w:rPr>
              <w:t>1 275.1</w:t>
            </w:r>
          </w:p>
        </w:tc>
      </w:tr>
    </w:tbl>
    <w:p w:rsidR="00965D85" w:rsidRDefault="00965D85" w:rsidP="008B46DF">
      <w:pPr>
        <w:pStyle w:val="Tableheading"/>
      </w:pPr>
      <w:r w:rsidRPr="00DF57FA">
        <w:lastRenderedPageBreak/>
        <w:t>Table 4.1:</w:t>
      </w:r>
      <w:r w:rsidRPr="00DF57FA">
        <w:tab/>
        <w:t>Estimated general government sector comprehensive operating statement for the financial year ended 30 June</w:t>
      </w:r>
      <w:r>
        <w:t xml:space="preserve"> </w:t>
      </w:r>
      <w:r w:rsidRPr="00045339">
        <w:rPr>
          <w:i/>
        </w:rPr>
        <w:t>(continued)</w:t>
      </w:r>
    </w:p>
    <w:tbl>
      <w:tblPr>
        <w:tblW w:w="7764" w:type="dxa"/>
        <w:tblInd w:w="45" w:type="dxa"/>
        <w:tblLayout w:type="fixed"/>
        <w:tblCellMar>
          <w:left w:w="45" w:type="dxa"/>
          <w:right w:w="45" w:type="dxa"/>
        </w:tblCellMar>
        <w:tblLook w:val="0000" w:firstRow="0" w:lastRow="0" w:firstColumn="0" w:lastColumn="0" w:noHBand="0" w:noVBand="0"/>
      </w:tblPr>
      <w:tblGrid>
        <w:gridCol w:w="2890"/>
        <w:gridCol w:w="611"/>
        <w:gridCol w:w="846"/>
        <w:gridCol w:w="850"/>
        <w:gridCol w:w="865"/>
        <w:gridCol w:w="283"/>
        <w:gridCol w:w="283"/>
        <w:gridCol w:w="284"/>
        <w:gridCol w:w="283"/>
        <w:gridCol w:w="283"/>
        <w:gridCol w:w="286"/>
      </w:tblGrid>
      <w:tr w:rsidR="00965D85" w:rsidRPr="00E22AD9" w:rsidTr="008B46DF">
        <w:trPr>
          <w:tblHeader/>
        </w:trPr>
        <w:tc>
          <w:tcPr>
            <w:tcW w:w="7764" w:type="dxa"/>
            <w:gridSpan w:val="11"/>
            <w:tcBorders>
              <w:top w:val="nil"/>
              <w:left w:val="nil"/>
              <w:bottom w:val="nil"/>
              <w:right w:val="nil"/>
            </w:tcBorders>
          </w:tcPr>
          <w:p w:rsidR="00965D85" w:rsidRPr="00E22AD9" w:rsidRDefault="00965D85" w:rsidP="008B46DF">
            <w:pPr>
              <w:pStyle w:val="million"/>
              <w:rPr>
                <w:rFonts w:eastAsiaTheme="minorEastAsia"/>
                <w:sz w:val="19"/>
                <w:lang w:eastAsia="en-AU"/>
              </w:rPr>
            </w:pPr>
            <w:r w:rsidRPr="00E22AD9">
              <w:rPr>
                <w:rFonts w:eastAsiaTheme="minorEastAsia"/>
                <w:sz w:val="19"/>
                <w:lang w:eastAsia="en-AU"/>
              </w:rPr>
              <w:t>($ million)</w:t>
            </w:r>
          </w:p>
        </w:tc>
      </w:tr>
      <w:tr w:rsidR="00965D85" w:rsidRPr="00E22AD9" w:rsidTr="008B46DF">
        <w:trPr>
          <w:trHeight w:val="464"/>
          <w:tblHeader/>
        </w:trPr>
        <w:tc>
          <w:tcPr>
            <w:tcW w:w="2890" w:type="dxa"/>
            <w:tcBorders>
              <w:top w:val="nil"/>
              <w:left w:val="nil"/>
              <w:right w:val="nil"/>
            </w:tcBorders>
            <w:shd w:val="solid" w:color="000000" w:fill="auto"/>
          </w:tcPr>
          <w:p w:rsidR="00965D85" w:rsidRPr="00E22AD9" w:rsidRDefault="00965D85" w:rsidP="008B46DF">
            <w:pPr>
              <w:autoSpaceDE w:val="0"/>
              <w:autoSpaceDN w:val="0"/>
              <w:adjustRightInd w:val="0"/>
              <w:spacing w:after="0"/>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 xml:space="preserve"> </w:t>
            </w:r>
          </w:p>
          <w:p w:rsidR="00965D85" w:rsidRPr="00E22AD9" w:rsidRDefault="00965D85" w:rsidP="008B46DF">
            <w:pPr>
              <w:autoSpaceDE w:val="0"/>
              <w:autoSpaceDN w:val="0"/>
              <w:adjustRightInd w:val="0"/>
              <w:spacing w:after="0"/>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 xml:space="preserve"> </w:t>
            </w:r>
          </w:p>
        </w:tc>
        <w:tc>
          <w:tcPr>
            <w:tcW w:w="611" w:type="dxa"/>
            <w:tcBorders>
              <w:top w:val="nil"/>
              <w:left w:val="nil"/>
              <w:right w:val="nil"/>
            </w:tcBorders>
            <w:shd w:val="solid" w:color="000000" w:fill="auto"/>
          </w:tcPr>
          <w:p w:rsidR="00965D85" w:rsidRPr="00E22AD9" w:rsidRDefault="00965D85" w:rsidP="008B46DF">
            <w:pPr>
              <w:autoSpaceDE w:val="0"/>
              <w:autoSpaceDN w:val="0"/>
              <w:adjustRightInd w:val="0"/>
              <w:spacing w:after="0"/>
              <w:jc w:val="center"/>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 xml:space="preserve"> </w:t>
            </w:r>
          </w:p>
          <w:p w:rsidR="00965D85" w:rsidRPr="00E22AD9" w:rsidRDefault="00965D85" w:rsidP="008B46DF">
            <w:pPr>
              <w:autoSpaceDE w:val="0"/>
              <w:autoSpaceDN w:val="0"/>
              <w:adjustRightInd w:val="0"/>
              <w:spacing w:after="0"/>
              <w:jc w:val="center"/>
              <w:rPr>
                <w:rFonts w:ascii="Calibri" w:eastAsiaTheme="minorEastAsia" w:hAnsi="Calibri" w:cs="Calibri"/>
                <w:color w:val="000000"/>
                <w:sz w:val="19"/>
                <w:lang w:eastAsia="en-AU"/>
              </w:rPr>
            </w:pPr>
            <w:r w:rsidRPr="00E22AD9">
              <w:rPr>
                <w:rFonts w:ascii="Calibri" w:eastAsiaTheme="minorEastAsia" w:hAnsi="Calibri" w:cs="Calibri"/>
                <w:i/>
                <w:iCs/>
                <w:color w:val="FFFFFF"/>
                <w:sz w:val="19"/>
                <w:lang w:eastAsia="en-AU"/>
              </w:rPr>
              <w:t>Notes</w:t>
            </w:r>
          </w:p>
        </w:tc>
        <w:tc>
          <w:tcPr>
            <w:tcW w:w="846" w:type="dxa"/>
            <w:tcBorders>
              <w:top w:val="nil"/>
              <w:left w:val="nil"/>
              <w:right w:val="nil"/>
            </w:tcBorders>
            <w:shd w:val="solid" w:color="000000" w:fill="auto"/>
          </w:tcPr>
          <w:p w:rsidR="00965D85" w:rsidRPr="00E22AD9" w:rsidRDefault="00965D85" w:rsidP="008B46DF">
            <w:pPr>
              <w:autoSpaceDE w:val="0"/>
              <w:autoSpaceDN w:val="0"/>
              <w:adjustRightInd w:val="0"/>
              <w:spacing w:after="0"/>
              <w:jc w:val="right"/>
              <w:rPr>
                <w:rFonts w:ascii="Calibri" w:eastAsiaTheme="minorEastAsia" w:hAnsi="Calibri" w:cs="Calibri"/>
                <w:i/>
                <w:iCs/>
                <w:color w:val="FFFFFF"/>
                <w:sz w:val="19"/>
                <w:lang w:eastAsia="en-AU"/>
              </w:rPr>
            </w:pPr>
            <w:r w:rsidRPr="00E22AD9">
              <w:rPr>
                <w:rFonts w:ascii="Calibri" w:eastAsiaTheme="minorEastAsia" w:hAnsi="Calibri" w:cs="Calibri"/>
                <w:i/>
                <w:iCs/>
                <w:color w:val="FFFFFF"/>
                <w:sz w:val="19"/>
                <w:lang w:eastAsia="en-AU"/>
              </w:rPr>
              <w:t>2015</w:t>
            </w:r>
            <w:r>
              <w:rPr>
                <w:rFonts w:ascii="Calibri" w:eastAsiaTheme="minorEastAsia" w:hAnsi="Calibri" w:cs="Calibri"/>
                <w:i/>
                <w:iCs/>
                <w:color w:val="FFFFFF"/>
                <w:sz w:val="19"/>
                <w:lang w:eastAsia="en-AU"/>
              </w:rPr>
              <w:noBreakHyphen/>
            </w:r>
            <w:r w:rsidRPr="00E22AD9">
              <w:rPr>
                <w:rFonts w:ascii="Calibri" w:eastAsiaTheme="minorEastAsia" w:hAnsi="Calibri" w:cs="Calibri"/>
                <w:i/>
                <w:iCs/>
                <w:color w:val="FFFFFF"/>
                <w:sz w:val="19"/>
                <w:lang w:eastAsia="en-AU"/>
              </w:rPr>
              <w:t>16</w:t>
            </w:r>
          </w:p>
          <w:p w:rsidR="00965D85" w:rsidRPr="00E22AD9" w:rsidRDefault="00965D85" w:rsidP="008B46DF">
            <w:pPr>
              <w:autoSpaceDE w:val="0"/>
              <w:autoSpaceDN w:val="0"/>
              <w:adjustRightInd w:val="0"/>
              <w:spacing w:after="0"/>
              <w:jc w:val="right"/>
              <w:rPr>
                <w:rFonts w:ascii="Calibri" w:eastAsiaTheme="minorEastAsia" w:hAnsi="Calibri" w:cs="Calibri"/>
                <w:i/>
                <w:iCs/>
                <w:color w:val="FFFFFF"/>
                <w:sz w:val="19"/>
                <w:lang w:eastAsia="en-AU"/>
              </w:rPr>
            </w:pPr>
            <w:r w:rsidRPr="00E22AD9">
              <w:rPr>
                <w:rFonts w:ascii="Calibri" w:eastAsiaTheme="minorEastAsia" w:hAnsi="Calibri" w:cs="Calibri"/>
                <w:i/>
                <w:iCs/>
                <w:color w:val="FFFFFF"/>
                <w:sz w:val="19"/>
                <w:lang w:eastAsia="en-AU"/>
              </w:rPr>
              <w:t>budget</w:t>
            </w:r>
          </w:p>
        </w:tc>
        <w:tc>
          <w:tcPr>
            <w:tcW w:w="850" w:type="dxa"/>
            <w:tcBorders>
              <w:top w:val="nil"/>
              <w:left w:val="nil"/>
              <w:right w:val="nil"/>
            </w:tcBorders>
            <w:shd w:val="solid" w:color="000000" w:fill="auto"/>
          </w:tcPr>
          <w:p w:rsidR="00965D85" w:rsidRPr="00E22AD9" w:rsidRDefault="00965D85" w:rsidP="008B46DF">
            <w:pPr>
              <w:autoSpaceDE w:val="0"/>
              <w:autoSpaceDN w:val="0"/>
              <w:adjustRightInd w:val="0"/>
              <w:spacing w:after="0"/>
              <w:jc w:val="right"/>
              <w:rPr>
                <w:rFonts w:ascii="Calibri" w:eastAsiaTheme="minorEastAsia" w:hAnsi="Calibri" w:cs="Calibri"/>
                <w:i/>
                <w:iCs/>
                <w:color w:val="FFFFFF"/>
                <w:sz w:val="19"/>
                <w:lang w:eastAsia="en-AU"/>
              </w:rPr>
            </w:pPr>
            <w:r w:rsidRPr="00E22AD9">
              <w:rPr>
                <w:rFonts w:ascii="Calibri" w:eastAsiaTheme="minorEastAsia" w:hAnsi="Calibri" w:cs="Calibri"/>
                <w:i/>
                <w:iCs/>
                <w:color w:val="FFFFFF"/>
                <w:sz w:val="19"/>
                <w:lang w:eastAsia="en-AU"/>
              </w:rPr>
              <w:t>2015</w:t>
            </w:r>
            <w:r>
              <w:rPr>
                <w:rFonts w:ascii="Calibri" w:eastAsiaTheme="minorEastAsia" w:hAnsi="Calibri" w:cs="Calibri"/>
                <w:i/>
                <w:iCs/>
                <w:color w:val="FFFFFF"/>
                <w:sz w:val="19"/>
                <w:lang w:eastAsia="en-AU"/>
              </w:rPr>
              <w:noBreakHyphen/>
            </w:r>
            <w:r w:rsidRPr="00E22AD9">
              <w:rPr>
                <w:rFonts w:ascii="Calibri" w:eastAsiaTheme="minorEastAsia" w:hAnsi="Calibri" w:cs="Calibri"/>
                <w:i/>
                <w:iCs/>
                <w:color w:val="FFFFFF"/>
                <w:sz w:val="19"/>
                <w:lang w:eastAsia="en-AU"/>
              </w:rPr>
              <w:t>16</w:t>
            </w:r>
          </w:p>
          <w:p w:rsidR="00965D85" w:rsidRPr="00E22AD9" w:rsidRDefault="00965D85" w:rsidP="008B46DF">
            <w:pPr>
              <w:autoSpaceDE w:val="0"/>
              <w:autoSpaceDN w:val="0"/>
              <w:adjustRightInd w:val="0"/>
              <w:spacing w:after="0"/>
              <w:jc w:val="right"/>
              <w:rPr>
                <w:rFonts w:ascii="Calibri" w:eastAsiaTheme="minorEastAsia" w:hAnsi="Calibri" w:cs="Calibri"/>
                <w:i/>
                <w:iCs/>
                <w:color w:val="FFFFFF"/>
                <w:sz w:val="19"/>
                <w:lang w:eastAsia="en-AU"/>
              </w:rPr>
            </w:pPr>
            <w:r w:rsidRPr="00E22AD9">
              <w:rPr>
                <w:rFonts w:ascii="Calibri" w:eastAsiaTheme="minorEastAsia" w:hAnsi="Calibri" w:cs="Calibri"/>
                <w:i/>
                <w:iCs/>
                <w:color w:val="FFFFFF"/>
                <w:sz w:val="19"/>
                <w:lang w:eastAsia="en-AU"/>
              </w:rPr>
              <w:t>revised</w:t>
            </w:r>
          </w:p>
        </w:tc>
        <w:tc>
          <w:tcPr>
            <w:tcW w:w="865" w:type="dxa"/>
            <w:tcBorders>
              <w:top w:val="nil"/>
              <w:left w:val="nil"/>
              <w:right w:val="nil"/>
            </w:tcBorders>
            <w:shd w:val="solid" w:color="000000" w:fill="auto"/>
          </w:tcPr>
          <w:p w:rsidR="00965D85" w:rsidRPr="00E22AD9" w:rsidRDefault="00965D85" w:rsidP="008B46DF">
            <w:pPr>
              <w:autoSpaceDE w:val="0"/>
              <w:autoSpaceDN w:val="0"/>
              <w:adjustRightInd w:val="0"/>
              <w:spacing w:after="0"/>
              <w:jc w:val="right"/>
              <w:rPr>
                <w:rFonts w:ascii="Calibri" w:eastAsiaTheme="minorEastAsia" w:hAnsi="Calibri" w:cs="Calibri"/>
                <w:i/>
                <w:iCs/>
                <w:color w:val="FFFFFF"/>
                <w:sz w:val="19"/>
                <w:lang w:eastAsia="en-AU"/>
              </w:rPr>
            </w:pPr>
            <w:r w:rsidRPr="00E22AD9">
              <w:rPr>
                <w:rFonts w:ascii="Calibri" w:eastAsiaTheme="minorEastAsia" w:hAnsi="Calibri" w:cs="Calibri"/>
                <w:i/>
                <w:iCs/>
                <w:color w:val="FFFFFF"/>
                <w:sz w:val="19"/>
                <w:lang w:eastAsia="en-AU"/>
              </w:rPr>
              <w:t>2016</w:t>
            </w:r>
            <w:r>
              <w:rPr>
                <w:rFonts w:ascii="Calibri" w:eastAsiaTheme="minorEastAsia" w:hAnsi="Calibri" w:cs="Calibri"/>
                <w:i/>
                <w:iCs/>
                <w:color w:val="FFFFFF"/>
                <w:sz w:val="19"/>
                <w:lang w:eastAsia="en-AU"/>
              </w:rPr>
              <w:noBreakHyphen/>
            </w:r>
            <w:r w:rsidRPr="00E22AD9">
              <w:rPr>
                <w:rFonts w:ascii="Calibri" w:eastAsiaTheme="minorEastAsia" w:hAnsi="Calibri" w:cs="Calibri"/>
                <w:i/>
                <w:iCs/>
                <w:color w:val="FFFFFF"/>
                <w:sz w:val="19"/>
                <w:lang w:eastAsia="en-AU"/>
              </w:rPr>
              <w:t>17</w:t>
            </w:r>
          </w:p>
          <w:p w:rsidR="00965D85" w:rsidRPr="00E22AD9" w:rsidRDefault="00965D85" w:rsidP="008B46DF">
            <w:pPr>
              <w:autoSpaceDE w:val="0"/>
              <w:autoSpaceDN w:val="0"/>
              <w:adjustRightInd w:val="0"/>
              <w:spacing w:after="0"/>
              <w:jc w:val="right"/>
              <w:rPr>
                <w:rFonts w:ascii="Calibri" w:eastAsiaTheme="minorEastAsia" w:hAnsi="Calibri" w:cs="Calibri"/>
                <w:i/>
                <w:iCs/>
                <w:color w:val="FFFFFF"/>
                <w:sz w:val="19"/>
                <w:lang w:eastAsia="en-AU"/>
              </w:rPr>
            </w:pPr>
            <w:r w:rsidRPr="00E22AD9">
              <w:rPr>
                <w:rFonts w:ascii="Calibri" w:eastAsiaTheme="minorEastAsia" w:hAnsi="Calibri" w:cs="Calibri"/>
                <w:i/>
                <w:iCs/>
                <w:color w:val="FFFFFF"/>
                <w:sz w:val="19"/>
                <w:lang w:eastAsia="en-AU"/>
              </w:rPr>
              <w:t>estimate</w:t>
            </w:r>
          </w:p>
        </w:tc>
        <w:tc>
          <w:tcPr>
            <w:tcW w:w="850" w:type="dxa"/>
            <w:gridSpan w:val="3"/>
            <w:tcBorders>
              <w:top w:val="nil"/>
              <w:left w:val="nil"/>
              <w:right w:val="nil"/>
            </w:tcBorders>
            <w:shd w:val="solid" w:color="000000" w:fill="auto"/>
          </w:tcPr>
          <w:p w:rsidR="00965D85" w:rsidRPr="00E22AD9" w:rsidRDefault="00965D85" w:rsidP="008B46DF">
            <w:pPr>
              <w:autoSpaceDE w:val="0"/>
              <w:autoSpaceDN w:val="0"/>
              <w:adjustRightInd w:val="0"/>
              <w:spacing w:after="0"/>
              <w:jc w:val="right"/>
              <w:rPr>
                <w:rFonts w:ascii="Calibri" w:eastAsiaTheme="minorEastAsia" w:hAnsi="Calibri" w:cs="Calibri"/>
                <w:i/>
                <w:iCs/>
                <w:color w:val="FFFFFF"/>
                <w:sz w:val="19"/>
                <w:lang w:eastAsia="en-AU"/>
              </w:rPr>
            </w:pPr>
            <w:r w:rsidRPr="00E22AD9">
              <w:rPr>
                <w:rFonts w:ascii="Calibri" w:eastAsiaTheme="minorEastAsia" w:hAnsi="Calibri" w:cs="Calibri"/>
                <w:i/>
                <w:iCs/>
                <w:color w:val="FFFFFF"/>
                <w:sz w:val="19"/>
                <w:lang w:eastAsia="en-AU"/>
              </w:rPr>
              <w:t>2017</w:t>
            </w:r>
            <w:r>
              <w:rPr>
                <w:rFonts w:ascii="Calibri" w:eastAsiaTheme="minorEastAsia" w:hAnsi="Calibri" w:cs="Calibri"/>
                <w:i/>
                <w:iCs/>
                <w:color w:val="FFFFFF"/>
                <w:sz w:val="19"/>
                <w:lang w:eastAsia="en-AU"/>
              </w:rPr>
              <w:noBreakHyphen/>
            </w:r>
            <w:r w:rsidRPr="00E22AD9">
              <w:rPr>
                <w:rFonts w:ascii="Calibri" w:eastAsiaTheme="minorEastAsia" w:hAnsi="Calibri" w:cs="Calibri"/>
                <w:i/>
                <w:iCs/>
                <w:color w:val="FFFFFF"/>
                <w:sz w:val="19"/>
                <w:lang w:eastAsia="en-AU"/>
              </w:rPr>
              <w:t>18</w:t>
            </w:r>
          </w:p>
          <w:p w:rsidR="00965D85" w:rsidRPr="00E22AD9" w:rsidRDefault="00965D85" w:rsidP="008B46DF">
            <w:pPr>
              <w:autoSpaceDE w:val="0"/>
              <w:autoSpaceDN w:val="0"/>
              <w:adjustRightInd w:val="0"/>
              <w:spacing w:after="0"/>
              <w:jc w:val="right"/>
              <w:rPr>
                <w:rFonts w:ascii="Calibri" w:eastAsiaTheme="minorEastAsia" w:hAnsi="Calibri" w:cs="Calibri"/>
                <w:i/>
                <w:iCs/>
                <w:color w:val="FFFFFF"/>
                <w:sz w:val="19"/>
                <w:lang w:eastAsia="en-AU"/>
              </w:rPr>
            </w:pPr>
            <w:r w:rsidRPr="00E22AD9">
              <w:rPr>
                <w:rFonts w:ascii="Calibri" w:eastAsiaTheme="minorEastAsia" w:hAnsi="Calibri" w:cs="Calibri"/>
                <w:i/>
                <w:iCs/>
                <w:color w:val="FFFFFF"/>
                <w:sz w:val="19"/>
                <w:lang w:eastAsia="en-AU"/>
              </w:rPr>
              <w:t>estimate</w:t>
            </w:r>
          </w:p>
        </w:tc>
        <w:tc>
          <w:tcPr>
            <w:tcW w:w="852" w:type="dxa"/>
            <w:gridSpan w:val="3"/>
            <w:tcBorders>
              <w:top w:val="nil"/>
              <w:left w:val="nil"/>
              <w:right w:val="nil"/>
            </w:tcBorders>
            <w:shd w:val="solid" w:color="000000" w:fill="auto"/>
          </w:tcPr>
          <w:p w:rsidR="00965D85" w:rsidRPr="00E22AD9" w:rsidRDefault="00965D85" w:rsidP="008B46DF">
            <w:pPr>
              <w:autoSpaceDE w:val="0"/>
              <w:autoSpaceDN w:val="0"/>
              <w:adjustRightInd w:val="0"/>
              <w:spacing w:after="0"/>
              <w:jc w:val="right"/>
              <w:rPr>
                <w:rFonts w:ascii="Calibri" w:eastAsiaTheme="minorEastAsia" w:hAnsi="Calibri" w:cs="Calibri"/>
                <w:i/>
                <w:iCs/>
                <w:color w:val="FFFFFF"/>
                <w:sz w:val="19"/>
                <w:lang w:eastAsia="en-AU"/>
              </w:rPr>
            </w:pPr>
            <w:r w:rsidRPr="00E22AD9">
              <w:rPr>
                <w:rFonts w:ascii="Calibri" w:eastAsiaTheme="minorEastAsia" w:hAnsi="Calibri" w:cs="Calibri"/>
                <w:i/>
                <w:iCs/>
                <w:color w:val="FFFFFF"/>
                <w:sz w:val="19"/>
                <w:lang w:eastAsia="en-AU"/>
              </w:rPr>
              <w:t>2018</w:t>
            </w:r>
            <w:r>
              <w:rPr>
                <w:rFonts w:ascii="Calibri" w:eastAsiaTheme="minorEastAsia" w:hAnsi="Calibri" w:cs="Calibri"/>
                <w:i/>
                <w:iCs/>
                <w:color w:val="FFFFFF"/>
                <w:sz w:val="19"/>
                <w:lang w:eastAsia="en-AU"/>
              </w:rPr>
              <w:noBreakHyphen/>
            </w:r>
            <w:r w:rsidRPr="00E22AD9">
              <w:rPr>
                <w:rFonts w:ascii="Calibri" w:eastAsiaTheme="minorEastAsia" w:hAnsi="Calibri" w:cs="Calibri"/>
                <w:i/>
                <w:iCs/>
                <w:color w:val="FFFFFF"/>
                <w:sz w:val="19"/>
                <w:lang w:eastAsia="en-AU"/>
              </w:rPr>
              <w:t>19</w:t>
            </w:r>
          </w:p>
          <w:p w:rsidR="00965D85" w:rsidRPr="00E22AD9" w:rsidRDefault="00965D85" w:rsidP="008B46DF">
            <w:pPr>
              <w:autoSpaceDE w:val="0"/>
              <w:autoSpaceDN w:val="0"/>
              <w:adjustRightInd w:val="0"/>
              <w:spacing w:after="0"/>
              <w:jc w:val="right"/>
              <w:rPr>
                <w:rFonts w:ascii="Calibri" w:eastAsiaTheme="minorEastAsia" w:hAnsi="Calibri" w:cs="Calibri"/>
                <w:i/>
                <w:iCs/>
                <w:color w:val="FFFFFF"/>
                <w:sz w:val="19"/>
                <w:lang w:eastAsia="en-AU"/>
              </w:rPr>
            </w:pPr>
            <w:r w:rsidRPr="00E22AD9">
              <w:rPr>
                <w:rFonts w:ascii="Calibri" w:eastAsiaTheme="minorEastAsia" w:hAnsi="Calibri" w:cs="Calibri"/>
                <w:i/>
                <w:iCs/>
                <w:color w:val="FFFFFF"/>
                <w:sz w:val="19"/>
                <w:lang w:eastAsia="en-AU"/>
              </w:rPr>
              <w:t>estimate</w:t>
            </w:r>
          </w:p>
        </w:tc>
      </w:tr>
      <w:tr w:rsidR="00965D85" w:rsidRPr="00E22AD9" w:rsidTr="008B46DF">
        <w:tc>
          <w:tcPr>
            <w:tcW w:w="6062" w:type="dxa"/>
            <w:gridSpan w:val="5"/>
            <w:tcBorders>
              <w:top w:val="single" w:sz="12" w:space="0" w:color="000000"/>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b/>
                <w:bCs/>
                <w:color w:val="000000"/>
                <w:sz w:val="19"/>
                <w:lang w:eastAsia="en-AU"/>
              </w:rPr>
            </w:pPr>
            <w:r w:rsidRPr="00E22AD9">
              <w:rPr>
                <w:rFonts w:ascii="Calibri" w:eastAsiaTheme="minorEastAsia" w:hAnsi="Calibri" w:cs="Calibri"/>
                <w:b/>
                <w:bCs/>
                <w:color w:val="000000"/>
                <w:sz w:val="19"/>
                <w:lang w:eastAsia="en-AU"/>
              </w:rPr>
              <w:t>Other economic flows – other comprehensive income</w:t>
            </w:r>
          </w:p>
        </w:tc>
        <w:tc>
          <w:tcPr>
            <w:tcW w:w="283" w:type="dxa"/>
            <w:tcBorders>
              <w:top w:val="single" w:sz="12" w:space="0" w:color="000000"/>
              <w:left w:val="nil"/>
              <w:right w:val="nil"/>
            </w:tcBorders>
            <w:shd w:val="clear" w:color="auto" w:fill="FFFFFF"/>
          </w:tcPr>
          <w:p w:rsidR="00965D85" w:rsidRPr="00E22AD9" w:rsidRDefault="00965D85" w:rsidP="008B46DF">
            <w:pPr>
              <w:autoSpaceDE w:val="0"/>
              <w:autoSpaceDN w:val="0"/>
              <w:adjustRightInd w:val="0"/>
              <w:spacing w:after="0"/>
              <w:jc w:val="center"/>
              <w:rPr>
                <w:rFonts w:ascii="Calibri" w:eastAsiaTheme="minorEastAsia" w:hAnsi="Calibri" w:cs="Calibri"/>
                <w:b/>
                <w:bCs/>
                <w:color w:val="000000"/>
                <w:sz w:val="19"/>
                <w:lang w:eastAsia="en-AU"/>
              </w:rPr>
            </w:pPr>
            <w:r w:rsidRPr="00E22AD9">
              <w:rPr>
                <w:rFonts w:ascii="Calibri" w:eastAsiaTheme="minorEastAsia" w:hAnsi="Calibri" w:cs="Calibri"/>
                <w:b/>
                <w:bCs/>
                <w:color w:val="000000"/>
                <w:sz w:val="19"/>
                <w:lang w:eastAsia="en-AU"/>
              </w:rPr>
              <w:t xml:space="preserve"> </w:t>
            </w:r>
          </w:p>
        </w:tc>
        <w:tc>
          <w:tcPr>
            <w:tcW w:w="283" w:type="dxa"/>
            <w:tcBorders>
              <w:top w:val="single" w:sz="12" w:space="0" w:color="000000"/>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284" w:type="dxa"/>
            <w:tcBorders>
              <w:top w:val="single" w:sz="12" w:space="0" w:color="000000"/>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283" w:type="dxa"/>
            <w:tcBorders>
              <w:top w:val="single" w:sz="12" w:space="0" w:color="000000"/>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283" w:type="dxa"/>
            <w:tcBorders>
              <w:top w:val="single" w:sz="12" w:space="0" w:color="000000"/>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286" w:type="dxa"/>
            <w:tcBorders>
              <w:top w:val="single" w:sz="12" w:space="0" w:color="000000"/>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r>
      <w:tr w:rsidR="00965D85" w:rsidRPr="00E22AD9" w:rsidTr="008B46DF">
        <w:tc>
          <w:tcPr>
            <w:tcW w:w="6062" w:type="dxa"/>
            <w:gridSpan w:val="5"/>
            <w:tcBorders>
              <w:top w:val="nil"/>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b/>
                <w:bCs/>
                <w:color w:val="000000"/>
                <w:sz w:val="19"/>
                <w:lang w:eastAsia="en-AU"/>
              </w:rPr>
            </w:pPr>
            <w:r w:rsidRPr="00E22AD9">
              <w:rPr>
                <w:rFonts w:ascii="Calibri" w:eastAsiaTheme="minorEastAsia" w:hAnsi="Calibri" w:cs="Calibri"/>
                <w:b/>
                <w:bCs/>
                <w:color w:val="000000"/>
                <w:sz w:val="19"/>
                <w:lang w:eastAsia="en-AU"/>
              </w:rPr>
              <w:t>Items that will not be reclassified to net result</w:t>
            </w:r>
          </w:p>
        </w:tc>
        <w:tc>
          <w:tcPr>
            <w:tcW w:w="283"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center"/>
              <w:rPr>
                <w:rFonts w:ascii="Calibri" w:eastAsiaTheme="minorEastAsia" w:hAnsi="Calibri" w:cs="Calibri"/>
                <w:b/>
                <w:bCs/>
                <w:color w:val="000000"/>
                <w:sz w:val="19"/>
                <w:lang w:eastAsia="en-AU"/>
              </w:rPr>
            </w:pPr>
            <w:r w:rsidRPr="00E22AD9">
              <w:rPr>
                <w:rFonts w:ascii="Calibri" w:eastAsiaTheme="minorEastAsia" w:hAnsi="Calibri" w:cs="Calibri"/>
                <w:b/>
                <w:bCs/>
                <w:color w:val="000000"/>
                <w:sz w:val="19"/>
                <w:lang w:eastAsia="en-AU"/>
              </w:rPr>
              <w:t xml:space="preserve"> </w:t>
            </w:r>
          </w:p>
        </w:tc>
        <w:tc>
          <w:tcPr>
            <w:tcW w:w="283"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284"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283"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283"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286"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r>
      <w:tr w:rsidR="00965D85" w:rsidRPr="00E22AD9" w:rsidTr="008B46DF">
        <w:tc>
          <w:tcPr>
            <w:tcW w:w="2890" w:type="dxa"/>
            <w:tcBorders>
              <w:top w:val="nil"/>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Changes in non</w:t>
            </w:r>
            <w:r>
              <w:rPr>
                <w:rFonts w:ascii="Calibri" w:eastAsiaTheme="minorEastAsia" w:hAnsi="Calibri" w:cs="Calibri"/>
                <w:color w:val="000000"/>
                <w:sz w:val="19"/>
                <w:lang w:eastAsia="en-AU"/>
              </w:rPr>
              <w:noBreakHyphen/>
            </w:r>
            <w:r w:rsidRPr="00E22AD9">
              <w:rPr>
                <w:rFonts w:ascii="Calibri" w:eastAsiaTheme="minorEastAsia" w:hAnsi="Calibri" w:cs="Calibri"/>
                <w:color w:val="000000"/>
                <w:sz w:val="19"/>
                <w:lang w:eastAsia="en-AU"/>
              </w:rPr>
              <w:t>financial assets revaluation surplus</w:t>
            </w:r>
          </w:p>
        </w:tc>
        <w:tc>
          <w:tcPr>
            <w:tcW w:w="611"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center"/>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 xml:space="preserve"> </w:t>
            </w:r>
          </w:p>
        </w:tc>
        <w:tc>
          <w:tcPr>
            <w:tcW w:w="846"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755.8</w:t>
            </w:r>
          </w:p>
        </w:tc>
        <w:tc>
          <w:tcPr>
            <w:tcW w:w="850"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755.8</w:t>
            </w:r>
          </w:p>
        </w:tc>
        <w:tc>
          <w:tcPr>
            <w:tcW w:w="865"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513.0</w:t>
            </w:r>
          </w:p>
        </w:tc>
        <w:tc>
          <w:tcPr>
            <w:tcW w:w="850" w:type="dxa"/>
            <w:gridSpan w:val="3"/>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9 129.8</w:t>
            </w:r>
          </w:p>
        </w:tc>
        <w:tc>
          <w:tcPr>
            <w:tcW w:w="852" w:type="dxa"/>
            <w:gridSpan w:val="3"/>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421.8</w:t>
            </w:r>
          </w:p>
        </w:tc>
      </w:tr>
      <w:tr w:rsidR="00965D85" w:rsidRPr="00E22AD9" w:rsidTr="008B46DF">
        <w:tc>
          <w:tcPr>
            <w:tcW w:w="2890" w:type="dxa"/>
            <w:tcBorders>
              <w:top w:val="nil"/>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Remeasurement of superannuation defined benefit plans</w:t>
            </w:r>
          </w:p>
        </w:tc>
        <w:tc>
          <w:tcPr>
            <w:tcW w:w="611"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center"/>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7a</w:t>
            </w:r>
          </w:p>
        </w:tc>
        <w:tc>
          <w:tcPr>
            <w:tcW w:w="846"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962.4</w:t>
            </w:r>
          </w:p>
        </w:tc>
        <w:tc>
          <w:tcPr>
            <w:tcW w:w="850"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(1 392.9)</w:t>
            </w:r>
          </w:p>
        </w:tc>
        <w:tc>
          <w:tcPr>
            <w:tcW w:w="865"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847.1</w:t>
            </w:r>
          </w:p>
        </w:tc>
        <w:tc>
          <w:tcPr>
            <w:tcW w:w="850" w:type="dxa"/>
            <w:gridSpan w:val="3"/>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850.3</w:t>
            </w:r>
          </w:p>
        </w:tc>
        <w:tc>
          <w:tcPr>
            <w:tcW w:w="852" w:type="dxa"/>
            <w:gridSpan w:val="3"/>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836.1</w:t>
            </w:r>
          </w:p>
        </w:tc>
      </w:tr>
      <w:tr w:rsidR="00965D85" w:rsidRPr="00E22AD9" w:rsidTr="008B46DF">
        <w:tc>
          <w:tcPr>
            <w:tcW w:w="2890" w:type="dxa"/>
            <w:tcBorders>
              <w:top w:val="nil"/>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Net gain/(loss) on equity investments in other sector entities at proportional share of the carrying amount of net assets</w:t>
            </w:r>
          </w:p>
        </w:tc>
        <w:tc>
          <w:tcPr>
            <w:tcW w:w="611"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center"/>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14</w:t>
            </w:r>
          </w:p>
        </w:tc>
        <w:tc>
          <w:tcPr>
            <w:tcW w:w="846"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1.5</w:t>
            </w:r>
          </w:p>
        </w:tc>
        <w:tc>
          <w:tcPr>
            <w:tcW w:w="850"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(243.6)</w:t>
            </w:r>
          </w:p>
        </w:tc>
        <w:tc>
          <w:tcPr>
            <w:tcW w:w="865"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(264.7)</w:t>
            </w:r>
          </w:p>
        </w:tc>
        <w:tc>
          <w:tcPr>
            <w:tcW w:w="850" w:type="dxa"/>
            <w:gridSpan w:val="3"/>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421.3</w:t>
            </w:r>
          </w:p>
        </w:tc>
        <w:tc>
          <w:tcPr>
            <w:tcW w:w="852" w:type="dxa"/>
            <w:gridSpan w:val="3"/>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(70.0)</w:t>
            </w:r>
          </w:p>
        </w:tc>
      </w:tr>
      <w:tr w:rsidR="00965D85" w:rsidRPr="00E22AD9" w:rsidTr="008B46DF">
        <w:tc>
          <w:tcPr>
            <w:tcW w:w="2890" w:type="dxa"/>
            <w:tcBorders>
              <w:top w:val="nil"/>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Other movements in equity</w:t>
            </w:r>
          </w:p>
        </w:tc>
        <w:tc>
          <w:tcPr>
            <w:tcW w:w="611"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center"/>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 xml:space="preserve"> </w:t>
            </w:r>
          </w:p>
        </w:tc>
        <w:tc>
          <w:tcPr>
            <w:tcW w:w="846"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5.7</w:t>
            </w:r>
          </w:p>
        </w:tc>
        <w:tc>
          <w:tcPr>
            <w:tcW w:w="850"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5.7</w:t>
            </w:r>
          </w:p>
        </w:tc>
        <w:tc>
          <w:tcPr>
            <w:tcW w:w="865"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1.1</w:t>
            </w:r>
          </w:p>
        </w:tc>
        <w:tc>
          <w:tcPr>
            <w:tcW w:w="850" w:type="dxa"/>
            <w:gridSpan w:val="3"/>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5.3</w:t>
            </w:r>
          </w:p>
        </w:tc>
        <w:tc>
          <w:tcPr>
            <w:tcW w:w="852" w:type="dxa"/>
            <w:gridSpan w:val="3"/>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24.1</w:t>
            </w:r>
          </w:p>
        </w:tc>
      </w:tr>
      <w:tr w:rsidR="00965D85" w:rsidRPr="00E22AD9" w:rsidTr="008B46DF">
        <w:tc>
          <w:tcPr>
            <w:tcW w:w="6062" w:type="dxa"/>
            <w:gridSpan w:val="5"/>
            <w:tcBorders>
              <w:top w:val="nil"/>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b/>
                <w:bCs/>
                <w:color w:val="000000"/>
                <w:sz w:val="19"/>
                <w:lang w:eastAsia="en-AU"/>
              </w:rPr>
            </w:pPr>
            <w:r w:rsidRPr="00E22AD9">
              <w:rPr>
                <w:rFonts w:ascii="Calibri" w:eastAsiaTheme="minorEastAsia" w:hAnsi="Calibri" w:cs="Calibri"/>
                <w:b/>
                <w:bCs/>
                <w:color w:val="000000"/>
                <w:sz w:val="19"/>
                <w:lang w:eastAsia="en-AU"/>
              </w:rPr>
              <w:t>Items that may be reclassified subsequently to net result</w:t>
            </w:r>
          </w:p>
        </w:tc>
        <w:tc>
          <w:tcPr>
            <w:tcW w:w="283"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center"/>
              <w:rPr>
                <w:rFonts w:ascii="Calibri" w:eastAsiaTheme="minorEastAsia" w:hAnsi="Calibri" w:cs="Calibri"/>
                <w:b/>
                <w:bCs/>
                <w:color w:val="000000"/>
                <w:sz w:val="19"/>
                <w:lang w:eastAsia="en-AU"/>
              </w:rPr>
            </w:pPr>
            <w:r w:rsidRPr="00E22AD9">
              <w:rPr>
                <w:rFonts w:ascii="Calibri" w:eastAsiaTheme="minorEastAsia" w:hAnsi="Calibri" w:cs="Calibri"/>
                <w:b/>
                <w:bCs/>
                <w:color w:val="000000"/>
                <w:sz w:val="19"/>
                <w:lang w:eastAsia="en-AU"/>
              </w:rPr>
              <w:t xml:space="preserve"> </w:t>
            </w:r>
          </w:p>
        </w:tc>
        <w:tc>
          <w:tcPr>
            <w:tcW w:w="283"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284"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283"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283"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286"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r>
      <w:tr w:rsidR="00965D85" w:rsidRPr="00E22AD9" w:rsidTr="008B46DF">
        <w:tc>
          <w:tcPr>
            <w:tcW w:w="2890"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Net gain/(loss) on financial assets at fair value</w:t>
            </w:r>
          </w:p>
        </w:tc>
        <w:tc>
          <w:tcPr>
            <w:tcW w:w="611"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center"/>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 xml:space="preserve"> </w:t>
            </w:r>
          </w:p>
        </w:tc>
        <w:tc>
          <w:tcPr>
            <w:tcW w:w="846"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1.2</w:t>
            </w:r>
          </w:p>
        </w:tc>
        <w:tc>
          <w:tcPr>
            <w:tcW w:w="850"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1.2</w:t>
            </w:r>
          </w:p>
        </w:tc>
        <w:tc>
          <w:tcPr>
            <w:tcW w:w="865"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1.3</w:t>
            </w:r>
          </w:p>
        </w:tc>
        <w:tc>
          <w:tcPr>
            <w:tcW w:w="850" w:type="dxa"/>
            <w:gridSpan w:val="3"/>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1.3</w:t>
            </w:r>
          </w:p>
        </w:tc>
        <w:tc>
          <w:tcPr>
            <w:tcW w:w="852" w:type="dxa"/>
            <w:gridSpan w:val="3"/>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1.3</w:t>
            </w:r>
          </w:p>
        </w:tc>
      </w:tr>
      <w:tr w:rsidR="00965D85" w:rsidRPr="00E22AD9" w:rsidTr="008B46DF">
        <w:tc>
          <w:tcPr>
            <w:tcW w:w="2890" w:type="dxa"/>
            <w:tcBorders>
              <w:top w:val="single" w:sz="6" w:space="0" w:color="000000"/>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b/>
                <w:bCs/>
                <w:color w:val="000000"/>
                <w:sz w:val="19"/>
                <w:lang w:eastAsia="en-AU"/>
              </w:rPr>
            </w:pPr>
            <w:r w:rsidRPr="00E22AD9">
              <w:rPr>
                <w:rFonts w:ascii="Calibri" w:eastAsiaTheme="minorEastAsia" w:hAnsi="Calibri" w:cs="Calibri"/>
                <w:b/>
                <w:bCs/>
                <w:color w:val="000000"/>
                <w:sz w:val="19"/>
                <w:lang w:eastAsia="en-AU"/>
              </w:rPr>
              <w:t>Total other economic flows – other comprehensive income</w:t>
            </w:r>
          </w:p>
        </w:tc>
        <w:tc>
          <w:tcPr>
            <w:tcW w:w="611" w:type="dxa"/>
            <w:tcBorders>
              <w:top w:val="single" w:sz="6" w:space="0" w:color="000000"/>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center"/>
              <w:rPr>
                <w:rFonts w:ascii="Calibri" w:eastAsiaTheme="minorEastAsia" w:hAnsi="Calibri" w:cs="Calibri"/>
                <w:b/>
                <w:bCs/>
                <w:color w:val="000000"/>
                <w:sz w:val="19"/>
                <w:lang w:eastAsia="en-AU"/>
              </w:rPr>
            </w:pPr>
            <w:r w:rsidRPr="00E22AD9">
              <w:rPr>
                <w:rFonts w:ascii="Calibri" w:eastAsiaTheme="minorEastAsia" w:hAnsi="Calibri" w:cs="Calibri"/>
                <w:b/>
                <w:bCs/>
                <w:color w:val="000000"/>
                <w:sz w:val="19"/>
                <w:lang w:eastAsia="en-AU"/>
              </w:rPr>
              <w:t xml:space="preserve"> </w:t>
            </w:r>
          </w:p>
        </w:tc>
        <w:tc>
          <w:tcPr>
            <w:tcW w:w="846" w:type="dxa"/>
            <w:tcBorders>
              <w:top w:val="single" w:sz="6" w:space="0" w:color="000000"/>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19"/>
                <w:lang w:eastAsia="en-AU"/>
              </w:rPr>
            </w:pPr>
            <w:r w:rsidRPr="00E22AD9">
              <w:rPr>
                <w:rFonts w:ascii="Calibri" w:eastAsiaTheme="minorEastAsia" w:hAnsi="Calibri" w:cs="Calibri"/>
                <w:b/>
                <w:bCs/>
                <w:color w:val="000000"/>
                <w:sz w:val="19"/>
                <w:lang w:eastAsia="en-AU"/>
              </w:rPr>
              <w:t>1 726.7</w:t>
            </w:r>
          </w:p>
        </w:tc>
        <w:tc>
          <w:tcPr>
            <w:tcW w:w="850" w:type="dxa"/>
            <w:tcBorders>
              <w:top w:val="single" w:sz="6" w:space="0" w:color="000000"/>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19"/>
                <w:lang w:eastAsia="en-AU"/>
              </w:rPr>
              <w:t>(873.8)</w:t>
            </w:r>
          </w:p>
        </w:tc>
        <w:tc>
          <w:tcPr>
            <w:tcW w:w="865" w:type="dxa"/>
            <w:tcBorders>
              <w:top w:val="single" w:sz="6" w:space="0" w:color="000000"/>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19"/>
                <w:lang w:eastAsia="en-AU"/>
              </w:rPr>
            </w:pPr>
            <w:r w:rsidRPr="00E22AD9">
              <w:rPr>
                <w:rFonts w:ascii="Calibri" w:eastAsiaTheme="minorEastAsia" w:hAnsi="Calibri" w:cs="Calibri"/>
                <w:b/>
                <w:bCs/>
                <w:color w:val="000000"/>
                <w:sz w:val="19"/>
                <w:lang w:eastAsia="en-AU"/>
              </w:rPr>
              <w:t>1 097.8</w:t>
            </w:r>
          </w:p>
        </w:tc>
        <w:tc>
          <w:tcPr>
            <w:tcW w:w="850" w:type="dxa"/>
            <w:gridSpan w:val="3"/>
            <w:tcBorders>
              <w:top w:val="single" w:sz="6" w:space="0" w:color="000000"/>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19"/>
                <w:lang w:eastAsia="en-AU"/>
              </w:rPr>
            </w:pPr>
            <w:r w:rsidRPr="00E22AD9">
              <w:rPr>
                <w:rFonts w:ascii="Calibri" w:eastAsiaTheme="minorEastAsia" w:hAnsi="Calibri" w:cs="Calibri"/>
                <w:b/>
                <w:bCs/>
                <w:color w:val="000000"/>
                <w:sz w:val="19"/>
                <w:lang w:eastAsia="en-AU"/>
              </w:rPr>
              <w:t>10 407.9</w:t>
            </w:r>
          </w:p>
        </w:tc>
        <w:tc>
          <w:tcPr>
            <w:tcW w:w="852" w:type="dxa"/>
            <w:gridSpan w:val="3"/>
            <w:tcBorders>
              <w:top w:val="single" w:sz="6" w:space="0" w:color="000000"/>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19"/>
                <w:lang w:eastAsia="en-AU"/>
              </w:rPr>
            </w:pPr>
            <w:r w:rsidRPr="00E22AD9">
              <w:rPr>
                <w:rFonts w:ascii="Calibri" w:eastAsiaTheme="minorEastAsia" w:hAnsi="Calibri" w:cs="Calibri"/>
                <w:b/>
                <w:bCs/>
                <w:color w:val="000000"/>
                <w:sz w:val="19"/>
                <w:lang w:eastAsia="en-AU"/>
              </w:rPr>
              <w:t>1 213.3</w:t>
            </w:r>
          </w:p>
        </w:tc>
      </w:tr>
      <w:tr w:rsidR="00965D85" w:rsidRPr="00E22AD9" w:rsidTr="008B46DF">
        <w:tc>
          <w:tcPr>
            <w:tcW w:w="2890" w:type="dxa"/>
            <w:tcBorders>
              <w:top w:val="single" w:sz="6" w:space="0" w:color="000000"/>
              <w:left w:val="nil"/>
              <w:bottom w:val="single" w:sz="12" w:space="0" w:color="000000"/>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b/>
                <w:bCs/>
                <w:color w:val="000000"/>
                <w:sz w:val="19"/>
                <w:lang w:eastAsia="en-AU"/>
              </w:rPr>
            </w:pPr>
            <w:r w:rsidRPr="00E22AD9">
              <w:rPr>
                <w:rFonts w:ascii="Calibri" w:eastAsiaTheme="minorEastAsia" w:hAnsi="Calibri" w:cs="Calibri"/>
                <w:b/>
                <w:bCs/>
                <w:color w:val="000000"/>
                <w:sz w:val="19"/>
                <w:lang w:eastAsia="en-AU"/>
              </w:rPr>
              <w:t>Comprehensive result – total change in net worth</w:t>
            </w:r>
          </w:p>
        </w:tc>
        <w:tc>
          <w:tcPr>
            <w:tcW w:w="611" w:type="dxa"/>
            <w:tcBorders>
              <w:top w:val="single" w:sz="6" w:space="0" w:color="000000"/>
              <w:left w:val="nil"/>
              <w:bottom w:val="single" w:sz="12" w:space="0" w:color="000000"/>
              <w:right w:val="nil"/>
            </w:tcBorders>
            <w:shd w:val="clear" w:color="auto" w:fill="FFFFFF"/>
          </w:tcPr>
          <w:p w:rsidR="00965D85" w:rsidRPr="00E22AD9" w:rsidRDefault="00965D85" w:rsidP="008B46DF">
            <w:pPr>
              <w:autoSpaceDE w:val="0"/>
              <w:autoSpaceDN w:val="0"/>
              <w:adjustRightInd w:val="0"/>
              <w:spacing w:after="0"/>
              <w:jc w:val="center"/>
              <w:rPr>
                <w:rFonts w:ascii="Calibri" w:eastAsiaTheme="minorEastAsia" w:hAnsi="Calibri" w:cs="Calibri"/>
                <w:b/>
                <w:bCs/>
                <w:color w:val="000000"/>
                <w:sz w:val="19"/>
                <w:lang w:eastAsia="en-AU"/>
              </w:rPr>
            </w:pPr>
            <w:r w:rsidRPr="00E22AD9">
              <w:rPr>
                <w:rFonts w:ascii="Calibri" w:eastAsiaTheme="minorEastAsia" w:hAnsi="Calibri" w:cs="Calibri"/>
                <w:b/>
                <w:bCs/>
                <w:color w:val="000000"/>
                <w:sz w:val="19"/>
                <w:lang w:eastAsia="en-AU"/>
              </w:rPr>
              <w:t xml:space="preserve"> </w:t>
            </w:r>
          </w:p>
        </w:tc>
        <w:tc>
          <w:tcPr>
            <w:tcW w:w="846" w:type="dxa"/>
            <w:tcBorders>
              <w:top w:val="single" w:sz="6" w:space="0" w:color="000000"/>
              <w:left w:val="nil"/>
              <w:bottom w:val="single" w:sz="12"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19"/>
                <w:lang w:eastAsia="en-AU"/>
              </w:rPr>
            </w:pPr>
            <w:r w:rsidRPr="00E22AD9">
              <w:rPr>
                <w:rFonts w:ascii="Calibri" w:eastAsiaTheme="minorEastAsia" w:hAnsi="Calibri" w:cs="Calibri"/>
                <w:b/>
                <w:bCs/>
                <w:color w:val="000000"/>
                <w:sz w:val="19"/>
                <w:lang w:eastAsia="en-AU"/>
              </w:rPr>
              <w:t>8 092.9</w:t>
            </w:r>
          </w:p>
        </w:tc>
        <w:tc>
          <w:tcPr>
            <w:tcW w:w="850" w:type="dxa"/>
            <w:tcBorders>
              <w:top w:val="single" w:sz="6" w:space="0" w:color="000000"/>
              <w:left w:val="nil"/>
              <w:bottom w:val="single" w:sz="12"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19"/>
                <w:lang w:eastAsia="en-AU"/>
              </w:rPr>
            </w:pPr>
            <w:r w:rsidRPr="00E22AD9">
              <w:rPr>
                <w:rFonts w:ascii="Calibri" w:eastAsiaTheme="minorEastAsia" w:hAnsi="Calibri" w:cs="Calibri"/>
                <w:b/>
                <w:bCs/>
                <w:color w:val="000000"/>
                <w:sz w:val="19"/>
                <w:lang w:eastAsia="en-AU"/>
              </w:rPr>
              <w:t>4 317.0</w:t>
            </w:r>
          </w:p>
        </w:tc>
        <w:tc>
          <w:tcPr>
            <w:tcW w:w="865" w:type="dxa"/>
            <w:tcBorders>
              <w:top w:val="single" w:sz="6" w:space="0" w:color="000000"/>
              <w:left w:val="nil"/>
              <w:bottom w:val="single" w:sz="12"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19"/>
                <w:lang w:eastAsia="en-AU"/>
              </w:rPr>
            </w:pPr>
            <w:r w:rsidRPr="00E22AD9">
              <w:rPr>
                <w:rFonts w:ascii="Calibri" w:eastAsiaTheme="minorEastAsia" w:hAnsi="Calibri" w:cs="Calibri"/>
                <w:b/>
                <w:bCs/>
                <w:color w:val="000000"/>
                <w:sz w:val="19"/>
                <w:lang w:eastAsia="en-AU"/>
              </w:rPr>
              <w:t>2 403.8</w:t>
            </w:r>
          </w:p>
        </w:tc>
        <w:tc>
          <w:tcPr>
            <w:tcW w:w="850" w:type="dxa"/>
            <w:gridSpan w:val="3"/>
            <w:tcBorders>
              <w:top w:val="single" w:sz="6" w:space="0" w:color="000000"/>
              <w:left w:val="nil"/>
              <w:bottom w:val="single" w:sz="12"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19"/>
                <w:lang w:eastAsia="en-AU"/>
              </w:rPr>
            </w:pPr>
            <w:r w:rsidRPr="00E22AD9">
              <w:rPr>
                <w:rFonts w:ascii="Calibri" w:eastAsiaTheme="minorEastAsia" w:hAnsi="Calibri" w:cs="Calibri"/>
                <w:b/>
                <w:bCs/>
                <w:color w:val="000000"/>
                <w:sz w:val="19"/>
                <w:lang w:eastAsia="en-AU"/>
              </w:rPr>
              <w:t>12 015.7</w:t>
            </w:r>
          </w:p>
        </w:tc>
        <w:tc>
          <w:tcPr>
            <w:tcW w:w="852" w:type="dxa"/>
            <w:gridSpan w:val="3"/>
            <w:tcBorders>
              <w:top w:val="single" w:sz="6" w:space="0" w:color="000000"/>
              <w:left w:val="nil"/>
              <w:bottom w:val="single" w:sz="12"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19"/>
                <w:lang w:eastAsia="en-AU"/>
              </w:rPr>
            </w:pPr>
            <w:r w:rsidRPr="00E22AD9">
              <w:rPr>
                <w:rFonts w:ascii="Calibri" w:eastAsiaTheme="minorEastAsia" w:hAnsi="Calibri" w:cs="Calibri"/>
                <w:b/>
                <w:bCs/>
                <w:color w:val="000000"/>
                <w:sz w:val="19"/>
                <w:lang w:eastAsia="en-AU"/>
              </w:rPr>
              <w:t>2 488.4</w:t>
            </w:r>
          </w:p>
        </w:tc>
      </w:tr>
      <w:tr w:rsidR="00965D85" w:rsidRPr="00E22AD9" w:rsidTr="008B46DF">
        <w:trPr>
          <w:trHeight w:hRule="exact" w:val="120"/>
        </w:trPr>
        <w:tc>
          <w:tcPr>
            <w:tcW w:w="2890" w:type="dxa"/>
            <w:tcBorders>
              <w:top w:val="single" w:sz="12" w:space="0" w:color="000000"/>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 xml:space="preserve"> </w:t>
            </w:r>
          </w:p>
        </w:tc>
        <w:tc>
          <w:tcPr>
            <w:tcW w:w="611" w:type="dxa"/>
            <w:tcBorders>
              <w:top w:val="single" w:sz="12" w:space="0" w:color="000000"/>
              <w:left w:val="nil"/>
              <w:right w:val="nil"/>
            </w:tcBorders>
            <w:shd w:val="clear" w:color="auto" w:fill="FFFFFF"/>
          </w:tcPr>
          <w:p w:rsidR="00965D85" w:rsidRPr="00E22AD9" w:rsidRDefault="00965D85" w:rsidP="008B46DF">
            <w:pPr>
              <w:autoSpaceDE w:val="0"/>
              <w:autoSpaceDN w:val="0"/>
              <w:adjustRightInd w:val="0"/>
              <w:spacing w:after="0"/>
              <w:jc w:val="center"/>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 xml:space="preserve"> </w:t>
            </w:r>
          </w:p>
        </w:tc>
        <w:tc>
          <w:tcPr>
            <w:tcW w:w="846" w:type="dxa"/>
            <w:tcBorders>
              <w:top w:val="single" w:sz="12" w:space="0" w:color="000000"/>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p>
        </w:tc>
        <w:tc>
          <w:tcPr>
            <w:tcW w:w="850" w:type="dxa"/>
            <w:tcBorders>
              <w:top w:val="single" w:sz="12" w:space="0" w:color="000000"/>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p>
        </w:tc>
        <w:tc>
          <w:tcPr>
            <w:tcW w:w="865" w:type="dxa"/>
            <w:tcBorders>
              <w:top w:val="single" w:sz="12" w:space="0" w:color="000000"/>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p>
        </w:tc>
        <w:tc>
          <w:tcPr>
            <w:tcW w:w="850" w:type="dxa"/>
            <w:gridSpan w:val="3"/>
            <w:tcBorders>
              <w:top w:val="single" w:sz="12" w:space="0" w:color="000000"/>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p>
        </w:tc>
        <w:tc>
          <w:tcPr>
            <w:tcW w:w="852" w:type="dxa"/>
            <w:gridSpan w:val="3"/>
            <w:tcBorders>
              <w:top w:val="single" w:sz="12" w:space="0" w:color="000000"/>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p>
        </w:tc>
      </w:tr>
      <w:tr w:rsidR="00965D85" w:rsidRPr="00E22AD9" w:rsidTr="008B46DF">
        <w:tc>
          <w:tcPr>
            <w:tcW w:w="2890" w:type="dxa"/>
            <w:tcBorders>
              <w:top w:val="nil"/>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b/>
                <w:bCs/>
                <w:color w:val="000000"/>
                <w:sz w:val="19"/>
                <w:lang w:eastAsia="en-AU"/>
              </w:rPr>
            </w:pPr>
            <w:r w:rsidRPr="00E22AD9">
              <w:rPr>
                <w:rFonts w:ascii="Calibri" w:eastAsiaTheme="minorEastAsia" w:hAnsi="Calibri" w:cs="Calibri"/>
                <w:b/>
                <w:bCs/>
                <w:color w:val="000000"/>
                <w:sz w:val="19"/>
                <w:lang w:eastAsia="en-AU"/>
              </w:rPr>
              <w:t>KEY FISCAL AGGREGATES</w:t>
            </w:r>
          </w:p>
        </w:tc>
        <w:tc>
          <w:tcPr>
            <w:tcW w:w="611"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center"/>
              <w:rPr>
                <w:rFonts w:ascii="Calibri" w:eastAsiaTheme="minorEastAsia" w:hAnsi="Calibri" w:cs="Calibri"/>
                <w:b/>
                <w:bCs/>
                <w:color w:val="000000"/>
                <w:sz w:val="19"/>
                <w:lang w:eastAsia="en-AU"/>
              </w:rPr>
            </w:pPr>
            <w:r w:rsidRPr="00E22AD9">
              <w:rPr>
                <w:rFonts w:ascii="Calibri" w:eastAsiaTheme="minorEastAsia" w:hAnsi="Calibri" w:cs="Calibri"/>
                <w:b/>
                <w:bCs/>
                <w:color w:val="000000"/>
                <w:sz w:val="19"/>
                <w:lang w:eastAsia="en-AU"/>
              </w:rPr>
              <w:t xml:space="preserve"> </w:t>
            </w:r>
          </w:p>
        </w:tc>
        <w:tc>
          <w:tcPr>
            <w:tcW w:w="846"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850"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865"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850" w:type="dxa"/>
            <w:gridSpan w:val="3"/>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852" w:type="dxa"/>
            <w:gridSpan w:val="3"/>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r>
      <w:tr w:rsidR="00965D85" w:rsidRPr="00E22AD9" w:rsidTr="008B46DF">
        <w:tc>
          <w:tcPr>
            <w:tcW w:w="2890" w:type="dxa"/>
            <w:tcBorders>
              <w:top w:val="nil"/>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b/>
                <w:bCs/>
                <w:color w:val="000000"/>
                <w:sz w:val="19"/>
                <w:lang w:eastAsia="en-AU"/>
              </w:rPr>
            </w:pPr>
            <w:r w:rsidRPr="00E22AD9">
              <w:rPr>
                <w:rFonts w:ascii="Calibri" w:eastAsiaTheme="minorEastAsia" w:hAnsi="Calibri" w:cs="Calibri"/>
                <w:b/>
                <w:bCs/>
                <w:color w:val="000000"/>
                <w:sz w:val="19"/>
                <w:lang w:eastAsia="en-AU"/>
              </w:rPr>
              <w:t>Net operating balance</w:t>
            </w:r>
          </w:p>
        </w:tc>
        <w:tc>
          <w:tcPr>
            <w:tcW w:w="611"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center"/>
              <w:rPr>
                <w:rFonts w:ascii="Calibri" w:eastAsiaTheme="minorEastAsia" w:hAnsi="Calibri" w:cs="Calibri"/>
                <w:b/>
                <w:bCs/>
                <w:color w:val="000000"/>
                <w:sz w:val="19"/>
                <w:lang w:eastAsia="en-AU"/>
              </w:rPr>
            </w:pPr>
            <w:r w:rsidRPr="00E22AD9">
              <w:rPr>
                <w:rFonts w:ascii="Calibri" w:eastAsiaTheme="minorEastAsia" w:hAnsi="Calibri" w:cs="Calibri"/>
                <w:b/>
                <w:bCs/>
                <w:color w:val="000000"/>
                <w:sz w:val="19"/>
                <w:lang w:eastAsia="en-AU"/>
              </w:rPr>
              <w:t xml:space="preserve"> </w:t>
            </w:r>
          </w:p>
        </w:tc>
        <w:tc>
          <w:tcPr>
            <w:tcW w:w="846"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19"/>
                <w:lang w:eastAsia="en-AU"/>
              </w:rPr>
            </w:pPr>
            <w:r w:rsidRPr="00E22AD9">
              <w:rPr>
                <w:rFonts w:ascii="Calibri" w:eastAsiaTheme="minorEastAsia" w:hAnsi="Calibri" w:cs="Calibri"/>
                <w:b/>
                <w:bCs/>
                <w:color w:val="000000"/>
                <w:sz w:val="19"/>
                <w:lang w:eastAsia="en-AU"/>
              </w:rPr>
              <w:t>1 218.9</w:t>
            </w:r>
          </w:p>
        </w:tc>
        <w:tc>
          <w:tcPr>
            <w:tcW w:w="850"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19"/>
                <w:lang w:eastAsia="en-AU"/>
              </w:rPr>
            </w:pPr>
            <w:r w:rsidRPr="00E22AD9">
              <w:rPr>
                <w:rFonts w:ascii="Calibri" w:eastAsiaTheme="minorEastAsia" w:hAnsi="Calibri" w:cs="Calibri"/>
                <w:b/>
                <w:bCs/>
                <w:color w:val="000000"/>
                <w:sz w:val="19"/>
                <w:lang w:eastAsia="en-AU"/>
              </w:rPr>
              <w:t>1 711.8</w:t>
            </w:r>
          </w:p>
        </w:tc>
        <w:tc>
          <w:tcPr>
            <w:tcW w:w="865"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19"/>
                <w:lang w:eastAsia="en-AU"/>
              </w:rPr>
            </w:pPr>
            <w:r w:rsidRPr="00E22AD9">
              <w:rPr>
                <w:rFonts w:ascii="Calibri" w:eastAsiaTheme="minorEastAsia" w:hAnsi="Calibri" w:cs="Calibri"/>
                <w:b/>
                <w:bCs/>
                <w:color w:val="000000"/>
                <w:sz w:val="19"/>
                <w:lang w:eastAsia="en-AU"/>
              </w:rPr>
              <w:t>1 544.5</w:t>
            </w:r>
          </w:p>
        </w:tc>
        <w:tc>
          <w:tcPr>
            <w:tcW w:w="850" w:type="dxa"/>
            <w:gridSpan w:val="3"/>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19"/>
                <w:lang w:eastAsia="en-AU"/>
              </w:rPr>
            </w:pPr>
            <w:r w:rsidRPr="00E22AD9">
              <w:rPr>
                <w:rFonts w:ascii="Calibri" w:eastAsiaTheme="minorEastAsia" w:hAnsi="Calibri" w:cs="Calibri"/>
                <w:b/>
                <w:bCs/>
                <w:color w:val="000000"/>
                <w:sz w:val="19"/>
                <w:lang w:eastAsia="en-AU"/>
              </w:rPr>
              <w:t>1 845.5</w:t>
            </w:r>
          </w:p>
        </w:tc>
        <w:tc>
          <w:tcPr>
            <w:tcW w:w="852" w:type="dxa"/>
            <w:gridSpan w:val="3"/>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19"/>
                <w:lang w:eastAsia="en-AU"/>
              </w:rPr>
            </w:pPr>
            <w:r w:rsidRPr="00E22AD9">
              <w:rPr>
                <w:rFonts w:ascii="Calibri" w:eastAsiaTheme="minorEastAsia" w:hAnsi="Calibri" w:cs="Calibri"/>
                <w:b/>
                <w:bCs/>
                <w:color w:val="000000"/>
                <w:sz w:val="19"/>
                <w:lang w:eastAsia="en-AU"/>
              </w:rPr>
              <w:t>1 554.7</w:t>
            </w:r>
          </w:p>
        </w:tc>
      </w:tr>
      <w:tr w:rsidR="00965D85" w:rsidRPr="00E22AD9" w:rsidTr="008B46DF">
        <w:tc>
          <w:tcPr>
            <w:tcW w:w="2890"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20"/>
                <w:vertAlign w:val="superscript"/>
                <w:lang w:eastAsia="en-AU"/>
              </w:rPr>
            </w:pPr>
            <w:r w:rsidRPr="00E22AD9">
              <w:rPr>
                <w:rFonts w:ascii="Calibri" w:eastAsiaTheme="minorEastAsia" w:hAnsi="Calibri" w:cs="Calibri"/>
                <w:color w:val="000000"/>
                <w:sz w:val="19"/>
                <w:lang w:eastAsia="en-AU"/>
              </w:rPr>
              <w:t>Less: Net acquisition of non</w:t>
            </w:r>
            <w:r>
              <w:rPr>
                <w:rFonts w:ascii="Calibri" w:eastAsiaTheme="minorEastAsia" w:hAnsi="Calibri" w:cs="Calibri"/>
                <w:color w:val="000000"/>
                <w:sz w:val="19"/>
                <w:lang w:eastAsia="en-AU"/>
              </w:rPr>
              <w:noBreakHyphen/>
            </w:r>
            <w:r w:rsidRPr="00E22AD9">
              <w:rPr>
                <w:rFonts w:ascii="Calibri" w:eastAsiaTheme="minorEastAsia" w:hAnsi="Calibri" w:cs="Calibri"/>
                <w:color w:val="000000"/>
                <w:sz w:val="19"/>
                <w:lang w:eastAsia="en-AU"/>
              </w:rPr>
              <w:t>financial assets from transactions</w:t>
            </w:r>
            <w:r w:rsidRPr="00E22AD9">
              <w:rPr>
                <w:rFonts w:ascii="Calibri" w:eastAsiaTheme="minorEastAsia" w:hAnsi="Calibri" w:cs="Calibri"/>
                <w:color w:val="000000"/>
                <w:sz w:val="19"/>
                <w:vertAlign w:val="superscript"/>
                <w:lang w:eastAsia="en-AU"/>
              </w:rPr>
              <w:t xml:space="preserve"> (a)</w:t>
            </w:r>
          </w:p>
        </w:tc>
        <w:tc>
          <w:tcPr>
            <w:tcW w:w="611"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center"/>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15</w:t>
            </w:r>
          </w:p>
        </w:tc>
        <w:tc>
          <w:tcPr>
            <w:tcW w:w="846"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1 411.4</w:t>
            </w:r>
          </w:p>
        </w:tc>
        <w:tc>
          <w:tcPr>
            <w:tcW w:w="850"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1 397.2</w:t>
            </w:r>
          </w:p>
        </w:tc>
        <w:tc>
          <w:tcPr>
            <w:tcW w:w="865"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1 610.6</w:t>
            </w:r>
          </w:p>
        </w:tc>
        <w:tc>
          <w:tcPr>
            <w:tcW w:w="850" w:type="dxa"/>
            <w:gridSpan w:val="3"/>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852.4</w:t>
            </w:r>
          </w:p>
        </w:tc>
        <w:tc>
          <w:tcPr>
            <w:tcW w:w="852" w:type="dxa"/>
            <w:gridSpan w:val="3"/>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(554.4)</w:t>
            </w:r>
          </w:p>
        </w:tc>
      </w:tr>
      <w:tr w:rsidR="00965D85" w:rsidRPr="00E22AD9" w:rsidTr="008B46DF">
        <w:tc>
          <w:tcPr>
            <w:tcW w:w="2890" w:type="dxa"/>
            <w:tcBorders>
              <w:top w:val="single" w:sz="6" w:space="0" w:color="000000"/>
              <w:left w:val="nil"/>
              <w:bottom w:val="single" w:sz="12" w:space="0" w:color="000000"/>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b/>
                <w:bCs/>
                <w:color w:val="000000"/>
                <w:sz w:val="20"/>
                <w:vertAlign w:val="superscript"/>
                <w:lang w:eastAsia="en-AU"/>
              </w:rPr>
            </w:pPr>
            <w:r w:rsidRPr="00E22AD9">
              <w:rPr>
                <w:rFonts w:ascii="Calibri" w:eastAsiaTheme="minorEastAsia" w:hAnsi="Calibri" w:cs="Calibri"/>
                <w:b/>
                <w:bCs/>
                <w:color w:val="000000"/>
                <w:sz w:val="19"/>
                <w:lang w:eastAsia="en-AU"/>
              </w:rPr>
              <w:t>Net lending/(borrowing)</w:t>
            </w:r>
            <w:r w:rsidRPr="00E22AD9">
              <w:rPr>
                <w:rFonts w:ascii="Calibri" w:eastAsiaTheme="minorEastAsia" w:hAnsi="Calibri" w:cs="Calibri"/>
                <w:b/>
                <w:bCs/>
                <w:color w:val="000000"/>
                <w:sz w:val="19"/>
                <w:vertAlign w:val="superscript"/>
                <w:lang w:eastAsia="en-AU"/>
              </w:rPr>
              <w:t xml:space="preserve"> (a)</w:t>
            </w:r>
          </w:p>
        </w:tc>
        <w:tc>
          <w:tcPr>
            <w:tcW w:w="611" w:type="dxa"/>
            <w:tcBorders>
              <w:top w:val="single" w:sz="6" w:space="0" w:color="000000"/>
              <w:left w:val="nil"/>
              <w:bottom w:val="single" w:sz="12" w:space="0" w:color="000000"/>
              <w:right w:val="nil"/>
            </w:tcBorders>
            <w:shd w:val="clear" w:color="auto" w:fill="FFFFFF"/>
          </w:tcPr>
          <w:p w:rsidR="00965D85" w:rsidRPr="00E22AD9" w:rsidRDefault="00965D85" w:rsidP="008B46DF">
            <w:pPr>
              <w:autoSpaceDE w:val="0"/>
              <w:autoSpaceDN w:val="0"/>
              <w:adjustRightInd w:val="0"/>
              <w:spacing w:after="0"/>
              <w:jc w:val="center"/>
              <w:rPr>
                <w:rFonts w:ascii="Calibri" w:eastAsiaTheme="minorEastAsia" w:hAnsi="Calibri" w:cs="Calibri"/>
                <w:b/>
                <w:bCs/>
                <w:color w:val="000000"/>
                <w:sz w:val="19"/>
                <w:lang w:eastAsia="en-AU"/>
              </w:rPr>
            </w:pPr>
            <w:r w:rsidRPr="00E22AD9">
              <w:rPr>
                <w:rFonts w:ascii="Calibri" w:eastAsiaTheme="minorEastAsia" w:hAnsi="Calibri" w:cs="Calibri"/>
                <w:b/>
                <w:bCs/>
                <w:color w:val="000000"/>
                <w:sz w:val="19"/>
                <w:lang w:eastAsia="en-AU"/>
              </w:rPr>
              <w:t xml:space="preserve"> </w:t>
            </w:r>
          </w:p>
        </w:tc>
        <w:tc>
          <w:tcPr>
            <w:tcW w:w="846" w:type="dxa"/>
            <w:tcBorders>
              <w:top w:val="single" w:sz="6" w:space="0" w:color="000000"/>
              <w:left w:val="nil"/>
              <w:bottom w:val="single" w:sz="12"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19"/>
                <w:lang w:eastAsia="en-AU"/>
              </w:rPr>
              <w:t>(192.4)</w:t>
            </w:r>
          </w:p>
        </w:tc>
        <w:tc>
          <w:tcPr>
            <w:tcW w:w="850" w:type="dxa"/>
            <w:tcBorders>
              <w:top w:val="single" w:sz="6" w:space="0" w:color="000000"/>
              <w:left w:val="nil"/>
              <w:bottom w:val="single" w:sz="12"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19"/>
                <w:lang w:eastAsia="en-AU"/>
              </w:rPr>
              <w:t>314.7</w:t>
            </w:r>
          </w:p>
        </w:tc>
        <w:tc>
          <w:tcPr>
            <w:tcW w:w="865" w:type="dxa"/>
            <w:tcBorders>
              <w:top w:val="single" w:sz="6" w:space="0" w:color="000000"/>
              <w:left w:val="nil"/>
              <w:bottom w:val="single" w:sz="12"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19"/>
                <w:lang w:eastAsia="en-AU"/>
              </w:rPr>
              <w:t>(66.1)</w:t>
            </w:r>
          </w:p>
        </w:tc>
        <w:tc>
          <w:tcPr>
            <w:tcW w:w="850" w:type="dxa"/>
            <w:gridSpan w:val="3"/>
            <w:tcBorders>
              <w:top w:val="single" w:sz="6" w:space="0" w:color="000000"/>
              <w:left w:val="nil"/>
              <w:bottom w:val="single" w:sz="12"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19"/>
                <w:lang w:eastAsia="en-AU"/>
              </w:rPr>
              <w:t>993.0</w:t>
            </w:r>
          </w:p>
        </w:tc>
        <w:tc>
          <w:tcPr>
            <w:tcW w:w="852" w:type="dxa"/>
            <w:gridSpan w:val="3"/>
            <w:tcBorders>
              <w:top w:val="single" w:sz="6" w:space="0" w:color="000000"/>
              <w:left w:val="nil"/>
              <w:bottom w:val="single" w:sz="12"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19"/>
                <w:lang w:eastAsia="en-AU"/>
              </w:rPr>
            </w:pPr>
            <w:r w:rsidRPr="00E22AD9">
              <w:rPr>
                <w:rFonts w:ascii="Calibri" w:eastAsiaTheme="minorEastAsia" w:hAnsi="Calibri" w:cs="Calibri"/>
                <w:b/>
                <w:bCs/>
                <w:color w:val="000000"/>
                <w:sz w:val="19"/>
                <w:lang w:eastAsia="en-AU"/>
              </w:rPr>
              <w:t>2 109.2</w:t>
            </w:r>
          </w:p>
        </w:tc>
      </w:tr>
    </w:tbl>
    <w:p w:rsidR="00965D85" w:rsidRDefault="00965D85" w:rsidP="008B46DF">
      <w:pPr>
        <w:pStyle w:val="Notes"/>
      </w:pPr>
      <w:r>
        <w:t>The accompanying notes form part of these estimated financial statements.</w:t>
      </w:r>
    </w:p>
    <w:p w:rsidR="00965D85" w:rsidRDefault="00965D85" w:rsidP="008B46DF">
      <w:pPr>
        <w:pStyle w:val="Notes"/>
        <w:rPr>
          <w:lang w:eastAsia="en-AU"/>
        </w:rPr>
      </w:pPr>
    </w:p>
    <w:p w:rsidR="00965D85" w:rsidRPr="00A01226" w:rsidRDefault="00965D85" w:rsidP="008B46DF">
      <w:pPr>
        <w:pStyle w:val="Notes"/>
        <w:rPr>
          <w:lang w:eastAsia="en-AU"/>
        </w:rPr>
      </w:pPr>
      <w:r w:rsidRPr="00A01226">
        <w:rPr>
          <w:lang w:eastAsia="en-AU"/>
        </w:rPr>
        <w:t>Note:</w:t>
      </w:r>
    </w:p>
    <w:p w:rsidR="00965D85" w:rsidRDefault="00965D85" w:rsidP="008B46DF">
      <w:pPr>
        <w:pStyle w:val="Notes"/>
        <w:rPr>
          <w:lang w:eastAsia="en-AU"/>
        </w:rPr>
      </w:pPr>
      <w:r>
        <w:rPr>
          <w:lang w:eastAsia="en-AU"/>
        </w:rPr>
        <w:t xml:space="preserve">(a) </w:t>
      </w:r>
      <w:r>
        <w:rPr>
          <w:lang w:eastAsia="en-AU"/>
        </w:rPr>
        <w:tab/>
      </w:r>
      <w:r w:rsidRPr="002E7460">
        <w:rPr>
          <w:i w:val="0"/>
        </w:rPr>
        <w:t>2015</w:t>
      </w:r>
      <w:r>
        <w:rPr>
          <w:i w:val="0"/>
        </w:rPr>
        <w:noBreakHyphen/>
      </w:r>
      <w:r w:rsidRPr="002E7460">
        <w:rPr>
          <w:i w:val="0"/>
        </w:rPr>
        <w:t>16 Budget</w:t>
      </w:r>
      <w:r>
        <w:t xml:space="preserve"> figures have been restated to reflect more current information.</w:t>
      </w:r>
    </w:p>
    <w:p w:rsidR="00965D85" w:rsidRDefault="00965D85" w:rsidP="008B46DF">
      <w:pPr>
        <w:pStyle w:val="Source"/>
      </w:pPr>
    </w:p>
    <w:p w:rsidR="00965D85" w:rsidRDefault="00965D85">
      <w:pPr>
        <w:spacing w:after="0"/>
        <w:rPr>
          <w:rFonts w:ascii="Calibri" w:hAnsi="Calibri"/>
          <w:b/>
        </w:rPr>
      </w:pPr>
      <w:r>
        <w:br w:type="page"/>
      </w:r>
    </w:p>
    <w:p w:rsidR="00965D85" w:rsidRPr="00E22AD9" w:rsidRDefault="00965D85" w:rsidP="008B46DF">
      <w:pPr>
        <w:pStyle w:val="Tableheading"/>
        <w:rPr>
          <w:rFonts w:ascii="Times New Roman" w:hAnsi="Times New Roman"/>
          <w:b w:val="0"/>
          <w:sz w:val="20"/>
          <w:lang w:eastAsia="en-AU"/>
        </w:rPr>
      </w:pPr>
      <w:r w:rsidRPr="003878BE">
        <w:lastRenderedPageBreak/>
        <w:t xml:space="preserve">Table 4.2: </w:t>
      </w:r>
      <w:r>
        <w:tab/>
      </w:r>
      <w:r w:rsidRPr="003878BE">
        <w:t>Estimated general government sector balance sheet as at 30 June</w:t>
      </w:r>
    </w:p>
    <w:tbl>
      <w:tblPr>
        <w:tblW w:w="7825" w:type="dxa"/>
        <w:tblInd w:w="45" w:type="dxa"/>
        <w:tblLayout w:type="fixed"/>
        <w:tblCellMar>
          <w:left w:w="45" w:type="dxa"/>
          <w:right w:w="45" w:type="dxa"/>
        </w:tblCellMar>
        <w:tblLook w:val="0000" w:firstRow="0" w:lastRow="0" w:firstColumn="0" w:lastColumn="0" w:noHBand="0" w:noVBand="0"/>
      </w:tblPr>
      <w:tblGrid>
        <w:gridCol w:w="2665"/>
        <w:gridCol w:w="624"/>
        <w:gridCol w:w="907"/>
        <w:gridCol w:w="907"/>
        <w:gridCol w:w="907"/>
        <w:gridCol w:w="907"/>
        <w:gridCol w:w="908"/>
      </w:tblGrid>
      <w:tr w:rsidR="00965D85" w:rsidRPr="00E22AD9" w:rsidTr="008B46DF">
        <w:trPr>
          <w:tblHeader/>
        </w:trPr>
        <w:tc>
          <w:tcPr>
            <w:tcW w:w="7825" w:type="dxa"/>
            <w:gridSpan w:val="7"/>
            <w:tcBorders>
              <w:top w:val="nil"/>
              <w:left w:val="nil"/>
              <w:bottom w:val="nil"/>
              <w:right w:val="nil"/>
            </w:tcBorders>
          </w:tcPr>
          <w:p w:rsidR="00965D85" w:rsidRPr="00E22AD9" w:rsidRDefault="00965D85" w:rsidP="008B46DF">
            <w:pPr>
              <w:pStyle w:val="million"/>
              <w:rPr>
                <w:rFonts w:eastAsiaTheme="minorEastAsia"/>
                <w:lang w:eastAsia="en-AU"/>
              </w:rPr>
            </w:pPr>
            <w:r w:rsidRPr="00E22AD9">
              <w:rPr>
                <w:rFonts w:eastAsiaTheme="minorEastAsia"/>
                <w:lang w:eastAsia="en-AU"/>
              </w:rPr>
              <w:t>($ million)</w:t>
            </w:r>
          </w:p>
        </w:tc>
      </w:tr>
      <w:tr w:rsidR="00965D85" w:rsidRPr="004E5DCF" w:rsidTr="008B46DF">
        <w:trPr>
          <w:trHeight w:val="467"/>
          <w:tblHeader/>
        </w:trPr>
        <w:tc>
          <w:tcPr>
            <w:tcW w:w="2665" w:type="dxa"/>
            <w:tcBorders>
              <w:top w:val="nil"/>
              <w:left w:val="nil"/>
              <w:right w:val="nil"/>
            </w:tcBorders>
            <w:shd w:val="solid" w:color="000000" w:fill="auto"/>
          </w:tcPr>
          <w:p w:rsidR="00965D85" w:rsidRPr="004E5DCF" w:rsidRDefault="00965D85" w:rsidP="008B46DF">
            <w:pPr>
              <w:pStyle w:val="million"/>
              <w:rPr>
                <w:rFonts w:eastAsiaTheme="minorEastAsia"/>
                <w:sz w:val="19"/>
                <w:szCs w:val="19"/>
                <w:lang w:eastAsia="en-AU"/>
              </w:rPr>
            </w:pPr>
            <w:r w:rsidRPr="004E5DCF">
              <w:rPr>
                <w:rFonts w:eastAsiaTheme="minorEastAsia"/>
                <w:sz w:val="19"/>
                <w:szCs w:val="19"/>
                <w:lang w:eastAsia="en-AU"/>
              </w:rPr>
              <w:t xml:space="preserve"> </w:t>
            </w:r>
          </w:p>
          <w:p w:rsidR="00965D85" w:rsidRPr="004E5DCF" w:rsidRDefault="00965D85" w:rsidP="008B46DF">
            <w:pPr>
              <w:autoSpaceDE w:val="0"/>
              <w:autoSpaceDN w:val="0"/>
              <w:adjustRightInd w:val="0"/>
              <w:spacing w:after="0"/>
              <w:rPr>
                <w:rFonts w:eastAsiaTheme="minorEastAsia"/>
                <w:sz w:val="19"/>
                <w:szCs w:val="19"/>
                <w:lang w:eastAsia="en-AU"/>
              </w:rPr>
            </w:pPr>
            <w:r w:rsidRPr="004E5DCF">
              <w:rPr>
                <w:rFonts w:ascii="Calibri" w:eastAsiaTheme="minorEastAsia" w:hAnsi="Calibri" w:cs="Calibri"/>
                <w:color w:val="000000"/>
                <w:sz w:val="19"/>
                <w:szCs w:val="19"/>
                <w:lang w:eastAsia="en-AU"/>
              </w:rPr>
              <w:t xml:space="preserve"> </w:t>
            </w:r>
          </w:p>
        </w:tc>
        <w:tc>
          <w:tcPr>
            <w:tcW w:w="624" w:type="dxa"/>
            <w:tcBorders>
              <w:top w:val="nil"/>
              <w:left w:val="nil"/>
              <w:right w:val="nil"/>
            </w:tcBorders>
            <w:shd w:val="solid" w:color="000000" w:fill="auto"/>
          </w:tcPr>
          <w:p w:rsidR="00965D85" w:rsidRPr="004E5DCF" w:rsidRDefault="00965D85" w:rsidP="008B46DF">
            <w:pPr>
              <w:pStyle w:val="million"/>
              <w:rPr>
                <w:rFonts w:eastAsiaTheme="minorEastAsia"/>
                <w:sz w:val="19"/>
                <w:szCs w:val="19"/>
                <w:lang w:eastAsia="en-AU"/>
              </w:rPr>
            </w:pPr>
            <w:r w:rsidRPr="004E5DCF">
              <w:rPr>
                <w:rFonts w:eastAsiaTheme="minorEastAsia"/>
                <w:sz w:val="19"/>
                <w:szCs w:val="19"/>
                <w:lang w:eastAsia="en-AU"/>
              </w:rPr>
              <w:t xml:space="preserve"> </w:t>
            </w:r>
          </w:p>
          <w:p w:rsidR="00965D85" w:rsidRPr="004E5DCF" w:rsidRDefault="00965D85" w:rsidP="008B46DF">
            <w:pPr>
              <w:autoSpaceDE w:val="0"/>
              <w:autoSpaceDN w:val="0"/>
              <w:adjustRightInd w:val="0"/>
              <w:spacing w:after="0"/>
              <w:jc w:val="center"/>
              <w:rPr>
                <w:rFonts w:eastAsiaTheme="minorEastAsia"/>
                <w:sz w:val="19"/>
                <w:szCs w:val="19"/>
                <w:lang w:eastAsia="en-AU"/>
              </w:rPr>
            </w:pPr>
            <w:r w:rsidRPr="004E5DCF">
              <w:rPr>
                <w:rFonts w:ascii="Calibri" w:eastAsiaTheme="minorEastAsia" w:hAnsi="Calibri" w:cs="Calibri"/>
                <w:i/>
                <w:iCs/>
                <w:color w:val="FFFFFF"/>
                <w:sz w:val="19"/>
                <w:szCs w:val="19"/>
                <w:lang w:eastAsia="en-AU"/>
              </w:rPr>
              <w:t>Notes</w:t>
            </w:r>
          </w:p>
        </w:tc>
        <w:tc>
          <w:tcPr>
            <w:tcW w:w="907" w:type="dxa"/>
            <w:tcBorders>
              <w:top w:val="nil"/>
              <w:left w:val="nil"/>
              <w:right w:val="nil"/>
            </w:tcBorders>
            <w:shd w:val="solid" w:color="000000" w:fill="auto"/>
          </w:tcPr>
          <w:p w:rsidR="00965D85" w:rsidRPr="004E5DCF" w:rsidRDefault="00965D85" w:rsidP="008B46DF">
            <w:pPr>
              <w:pStyle w:val="million"/>
              <w:jc w:val="right"/>
              <w:rPr>
                <w:rFonts w:eastAsiaTheme="minorEastAsia"/>
                <w:iCs/>
                <w:color w:val="FFFFFF"/>
                <w:sz w:val="19"/>
                <w:szCs w:val="19"/>
                <w:lang w:eastAsia="en-AU"/>
              </w:rPr>
            </w:pPr>
            <w:r w:rsidRPr="004E5DCF">
              <w:rPr>
                <w:rFonts w:eastAsiaTheme="minorEastAsia"/>
                <w:iCs/>
                <w:color w:val="FFFFFF"/>
                <w:sz w:val="19"/>
                <w:szCs w:val="19"/>
                <w:lang w:eastAsia="en-AU"/>
              </w:rPr>
              <w:t>2016</w:t>
            </w:r>
          </w:p>
          <w:p w:rsidR="00965D85" w:rsidRPr="004E5DCF" w:rsidRDefault="00965D85" w:rsidP="008B46DF">
            <w:pPr>
              <w:autoSpaceDE w:val="0"/>
              <w:autoSpaceDN w:val="0"/>
              <w:adjustRightInd w:val="0"/>
              <w:spacing w:after="0"/>
              <w:jc w:val="right"/>
              <w:rPr>
                <w:rFonts w:eastAsiaTheme="minorEastAsia"/>
                <w:iCs/>
                <w:color w:val="FFFFFF"/>
                <w:sz w:val="19"/>
                <w:szCs w:val="19"/>
                <w:lang w:eastAsia="en-AU"/>
              </w:rPr>
            </w:pPr>
            <w:r w:rsidRPr="004E5DCF">
              <w:rPr>
                <w:rFonts w:ascii="Calibri" w:eastAsiaTheme="minorEastAsia" w:hAnsi="Calibri" w:cs="Calibri"/>
                <w:i/>
                <w:iCs/>
                <w:color w:val="FFFFFF"/>
                <w:sz w:val="19"/>
                <w:szCs w:val="19"/>
                <w:lang w:eastAsia="en-AU"/>
              </w:rPr>
              <w:t>budget</w:t>
            </w:r>
            <w:r w:rsidRPr="004E5DCF">
              <w:rPr>
                <w:rFonts w:ascii="Calibri" w:eastAsiaTheme="minorEastAsia" w:hAnsi="Calibri" w:cs="Calibri"/>
                <w:i/>
                <w:iCs/>
                <w:color w:val="FFFFFF"/>
                <w:sz w:val="19"/>
                <w:szCs w:val="19"/>
                <w:vertAlign w:val="superscript"/>
                <w:lang w:eastAsia="en-AU"/>
              </w:rPr>
              <w:t xml:space="preserve"> (a)</w:t>
            </w:r>
          </w:p>
        </w:tc>
        <w:tc>
          <w:tcPr>
            <w:tcW w:w="907" w:type="dxa"/>
            <w:tcBorders>
              <w:top w:val="nil"/>
              <w:left w:val="nil"/>
              <w:right w:val="nil"/>
            </w:tcBorders>
            <w:shd w:val="solid" w:color="000000" w:fill="auto"/>
          </w:tcPr>
          <w:p w:rsidR="00965D85" w:rsidRPr="004E5DCF" w:rsidRDefault="00965D85" w:rsidP="008B46DF">
            <w:pPr>
              <w:pStyle w:val="million"/>
              <w:jc w:val="right"/>
              <w:rPr>
                <w:rFonts w:eastAsiaTheme="minorEastAsia"/>
                <w:iCs/>
                <w:color w:val="FFFFFF"/>
                <w:sz w:val="19"/>
                <w:szCs w:val="19"/>
                <w:lang w:eastAsia="en-AU"/>
              </w:rPr>
            </w:pPr>
            <w:r w:rsidRPr="004E5DCF">
              <w:rPr>
                <w:rFonts w:eastAsiaTheme="minorEastAsia"/>
                <w:iCs/>
                <w:color w:val="FFFFFF"/>
                <w:sz w:val="19"/>
                <w:szCs w:val="19"/>
                <w:lang w:eastAsia="en-AU"/>
              </w:rPr>
              <w:t>2016</w:t>
            </w:r>
          </w:p>
          <w:p w:rsidR="00965D85" w:rsidRPr="004E5DCF" w:rsidRDefault="00965D85" w:rsidP="008B46DF">
            <w:pPr>
              <w:autoSpaceDE w:val="0"/>
              <w:autoSpaceDN w:val="0"/>
              <w:adjustRightInd w:val="0"/>
              <w:spacing w:after="0"/>
              <w:jc w:val="right"/>
              <w:rPr>
                <w:rFonts w:eastAsiaTheme="minorEastAsia"/>
                <w:iCs/>
                <w:color w:val="FFFFFF"/>
                <w:sz w:val="19"/>
                <w:szCs w:val="19"/>
                <w:lang w:eastAsia="en-AU"/>
              </w:rPr>
            </w:pPr>
            <w:r w:rsidRPr="004E5DCF">
              <w:rPr>
                <w:rFonts w:ascii="Calibri" w:eastAsiaTheme="minorEastAsia" w:hAnsi="Calibri" w:cs="Calibri"/>
                <w:i/>
                <w:iCs/>
                <w:color w:val="FFFFFF"/>
                <w:sz w:val="19"/>
                <w:szCs w:val="19"/>
                <w:lang w:eastAsia="en-AU"/>
              </w:rPr>
              <w:t>revised</w:t>
            </w:r>
          </w:p>
        </w:tc>
        <w:tc>
          <w:tcPr>
            <w:tcW w:w="907" w:type="dxa"/>
            <w:tcBorders>
              <w:top w:val="nil"/>
              <w:left w:val="nil"/>
              <w:right w:val="nil"/>
            </w:tcBorders>
            <w:shd w:val="solid" w:color="000000" w:fill="auto"/>
          </w:tcPr>
          <w:p w:rsidR="00965D85" w:rsidRPr="004E5DCF" w:rsidRDefault="00965D85" w:rsidP="008B46DF">
            <w:pPr>
              <w:pStyle w:val="million"/>
              <w:jc w:val="right"/>
              <w:rPr>
                <w:rFonts w:eastAsiaTheme="minorEastAsia"/>
                <w:iCs/>
                <w:color w:val="FFFFFF"/>
                <w:sz w:val="19"/>
                <w:szCs w:val="19"/>
                <w:lang w:eastAsia="en-AU"/>
              </w:rPr>
            </w:pPr>
            <w:r w:rsidRPr="004E5DCF">
              <w:rPr>
                <w:rFonts w:eastAsiaTheme="minorEastAsia"/>
                <w:iCs/>
                <w:color w:val="FFFFFF"/>
                <w:sz w:val="19"/>
                <w:szCs w:val="19"/>
                <w:lang w:eastAsia="en-AU"/>
              </w:rPr>
              <w:t>2017</w:t>
            </w:r>
          </w:p>
          <w:p w:rsidR="00965D85" w:rsidRPr="004E5DCF" w:rsidRDefault="00965D85" w:rsidP="008B46DF">
            <w:pPr>
              <w:autoSpaceDE w:val="0"/>
              <w:autoSpaceDN w:val="0"/>
              <w:adjustRightInd w:val="0"/>
              <w:spacing w:after="0"/>
              <w:jc w:val="right"/>
              <w:rPr>
                <w:rFonts w:eastAsiaTheme="minorEastAsia"/>
                <w:iCs/>
                <w:color w:val="FFFFFF"/>
                <w:sz w:val="19"/>
                <w:szCs w:val="19"/>
                <w:lang w:eastAsia="en-AU"/>
              </w:rPr>
            </w:pPr>
            <w:r w:rsidRPr="004E5DCF">
              <w:rPr>
                <w:rFonts w:ascii="Calibri" w:eastAsiaTheme="minorEastAsia" w:hAnsi="Calibri" w:cs="Calibri"/>
                <w:i/>
                <w:iCs/>
                <w:color w:val="FFFFFF"/>
                <w:sz w:val="19"/>
                <w:szCs w:val="19"/>
                <w:lang w:eastAsia="en-AU"/>
              </w:rPr>
              <w:t>estimate</w:t>
            </w:r>
          </w:p>
        </w:tc>
        <w:tc>
          <w:tcPr>
            <w:tcW w:w="907" w:type="dxa"/>
            <w:tcBorders>
              <w:top w:val="nil"/>
              <w:left w:val="nil"/>
              <w:right w:val="nil"/>
            </w:tcBorders>
            <w:shd w:val="solid" w:color="000000" w:fill="auto"/>
          </w:tcPr>
          <w:p w:rsidR="00965D85" w:rsidRPr="004E5DCF" w:rsidRDefault="00965D85" w:rsidP="008B46DF">
            <w:pPr>
              <w:pStyle w:val="million"/>
              <w:jc w:val="right"/>
              <w:rPr>
                <w:rFonts w:eastAsiaTheme="minorEastAsia"/>
                <w:iCs/>
                <w:color w:val="FFFFFF"/>
                <w:sz w:val="19"/>
                <w:szCs w:val="19"/>
                <w:lang w:eastAsia="en-AU"/>
              </w:rPr>
            </w:pPr>
            <w:r w:rsidRPr="004E5DCF">
              <w:rPr>
                <w:rFonts w:eastAsiaTheme="minorEastAsia"/>
                <w:iCs/>
                <w:color w:val="FFFFFF"/>
                <w:sz w:val="19"/>
                <w:szCs w:val="19"/>
                <w:lang w:eastAsia="en-AU"/>
              </w:rPr>
              <w:t>2018</w:t>
            </w:r>
          </w:p>
          <w:p w:rsidR="00965D85" w:rsidRPr="004E5DCF" w:rsidRDefault="00965D85" w:rsidP="008B46DF">
            <w:pPr>
              <w:autoSpaceDE w:val="0"/>
              <w:autoSpaceDN w:val="0"/>
              <w:adjustRightInd w:val="0"/>
              <w:spacing w:after="0"/>
              <w:jc w:val="right"/>
              <w:rPr>
                <w:rFonts w:eastAsiaTheme="minorEastAsia"/>
                <w:iCs/>
                <w:color w:val="FFFFFF"/>
                <w:sz w:val="19"/>
                <w:szCs w:val="19"/>
                <w:lang w:eastAsia="en-AU"/>
              </w:rPr>
            </w:pPr>
            <w:r w:rsidRPr="004E5DCF">
              <w:rPr>
                <w:rFonts w:ascii="Calibri" w:eastAsiaTheme="minorEastAsia" w:hAnsi="Calibri" w:cs="Calibri"/>
                <w:i/>
                <w:iCs/>
                <w:color w:val="FFFFFF"/>
                <w:sz w:val="19"/>
                <w:szCs w:val="19"/>
                <w:lang w:eastAsia="en-AU"/>
              </w:rPr>
              <w:t>estimate</w:t>
            </w:r>
          </w:p>
        </w:tc>
        <w:tc>
          <w:tcPr>
            <w:tcW w:w="908" w:type="dxa"/>
            <w:tcBorders>
              <w:top w:val="nil"/>
              <w:left w:val="nil"/>
              <w:right w:val="nil"/>
            </w:tcBorders>
            <w:shd w:val="solid" w:color="000000" w:fill="auto"/>
          </w:tcPr>
          <w:p w:rsidR="00965D85" w:rsidRPr="004E5DCF" w:rsidRDefault="00965D85" w:rsidP="008B46DF">
            <w:pPr>
              <w:pStyle w:val="million"/>
              <w:jc w:val="right"/>
              <w:rPr>
                <w:rFonts w:eastAsiaTheme="minorEastAsia"/>
                <w:iCs/>
                <w:color w:val="FFFFFF"/>
                <w:sz w:val="19"/>
                <w:szCs w:val="19"/>
                <w:lang w:eastAsia="en-AU"/>
              </w:rPr>
            </w:pPr>
            <w:r w:rsidRPr="004E5DCF">
              <w:rPr>
                <w:rFonts w:eastAsiaTheme="minorEastAsia"/>
                <w:iCs/>
                <w:color w:val="FFFFFF"/>
                <w:sz w:val="19"/>
                <w:szCs w:val="19"/>
                <w:lang w:eastAsia="en-AU"/>
              </w:rPr>
              <w:t>2019</w:t>
            </w:r>
          </w:p>
          <w:p w:rsidR="00965D85" w:rsidRPr="004E5DCF" w:rsidRDefault="00965D85" w:rsidP="008B46DF">
            <w:pPr>
              <w:autoSpaceDE w:val="0"/>
              <w:autoSpaceDN w:val="0"/>
              <w:adjustRightInd w:val="0"/>
              <w:spacing w:after="0"/>
              <w:jc w:val="right"/>
              <w:rPr>
                <w:rFonts w:eastAsiaTheme="minorEastAsia"/>
                <w:iCs/>
                <w:color w:val="FFFFFF"/>
                <w:sz w:val="19"/>
                <w:szCs w:val="19"/>
                <w:lang w:eastAsia="en-AU"/>
              </w:rPr>
            </w:pPr>
            <w:r w:rsidRPr="004E5DCF">
              <w:rPr>
                <w:rFonts w:ascii="Calibri" w:eastAsiaTheme="minorEastAsia" w:hAnsi="Calibri" w:cs="Calibri"/>
                <w:i/>
                <w:iCs/>
                <w:color w:val="FFFFFF"/>
                <w:sz w:val="19"/>
                <w:szCs w:val="19"/>
                <w:lang w:eastAsia="en-AU"/>
              </w:rPr>
              <w:t>estimate</w:t>
            </w:r>
          </w:p>
        </w:tc>
      </w:tr>
      <w:tr w:rsidR="00965D85" w:rsidRPr="00E22AD9" w:rsidTr="008B46DF">
        <w:tc>
          <w:tcPr>
            <w:tcW w:w="2665" w:type="dxa"/>
            <w:tcBorders>
              <w:top w:val="nil"/>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b/>
                <w:bCs/>
                <w:color w:val="000000"/>
                <w:sz w:val="19"/>
                <w:lang w:eastAsia="en-AU"/>
              </w:rPr>
            </w:pPr>
            <w:r w:rsidRPr="00E22AD9">
              <w:rPr>
                <w:rFonts w:ascii="Calibri" w:eastAsiaTheme="minorEastAsia" w:hAnsi="Calibri" w:cs="Calibri"/>
                <w:b/>
                <w:bCs/>
                <w:color w:val="000000"/>
                <w:sz w:val="19"/>
                <w:lang w:eastAsia="en-AU"/>
              </w:rPr>
              <w:t>Assets</w:t>
            </w:r>
          </w:p>
        </w:tc>
        <w:tc>
          <w:tcPr>
            <w:tcW w:w="624"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center"/>
              <w:rPr>
                <w:rFonts w:ascii="Calibri" w:eastAsiaTheme="minorEastAsia" w:hAnsi="Calibri" w:cs="Calibri"/>
                <w:b/>
                <w:bCs/>
                <w:color w:val="000000"/>
                <w:sz w:val="19"/>
                <w:lang w:eastAsia="en-AU"/>
              </w:rPr>
            </w:pPr>
            <w:r w:rsidRPr="00E22AD9">
              <w:rPr>
                <w:rFonts w:ascii="Calibri" w:eastAsiaTheme="minorEastAsia" w:hAnsi="Calibri" w:cs="Calibri"/>
                <w:b/>
                <w:bCs/>
                <w:color w:val="000000"/>
                <w:sz w:val="19"/>
                <w:lang w:eastAsia="en-AU"/>
              </w:rPr>
              <w:t xml:space="preserve"> </w:t>
            </w:r>
          </w:p>
        </w:tc>
        <w:tc>
          <w:tcPr>
            <w:tcW w:w="907"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907"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907"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907"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908"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r>
      <w:tr w:rsidR="00965D85" w:rsidRPr="00E22AD9" w:rsidTr="008B46DF">
        <w:tc>
          <w:tcPr>
            <w:tcW w:w="2665" w:type="dxa"/>
            <w:tcBorders>
              <w:top w:val="nil"/>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b/>
                <w:bCs/>
                <w:color w:val="000000"/>
                <w:sz w:val="19"/>
                <w:lang w:eastAsia="en-AU"/>
              </w:rPr>
            </w:pPr>
            <w:r w:rsidRPr="00E22AD9">
              <w:rPr>
                <w:rFonts w:ascii="Calibri" w:eastAsiaTheme="minorEastAsia" w:hAnsi="Calibri" w:cs="Calibri"/>
                <w:b/>
                <w:bCs/>
                <w:color w:val="000000"/>
                <w:sz w:val="19"/>
                <w:lang w:eastAsia="en-AU"/>
              </w:rPr>
              <w:t>Financial assets</w:t>
            </w:r>
          </w:p>
        </w:tc>
        <w:tc>
          <w:tcPr>
            <w:tcW w:w="624"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center"/>
              <w:rPr>
                <w:rFonts w:ascii="Calibri" w:eastAsiaTheme="minorEastAsia" w:hAnsi="Calibri" w:cs="Calibri"/>
                <w:b/>
                <w:bCs/>
                <w:color w:val="000000"/>
                <w:sz w:val="19"/>
                <w:lang w:eastAsia="en-AU"/>
              </w:rPr>
            </w:pPr>
            <w:r w:rsidRPr="00E22AD9">
              <w:rPr>
                <w:rFonts w:ascii="Calibri" w:eastAsiaTheme="minorEastAsia" w:hAnsi="Calibri" w:cs="Calibri"/>
                <w:b/>
                <w:bCs/>
                <w:color w:val="000000"/>
                <w:sz w:val="19"/>
                <w:lang w:eastAsia="en-AU"/>
              </w:rPr>
              <w:t xml:space="preserve"> </w:t>
            </w:r>
          </w:p>
        </w:tc>
        <w:tc>
          <w:tcPr>
            <w:tcW w:w="907"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907"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907"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907"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908"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r>
      <w:tr w:rsidR="00965D85" w:rsidRPr="00E22AD9" w:rsidTr="008B46DF">
        <w:tc>
          <w:tcPr>
            <w:tcW w:w="2665" w:type="dxa"/>
            <w:tcBorders>
              <w:top w:val="nil"/>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Cash and deposits</w:t>
            </w:r>
          </w:p>
        </w:tc>
        <w:tc>
          <w:tcPr>
            <w:tcW w:w="624"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center"/>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 xml:space="preserve"> </w:t>
            </w:r>
          </w:p>
        </w:tc>
        <w:tc>
          <w:tcPr>
            <w:tcW w:w="907"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4 479.3</w:t>
            </w:r>
          </w:p>
        </w:tc>
        <w:tc>
          <w:tcPr>
            <w:tcW w:w="907"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4 461.0</w:t>
            </w:r>
          </w:p>
        </w:tc>
        <w:tc>
          <w:tcPr>
            <w:tcW w:w="907"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4 717.2</w:t>
            </w:r>
          </w:p>
        </w:tc>
        <w:tc>
          <w:tcPr>
            <w:tcW w:w="907"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5 029.8</w:t>
            </w:r>
          </w:p>
        </w:tc>
        <w:tc>
          <w:tcPr>
            <w:tcW w:w="908"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5 363.0</w:t>
            </w:r>
          </w:p>
        </w:tc>
      </w:tr>
      <w:tr w:rsidR="00965D85" w:rsidRPr="00E22AD9" w:rsidTr="008B46DF">
        <w:tc>
          <w:tcPr>
            <w:tcW w:w="2665" w:type="dxa"/>
            <w:tcBorders>
              <w:top w:val="nil"/>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Advances paid</w:t>
            </w:r>
          </w:p>
        </w:tc>
        <w:tc>
          <w:tcPr>
            <w:tcW w:w="624"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center"/>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16</w:t>
            </w:r>
          </w:p>
        </w:tc>
        <w:tc>
          <w:tcPr>
            <w:tcW w:w="907"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4 524.5</w:t>
            </w:r>
          </w:p>
        </w:tc>
        <w:tc>
          <w:tcPr>
            <w:tcW w:w="907"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4 524.5</w:t>
            </w:r>
          </w:p>
        </w:tc>
        <w:tc>
          <w:tcPr>
            <w:tcW w:w="907"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4 488.2</w:t>
            </w:r>
          </w:p>
        </w:tc>
        <w:tc>
          <w:tcPr>
            <w:tcW w:w="907"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4 442.4</w:t>
            </w:r>
          </w:p>
        </w:tc>
        <w:tc>
          <w:tcPr>
            <w:tcW w:w="908"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4 390.9</w:t>
            </w:r>
          </w:p>
        </w:tc>
      </w:tr>
      <w:tr w:rsidR="00965D85" w:rsidRPr="00E22AD9" w:rsidTr="008B46DF">
        <w:tc>
          <w:tcPr>
            <w:tcW w:w="2665" w:type="dxa"/>
            <w:tcBorders>
              <w:top w:val="nil"/>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Receivables</w:t>
            </w:r>
          </w:p>
        </w:tc>
        <w:tc>
          <w:tcPr>
            <w:tcW w:w="624"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center"/>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 xml:space="preserve"> </w:t>
            </w:r>
          </w:p>
        </w:tc>
        <w:tc>
          <w:tcPr>
            <w:tcW w:w="907"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5 404.2</w:t>
            </w:r>
          </w:p>
        </w:tc>
        <w:tc>
          <w:tcPr>
            <w:tcW w:w="907"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5 405.4</w:t>
            </w:r>
          </w:p>
        </w:tc>
        <w:tc>
          <w:tcPr>
            <w:tcW w:w="907"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5 372.7</w:t>
            </w:r>
          </w:p>
        </w:tc>
        <w:tc>
          <w:tcPr>
            <w:tcW w:w="907"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5 370.1</w:t>
            </w:r>
          </w:p>
        </w:tc>
        <w:tc>
          <w:tcPr>
            <w:tcW w:w="908"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5 480.7</w:t>
            </w:r>
          </w:p>
        </w:tc>
      </w:tr>
      <w:tr w:rsidR="00965D85" w:rsidRPr="00E22AD9" w:rsidTr="008B46DF">
        <w:tc>
          <w:tcPr>
            <w:tcW w:w="2665" w:type="dxa"/>
            <w:tcBorders>
              <w:top w:val="nil"/>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Investments, loans and placements</w:t>
            </w:r>
          </w:p>
        </w:tc>
        <w:tc>
          <w:tcPr>
            <w:tcW w:w="624"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center"/>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16</w:t>
            </w:r>
          </w:p>
        </w:tc>
        <w:tc>
          <w:tcPr>
            <w:tcW w:w="907"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3 513.0</w:t>
            </w:r>
          </w:p>
        </w:tc>
        <w:tc>
          <w:tcPr>
            <w:tcW w:w="907"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3 502.0</w:t>
            </w:r>
          </w:p>
        </w:tc>
        <w:tc>
          <w:tcPr>
            <w:tcW w:w="907"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3 630.0</w:t>
            </w:r>
          </w:p>
        </w:tc>
        <w:tc>
          <w:tcPr>
            <w:tcW w:w="907"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3 752.7</w:t>
            </w:r>
          </w:p>
        </w:tc>
        <w:tc>
          <w:tcPr>
            <w:tcW w:w="908"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3 876.6</w:t>
            </w:r>
          </w:p>
        </w:tc>
      </w:tr>
      <w:tr w:rsidR="00965D85" w:rsidRPr="00E22AD9" w:rsidTr="008B46DF">
        <w:tc>
          <w:tcPr>
            <w:tcW w:w="2665" w:type="dxa"/>
            <w:tcBorders>
              <w:top w:val="nil"/>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Investments accounted for using equity method</w:t>
            </w:r>
          </w:p>
        </w:tc>
        <w:tc>
          <w:tcPr>
            <w:tcW w:w="624"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center"/>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 xml:space="preserve"> </w:t>
            </w:r>
          </w:p>
        </w:tc>
        <w:tc>
          <w:tcPr>
            <w:tcW w:w="907"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44.6</w:t>
            </w:r>
          </w:p>
        </w:tc>
        <w:tc>
          <w:tcPr>
            <w:tcW w:w="907"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44.6</w:t>
            </w:r>
          </w:p>
        </w:tc>
        <w:tc>
          <w:tcPr>
            <w:tcW w:w="907"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44.6</w:t>
            </w:r>
          </w:p>
        </w:tc>
        <w:tc>
          <w:tcPr>
            <w:tcW w:w="907"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44.6</w:t>
            </w:r>
          </w:p>
        </w:tc>
        <w:tc>
          <w:tcPr>
            <w:tcW w:w="908"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44.6</w:t>
            </w:r>
          </w:p>
        </w:tc>
      </w:tr>
      <w:tr w:rsidR="00965D85" w:rsidRPr="00E22AD9" w:rsidTr="008B46DF">
        <w:tc>
          <w:tcPr>
            <w:tcW w:w="2665"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Investments in other sector entities</w:t>
            </w:r>
          </w:p>
        </w:tc>
        <w:tc>
          <w:tcPr>
            <w:tcW w:w="624"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center"/>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14</w:t>
            </w:r>
          </w:p>
        </w:tc>
        <w:tc>
          <w:tcPr>
            <w:tcW w:w="907"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82 431.6</w:t>
            </w:r>
          </w:p>
        </w:tc>
        <w:tc>
          <w:tcPr>
            <w:tcW w:w="907"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80 405.0</w:t>
            </w:r>
          </w:p>
        </w:tc>
        <w:tc>
          <w:tcPr>
            <w:tcW w:w="907"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81 908.6</w:t>
            </w:r>
          </w:p>
        </w:tc>
        <w:tc>
          <w:tcPr>
            <w:tcW w:w="907"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83 365.6</w:t>
            </w:r>
          </w:p>
        </w:tc>
        <w:tc>
          <w:tcPr>
            <w:tcW w:w="908"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85 809.5</w:t>
            </w:r>
          </w:p>
        </w:tc>
      </w:tr>
      <w:tr w:rsidR="00965D85" w:rsidRPr="00E22AD9" w:rsidTr="008B46DF">
        <w:tc>
          <w:tcPr>
            <w:tcW w:w="2665" w:type="dxa"/>
            <w:tcBorders>
              <w:top w:val="single" w:sz="6" w:space="0" w:color="000000"/>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b/>
                <w:bCs/>
                <w:color w:val="000000"/>
                <w:sz w:val="19"/>
                <w:lang w:eastAsia="en-AU"/>
              </w:rPr>
            </w:pPr>
            <w:r w:rsidRPr="00E22AD9">
              <w:rPr>
                <w:rFonts w:ascii="Calibri" w:eastAsiaTheme="minorEastAsia" w:hAnsi="Calibri" w:cs="Calibri"/>
                <w:b/>
                <w:bCs/>
                <w:color w:val="000000"/>
                <w:sz w:val="19"/>
                <w:lang w:eastAsia="en-AU"/>
              </w:rPr>
              <w:t>Total financial assets</w:t>
            </w:r>
          </w:p>
        </w:tc>
        <w:tc>
          <w:tcPr>
            <w:tcW w:w="624" w:type="dxa"/>
            <w:tcBorders>
              <w:top w:val="single" w:sz="6" w:space="0" w:color="000000"/>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center"/>
              <w:rPr>
                <w:rFonts w:ascii="Calibri" w:eastAsiaTheme="minorEastAsia" w:hAnsi="Calibri" w:cs="Calibri"/>
                <w:b/>
                <w:bCs/>
                <w:color w:val="000000"/>
                <w:sz w:val="19"/>
                <w:lang w:eastAsia="en-AU"/>
              </w:rPr>
            </w:pPr>
            <w:r w:rsidRPr="00E22AD9">
              <w:rPr>
                <w:rFonts w:ascii="Calibri" w:eastAsiaTheme="minorEastAsia" w:hAnsi="Calibri" w:cs="Calibri"/>
                <w:b/>
                <w:bCs/>
                <w:color w:val="000000"/>
                <w:sz w:val="19"/>
                <w:lang w:eastAsia="en-AU"/>
              </w:rPr>
              <w:t xml:space="preserve"> </w:t>
            </w:r>
          </w:p>
        </w:tc>
        <w:tc>
          <w:tcPr>
            <w:tcW w:w="907" w:type="dxa"/>
            <w:tcBorders>
              <w:top w:val="single" w:sz="6" w:space="0" w:color="000000"/>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19"/>
                <w:lang w:eastAsia="en-AU"/>
              </w:rPr>
            </w:pPr>
            <w:r w:rsidRPr="00E22AD9">
              <w:rPr>
                <w:rFonts w:ascii="Calibri" w:eastAsiaTheme="minorEastAsia" w:hAnsi="Calibri" w:cs="Calibri"/>
                <w:b/>
                <w:bCs/>
                <w:color w:val="000000"/>
                <w:sz w:val="19"/>
                <w:lang w:eastAsia="en-AU"/>
              </w:rPr>
              <w:t>100 397.2</w:t>
            </w:r>
          </w:p>
        </w:tc>
        <w:tc>
          <w:tcPr>
            <w:tcW w:w="907" w:type="dxa"/>
            <w:tcBorders>
              <w:top w:val="single" w:sz="6" w:space="0" w:color="000000"/>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19"/>
                <w:lang w:eastAsia="en-AU"/>
              </w:rPr>
            </w:pPr>
            <w:r w:rsidRPr="00E22AD9">
              <w:rPr>
                <w:rFonts w:ascii="Calibri" w:eastAsiaTheme="minorEastAsia" w:hAnsi="Calibri" w:cs="Calibri"/>
                <w:b/>
                <w:bCs/>
                <w:color w:val="000000"/>
                <w:sz w:val="19"/>
                <w:lang w:eastAsia="en-AU"/>
              </w:rPr>
              <w:t>98 342.5</w:t>
            </w:r>
          </w:p>
        </w:tc>
        <w:tc>
          <w:tcPr>
            <w:tcW w:w="907" w:type="dxa"/>
            <w:tcBorders>
              <w:top w:val="single" w:sz="6" w:space="0" w:color="000000"/>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19"/>
                <w:lang w:eastAsia="en-AU"/>
              </w:rPr>
            </w:pPr>
            <w:r w:rsidRPr="00E22AD9">
              <w:rPr>
                <w:rFonts w:ascii="Calibri" w:eastAsiaTheme="minorEastAsia" w:hAnsi="Calibri" w:cs="Calibri"/>
                <w:b/>
                <w:bCs/>
                <w:color w:val="000000"/>
                <w:sz w:val="19"/>
                <w:lang w:eastAsia="en-AU"/>
              </w:rPr>
              <w:t>100 161.4</w:t>
            </w:r>
          </w:p>
        </w:tc>
        <w:tc>
          <w:tcPr>
            <w:tcW w:w="907" w:type="dxa"/>
            <w:tcBorders>
              <w:top w:val="single" w:sz="6" w:space="0" w:color="000000"/>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19"/>
                <w:lang w:eastAsia="en-AU"/>
              </w:rPr>
            </w:pPr>
            <w:r w:rsidRPr="00E22AD9">
              <w:rPr>
                <w:rFonts w:ascii="Calibri" w:eastAsiaTheme="minorEastAsia" w:hAnsi="Calibri" w:cs="Calibri"/>
                <w:b/>
                <w:bCs/>
                <w:color w:val="000000"/>
                <w:sz w:val="19"/>
                <w:lang w:eastAsia="en-AU"/>
              </w:rPr>
              <w:t>102 005.1</w:t>
            </w:r>
          </w:p>
        </w:tc>
        <w:tc>
          <w:tcPr>
            <w:tcW w:w="908" w:type="dxa"/>
            <w:tcBorders>
              <w:top w:val="single" w:sz="6" w:space="0" w:color="000000"/>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19"/>
                <w:lang w:eastAsia="en-AU"/>
              </w:rPr>
            </w:pPr>
            <w:r w:rsidRPr="00E22AD9">
              <w:rPr>
                <w:rFonts w:ascii="Calibri" w:eastAsiaTheme="minorEastAsia" w:hAnsi="Calibri" w:cs="Calibri"/>
                <w:b/>
                <w:bCs/>
                <w:color w:val="000000"/>
                <w:sz w:val="19"/>
                <w:lang w:eastAsia="en-AU"/>
              </w:rPr>
              <w:t>104 965.2</w:t>
            </w:r>
          </w:p>
        </w:tc>
      </w:tr>
      <w:tr w:rsidR="00965D85" w:rsidRPr="00E22AD9" w:rsidTr="008B46DF">
        <w:tc>
          <w:tcPr>
            <w:tcW w:w="2665" w:type="dxa"/>
            <w:tcBorders>
              <w:top w:val="single" w:sz="6" w:space="0" w:color="000000"/>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b/>
                <w:bCs/>
                <w:color w:val="000000"/>
                <w:sz w:val="19"/>
                <w:lang w:eastAsia="en-AU"/>
              </w:rPr>
            </w:pPr>
            <w:r w:rsidRPr="00E22AD9">
              <w:rPr>
                <w:rFonts w:ascii="Calibri" w:eastAsiaTheme="minorEastAsia" w:hAnsi="Calibri" w:cs="Calibri"/>
                <w:b/>
                <w:bCs/>
                <w:color w:val="000000"/>
                <w:sz w:val="19"/>
                <w:lang w:eastAsia="en-AU"/>
              </w:rPr>
              <w:t>Non</w:t>
            </w:r>
            <w:r>
              <w:rPr>
                <w:rFonts w:ascii="Calibri" w:eastAsiaTheme="minorEastAsia" w:hAnsi="Calibri" w:cs="Calibri"/>
                <w:b/>
                <w:bCs/>
                <w:color w:val="000000"/>
                <w:sz w:val="19"/>
                <w:lang w:eastAsia="en-AU"/>
              </w:rPr>
              <w:noBreakHyphen/>
            </w:r>
            <w:r w:rsidRPr="00E22AD9">
              <w:rPr>
                <w:rFonts w:ascii="Calibri" w:eastAsiaTheme="minorEastAsia" w:hAnsi="Calibri" w:cs="Calibri"/>
                <w:b/>
                <w:bCs/>
                <w:color w:val="000000"/>
                <w:sz w:val="19"/>
                <w:lang w:eastAsia="en-AU"/>
              </w:rPr>
              <w:t>financial assets</w:t>
            </w:r>
          </w:p>
        </w:tc>
        <w:tc>
          <w:tcPr>
            <w:tcW w:w="624" w:type="dxa"/>
            <w:tcBorders>
              <w:top w:val="single" w:sz="6" w:space="0" w:color="000000"/>
              <w:left w:val="nil"/>
              <w:right w:val="nil"/>
            </w:tcBorders>
            <w:shd w:val="clear" w:color="auto" w:fill="FFFFFF"/>
          </w:tcPr>
          <w:p w:rsidR="00965D85" w:rsidRPr="00E22AD9" w:rsidRDefault="00965D85" w:rsidP="008B46DF">
            <w:pPr>
              <w:autoSpaceDE w:val="0"/>
              <w:autoSpaceDN w:val="0"/>
              <w:adjustRightInd w:val="0"/>
              <w:spacing w:after="0"/>
              <w:jc w:val="center"/>
              <w:rPr>
                <w:rFonts w:ascii="Calibri" w:eastAsiaTheme="minorEastAsia" w:hAnsi="Calibri" w:cs="Calibri"/>
                <w:b/>
                <w:bCs/>
                <w:color w:val="000000"/>
                <w:sz w:val="19"/>
                <w:lang w:eastAsia="en-AU"/>
              </w:rPr>
            </w:pPr>
            <w:r w:rsidRPr="00E22AD9">
              <w:rPr>
                <w:rFonts w:ascii="Calibri" w:eastAsiaTheme="minorEastAsia" w:hAnsi="Calibri" w:cs="Calibri"/>
                <w:b/>
                <w:bCs/>
                <w:color w:val="000000"/>
                <w:sz w:val="19"/>
                <w:lang w:eastAsia="en-AU"/>
              </w:rPr>
              <w:t xml:space="preserve"> </w:t>
            </w:r>
          </w:p>
        </w:tc>
        <w:tc>
          <w:tcPr>
            <w:tcW w:w="907" w:type="dxa"/>
            <w:tcBorders>
              <w:top w:val="single" w:sz="6" w:space="0" w:color="000000"/>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907" w:type="dxa"/>
            <w:tcBorders>
              <w:top w:val="single" w:sz="6" w:space="0" w:color="000000"/>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907" w:type="dxa"/>
            <w:tcBorders>
              <w:top w:val="single" w:sz="6" w:space="0" w:color="000000"/>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907" w:type="dxa"/>
            <w:tcBorders>
              <w:top w:val="single" w:sz="6" w:space="0" w:color="000000"/>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908" w:type="dxa"/>
            <w:tcBorders>
              <w:top w:val="single" w:sz="6" w:space="0" w:color="000000"/>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r>
      <w:tr w:rsidR="00965D85" w:rsidRPr="00E22AD9" w:rsidTr="008B46DF">
        <w:tc>
          <w:tcPr>
            <w:tcW w:w="2665" w:type="dxa"/>
            <w:tcBorders>
              <w:top w:val="nil"/>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Inventories</w:t>
            </w:r>
          </w:p>
        </w:tc>
        <w:tc>
          <w:tcPr>
            <w:tcW w:w="624"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center"/>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 xml:space="preserve"> </w:t>
            </w:r>
          </w:p>
        </w:tc>
        <w:tc>
          <w:tcPr>
            <w:tcW w:w="907"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147.8</w:t>
            </w:r>
          </w:p>
        </w:tc>
        <w:tc>
          <w:tcPr>
            <w:tcW w:w="907"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147.2</w:t>
            </w:r>
          </w:p>
        </w:tc>
        <w:tc>
          <w:tcPr>
            <w:tcW w:w="907"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150.7</w:t>
            </w:r>
          </w:p>
        </w:tc>
        <w:tc>
          <w:tcPr>
            <w:tcW w:w="907"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155.2</w:t>
            </w:r>
          </w:p>
        </w:tc>
        <w:tc>
          <w:tcPr>
            <w:tcW w:w="908"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159.6</w:t>
            </w:r>
          </w:p>
        </w:tc>
      </w:tr>
      <w:tr w:rsidR="00965D85" w:rsidRPr="00E22AD9" w:rsidTr="008B46DF">
        <w:tc>
          <w:tcPr>
            <w:tcW w:w="2665" w:type="dxa"/>
            <w:tcBorders>
              <w:top w:val="nil"/>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Non</w:t>
            </w:r>
            <w:r>
              <w:rPr>
                <w:rFonts w:ascii="Calibri" w:eastAsiaTheme="minorEastAsia" w:hAnsi="Calibri" w:cs="Calibri"/>
                <w:color w:val="000000"/>
                <w:sz w:val="19"/>
                <w:lang w:eastAsia="en-AU"/>
              </w:rPr>
              <w:noBreakHyphen/>
            </w:r>
            <w:r w:rsidRPr="00E22AD9">
              <w:rPr>
                <w:rFonts w:ascii="Calibri" w:eastAsiaTheme="minorEastAsia" w:hAnsi="Calibri" w:cs="Calibri"/>
                <w:color w:val="000000"/>
                <w:sz w:val="19"/>
                <w:lang w:eastAsia="en-AU"/>
              </w:rPr>
              <w:t>financial assets held for sale</w:t>
            </w:r>
          </w:p>
        </w:tc>
        <w:tc>
          <w:tcPr>
            <w:tcW w:w="624"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center"/>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 xml:space="preserve"> </w:t>
            </w:r>
          </w:p>
        </w:tc>
        <w:tc>
          <w:tcPr>
            <w:tcW w:w="907"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175.3</w:t>
            </w:r>
          </w:p>
        </w:tc>
        <w:tc>
          <w:tcPr>
            <w:tcW w:w="907"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151.9</w:t>
            </w:r>
          </w:p>
        </w:tc>
        <w:tc>
          <w:tcPr>
            <w:tcW w:w="907"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154.7</w:t>
            </w:r>
          </w:p>
        </w:tc>
        <w:tc>
          <w:tcPr>
            <w:tcW w:w="907"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149.9</w:t>
            </w:r>
          </w:p>
        </w:tc>
        <w:tc>
          <w:tcPr>
            <w:tcW w:w="908"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152.3</w:t>
            </w:r>
          </w:p>
        </w:tc>
      </w:tr>
      <w:tr w:rsidR="00965D85" w:rsidRPr="00E22AD9" w:rsidTr="008B46DF">
        <w:tc>
          <w:tcPr>
            <w:tcW w:w="2665" w:type="dxa"/>
            <w:tcBorders>
              <w:top w:val="nil"/>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Land, buildings, infrastructure, plant and equipment</w:t>
            </w:r>
          </w:p>
        </w:tc>
        <w:tc>
          <w:tcPr>
            <w:tcW w:w="624"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center"/>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17,18</w:t>
            </w:r>
          </w:p>
        </w:tc>
        <w:tc>
          <w:tcPr>
            <w:tcW w:w="907"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109 733.4</w:t>
            </w:r>
          </w:p>
        </w:tc>
        <w:tc>
          <w:tcPr>
            <w:tcW w:w="907"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109 733.9</w:t>
            </w:r>
          </w:p>
        </w:tc>
        <w:tc>
          <w:tcPr>
            <w:tcW w:w="907"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111 933.6</w:t>
            </w:r>
          </w:p>
        </w:tc>
        <w:tc>
          <w:tcPr>
            <w:tcW w:w="907"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122 099.0</w:t>
            </w:r>
          </w:p>
        </w:tc>
        <w:tc>
          <w:tcPr>
            <w:tcW w:w="908"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122 027.1</w:t>
            </w:r>
          </w:p>
        </w:tc>
      </w:tr>
      <w:tr w:rsidR="00965D85" w:rsidRPr="00E22AD9" w:rsidTr="008B46DF">
        <w:tc>
          <w:tcPr>
            <w:tcW w:w="2665"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Other non</w:t>
            </w:r>
            <w:r>
              <w:rPr>
                <w:rFonts w:ascii="Calibri" w:eastAsiaTheme="minorEastAsia" w:hAnsi="Calibri" w:cs="Calibri"/>
                <w:color w:val="000000"/>
                <w:sz w:val="19"/>
                <w:lang w:eastAsia="en-AU"/>
              </w:rPr>
              <w:noBreakHyphen/>
            </w:r>
            <w:r w:rsidRPr="00E22AD9">
              <w:rPr>
                <w:rFonts w:ascii="Calibri" w:eastAsiaTheme="minorEastAsia" w:hAnsi="Calibri" w:cs="Calibri"/>
                <w:color w:val="000000"/>
                <w:sz w:val="19"/>
                <w:lang w:eastAsia="en-AU"/>
              </w:rPr>
              <w:t>financial assets</w:t>
            </w:r>
          </w:p>
        </w:tc>
        <w:tc>
          <w:tcPr>
            <w:tcW w:w="624"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center"/>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19</w:t>
            </w:r>
          </w:p>
        </w:tc>
        <w:tc>
          <w:tcPr>
            <w:tcW w:w="907"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977.2</w:t>
            </w:r>
          </w:p>
        </w:tc>
        <w:tc>
          <w:tcPr>
            <w:tcW w:w="907"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979.8</w:t>
            </w:r>
          </w:p>
        </w:tc>
        <w:tc>
          <w:tcPr>
            <w:tcW w:w="907"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932.7</w:t>
            </w:r>
          </w:p>
        </w:tc>
        <w:tc>
          <w:tcPr>
            <w:tcW w:w="907"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757.4</w:t>
            </w:r>
          </w:p>
        </w:tc>
        <w:tc>
          <w:tcPr>
            <w:tcW w:w="908"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693.3</w:t>
            </w:r>
          </w:p>
        </w:tc>
      </w:tr>
      <w:tr w:rsidR="00965D85" w:rsidRPr="00E22AD9" w:rsidTr="008B46DF">
        <w:tc>
          <w:tcPr>
            <w:tcW w:w="2665" w:type="dxa"/>
            <w:tcBorders>
              <w:top w:val="single" w:sz="6" w:space="0" w:color="000000"/>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b/>
                <w:bCs/>
                <w:color w:val="000000"/>
                <w:sz w:val="19"/>
                <w:lang w:eastAsia="en-AU"/>
              </w:rPr>
            </w:pPr>
            <w:r w:rsidRPr="00E22AD9">
              <w:rPr>
                <w:rFonts w:ascii="Calibri" w:eastAsiaTheme="minorEastAsia" w:hAnsi="Calibri" w:cs="Calibri"/>
                <w:b/>
                <w:bCs/>
                <w:color w:val="000000"/>
                <w:sz w:val="19"/>
                <w:lang w:eastAsia="en-AU"/>
              </w:rPr>
              <w:t>Total non</w:t>
            </w:r>
            <w:r>
              <w:rPr>
                <w:rFonts w:ascii="Calibri" w:eastAsiaTheme="minorEastAsia" w:hAnsi="Calibri" w:cs="Calibri"/>
                <w:b/>
                <w:bCs/>
                <w:color w:val="000000"/>
                <w:sz w:val="19"/>
                <w:lang w:eastAsia="en-AU"/>
              </w:rPr>
              <w:noBreakHyphen/>
            </w:r>
            <w:r w:rsidRPr="00E22AD9">
              <w:rPr>
                <w:rFonts w:ascii="Calibri" w:eastAsiaTheme="minorEastAsia" w:hAnsi="Calibri" w:cs="Calibri"/>
                <w:b/>
                <w:bCs/>
                <w:color w:val="000000"/>
                <w:sz w:val="19"/>
                <w:lang w:eastAsia="en-AU"/>
              </w:rPr>
              <w:t>financial assets</w:t>
            </w:r>
          </w:p>
        </w:tc>
        <w:tc>
          <w:tcPr>
            <w:tcW w:w="624" w:type="dxa"/>
            <w:tcBorders>
              <w:top w:val="single" w:sz="6" w:space="0" w:color="000000"/>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center"/>
              <w:rPr>
                <w:rFonts w:ascii="Calibri" w:eastAsiaTheme="minorEastAsia" w:hAnsi="Calibri" w:cs="Calibri"/>
                <w:b/>
                <w:bCs/>
                <w:color w:val="000000"/>
                <w:sz w:val="19"/>
                <w:lang w:eastAsia="en-AU"/>
              </w:rPr>
            </w:pPr>
            <w:r w:rsidRPr="00E22AD9">
              <w:rPr>
                <w:rFonts w:ascii="Calibri" w:eastAsiaTheme="minorEastAsia" w:hAnsi="Calibri" w:cs="Calibri"/>
                <w:b/>
                <w:bCs/>
                <w:color w:val="000000"/>
                <w:sz w:val="19"/>
                <w:lang w:eastAsia="en-AU"/>
              </w:rPr>
              <w:t xml:space="preserve"> </w:t>
            </w:r>
          </w:p>
        </w:tc>
        <w:tc>
          <w:tcPr>
            <w:tcW w:w="907" w:type="dxa"/>
            <w:tcBorders>
              <w:top w:val="single" w:sz="6" w:space="0" w:color="000000"/>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19"/>
                <w:lang w:eastAsia="en-AU"/>
              </w:rPr>
            </w:pPr>
            <w:r w:rsidRPr="00E22AD9">
              <w:rPr>
                <w:rFonts w:ascii="Calibri" w:eastAsiaTheme="minorEastAsia" w:hAnsi="Calibri" w:cs="Calibri"/>
                <w:b/>
                <w:bCs/>
                <w:color w:val="000000"/>
                <w:sz w:val="19"/>
                <w:lang w:eastAsia="en-AU"/>
              </w:rPr>
              <w:t>111 033.7</w:t>
            </w:r>
          </w:p>
        </w:tc>
        <w:tc>
          <w:tcPr>
            <w:tcW w:w="907" w:type="dxa"/>
            <w:tcBorders>
              <w:top w:val="single" w:sz="6" w:space="0" w:color="000000"/>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19"/>
                <w:lang w:eastAsia="en-AU"/>
              </w:rPr>
            </w:pPr>
            <w:r w:rsidRPr="00E22AD9">
              <w:rPr>
                <w:rFonts w:ascii="Calibri" w:eastAsiaTheme="minorEastAsia" w:hAnsi="Calibri" w:cs="Calibri"/>
                <w:b/>
                <w:bCs/>
                <w:color w:val="000000"/>
                <w:sz w:val="19"/>
                <w:lang w:eastAsia="en-AU"/>
              </w:rPr>
              <w:t>111 012.8</w:t>
            </w:r>
          </w:p>
        </w:tc>
        <w:tc>
          <w:tcPr>
            <w:tcW w:w="907" w:type="dxa"/>
            <w:tcBorders>
              <w:top w:val="single" w:sz="6" w:space="0" w:color="000000"/>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19"/>
                <w:lang w:eastAsia="en-AU"/>
              </w:rPr>
            </w:pPr>
            <w:r w:rsidRPr="00E22AD9">
              <w:rPr>
                <w:rFonts w:ascii="Calibri" w:eastAsiaTheme="minorEastAsia" w:hAnsi="Calibri" w:cs="Calibri"/>
                <w:b/>
                <w:bCs/>
                <w:color w:val="000000"/>
                <w:sz w:val="19"/>
                <w:lang w:eastAsia="en-AU"/>
              </w:rPr>
              <w:t>113 171.7</w:t>
            </w:r>
          </w:p>
        </w:tc>
        <w:tc>
          <w:tcPr>
            <w:tcW w:w="907" w:type="dxa"/>
            <w:tcBorders>
              <w:top w:val="single" w:sz="6" w:space="0" w:color="000000"/>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19"/>
                <w:lang w:eastAsia="en-AU"/>
              </w:rPr>
            </w:pPr>
            <w:r w:rsidRPr="00E22AD9">
              <w:rPr>
                <w:rFonts w:ascii="Calibri" w:eastAsiaTheme="minorEastAsia" w:hAnsi="Calibri" w:cs="Calibri"/>
                <w:b/>
                <w:bCs/>
                <w:color w:val="000000"/>
                <w:sz w:val="19"/>
                <w:lang w:eastAsia="en-AU"/>
              </w:rPr>
              <w:t>123 161.5</w:t>
            </w:r>
          </w:p>
        </w:tc>
        <w:tc>
          <w:tcPr>
            <w:tcW w:w="908" w:type="dxa"/>
            <w:tcBorders>
              <w:top w:val="single" w:sz="6" w:space="0" w:color="000000"/>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19"/>
                <w:lang w:eastAsia="en-AU"/>
              </w:rPr>
            </w:pPr>
            <w:r w:rsidRPr="00E22AD9">
              <w:rPr>
                <w:rFonts w:ascii="Calibri" w:eastAsiaTheme="minorEastAsia" w:hAnsi="Calibri" w:cs="Calibri"/>
                <w:b/>
                <w:bCs/>
                <w:color w:val="000000"/>
                <w:sz w:val="19"/>
                <w:lang w:eastAsia="en-AU"/>
              </w:rPr>
              <w:t>123 032.4</w:t>
            </w:r>
          </w:p>
        </w:tc>
      </w:tr>
      <w:tr w:rsidR="00965D85" w:rsidRPr="00E22AD9" w:rsidTr="008B46DF">
        <w:tc>
          <w:tcPr>
            <w:tcW w:w="2665" w:type="dxa"/>
            <w:tcBorders>
              <w:top w:val="single" w:sz="6" w:space="0" w:color="000000"/>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b/>
                <w:bCs/>
                <w:color w:val="000000"/>
                <w:sz w:val="19"/>
                <w:lang w:eastAsia="en-AU"/>
              </w:rPr>
            </w:pPr>
            <w:r w:rsidRPr="00E22AD9">
              <w:rPr>
                <w:rFonts w:ascii="Calibri" w:eastAsiaTheme="minorEastAsia" w:hAnsi="Calibri" w:cs="Calibri"/>
                <w:b/>
                <w:bCs/>
                <w:color w:val="000000"/>
                <w:sz w:val="19"/>
                <w:lang w:eastAsia="en-AU"/>
              </w:rPr>
              <w:t>Total assets</w:t>
            </w:r>
          </w:p>
        </w:tc>
        <w:tc>
          <w:tcPr>
            <w:tcW w:w="624" w:type="dxa"/>
            <w:tcBorders>
              <w:top w:val="single" w:sz="6" w:space="0" w:color="000000"/>
              <w:left w:val="nil"/>
              <w:right w:val="nil"/>
            </w:tcBorders>
            <w:shd w:val="clear" w:color="auto" w:fill="FFFFFF"/>
          </w:tcPr>
          <w:p w:rsidR="00965D85" w:rsidRPr="00E22AD9" w:rsidRDefault="00965D85" w:rsidP="008B46DF">
            <w:pPr>
              <w:autoSpaceDE w:val="0"/>
              <w:autoSpaceDN w:val="0"/>
              <w:adjustRightInd w:val="0"/>
              <w:spacing w:after="0"/>
              <w:jc w:val="center"/>
              <w:rPr>
                <w:rFonts w:ascii="Calibri" w:eastAsiaTheme="minorEastAsia" w:hAnsi="Calibri" w:cs="Calibri"/>
                <w:b/>
                <w:bCs/>
                <w:color w:val="000000"/>
                <w:sz w:val="19"/>
                <w:lang w:eastAsia="en-AU"/>
              </w:rPr>
            </w:pPr>
            <w:r w:rsidRPr="00E22AD9">
              <w:rPr>
                <w:rFonts w:ascii="Calibri" w:eastAsiaTheme="minorEastAsia" w:hAnsi="Calibri" w:cs="Calibri"/>
                <w:b/>
                <w:bCs/>
                <w:color w:val="000000"/>
                <w:sz w:val="19"/>
                <w:lang w:eastAsia="en-AU"/>
              </w:rPr>
              <w:t>20(d)</w:t>
            </w:r>
          </w:p>
        </w:tc>
        <w:tc>
          <w:tcPr>
            <w:tcW w:w="907" w:type="dxa"/>
            <w:tcBorders>
              <w:top w:val="single" w:sz="6" w:space="0" w:color="000000"/>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19"/>
                <w:lang w:eastAsia="en-AU"/>
              </w:rPr>
            </w:pPr>
            <w:r w:rsidRPr="00E22AD9">
              <w:rPr>
                <w:rFonts w:ascii="Calibri" w:eastAsiaTheme="minorEastAsia" w:hAnsi="Calibri" w:cs="Calibri"/>
                <w:b/>
                <w:bCs/>
                <w:color w:val="000000"/>
                <w:sz w:val="19"/>
                <w:lang w:eastAsia="en-AU"/>
              </w:rPr>
              <w:t>211 430.9</w:t>
            </w:r>
          </w:p>
        </w:tc>
        <w:tc>
          <w:tcPr>
            <w:tcW w:w="907" w:type="dxa"/>
            <w:tcBorders>
              <w:top w:val="single" w:sz="6" w:space="0" w:color="000000"/>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19"/>
                <w:lang w:eastAsia="en-AU"/>
              </w:rPr>
            </w:pPr>
            <w:r w:rsidRPr="00E22AD9">
              <w:rPr>
                <w:rFonts w:ascii="Calibri" w:eastAsiaTheme="minorEastAsia" w:hAnsi="Calibri" w:cs="Calibri"/>
                <w:b/>
                <w:bCs/>
                <w:color w:val="000000"/>
                <w:sz w:val="19"/>
                <w:lang w:eastAsia="en-AU"/>
              </w:rPr>
              <w:t>209 355.3</w:t>
            </w:r>
          </w:p>
        </w:tc>
        <w:tc>
          <w:tcPr>
            <w:tcW w:w="907" w:type="dxa"/>
            <w:tcBorders>
              <w:top w:val="single" w:sz="6" w:space="0" w:color="000000"/>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19"/>
                <w:lang w:eastAsia="en-AU"/>
              </w:rPr>
            </w:pPr>
            <w:r w:rsidRPr="00E22AD9">
              <w:rPr>
                <w:rFonts w:ascii="Calibri" w:eastAsiaTheme="minorEastAsia" w:hAnsi="Calibri" w:cs="Calibri"/>
                <w:b/>
                <w:bCs/>
                <w:color w:val="000000"/>
                <w:sz w:val="19"/>
                <w:lang w:eastAsia="en-AU"/>
              </w:rPr>
              <w:t>213 333.1</w:t>
            </w:r>
          </w:p>
        </w:tc>
        <w:tc>
          <w:tcPr>
            <w:tcW w:w="907" w:type="dxa"/>
            <w:tcBorders>
              <w:top w:val="single" w:sz="6" w:space="0" w:color="000000"/>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19"/>
                <w:lang w:eastAsia="en-AU"/>
              </w:rPr>
            </w:pPr>
            <w:r w:rsidRPr="00E22AD9">
              <w:rPr>
                <w:rFonts w:ascii="Calibri" w:eastAsiaTheme="minorEastAsia" w:hAnsi="Calibri" w:cs="Calibri"/>
                <w:b/>
                <w:bCs/>
                <w:color w:val="000000"/>
                <w:sz w:val="19"/>
                <w:lang w:eastAsia="en-AU"/>
              </w:rPr>
              <w:t>225 166.6</w:t>
            </w:r>
          </w:p>
        </w:tc>
        <w:tc>
          <w:tcPr>
            <w:tcW w:w="908" w:type="dxa"/>
            <w:tcBorders>
              <w:top w:val="single" w:sz="6" w:space="0" w:color="000000"/>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19"/>
                <w:lang w:eastAsia="en-AU"/>
              </w:rPr>
            </w:pPr>
            <w:r w:rsidRPr="00E22AD9">
              <w:rPr>
                <w:rFonts w:ascii="Calibri" w:eastAsiaTheme="minorEastAsia" w:hAnsi="Calibri" w:cs="Calibri"/>
                <w:b/>
                <w:bCs/>
                <w:color w:val="000000"/>
                <w:sz w:val="19"/>
                <w:lang w:eastAsia="en-AU"/>
              </w:rPr>
              <w:t>227 997.6</w:t>
            </w:r>
          </w:p>
        </w:tc>
      </w:tr>
      <w:tr w:rsidR="00965D85" w:rsidRPr="00E22AD9" w:rsidTr="008B46DF">
        <w:tc>
          <w:tcPr>
            <w:tcW w:w="2665" w:type="dxa"/>
            <w:tcBorders>
              <w:top w:val="nil"/>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b/>
                <w:bCs/>
                <w:color w:val="000000"/>
                <w:sz w:val="19"/>
                <w:lang w:eastAsia="en-AU"/>
              </w:rPr>
            </w:pPr>
            <w:r w:rsidRPr="00E22AD9">
              <w:rPr>
                <w:rFonts w:ascii="Calibri" w:eastAsiaTheme="minorEastAsia" w:hAnsi="Calibri" w:cs="Calibri"/>
                <w:b/>
                <w:bCs/>
                <w:color w:val="000000"/>
                <w:sz w:val="19"/>
                <w:lang w:eastAsia="en-AU"/>
              </w:rPr>
              <w:t>Liabilities</w:t>
            </w:r>
          </w:p>
        </w:tc>
        <w:tc>
          <w:tcPr>
            <w:tcW w:w="624"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center"/>
              <w:rPr>
                <w:rFonts w:ascii="Calibri" w:eastAsiaTheme="minorEastAsia" w:hAnsi="Calibri" w:cs="Calibri"/>
                <w:b/>
                <w:bCs/>
                <w:color w:val="000000"/>
                <w:sz w:val="19"/>
                <w:lang w:eastAsia="en-AU"/>
              </w:rPr>
            </w:pPr>
            <w:r w:rsidRPr="00E22AD9">
              <w:rPr>
                <w:rFonts w:ascii="Calibri" w:eastAsiaTheme="minorEastAsia" w:hAnsi="Calibri" w:cs="Calibri"/>
                <w:b/>
                <w:bCs/>
                <w:color w:val="000000"/>
                <w:sz w:val="19"/>
                <w:lang w:eastAsia="en-AU"/>
              </w:rPr>
              <w:t xml:space="preserve"> </w:t>
            </w:r>
          </w:p>
        </w:tc>
        <w:tc>
          <w:tcPr>
            <w:tcW w:w="907"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907"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907"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907"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908"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r>
      <w:tr w:rsidR="00965D85" w:rsidRPr="00E22AD9" w:rsidTr="008B46DF">
        <w:tc>
          <w:tcPr>
            <w:tcW w:w="2665" w:type="dxa"/>
            <w:tcBorders>
              <w:top w:val="nil"/>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Deposits held and advances received</w:t>
            </w:r>
          </w:p>
        </w:tc>
        <w:tc>
          <w:tcPr>
            <w:tcW w:w="624"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center"/>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19</w:t>
            </w:r>
          </w:p>
        </w:tc>
        <w:tc>
          <w:tcPr>
            <w:tcW w:w="907"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517.7</w:t>
            </w:r>
          </w:p>
        </w:tc>
        <w:tc>
          <w:tcPr>
            <w:tcW w:w="907"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517.7</w:t>
            </w:r>
          </w:p>
        </w:tc>
        <w:tc>
          <w:tcPr>
            <w:tcW w:w="907"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517.6</w:t>
            </w:r>
          </w:p>
        </w:tc>
        <w:tc>
          <w:tcPr>
            <w:tcW w:w="907"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517.5</w:t>
            </w:r>
          </w:p>
        </w:tc>
        <w:tc>
          <w:tcPr>
            <w:tcW w:w="908"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517.4</w:t>
            </w:r>
          </w:p>
        </w:tc>
      </w:tr>
      <w:tr w:rsidR="00965D85" w:rsidRPr="00E22AD9" w:rsidTr="008B46DF">
        <w:tc>
          <w:tcPr>
            <w:tcW w:w="2665" w:type="dxa"/>
            <w:tcBorders>
              <w:top w:val="nil"/>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Payables</w:t>
            </w:r>
          </w:p>
        </w:tc>
        <w:tc>
          <w:tcPr>
            <w:tcW w:w="624"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center"/>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21</w:t>
            </w:r>
          </w:p>
        </w:tc>
        <w:tc>
          <w:tcPr>
            <w:tcW w:w="907"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5 434.0</w:t>
            </w:r>
          </w:p>
        </w:tc>
        <w:tc>
          <w:tcPr>
            <w:tcW w:w="907"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5 157.2</w:t>
            </w:r>
          </w:p>
        </w:tc>
        <w:tc>
          <w:tcPr>
            <w:tcW w:w="907"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5 025.7</w:t>
            </w:r>
          </w:p>
        </w:tc>
        <w:tc>
          <w:tcPr>
            <w:tcW w:w="907"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4 912.8</w:t>
            </w:r>
          </w:p>
        </w:tc>
        <w:tc>
          <w:tcPr>
            <w:tcW w:w="908"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4 697.3</w:t>
            </w:r>
          </w:p>
        </w:tc>
      </w:tr>
      <w:tr w:rsidR="00965D85" w:rsidRPr="00E22AD9" w:rsidTr="008B46DF">
        <w:tc>
          <w:tcPr>
            <w:tcW w:w="2665" w:type="dxa"/>
            <w:tcBorders>
              <w:top w:val="nil"/>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Borrowings</w:t>
            </w:r>
          </w:p>
        </w:tc>
        <w:tc>
          <w:tcPr>
            <w:tcW w:w="624"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center"/>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22</w:t>
            </w:r>
          </w:p>
        </w:tc>
        <w:tc>
          <w:tcPr>
            <w:tcW w:w="907"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29 370.5</w:t>
            </w:r>
          </w:p>
        </w:tc>
        <w:tc>
          <w:tcPr>
            <w:tcW w:w="907"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28 864.5</w:t>
            </w:r>
          </w:p>
        </w:tc>
        <w:tc>
          <w:tcPr>
            <w:tcW w:w="907"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31 070.2</w:t>
            </w:r>
          </w:p>
        </w:tc>
        <w:tc>
          <w:tcPr>
            <w:tcW w:w="907"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31 568.5</w:t>
            </w:r>
          </w:p>
        </w:tc>
        <w:tc>
          <w:tcPr>
            <w:tcW w:w="908"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32 680.0</w:t>
            </w:r>
          </w:p>
        </w:tc>
      </w:tr>
      <w:tr w:rsidR="00965D85" w:rsidRPr="00E22AD9" w:rsidTr="008B46DF">
        <w:tc>
          <w:tcPr>
            <w:tcW w:w="2665" w:type="dxa"/>
            <w:tcBorders>
              <w:top w:val="nil"/>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Employee benefits</w:t>
            </w:r>
          </w:p>
        </w:tc>
        <w:tc>
          <w:tcPr>
            <w:tcW w:w="624"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center"/>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23</w:t>
            </w:r>
          </w:p>
        </w:tc>
        <w:tc>
          <w:tcPr>
            <w:tcW w:w="907"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5 852.4</w:t>
            </w:r>
          </w:p>
        </w:tc>
        <w:tc>
          <w:tcPr>
            <w:tcW w:w="907"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5 856.4</w:t>
            </w:r>
          </w:p>
        </w:tc>
        <w:tc>
          <w:tcPr>
            <w:tcW w:w="907"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6 108.9</w:t>
            </w:r>
          </w:p>
        </w:tc>
        <w:tc>
          <w:tcPr>
            <w:tcW w:w="907"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6 365.8</w:t>
            </w:r>
          </w:p>
        </w:tc>
        <w:tc>
          <w:tcPr>
            <w:tcW w:w="908"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6 618.3</w:t>
            </w:r>
          </w:p>
        </w:tc>
      </w:tr>
      <w:tr w:rsidR="00965D85" w:rsidRPr="00E22AD9" w:rsidTr="008B46DF">
        <w:tc>
          <w:tcPr>
            <w:tcW w:w="2665" w:type="dxa"/>
            <w:tcBorders>
              <w:top w:val="nil"/>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Superannuation</w:t>
            </w:r>
          </w:p>
        </w:tc>
        <w:tc>
          <w:tcPr>
            <w:tcW w:w="624"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center"/>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7(d)</w:t>
            </w:r>
          </w:p>
        </w:tc>
        <w:tc>
          <w:tcPr>
            <w:tcW w:w="907"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25 003.2</w:t>
            </w:r>
          </w:p>
        </w:tc>
        <w:tc>
          <w:tcPr>
            <w:tcW w:w="907"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27 482.6</w:t>
            </w:r>
          </w:p>
        </w:tc>
        <w:tc>
          <w:tcPr>
            <w:tcW w:w="907"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26 708.0</w:t>
            </w:r>
          </w:p>
        </w:tc>
        <w:tc>
          <w:tcPr>
            <w:tcW w:w="907"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25 903.9</w:t>
            </w:r>
          </w:p>
        </w:tc>
        <w:tc>
          <w:tcPr>
            <w:tcW w:w="908"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25 069.3</w:t>
            </w:r>
          </w:p>
        </w:tc>
      </w:tr>
      <w:tr w:rsidR="00965D85" w:rsidRPr="00E22AD9" w:rsidTr="008B46DF">
        <w:tc>
          <w:tcPr>
            <w:tcW w:w="2665"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Other provisions</w:t>
            </w:r>
          </w:p>
        </w:tc>
        <w:tc>
          <w:tcPr>
            <w:tcW w:w="624"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center"/>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 xml:space="preserve"> </w:t>
            </w:r>
          </w:p>
        </w:tc>
        <w:tc>
          <w:tcPr>
            <w:tcW w:w="907"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825.6</w:t>
            </w:r>
          </w:p>
        </w:tc>
        <w:tc>
          <w:tcPr>
            <w:tcW w:w="907"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825.5</w:t>
            </w:r>
          </w:p>
        </w:tc>
        <w:tc>
          <w:tcPr>
            <w:tcW w:w="907"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847.4</w:t>
            </w:r>
          </w:p>
        </w:tc>
        <w:tc>
          <w:tcPr>
            <w:tcW w:w="907"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827.0</w:t>
            </w:r>
          </w:p>
        </w:tc>
        <w:tc>
          <w:tcPr>
            <w:tcW w:w="908"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855.8</w:t>
            </w:r>
          </w:p>
        </w:tc>
      </w:tr>
      <w:tr w:rsidR="00965D85" w:rsidRPr="00E22AD9" w:rsidTr="008B46DF">
        <w:tc>
          <w:tcPr>
            <w:tcW w:w="2665" w:type="dxa"/>
            <w:tcBorders>
              <w:top w:val="single" w:sz="6" w:space="0" w:color="000000"/>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b/>
                <w:bCs/>
                <w:color w:val="000000"/>
                <w:sz w:val="19"/>
                <w:lang w:eastAsia="en-AU"/>
              </w:rPr>
            </w:pPr>
            <w:r w:rsidRPr="00E22AD9">
              <w:rPr>
                <w:rFonts w:ascii="Calibri" w:eastAsiaTheme="minorEastAsia" w:hAnsi="Calibri" w:cs="Calibri"/>
                <w:b/>
                <w:bCs/>
                <w:color w:val="000000"/>
                <w:sz w:val="19"/>
                <w:lang w:eastAsia="en-AU"/>
              </w:rPr>
              <w:t>Total liabilities</w:t>
            </w:r>
          </w:p>
        </w:tc>
        <w:tc>
          <w:tcPr>
            <w:tcW w:w="624" w:type="dxa"/>
            <w:tcBorders>
              <w:top w:val="single" w:sz="6" w:space="0" w:color="000000"/>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center"/>
              <w:rPr>
                <w:rFonts w:ascii="Calibri" w:eastAsiaTheme="minorEastAsia" w:hAnsi="Calibri" w:cs="Calibri"/>
                <w:b/>
                <w:bCs/>
                <w:color w:val="000000"/>
                <w:sz w:val="19"/>
                <w:lang w:eastAsia="en-AU"/>
              </w:rPr>
            </w:pPr>
            <w:r w:rsidRPr="00E22AD9">
              <w:rPr>
                <w:rFonts w:ascii="Calibri" w:eastAsiaTheme="minorEastAsia" w:hAnsi="Calibri" w:cs="Calibri"/>
                <w:b/>
                <w:bCs/>
                <w:color w:val="000000"/>
                <w:sz w:val="19"/>
                <w:lang w:eastAsia="en-AU"/>
              </w:rPr>
              <w:t xml:space="preserve"> </w:t>
            </w:r>
          </w:p>
        </w:tc>
        <w:tc>
          <w:tcPr>
            <w:tcW w:w="907" w:type="dxa"/>
            <w:tcBorders>
              <w:top w:val="single" w:sz="6" w:space="0" w:color="000000"/>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19"/>
                <w:lang w:eastAsia="en-AU"/>
              </w:rPr>
            </w:pPr>
            <w:r w:rsidRPr="00E22AD9">
              <w:rPr>
                <w:rFonts w:ascii="Calibri" w:eastAsiaTheme="minorEastAsia" w:hAnsi="Calibri" w:cs="Calibri"/>
                <w:b/>
                <w:bCs/>
                <w:color w:val="000000"/>
                <w:sz w:val="19"/>
                <w:lang w:eastAsia="en-AU"/>
              </w:rPr>
              <w:t>67 003.4</w:t>
            </w:r>
          </w:p>
        </w:tc>
        <w:tc>
          <w:tcPr>
            <w:tcW w:w="907" w:type="dxa"/>
            <w:tcBorders>
              <w:top w:val="single" w:sz="6" w:space="0" w:color="000000"/>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19"/>
                <w:lang w:eastAsia="en-AU"/>
              </w:rPr>
            </w:pPr>
            <w:r w:rsidRPr="00E22AD9">
              <w:rPr>
                <w:rFonts w:ascii="Calibri" w:eastAsiaTheme="minorEastAsia" w:hAnsi="Calibri" w:cs="Calibri"/>
                <w:b/>
                <w:bCs/>
                <w:color w:val="000000"/>
                <w:sz w:val="19"/>
                <w:lang w:eastAsia="en-AU"/>
              </w:rPr>
              <w:t>68 703.8</w:t>
            </w:r>
          </w:p>
        </w:tc>
        <w:tc>
          <w:tcPr>
            <w:tcW w:w="907" w:type="dxa"/>
            <w:tcBorders>
              <w:top w:val="single" w:sz="6" w:space="0" w:color="000000"/>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19"/>
                <w:lang w:eastAsia="en-AU"/>
              </w:rPr>
            </w:pPr>
            <w:r w:rsidRPr="00E22AD9">
              <w:rPr>
                <w:rFonts w:ascii="Calibri" w:eastAsiaTheme="minorEastAsia" w:hAnsi="Calibri" w:cs="Calibri"/>
                <w:b/>
                <w:bCs/>
                <w:color w:val="000000"/>
                <w:sz w:val="19"/>
                <w:lang w:eastAsia="en-AU"/>
              </w:rPr>
              <w:t>70 277.8</w:t>
            </w:r>
          </w:p>
        </w:tc>
        <w:tc>
          <w:tcPr>
            <w:tcW w:w="907" w:type="dxa"/>
            <w:tcBorders>
              <w:top w:val="single" w:sz="6" w:space="0" w:color="000000"/>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19"/>
                <w:lang w:eastAsia="en-AU"/>
              </w:rPr>
            </w:pPr>
            <w:r w:rsidRPr="00E22AD9">
              <w:rPr>
                <w:rFonts w:ascii="Calibri" w:eastAsiaTheme="minorEastAsia" w:hAnsi="Calibri" w:cs="Calibri"/>
                <w:b/>
                <w:bCs/>
                <w:color w:val="000000"/>
                <w:sz w:val="19"/>
                <w:lang w:eastAsia="en-AU"/>
              </w:rPr>
              <w:t>70 095.5</w:t>
            </w:r>
          </w:p>
        </w:tc>
        <w:tc>
          <w:tcPr>
            <w:tcW w:w="908" w:type="dxa"/>
            <w:tcBorders>
              <w:top w:val="single" w:sz="6" w:space="0" w:color="000000"/>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19"/>
                <w:lang w:eastAsia="en-AU"/>
              </w:rPr>
            </w:pPr>
            <w:r w:rsidRPr="00E22AD9">
              <w:rPr>
                <w:rFonts w:ascii="Calibri" w:eastAsiaTheme="minorEastAsia" w:hAnsi="Calibri" w:cs="Calibri"/>
                <w:b/>
                <w:bCs/>
                <w:color w:val="000000"/>
                <w:sz w:val="19"/>
                <w:lang w:eastAsia="en-AU"/>
              </w:rPr>
              <w:t>70 438.1</w:t>
            </w:r>
          </w:p>
        </w:tc>
      </w:tr>
      <w:tr w:rsidR="00965D85" w:rsidRPr="00E22AD9" w:rsidTr="008B46DF">
        <w:tc>
          <w:tcPr>
            <w:tcW w:w="2665" w:type="dxa"/>
            <w:tcBorders>
              <w:top w:val="single" w:sz="6" w:space="0" w:color="000000"/>
              <w:left w:val="nil"/>
              <w:bottom w:val="single" w:sz="12" w:space="0" w:color="000000"/>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b/>
                <w:bCs/>
                <w:color w:val="000000"/>
                <w:sz w:val="19"/>
                <w:lang w:eastAsia="en-AU"/>
              </w:rPr>
            </w:pPr>
            <w:r w:rsidRPr="00E22AD9">
              <w:rPr>
                <w:rFonts w:ascii="Calibri" w:eastAsiaTheme="minorEastAsia" w:hAnsi="Calibri" w:cs="Calibri"/>
                <w:b/>
                <w:bCs/>
                <w:color w:val="000000"/>
                <w:sz w:val="19"/>
                <w:lang w:eastAsia="en-AU"/>
              </w:rPr>
              <w:t>Net assets</w:t>
            </w:r>
          </w:p>
        </w:tc>
        <w:tc>
          <w:tcPr>
            <w:tcW w:w="624" w:type="dxa"/>
            <w:tcBorders>
              <w:top w:val="single" w:sz="6" w:space="0" w:color="000000"/>
              <w:left w:val="nil"/>
              <w:bottom w:val="single" w:sz="12" w:space="0" w:color="000000"/>
              <w:right w:val="nil"/>
            </w:tcBorders>
            <w:shd w:val="clear" w:color="auto" w:fill="FFFFFF"/>
          </w:tcPr>
          <w:p w:rsidR="00965D85" w:rsidRPr="00E22AD9" w:rsidRDefault="00965D85" w:rsidP="008B46DF">
            <w:pPr>
              <w:autoSpaceDE w:val="0"/>
              <w:autoSpaceDN w:val="0"/>
              <w:adjustRightInd w:val="0"/>
              <w:spacing w:after="0"/>
              <w:jc w:val="center"/>
              <w:rPr>
                <w:rFonts w:ascii="Calibri" w:eastAsiaTheme="minorEastAsia" w:hAnsi="Calibri" w:cs="Calibri"/>
                <w:b/>
                <w:bCs/>
                <w:color w:val="000000"/>
                <w:sz w:val="19"/>
                <w:lang w:eastAsia="en-AU"/>
              </w:rPr>
            </w:pPr>
            <w:r w:rsidRPr="00E22AD9">
              <w:rPr>
                <w:rFonts w:ascii="Calibri" w:eastAsiaTheme="minorEastAsia" w:hAnsi="Calibri" w:cs="Calibri"/>
                <w:b/>
                <w:bCs/>
                <w:color w:val="000000"/>
                <w:sz w:val="19"/>
                <w:lang w:eastAsia="en-AU"/>
              </w:rPr>
              <w:t xml:space="preserve"> </w:t>
            </w:r>
          </w:p>
        </w:tc>
        <w:tc>
          <w:tcPr>
            <w:tcW w:w="907" w:type="dxa"/>
            <w:tcBorders>
              <w:top w:val="single" w:sz="6" w:space="0" w:color="000000"/>
              <w:left w:val="nil"/>
              <w:bottom w:val="single" w:sz="12"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19"/>
                <w:lang w:eastAsia="en-AU"/>
              </w:rPr>
            </w:pPr>
            <w:r w:rsidRPr="00E22AD9">
              <w:rPr>
                <w:rFonts w:ascii="Calibri" w:eastAsiaTheme="minorEastAsia" w:hAnsi="Calibri" w:cs="Calibri"/>
                <w:b/>
                <w:bCs/>
                <w:color w:val="000000"/>
                <w:sz w:val="19"/>
                <w:lang w:eastAsia="en-AU"/>
              </w:rPr>
              <w:t>144 427.4</w:t>
            </w:r>
          </w:p>
        </w:tc>
        <w:tc>
          <w:tcPr>
            <w:tcW w:w="907" w:type="dxa"/>
            <w:tcBorders>
              <w:top w:val="single" w:sz="6" w:space="0" w:color="000000"/>
              <w:left w:val="nil"/>
              <w:bottom w:val="single" w:sz="12"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19"/>
                <w:lang w:eastAsia="en-AU"/>
              </w:rPr>
            </w:pPr>
            <w:r w:rsidRPr="00E22AD9">
              <w:rPr>
                <w:rFonts w:ascii="Calibri" w:eastAsiaTheme="minorEastAsia" w:hAnsi="Calibri" w:cs="Calibri"/>
                <w:b/>
                <w:bCs/>
                <w:color w:val="000000"/>
                <w:sz w:val="19"/>
                <w:lang w:eastAsia="en-AU"/>
              </w:rPr>
              <w:t>140 651.5</w:t>
            </w:r>
          </w:p>
        </w:tc>
        <w:tc>
          <w:tcPr>
            <w:tcW w:w="907" w:type="dxa"/>
            <w:tcBorders>
              <w:top w:val="single" w:sz="6" w:space="0" w:color="000000"/>
              <w:left w:val="nil"/>
              <w:bottom w:val="single" w:sz="12"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19"/>
                <w:lang w:eastAsia="en-AU"/>
              </w:rPr>
            </w:pPr>
            <w:r w:rsidRPr="00E22AD9">
              <w:rPr>
                <w:rFonts w:ascii="Calibri" w:eastAsiaTheme="minorEastAsia" w:hAnsi="Calibri" w:cs="Calibri"/>
                <w:b/>
                <w:bCs/>
                <w:color w:val="000000"/>
                <w:sz w:val="19"/>
                <w:lang w:eastAsia="en-AU"/>
              </w:rPr>
              <w:t>143 055.3</w:t>
            </w:r>
          </w:p>
        </w:tc>
        <w:tc>
          <w:tcPr>
            <w:tcW w:w="907" w:type="dxa"/>
            <w:tcBorders>
              <w:top w:val="single" w:sz="6" w:space="0" w:color="000000"/>
              <w:left w:val="nil"/>
              <w:bottom w:val="single" w:sz="12"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19"/>
                <w:lang w:eastAsia="en-AU"/>
              </w:rPr>
            </w:pPr>
            <w:r w:rsidRPr="00E22AD9">
              <w:rPr>
                <w:rFonts w:ascii="Calibri" w:eastAsiaTheme="minorEastAsia" w:hAnsi="Calibri" w:cs="Calibri"/>
                <w:b/>
                <w:bCs/>
                <w:color w:val="000000"/>
                <w:sz w:val="19"/>
                <w:lang w:eastAsia="en-AU"/>
              </w:rPr>
              <w:t>155 071.1</w:t>
            </w:r>
          </w:p>
        </w:tc>
        <w:tc>
          <w:tcPr>
            <w:tcW w:w="908" w:type="dxa"/>
            <w:tcBorders>
              <w:top w:val="single" w:sz="6" w:space="0" w:color="000000"/>
              <w:left w:val="nil"/>
              <w:bottom w:val="single" w:sz="12"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19"/>
                <w:lang w:eastAsia="en-AU"/>
              </w:rPr>
            </w:pPr>
            <w:r w:rsidRPr="00E22AD9">
              <w:rPr>
                <w:rFonts w:ascii="Calibri" w:eastAsiaTheme="minorEastAsia" w:hAnsi="Calibri" w:cs="Calibri"/>
                <w:b/>
                <w:bCs/>
                <w:color w:val="000000"/>
                <w:sz w:val="19"/>
                <w:lang w:eastAsia="en-AU"/>
              </w:rPr>
              <w:t>157 559.5</w:t>
            </w:r>
          </w:p>
        </w:tc>
      </w:tr>
      <w:tr w:rsidR="00965D85" w:rsidRPr="00E22AD9" w:rsidTr="008B46DF">
        <w:tc>
          <w:tcPr>
            <w:tcW w:w="2665" w:type="dxa"/>
            <w:tcBorders>
              <w:top w:val="single" w:sz="12" w:space="0" w:color="000000"/>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Accumulated surplus/(deficit)</w:t>
            </w:r>
          </w:p>
        </w:tc>
        <w:tc>
          <w:tcPr>
            <w:tcW w:w="624" w:type="dxa"/>
            <w:tcBorders>
              <w:top w:val="single" w:sz="12" w:space="0" w:color="000000"/>
              <w:left w:val="nil"/>
              <w:right w:val="nil"/>
            </w:tcBorders>
            <w:shd w:val="clear" w:color="auto" w:fill="FFFFFF"/>
          </w:tcPr>
          <w:p w:rsidR="00965D85" w:rsidRPr="00E22AD9" w:rsidRDefault="00965D85" w:rsidP="008B46DF">
            <w:pPr>
              <w:autoSpaceDE w:val="0"/>
              <w:autoSpaceDN w:val="0"/>
              <w:adjustRightInd w:val="0"/>
              <w:spacing w:after="0"/>
              <w:jc w:val="center"/>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 xml:space="preserve"> </w:t>
            </w:r>
          </w:p>
        </w:tc>
        <w:tc>
          <w:tcPr>
            <w:tcW w:w="907" w:type="dxa"/>
            <w:tcBorders>
              <w:top w:val="single" w:sz="12" w:space="0" w:color="000000"/>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53 112.0</w:t>
            </w:r>
          </w:p>
        </w:tc>
        <w:tc>
          <w:tcPr>
            <w:tcW w:w="907" w:type="dxa"/>
            <w:tcBorders>
              <w:top w:val="single" w:sz="12" w:space="0" w:color="000000"/>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49 581.1</w:t>
            </w:r>
          </w:p>
        </w:tc>
        <w:tc>
          <w:tcPr>
            <w:tcW w:w="907" w:type="dxa"/>
            <w:tcBorders>
              <w:top w:val="single" w:sz="12" w:space="0" w:color="000000"/>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51 720.8</w:t>
            </w:r>
          </w:p>
        </w:tc>
        <w:tc>
          <w:tcPr>
            <w:tcW w:w="907" w:type="dxa"/>
            <w:tcBorders>
              <w:top w:val="single" w:sz="12" w:space="0" w:color="000000"/>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54 169.1</w:t>
            </w:r>
          </w:p>
        </w:tc>
        <w:tc>
          <w:tcPr>
            <w:tcW w:w="908" w:type="dxa"/>
            <w:tcBorders>
              <w:top w:val="single" w:sz="12" w:space="0" w:color="000000"/>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56 289.4</w:t>
            </w:r>
          </w:p>
        </w:tc>
      </w:tr>
      <w:tr w:rsidR="00965D85" w:rsidRPr="00E22AD9" w:rsidTr="008B46DF">
        <w:tc>
          <w:tcPr>
            <w:tcW w:w="2665" w:type="dxa"/>
            <w:tcBorders>
              <w:top w:val="nil"/>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Reserves</w:t>
            </w:r>
          </w:p>
        </w:tc>
        <w:tc>
          <w:tcPr>
            <w:tcW w:w="624"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center"/>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24</w:t>
            </w:r>
          </w:p>
        </w:tc>
        <w:tc>
          <w:tcPr>
            <w:tcW w:w="907"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91 265.5</w:t>
            </w:r>
          </w:p>
        </w:tc>
        <w:tc>
          <w:tcPr>
            <w:tcW w:w="907"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91 020.4</w:t>
            </w:r>
          </w:p>
        </w:tc>
        <w:tc>
          <w:tcPr>
            <w:tcW w:w="907"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91 284.5</w:t>
            </w:r>
          </w:p>
        </w:tc>
        <w:tc>
          <w:tcPr>
            <w:tcW w:w="907"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100 851.9</w:t>
            </w:r>
          </w:p>
        </w:tc>
        <w:tc>
          <w:tcPr>
            <w:tcW w:w="908"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101 220.1</w:t>
            </w:r>
          </w:p>
        </w:tc>
      </w:tr>
      <w:tr w:rsidR="00965D85" w:rsidRPr="00E22AD9" w:rsidTr="008B46DF">
        <w:tc>
          <w:tcPr>
            <w:tcW w:w="2665"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Non</w:t>
            </w:r>
            <w:r>
              <w:rPr>
                <w:rFonts w:ascii="Calibri" w:eastAsiaTheme="minorEastAsia" w:hAnsi="Calibri" w:cs="Calibri"/>
                <w:color w:val="000000"/>
                <w:sz w:val="19"/>
                <w:lang w:eastAsia="en-AU"/>
              </w:rPr>
              <w:noBreakHyphen/>
            </w:r>
            <w:r w:rsidRPr="00E22AD9">
              <w:rPr>
                <w:rFonts w:ascii="Calibri" w:eastAsiaTheme="minorEastAsia" w:hAnsi="Calibri" w:cs="Calibri"/>
                <w:color w:val="000000"/>
                <w:sz w:val="19"/>
                <w:lang w:eastAsia="en-AU"/>
              </w:rPr>
              <w:t>controlling interest</w:t>
            </w:r>
          </w:p>
        </w:tc>
        <w:tc>
          <w:tcPr>
            <w:tcW w:w="624"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center"/>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 xml:space="preserve"> </w:t>
            </w:r>
          </w:p>
        </w:tc>
        <w:tc>
          <w:tcPr>
            <w:tcW w:w="907"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50.0</w:t>
            </w:r>
          </w:p>
        </w:tc>
        <w:tc>
          <w:tcPr>
            <w:tcW w:w="907"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50.0</w:t>
            </w:r>
          </w:p>
        </w:tc>
        <w:tc>
          <w:tcPr>
            <w:tcW w:w="907"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50.0</w:t>
            </w:r>
          </w:p>
        </w:tc>
        <w:tc>
          <w:tcPr>
            <w:tcW w:w="907"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50.0</w:t>
            </w:r>
          </w:p>
        </w:tc>
        <w:tc>
          <w:tcPr>
            <w:tcW w:w="908"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50.0</w:t>
            </w:r>
          </w:p>
        </w:tc>
      </w:tr>
      <w:tr w:rsidR="00965D85" w:rsidRPr="00E22AD9" w:rsidTr="008B46DF">
        <w:tc>
          <w:tcPr>
            <w:tcW w:w="2665" w:type="dxa"/>
            <w:tcBorders>
              <w:top w:val="single" w:sz="6" w:space="0" w:color="000000"/>
              <w:left w:val="nil"/>
              <w:bottom w:val="single" w:sz="12" w:space="0" w:color="000000"/>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b/>
                <w:bCs/>
                <w:color w:val="000000"/>
                <w:sz w:val="19"/>
                <w:lang w:eastAsia="en-AU"/>
              </w:rPr>
            </w:pPr>
            <w:r w:rsidRPr="00E22AD9">
              <w:rPr>
                <w:rFonts w:ascii="Calibri" w:eastAsiaTheme="minorEastAsia" w:hAnsi="Calibri" w:cs="Calibri"/>
                <w:b/>
                <w:bCs/>
                <w:color w:val="000000"/>
                <w:sz w:val="19"/>
                <w:lang w:eastAsia="en-AU"/>
              </w:rPr>
              <w:t>Net worth</w:t>
            </w:r>
          </w:p>
        </w:tc>
        <w:tc>
          <w:tcPr>
            <w:tcW w:w="624" w:type="dxa"/>
            <w:tcBorders>
              <w:top w:val="single" w:sz="6" w:space="0" w:color="000000"/>
              <w:left w:val="nil"/>
              <w:bottom w:val="single" w:sz="12" w:space="0" w:color="000000"/>
              <w:right w:val="nil"/>
            </w:tcBorders>
            <w:shd w:val="clear" w:color="auto" w:fill="FFFFFF"/>
          </w:tcPr>
          <w:p w:rsidR="00965D85" w:rsidRPr="00E22AD9" w:rsidRDefault="00965D85" w:rsidP="008B46DF">
            <w:pPr>
              <w:autoSpaceDE w:val="0"/>
              <w:autoSpaceDN w:val="0"/>
              <w:adjustRightInd w:val="0"/>
              <w:spacing w:after="0"/>
              <w:jc w:val="center"/>
              <w:rPr>
                <w:rFonts w:ascii="Calibri" w:eastAsiaTheme="minorEastAsia" w:hAnsi="Calibri" w:cs="Calibri"/>
                <w:b/>
                <w:bCs/>
                <w:color w:val="000000"/>
                <w:sz w:val="19"/>
                <w:lang w:eastAsia="en-AU"/>
              </w:rPr>
            </w:pPr>
            <w:r w:rsidRPr="00E22AD9">
              <w:rPr>
                <w:rFonts w:ascii="Calibri" w:eastAsiaTheme="minorEastAsia" w:hAnsi="Calibri" w:cs="Calibri"/>
                <w:b/>
                <w:bCs/>
                <w:color w:val="000000"/>
                <w:sz w:val="19"/>
                <w:lang w:eastAsia="en-AU"/>
              </w:rPr>
              <w:t xml:space="preserve"> </w:t>
            </w:r>
          </w:p>
        </w:tc>
        <w:tc>
          <w:tcPr>
            <w:tcW w:w="907" w:type="dxa"/>
            <w:tcBorders>
              <w:top w:val="single" w:sz="6" w:space="0" w:color="000000"/>
              <w:left w:val="nil"/>
              <w:bottom w:val="single" w:sz="12"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19"/>
                <w:lang w:eastAsia="en-AU"/>
              </w:rPr>
            </w:pPr>
            <w:r w:rsidRPr="00E22AD9">
              <w:rPr>
                <w:rFonts w:ascii="Calibri" w:eastAsiaTheme="minorEastAsia" w:hAnsi="Calibri" w:cs="Calibri"/>
                <w:b/>
                <w:bCs/>
                <w:color w:val="000000"/>
                <w:sz w:val="19"/>
                <w:lang w:eastAsia="en-AU"/>
              </w:rPr>
              <w:t>144 427.4</w:t>
            </w:r>
          </w:p>
        </w:tc>
        <w:tc>
          <w:tcPr>
            <w:tcW w:w="907" w:type="dxa"/>
            <w:tcBorders>
              <w:top w:val="single" w:sz="6" w:space="0" w:color="000000"/>
              <w:left w:val="nil"/>
              <w:bottom w:val="single" w:sz="12"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19"/>
                <w:lang w:eastAsia="en-AU"/>
              </w:rPr>
            </w:pPr>
            <w:r w:rsidRPr="00E22AD9">
              <w:rPr>
                <w:rFonts w:ascii="Calibri" w:eastAsiaTheme="minorEastAsia" w:hAnsi="Calibri" w:cs="Calibri"/>
                <w:b/>
                <w:bCs/>
                <w:color w:val="000000"/>
                <w:sz w:val="19"/>
                <w:lang w:eastAsia="en-AU"/>
              </w:rPr>
              <w:t>140 651.5</w:t>
            </w:r>
          </w:p>
        </w:tc>
        <w:tc>
          <w:tcPr>
            <w:tcW w:w="907" w:type="dxa"/>
            <w:tcBorders>
              <w:top w:val="single" w:sz="6" w:space="0" w:color="000000"/>
              <w:left w:val="nil"/>
              <w:bottom w:val="single" w:sz="12"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19"/>
                <w:lang w:eastAsia="en-AU"/>
              </w:rPr>
            </w:pPr>
            <w:r w:rsidRPr="00E22AD9">
              <w:rPr>
                <w:rFonts w:ascii="Calibri" w:eastAsiaTheme="minorEastAsia" w:hAnsi="Calibri" w:cs="Calibri"/>
                <w:b/>
                <w:bCs/>
                <w:color w:val="000000"/>
                <w:sz w:val="19"/>
                <w:lang w:eastAsia="en-AU"/>
              </w:rPr>
              <w:t>143 055.3</w:t>
            </w:r>
          </w:p>
        </w:tc>
        <w:tc>
          <w:tcPr>
            <w:tcW w:w="907" w:type="dxa"/>
            <w:tcBorders>
              <w:top w:val="single" w:sz="6" w:space="0" w:color="000000"/>
              <w:left w:val="nil"/>
              <w:bottom w:val="single" w:sz="12"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19"/>
                <w:lang w:eastAsia="en-AU"/>
              </w:rPr>
            </w:pPr>
            <w:r w:rsidRPr="00E22AD9">
              <w:rPr>
                <w:rFonts w:ascii="Calibri" w:eastAsiaTheme="minorEastAsia" w:hAnsi="Calibri" w:cs="Calibri"/>
                <w:b/>
                <w:bCs/>
                <w:color w:val="000000"/>
                <w:sz w:val="19"/>
                <w:lang w:eastAsia="en-AU"/>
              </w:rPr>
              <w:t>155 071.1</w:t>
            </w:r>
          </w:p>
        </w:tc>
        <w:tc>
          <w:tcPr>
            <w:tcW w:w="908" w:type="dxa"/>
            <w:tcBorders>
              <w:top w:val="single" w:sz="6" w:space="0" w:color="000000"/>
              <w:left w:val="nil"/>
              <w:bottom w:val="single" w:sz="12"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19"/>
                <w:lang w:eastAsia="en-AU"/>
              </w:rPr>
            </w:pPr>
            <w:r w:rsidRPr="00E22AD9">
              <w:rPr>
                <w:rFonts w:ascii="Calibri" w:eastAsiaTheme="minorEastAsia" w:hAnsi="Calibri" w:cs="Calibri"/>
                <w:b/>
                <w:bCs/>
                <w:color w:val="000000"/>
                <w:sz w:val="19"/>
                <w:lang w:eastAsia="en-AU"/>
              </w:rPr>
              <w:t>157 559.5</w:t>
            </w:r>
          </w:p>
        </w:tc>
      </w:tr>
      <w:tr w:rsidR="00965D85" w:rsidRPr="00E22AD9" w:rsidTr="008B46DF">
        <w:trPr>
          <w:trHeight w:hRule="exact" w:val="120"/>
        </w:trPr>
        <w:tc>
          <w:tcPr>
            <w:tcW w:w="2665" w:type="dxa"/>
            <w:tcBorders>
              <w:top w:val="single" w:sz="12" w:space="0" w:color="000000"/>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 xml:space="preserve"> </w:t>
            </w:r>
          </w:p>
        </w:tc>
        <w:tc>
          <w:tcPr>
            <w:tcW w:w="624" w:type="dxa"/>
            <w:tcBorders>
              <w:top w:val="single" w:sz="12" w:space="0" w:color="000000"/>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 xml:space="preserve"> </w:t>
            </w:r>
          </w:p>
        </w:tc>
        <w:tc>
          <w:tcPr>
            <w:tcW w:w="907" w:type="dxa"/>
            <w:tcBorders>
              <w:top w:val="single" w:sz="12" w:space="0" w:color="000000"/>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p>
        </w:tc>
        <w:tc>
          <w:tcPr>
            <w:tcW w:w="907" w:type="dxa"/>
            <w:tcBorders>
              <w:top w:val="single" w:sz="12" w:space="0" w:color="000000"/>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p>
        </w:tc>
        <w:tc>
          <w:tcPr>
            <w:tcW w:w="907" w:type="dxa"/>
            <w:tcBorders>
              <w:top w:val="single" w:sz="12" w:space="0" w:color="000000"/>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p>
        </w:tc>
        <w:tc>
          <w:tcPr>
            <w:tcW w:w="907" w:type="dxa"/>
            <w:tcBorders>
              <w:top w:val="single" w:sz="12" w:space="0" w:color="000000"/>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p>
        </w:tc>
        <w:tc>
          <w:tcPr>
            <w:tcW w:w="908" w:type="dxa"/>
            <w:tcBorders>
              <w:top w:val="single" w:sz="12" w:space="0" w:color="000000"/>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p>
        </w:tc>
      </w:tr>
      <w:tr w:rsidR="00965D85" w:rsidRPr="00E22AD9" w:rsidTr="008B46DF">
        <w:tc>
          <w:tcPr>
            <w:tcW w:w="2665" w:type="dxa"/>
            <w:tcBorders>
              <w:top w:val="nil"/>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b/>
                <w:bCs/>
                <w:color w:val="000000"/>
                <w:sz w:val="19"/>
                <w:lang w:eastAsia="en-AU"/>
              </w:rPr>
            </w:pPr>
            <w:r w:rsidRPr="00E22AD9">
              <w:rPr>
                <w:rFonts w:ascii="Calibri" w:eastAsiaTheme="minorEastAsia" w:hAnsi="Calibri" w:cs="Calibri"/>
                <w:b/>
                <w:bCs/>
                <w:color w:val="000000"/>
                <w:sz w:val="19"/>
                <w:lang w:eastAsia="en-AU"/>
              </w:rPr>
              <w:t>FISCAL AGGREGATES</w:t>
            </w:r>
          </w:p>
        </w:tc>
        <w:tc>
          <w:tcPr>
            <w:tcW w:w="624"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center"/>
              <w:rPr>
                <w:rFonts w:ascii="Calibri" w:eastAsiaTheme="minorEastAsia" w:hAnsi="Calibri" w:cs="Calibri"/>
                <w:b/>
                <w:bCs/>
                <w:color w:val="000000"/>
                <w:sz w:val="19"/>
                <w:lang w:eastAsia="en-AU"/>
              </w:rPr>
            </w:pPr>
            <w:r w:rsidRPr="00E22AD9">
              <w:rPr>
                <w:rFonts w:ascii="Calibri" w:eastAsiaTheme="minorEastAsia" w:hAnsi="Calibri" w:cs="Calibri"/>
                <w:b/>
                <w:bCs/>
                <w:color w:val="000000"/>
                <w:sz w:val="19"/>
                <w:lang w:eastAsia="en-AU"/>
              </w:rPr>
              <w:t xml:space="preserve"> </w:t>
            </w:r>
          </w:p>
        </w:tc>
        <w:tc>
          <w:tcPr>
            <w:tcW w:w="907"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907"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907"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907"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908"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r>
      <w:tr w:rsidR="00965D85" w:rsidRPr="00E22AD9" w:rsidTr="008B46DF">
        <w:tc>
          <w:tcPr>
            <w:tcW w:w="2665" w:type="dxa"/>
            <w:tcBorders>
              <w:top w:val="nil"/>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Net financial worth</w:t>
            </w:r>
          </w:p>
        </w:tc>
        <w:tc>
          <w:tcPr>
            <w:tcW w:w="624"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center"/>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 xml:space="preserve"> </w:t>
            </w:r>
          </w:p>
        </w:tc>
        <w:tc>
          <w:tcPr>
            <w:tcW w:w="907"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33 393.7</w:t>
            </w:r>
          </w:p>
        </w:tc>
        <w:tc>
          <w:tcPr>
            <w:tcW w:w="907"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29 638.7</w:t>
            </w:r>
          </w:p>
        </w:tc>
        <w:tc>
          <w:tcPr>
            <w:tcW w:w="907"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29 883.6</w:t>
            </w:r>
          </w:p>
        </w:tc>
        <w:tc>
          <w:tcPr>
            <w:tcW w:w="907"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31 909.6</w:t>
            </w:r>
          </w:p>
        </w:tc>
        <w:tc>
          <w:tcPr>
            <w:tcW w:w="908"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34 527.1</w:t>
            </w:r>
          </w:p>
        </w:tc>
      </w:tr>
      <w:tr w:rsidR="00965D85" w:rsidRPr="00E22AD9" w:rsidTr="008B46DF">
        <w:tc>
          <w:tcPr>
            <w:tcW w:w="2665" w:type="dxa"/>
            <w:tcBorders>
              <w:top w:val="nil"/>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Net financial liabilities</w:t>
            </w:r>
          </w:p>
        </w:tc>
        <w:tc>
          <w:tcPr>
            <w:tcW w:w="624"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center"/>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 xml:space="preserve"> </w:t>
            </w:r>
          </w:p>
        </w:tc>
        <w:tc>
          <w:tcPr>
            <w:tcW w:w="907"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49 037.9</w:t>
            </w:r>
          </w:p>
        </w:tc>
        <w:tc>
          <w:tcPr>
            <w:tcW w:w="907"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50 766.3</w:t>
            </w:r>
          </w:p>
        </w:tc>
        <w:tc>
          <w:tcPr>
            <w:tcW w:w="907"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52 025.0</w:t>
            </w:r>
          </w:p>
        </w:tc>
        <w:tc>
          <w:tcPr>
            <w:tcW w:w="907"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51 456.0</w:t>
            </w:r>
          </w:p>
        </w:tc>
        <w:tc>
          <w:tcPr>
            <w:tcW w:w="908"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51 282.4</w:t>
            </w:r>
          </w:p>
        </w:tc>
      </w:tr>
      <w:tr w:rsidR="00965D85" w:rsidRPr="00E22AD9" w:rsidTr="008B46DF">
        <w:tc>
          <w:tcPr>
            <w:tcW w:w="2665" w:type="dxa"/>
            <w:tcBorders>
              <w:top w:val="nil"/>
              <w:left w:val="nil"/>
              <w:bottom w:val="single" w:sz="12" w:space="0" w:color="000000"/>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Net debt</w:t>
            </w:r>
          </w:p>
        </w:tc>
        <w:tc>
          <w:tcPr>
            <w:tcW w:w="624" w:type="dxa"/>
            <w:tcBorders>
              <w:top w:val="nil"/>
              <w:left w:val="nil"/>
              <w:bottom w:val="single" w:sz="12" w:space="0" w:color="000000"/>
              <w:right w:val="nil"/>
            </w:tcBorders>
            <w:shd w:val="clear" w:color="auto" w:fill="FFFFFF"/>
          </w:tcPr>
          <w:p w:rsidR="00965D85" w:rsidRPr="00E22AD9" w:rsidRDefault="00965D85" w:rsidP="008B46DF">
            <w:pPr>
              <w:autoSpaceDE w:val="0"/>
              <w:autoSpaceDN w:val="0"/>
              <w:adjustRightInd w:val="0"/>
              <w:spacing w:after="0"/>
              <w:jc w:val="center"/>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 xml:space="preserve"> </w:t>
            </w:r>
          </w:p>
        </w:tc>
        <w:tc>
          <w:tcPr>
            <w:tcW w:w="907" w:type="dxa"/>
            <w:tcBorders>
              <w:top w:val="nil"/>
              <w:left w:val="nil"/>
              <w:bottom w:val="single" w:sz="12"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17 371.4</w:t>
            </w:r>
          </w:p>
        </w:tc>
        <w:tc>
          <w:tcPr>
            <w:tcW w:w="907" w:type="dxa"/>
            <w:tcBorders>
              <w:top w:val="nil"/>
              <w:left w:val="nil"/>
              <w:bottom w:val="single" w:sz="12"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16 894.6</w:t>
            </w:r>
          </w:p>
        </w:tc>
        <w:tc>
          <w:tcPr>
            <w:tcW w:w="907" w:type="dxa"/>
            <w:tcBorders>
              <w:top w:val="nil"/>
              <w:left w:val="nil"/>
              <w:bottom w:val="single" w:sz="12"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18 752.4</w:t>
            </w:r>
          </w:p>
        </w:tc>
        <w:tc>
          <w:tcPr>
            <w:tcW w:w="907" w:type="dxa"/>
            <w:tcBorders>
              <w:top w:val="nil"/>
              <w:left w:val="nil"/>
              <w:bottom w:val="single" w:sz="12"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18 861.1</w:t>
            </w:r>
          </w:p>
        </w:tc>
        <w:tc>
          <w:tcPr>
            <w:tcW w:w="908" w:type="dxa"/>
            <w:tcBorders>
              <w:top w:val="nil"/>
              <w:left w:val="nil"/>
              <w:bottom w:val="single" w:sz="12"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19 567.0</w:t>
            </w:r>
          </w:p>
        </w:tc>
      </w:tr>
    </w:tbl>
    <w:p w:rsidR="00965D85" w:rsidRDefault="00965D85" w:rsidP="008B46DF">
      <w:pPr>
        <w:pStyle w:val="Notes"/>
      </w:pPr>
      <w:r>
        <w:t>The accompanying notes form part of these estimated financial statements.</w:t>
      </w:r>
    </w:p>
    <w:p w:rsidR="00965D85" w:rsidRDefault="00965D85" w:rsidP="008B46DF">
      <w:pPr>
        <w:pStyle w:val="Notes"/>
      </w:pPr>
    </w:p>
    <w:p w:rsidR="00965D85" w:rsidRPr="00A01226" w:rsidRDefault="00965D85" w:rsidP="008B46DF">
      <w:pPr>
        <w:pStyle w:val="Notes"/>
      </w:pPr>
      <w:r w:rsidRPr="00A01226">
        <w:t>Note:</w:t>
      </w:r>
    </w:p>
    <w:p w:rsidR="00965D85" w:rsidRDefault="00965D85" w:rsidP="008B46DF">
      <w:pPr>
        <w:pStyle w:val="Notes"/>
        <w:rPr>
          <w:lang w:eastAsia="en-AU"/>
        </w:rPr>
      </w:pPr>
      <w:r>
        <w:rPr>
          <w:lang w:eastAsia="en-AU"/>
        </w:rPr>
        <w:t>(a)</w:t>
      </w:r>
      <w:r>
        <w:rPr>
          <w:lang w:eastAsia="en-AU"/>
        </w:rPr>
        <w:tab/>
        <w:t>Balances represent actual opening balances at 1 July 2015 plus 2015</w:t>
      </w:r>
      <w:r>
        <w:rPr>
          <w:lang w:eastAsia="en-AU"/>
        </w:rPr>
        <w:noBreakHyphen/>
        <w:t>16 budgeted movements.</w:t>
      </w:r>
    </w:p>
    <w:p w:rsidR="00965D85" w:rsidRDefault="00965D85" w:rsidP="008B46DF">
      <w:pPr>
        <w:pStyle w:val="Notes"/>
        <w:rPr>
          <w:lang w:eastAsia="en-AU"/>
        </w:rPr>
      </w:pPr>
    </w:p>
    <w:p w:rsidR="00965D85" w:rsidRPr="00E22AD9" w:rsidRDefault="00965D85" w:rsidP="008B46DF">
      <w:pPr>
        <w:pStyle w:val="Tableheading"/>
        <w:rPr>
          <w:rFonts w:ascii="Times New Roman" w:hAnsi="Times New Roman"/>
          <w:b w:val="0"/>
          <w:sz w:val="20"/>
          <w:lang w:eastAsia="en-AU"/>
        </w:rPr>
      </w:pPr>
      <w:r w:rsidRPr="003878BE">
        <w:rPr>
          <w:lang w:eastAsia="en-AU"/>
        </w:rPr>
        <w:lastRenderedPageBreak/>
        <w:t>Table 4.3:</w:t>
      </w:r>
      <w:r w:rsidRPr="003878BE">
        <w:rPr>
          <w:lang w:eastAsia="en-AU"/>
        </w:rPr>
        <w:tab/>
        <w:t>Estimated general government sector cash</w:t>
      </w:r>
      <w:r>
        <w:rPr>
          <w:lang w:eastAsia="en-AU"/>
        </w:rPr>
        <w:t xml:space="preserve"> </w:t>
      </w:r>
      <w:r w:rsidRPr="003878BE">
        <w:rPr>
          <w:lang w:eastAsia="en-AU"/>
        </w:rPr>
        <w:t>flow stateme</w:t>
      </w:r>
      <w:r>
        <w:rPr>
          <w:lang w:eastAsia="en-AU"/>
        </w:rPr>
        <w:t>nt for the financial year ended</w:t>
      </w:r>
      <w:r w:rsidRPr="003878BE">
        <w:rPr>
          <w:lang w:eastAsia="en-AU"/>
        </w:rPr>
        <w:t xml:space="preserve"> 30 June</w:t>
      </w:r>
    </w:p>
    <w:tbl>
      <w:tblPr>
        <w:tblW w:w="7767" w:type="dxa"/>
        <w:tblInd w:w="28" w:type="dxa"/>
        <w:tblLayout w:type="fixed"/>
        <w:tblCellMar>
          <w:left w:w="28" w:type="dxa"/>
          <w:right w:w="28" w:type="dxa"/>
        </w:tblCellMar>
        <w:tblLook w:val="0000" w:firstRow="0" w:lastRow="0" w:firstColumn="0" w:lastColumn="0" w:noHBand="0" w:noVBand="0"/>
      </w:tblPr>
      <w:tblGrid>
        <w:gridCol w:w="2618"/>
        <w:gridCol w:w="76"/>
        <w:gridCol w:w="498"/>
        <w:gridCol w:w="352"/>
        <w:gridCol w:w="284"/>
        <w:gridCol w:w="279"/>
        <w:gridCol w:w="915"/>
        <w:gridCol w:w="915"/>
        <w:gridCol w:w="915"/>
        <w:gridCol w:w="915"/>
      </w:tblGrid>
      <w:tr w:rsidR="00965D85" w:rsidRPr="00E22AD9" w:rsidTr="008B46DF">
        <w:trPr>
          <w:tblHeader/>
        </w:trPr>
        <w:tc>
          <w:tcPr>
            <w:tcW w:w="7767" w:type="dxa"/>
            <w:gridSpan w:val="10"/>
            <w:tcBorders>
              <w:top w:val="nil"/>
              <w:left w:val="nil"/>
              <w:bottom w:val="nil"/>
              <w:right w:val="nil"/>
            </w:tcBorders>
          </w:tcPr>
          <w:p w:rsidR="00965D85" w:rsidRPr="00E22AD9" w:rsidRDefault="00965D85" w:rsidP="008B46DF">
            <w:pPr>
              <w:pStyle w:val="million"/>
              <w:rPr>
                <w:rFonts w:eastAsiaTheme="minorEastAsia" w:cs="Calibri"/>
                <w:iCs/>
                <w:color w:val="000000"/>
                <w:sz w:val="20"/>
                <w:lang w:eastAsia="en-AU"/>
              </w:rPr>
            </w:pPr>
            <w:r w:rsidRPr="00E22AD9">
              <w:rPr>
                <w:rFonts w:eastAsiaTheme="minorEastAsia"/>
                <w:lang w:eastAsia="en-AU"/>
              </w:rPr>
              <w:t>($ million)</w:t>
            </w:r>
          </w:p>
        </w:tc>
      </w:tr>
      <w:tr w:rsidR="00965D85" w:rsidRPr="004E5DCF" w:rsidTr="008B46DF">
        <w:trPr>
          <w:trHeight w:val="464"/>
          <w:tblHeader/>
        </w:trPr>
        <w:tc>
          <w:tcPr>
            <w:tcW w:w="2618" w:type="dxa"/>
            <w:tcBorders>
              <w:top w:val="nil"/>
              <w:left w:val="nil"/>
              <w:right w:val="nil"/>
            </w:tcBorders>
            <w:shd w:val="solid" w:color="000000" w:fill="auto"/>
          </w:tcPr>
          <w:p w:rsidR="00965D85" w:rsidRPr="004E5DCF" w:rsidRDefault="00965D85" w:rsidP="008B46DF">
            <w:pPr>
              <w:autoSpaceDE w:val="0"/>
              <w:autoSpaceDN w:val="0"/>
              <w:adjustRightInd w:val="0"/>
              <w:spacing w:after="0"/>
              <w:rPr>
                <w:rFonts w:ascii="Calibri" w:eastAsiaTheme="minorEastAsia" w:hAnsi="Calibri" w:cs="Calibri"/>
                <w:color w:val="000000"/>
                <w:sz w:val="19"/>
                <w:szCs w:val="19"/>
                <w:lang w:eastAsia="en-AU"/>
              </w:rPr>
            </w:pPr>
            <w:r w:rsidRPr="004E5DCF">
              <w:rPr>
                <w:rFonts w:ascii="Calibri" w:eastAsiaTheme="minorEastAsia" w:hAnsi="Calibri" w:cs="Calibri"/>
                <w:color w:val="000000"/>
                <w:sz w:val="19"/>
                <w:szCs w:val="19"/>
                <w:lang w:eastAsia="en-AU"/>
              </w:rPr>
              <w:t xml:space="preserve"> </w:t>
            </w:r>
          </w:p>
          <w:p w:rsidR="00965D85" w:rsidRPr="004E5DCF" w:rsidRDefault="00965D85" w:rsidP="008B46DF">
            <w:pPr>
              <w:autoSpaceDE w:val="0"/>
              <w:autoSpaceDN w:val="0"/>
              <w:adjustRightInd w:val="0"/>
              <w:spacing w:after="0"/>
              <w:rPr>
                <w:rFonts w:ascii="Calibri" w:eastAsiaTheme="minorEastAsia" w:hAnsi="Calibri" w:cs="Calibri"/>
                <w:color w:val="000000"/>
                <w:sz w:val="19"/>
                <w:szCs w:val="19"/>
                <w:lang w:eastAsia="en-AU"/>
              </w:rPr>
            </w:pPr>
            <w:r w:rsidRPr="004E5DCF">
              <w:rPr>
                <w:rFonts w:ascii="Calibri" w:eastAsiaTheme="minorEastAsia" w:hAnsi="Calibri" w:cs="Calibri"/>
                <w:color w:val="000000"/>
                <w:sz w:val="19"/>
                <w:szCs w:val="19"/>
                <w:lang w:eastAsia="en-AU"/>
              </w:rPr>
              <w:t xml:space="preserve"> </w:t>
            </w:r>
          </w:p>
        </w:tc>
        <w:tc>
          <w:tcPr>
            <w:tcW w:w="574" w:type="dxa"/>
            <w:gridSpan w:val="2"/>
            <w:tcBorders>
              <w:top w:val="nil"/>
              <w:left w:val="nil"/>
              <w:right w:val="nil"/>
            </w:tcBorders>
            <w:shd w:val="solid" w:color="000000" w:fill="auto"/>
          </w:tcPr>
          <w:p w:rsidR="00965D85" w:rsidRPr="004E5DCF" w:rsidRDefault="00965D85" w:rsidP="008B46DF">
            <w:pPr>
              <w:autoSpaceDE w:val="0"/>
              <w:autoSpaceDN w:val="0"/>
              <w:adjustRightInd w:val="0"/>
              <w:spacing w:after="0"/>
              <w:rPr>
                <w:rFonts w:ascii="Calibri" w:eastAsiaTheme="minorEastAsia" w:hAnsi="Calibri" w:cs="Calibri"/>
                <w:color w:val="000000"/>
                <w:sz w:val="19"/>
                <w:szCs w:val="19"/>
                <w:lang w:eastAsia="en-AU"/>
              </w:rPr>
            </w:pPr>
            <w:r w:rsidRPr="004E5DCF">
              <w:rPr>
                <w:rFonts w:ascii="Calibri" w:eastAsiaTheme="minorEastAsia" w:hAnsi="Calibri" w:cs="Calibri"/>
                <w:color w:val="000000"/>
                <w:sz w:val="19"/>
                <w:szCs w:val="19"/>
                <w:lang w:eastAsia="en-AU"/>
              </w:rPr>
              <w:t xml:space="preserve"> </w:t>
            </w:r>
          </w:p>
          <w:p w:rsidR="00965D85" w:rsidRPr="004E5DCF" w:rsidRDefault="00965D85" w:rsidP="008B46DF">
            <w:pPr>
              <w:autoSpaceDE w:val="0"/>
              <w:autoSpaceDN w:val="0"/>
              <w:adjustRightInd w:val="0"/>
              <w:spacing w:after="0"/>
              <w:jc w:val="center"/>
              <w:rPr>
                <w:rFonts w:ascii="Calibri" w:eastAsiaTheme="minorEastAsia" w:hAnsi="Calibri" w:cs="Calibri"/>
                <w:color w:val="000000"/>
                <w:sz w:val="19"/>
                <w:szCs w:val="19"/>
                <w:lang w:eastAsia="en-AU"/>
              </w:rPr>
            </w:pPr>
            <w:r w:rsidRPr="004E5DCF">
              <w:rPr>
                <w:rFonts w:ascii="Calibri" w:eastAsiaTheme="minorEastAsia" w:hAnsi="Calibri" w:cs="Calibri"/>
                <w:i/>
                <w:iCs/>
                <w:color w:val="FFFFFF"/>
                <w:sz w:val="19"/>
                <w:szCs w:val="19"/>
                <w:lang w:eastAsia="en-AU"/>
              </w:rPr>
              <w:t>Notes</w:t>
            </w:r>
          </w:p>
        </w:tc>
        <w:tc>
          <w:tcPr>
            <w:tcW w:w="915" w:type="dxa"/>
            <w:gridSpan w:val="3"/>
            <w:tcBorders>
              <w:top w:val="nil"/>
              <w:left w:val="nil"/>
              <w:right w:val="nil"/>
            </w:tcBorders>
            <w:shd w:val="solid" w:color="000000" w:fill="auto"/>
          </w:tcPr>
          <w:p w:rsidR="00965D85" w:rsidRPr="004E5DCF" w:rsidRDefault="00965D85" w:rsidP="008B46DF">
            <w:pPr>
              <w:autoSpaceDE w:val="0"/>
              <w:autoSpaceDN w:val="0"/>
              <w:adjustRightInd w:val="0"/>
              <w:spacing w:after="0"/>
              <w:jc w:val="right"/>
              <w:rPr>
                <w:rFonts w:ascii="Calibri" w:eastAsiaTheme="minorEastAsia" w:hAnsi="Calibri" w:cs="Calibri"/>
                <w:i/>
                <w:iCs/>
                <w:color w:val="FFFFFF"/>
                <w:sz w:val="19"/>
                <w:szCs w:val="19"/>
                <w:lang w:eastAsia="en-AU"/>
              </w:rPr>
            </w:pPr>
            <w:r w:rsidRPr="004E5DCF">
              <w:rPr>
                <w:rFonts w:ascii="Calibri" w:eastAsiaTheme="minorEastAsia" w:hAnsi="Calibri" w:cs="Calibri"/>
                <w:i/>
                <w:iCs/>
                <w:color w:val="FFFFFF"/>
                <w:sz w:val="19"/>
                <w:szCs w:val="19"/>
                <w:lang w:eastAsia="en-AU"/>
              </w:rPr>
              <w:t>2015</w:t>
            </w:r>
            <w:r w:rsidRPr="004E5DCF">
              <w:rPr>
                <w:rFonts w:ascii="Calibri" w:eastAsiaTheme="minorEastAsia" w:hAnsi="Calibri" w:cs="Calibri"/>
                <w:i/>
                <w:iCs/>
                <w:color w:val="FFFFFF"/>
                <w:sz w:val="19"/>
                <w:szCs w:val="19"/>
                <w:lang w:eastAsia="en-AU"/>
              </w:rPr>
              <w:noBreakHyphen/>
              <w:t xml:space="preserve">16 </w:t>
            </w:r>
          </w:p>
          <w:p w:rsidR="00965D85" w:rsidRPr="004E5DCF" w:rsidRDefault="00965D85" w:rsidP="008B46DF">
            <w:pPr>
              <w:autoSpaceDE w:val="0"/>
              <w:autoSpaceDN w:val="0"/>
              <w:adjustRightInd w:val="0"/>
              <w:spacing w:after="0"/>
              <w:jc w:val="right"/>
              <w:rPr>
                <w:rFonts w:ascii="Calibri" w:eastAsiaTheme="minorEastAsia" w:hAnsi="Calibri" w:cs="Calibri"/>
                <w:i/>
                <w:iCs/>
                <w:color w:val="FFFFFF"/>
                <w:sz w:val="19"/>
                <w:szCs w:val="19"/>
                <w:lang w:eastAsia="en-AU"/>
              </w:rPr>
            </w:pPr>
            <w:r w:rsidRPr="004E5DCF">
              <w:rPr>
                <w:rFonts w:ascii="Calibri" w:eastAsiaTheme="minorEastAsia" w:hAnsi="Calibri" w:cs="Calibri"/>
                <w:i/>
                <w:iCs/>
                <w:color w:val="FFFFFF"/>
                <w:sz w:val="19"/>
                <w:szCs w:val="19"/>
                <w:lang w:eastAsia="en-AU"/>
              </w:rPr>
              <w:t>budget</w:t>
            </w:r>
          </w:p>
        </w:tc>
        <w:tc>
          <w:tcPr>
            <w:tcW w:w="915" w:type="dxa"/>
            <w:tcBorders>
              <w:top w:val="nil"/>
              <w:left w:val="nil"/>
              <w:right w:val="nil"/>
            </w:tcBorders>
            <w:shd w:val="solid" w:color="000000" w:fill="auto"/>
          </w:tcPr>
          <w:p w:rsidR="00965D85" w:rsidRPr="004E5DCF" w:rsidRDefault="00965D85" w:rsidP="008B46DF">
            <w:pPr>
              <w:autoSpaceDE w:val="0"/>
              <w:autoSpaceDN w:val="0"/>
              <w:adjustRightInd w:val="0"/>
              <w:spacing w:after="0"/>
              <w:jc w:val="right"/>
              <w:rPr>
                <w:rFonts w:ascii="Calibri" w:eastAsiaTheme="minorEastAsia" w:hAnsi="Calibri" w:cs="Calibri"/>
                <w:i/>
                <w:iCs/>
                <w:color w:val="FFFFFF"/>
                <w:sz w:val="19"/>
                <w:szCs w:val="19"/>
                <w:lang w:eastAsia="en-AU"/>
              </w:rPr>
            </w:pPr>
            <w:r w:rsidRPr="004E5DCF">
              <w:rPr>
                <w:rFonts w:ascii="Calibri" w:eastAsiaTheme="minorEastAsia" w:hAnsi="Calibri" w:cs="Calibri"/>
                <w:i/>
                <w:iCs/>
                <w:color w:val="FFFFFF"/>
                <w:sz w:val="19"/>
                <w:szCs w:val="19"/>
                <w:lang w:eastAsia="en-AU"/>
              </w:rPr>
              <w:t>2015</w:t>
            </w:r>
            <w:r w:rsidRPr="004E5DCF">
              <w:rPr>
                <w:rFonts w:ascii="Calibri" w:eastAsiaTheme="minorEastAsia" w:hAnsi="Calibri" w:cs="Calibri"/>
                <w:i/>
                <w:iCs/>
                <w:color w:val="FFFFFF"/>
                <w:sz w:val="19"/>
                <w:szCs w:val="19"/>
                <w:lang w:eastAsia="en-AU"/>
              </w:rPr>
              <w:noBreakHyphen/>
              <w:t xml:space="preserve">16 </w:t>
            </w:r>
          </w:p>
          <w:p w:rsidR="00965D85" w:rsidRPr="004E5DCF" w:rsidRDefault="00965D85" w:rsidP="008B46DF">
            <w:pPr>
              <w:autoSpaceDE w:val="0"/>
              <w:autoSpaceDN w:val="0"/>
              <w:adjustRightInd w:val="0"/>
              <w:spacing w:after="0"/>
              <w:jc w:val="right"/>
              <w:rPr>
                <w:rFonts w:ascii="Calibri" w:eastAsiaTheme="minorEastAsia" w:hAnsi="Calibri" w:cs="Calibri"/>
                <w:i/>
                <w:iCs/>
                <w:color w:val="FFFFFF"/>
                <w:sz w:val="19"/>
                <w:szCs w:val="19"/>
                <w:lang w:eastAsia="en-AU"/>
              </w:rPr>
            </w:pPr>
            <w:r w:rsidRPr="004E5DCF">
              <w:rPr>
                <w:rFonts w:ascii="Calibri" w:eastAsiaTheme="minorEastAsia" w:hAnsi="Calibri" w:cs="Calibri"/>
                <w:i/>
                <w:iCs/>
                <w:color w:val="FFFFFF"/>
                <w:sz w:val="19"/>
                <w:szCs w:val="19"/>
                <w:lang w:eastAsia="en-AU"/>
              </w:rPr>
              <w:t>revised</w:t>
            </w:r>
          </w:p>
        </w:tc>
        <w:tc>
          <w:tcPr>
            <w:tcW w:w="915" w:type="dxa"/>
            <w:tcBorders>
              <w:top w:val="nil"/>
              <w:left w:val="nil"/>
              <w:right w:val="nil"/>
            </w:tcBorders>
            <w:shd w:val="solid" w:color="000000" w:fill="auto"/>
          </w:tcPr>
          <w:p w:rsidR="00965D85" w:rsidRPr="004E5DCF" w:rsidRDefault="00965D85" w:rsidP="008B46DF">
            <w:pPr>
              <w:autoSpaceDE w:val="0"/>
              <w:autoSpaceDN w:val="0"/>
              <w:adjustRightInd w:val="0"/>
              <w:spacing w:after="0"/>
              <w:jc w:val="right"/>
              <w:rPr>
                <w:rFonts w:ascii="Calibri" w:eastAsiaTheme="minorEastAsia" w:hAnsi="Calibri" w:cs="Calibri"/>
                <w:i/>
                <w:iCs/>
                <w:color w:val="FFFFFF"/>
                <w:sz w:val="19"/>
                <w:szCs w:val="19"/>
                <w:lang w:eastAsia="en-AU"/>
              </w:rPr>
            </w:pPr>
            <w:r w:rsidRPr="004E5DCF">
              <w:rPr>
                <w:rFonts w:ascii="Calibri" w:eastAsiaTheme="minorEastAsia" w:hAnsi="Calibri" w:cs="Calibri"/>
                <w:i/>
                <w:iCs/>
                <w:color w:val="FFFFFF"/>
                <w:sz w:val="19"/>
                <w:szCs w:val="19"/>
                <w:lang w:eastAsia="en-AU"/>
              </w:rPr>
              <w:t>2016</w:t>
            </w:r>
            <w:r w:rsidRPr="004E5DCF">
              <w:rPr>
                <w:rFonts w:ascii="Calibri" w:eastAsiaTheme="minorEastAsia" w:hAnsi="Calibri" w:cs="Calibri"/>
                <w:i/>
                <w:iCs/>
                <w:color w:val="FFFFFF"/>
                <w:sz w:val="19"/>
                <w:szCs w:val="19"/>
                <w:lang w:eastAsia="en-AU"/>
              </w:rPr>
              <w:noBreakHyphen/>
              <w:t xml:space="preserve">17 </w:t>
            </w:r>
          </w:p>
          <w:p w:rsidR="00965D85" w:rsidRPr="004E5DCF" w:rsidRDefault="00965D85" w:rsidP="008B46DF">
            <w:pPr>
              <w:autoSpaceDE w:val="0"/>
              <w:autoSpaceDN w:val="0"/>
              <w:adjustRightInd w:val="0"/>
              <w:spacing w:after="0"/>
              <w:jc w:val="right"/>
              <w:rPr>
                <w:rFonts w:ascii="Calibri" w:eastAsiaTheme="minorEastAsia" w:hAnsi="Calibri" w:cs="Calibri"/>
                <w:i/>
                <w:iCs/>
                <w:color w:val="FFFFFF"/>
                <w:sz w:val="19"/>
                <w:szCs w:val="19"/>
                <w:lang w:eastAsia="en-AU"/>
              </w:rPr>
            </w:pPr>
            <w:r w:rsidRPr="004E5DCF">
              <w:rPr>
                <w:rFonts w:ascii="Calibri" w:eastAsiaTheme="minorEastAsia" w:hAnsi="Calibri" w:cs="Calibri"/>
                <w:i/>
                <w:iCs/>
                <w:color w:val="FFFFFF"/>
                <w:sz w:val="19"/>
                <w:szCs w:val="19"/>
                <w:lang w:eastAsia="en-AU"/>
              </w:rPr>
              <w:t>estimate</w:t>
            </w:r>
          </w:p>
        </w:tc>
        <w:tc>
          <w:tcPr>
            <w:tcW w:w="915" w:type="dxa"/>
            <w:tcBorders>
              <w:top w:val="nil"/>
              <w:left w:val="nil"/>
              <w:right w:val="nil"/>
            </w:tcBorders>
            <w:shd w:val="solid" w:color="000000" w:fill="auto"/>
          </w:tcPr>
          <w:p w:rsidR="00965D85" w:rsidRPr="004E5DCF" w:rsidRDefault="00965D85" w:rsidP="008B46DF">
            <w:pPr>
              <w:autoSpaceDE w:val="0"/>
              <w:autoSpaceDN w:val="0"/>
              <w:adjustRightInd w:val="0"/>
              <w:spacing w:after="0"/>
              <w:jc w:val="right"/>
              <w:rPr>
                <w:rFonts w:ascii="Calibri" w:eastAsiaTheme="minorEastAsia" w:hAnsi="Calibri" w:cs="Calibri"/>
                <w:i/>
                <w:iCs/>
                <w:color w:val="FFFFFF"/>
                <w:sz w:val="19"/>
                <w:szCs w:val="19"/>
                <w:lang w:eastAsia="en-AU"/>
              </w:rPr>
            </w:pPr>
            <w:r w:rsidRPr="004E5DCF">
              <w:rPr>
                <w:rFonts w:ascii="Calibri" w:eastAsiaTheme="minorEastAsia" w:hAnsi="Calibri" w:cs="Calibri"/>
                <w:i/>
                <w:iCs/>
                <w:color w:val="FFFFFF"/>
                <w:sz w:val="19"/>
                <w:szCs w:val="19"/>
                <w:lang w:eastAsia="en-AU"/>
              </w:rPr>
              <w:t>2017</w:t>
            </w:r>
            <w:r w:rsidRPr="004E5DCF">
              <w:rPr>
                <w:rFonts w:ascii="Calibri" w:eastAsiaTheme="minorEastAsia" w:hAnsi="Calibri" w:cs="Calibri"/>
                <w:i/>
                <w:iCs/>
                <w:color w:val="FFFFFF"/>
                <w:sz w:val="19"/>
                <w:szCs w:val="19"/>
                <w:lang w:eastAsia="en-AU"/>
              </w:rPr>
              <w:noBreakHyphen/>
              <w:t xml:space="preserve">18 </w:t>
            </w:r>
          </w:p>
          <w:p w:rsidR="00965D85" w:rsidRPr="004E5DCF" w:rsidRDefault="00965D85" w:rsidP="008B46DF">
            <w:pPr>
              <w:autoSpaceDE w:val="0"/>
              <w:autoSpaceDN w:val="0"/>
              <w:adjustRightInd w:val="0"/>
              <w:spacing w:after="0"/>
              <w:jc w:val="right"/>
              <w:rPr>
                <w:rFonts w:ascii="Calibri" w:eastAsiaTheme="minorEastAsia" w:hAnsi="Calibri" w:cs="Calibri"/>
                <w:i/>
                <w:iCs/>
                <w:color w:val="FFFFFF"/>
                <w:sz w:val="19"/>
                <w:szCs w:val="19"/>
                <w:lang w:eastAsia="en-AU"/>
              </w:rPr>
            </w:pPr>
            <w:r w:rsidRPr="004E5DCF">
              <w:rPr>
                <w:rFonts w:ascii="Calibri" w:eastAsiaTheme="minorEastAsia" w:hAnsi="Calibri" w:cs="Calibri"/>
                <w:i/>
                <w:iCs/>
                <w:color w:val="FFFFFF"/>
                <w:sz w:val="19"/>
                <w:szCs w:val="19"/>
                <w:lang w:eastAsia="en-AU"/>
              </w:rPr>
              <w:t>estimate</w:t>
            </w:r>
          </w:p>
        </w:tc>
        <w:tc>
          <w:tcPr>
            <w:tcW w:w="915" w:type="dxa"/>
            <w:tcBorders>
              <w:top w:val="nil"/>
              <w:left w:val="nil"/>
              <w:right w:val="nil"/>
            </w:tcBorders>
            <w:shd w:val="solid" w:color="000000" w:fill="auto"/>
          </w:tcPr>
          <w:p w:rsidR="00965D85" w:rsidRPr="004E5DCF" w:rsidRDefault="00965D85" w:rsidP="008B46DF">
            <w:pPr>
              <w:autoSpaceDE w:val="0"/>
              <w:autoSpaceDN w:val="0"/>
              <w:adjustRightInd w:val="0"/>
              <w:spacing w:after="0"/>
              <w:jc w:val="right"/>
              <w:rPr>
                <w:rFonts w:ascii="Calibri" w:eastAsiaTheme="minorEastAsia" w:hAnsi="Calibri" w:cs="Calibri"/>
                <w:i/>
                <w:iCs/>
                <w:color w:val="FFFFFF"/>
                <w:sz w:val="19"/>
                <w:szCs w:val="19"/>
                <w:lang w:eastAsia="en-AU"/>
              </w:rPr>
            </w:pPr>
            <w:r w:rsidRPr="004E5DCF">
              <w:rPr>
                <w:rFonts w:ascii="Calibri" w:eastAsiaTheme="minorEastAsia" w:hAnsi="Calibri" w:cs="Calibri"/>
                <w:i/>
                <w:iCs/>
                <w:color w:val="FFFFFF"/>
                <w:sz w:val="19"/>
                <w:szCs w:val="19"/>
                <w:lang w:eastAsia="en-AU"/>
              </w:rPr>
              <w:t>2018</w:t>
            </w:r>
            <w:r w:rsidRPr="004E5DCF">
              <w:rPr>
                <w:rFonts w:ascii="Calibri" w:eastAsiaTheme="minorEastAsia" w:hAnsi="Calibri" w:cs="Calibri"/>
                <w:i/>
                <w:iCs/>
                <w:color w:val="FFFFFF"/>
                <w:sz w:val="19"/>
                <w:szCs w:val="19"/>
                <w:lang w:eastAsia="en-AU"/>
              </w:rPr>
              <w:noBreakHyphen/>
              <w:t xml:space="preserve">19 </w:t>
            </w:r>
          </w:p>
          <w:p w:rsidR="00965D85" w:rsidRPr="004E5DCF" w:rsidRDefault="00965D85" w:rsidP="008B46DF">
            <w:pPr>
              <w:autoSpaceDE w:val="0"/>
              <w:autoSpaceDN w:val="0"/>
              <w:adjustRightInd w:val="0"/>
              <w:spacing w:after="0"/>
              <w:jc w:val="right"/>
              <w:rPr>
                <w:rFonts w:ascii="Calibri" w:eastAsiaTheme="minorEastAsia" w:hAnsi="Calibri" w:cs="Calibri"/>
                <w:i/>
                <w:iCs/>
                <w:color w:val="FFFFFF"/>
                <w:sz w:val="19"/>
                <w:szCs w:val="19"/>
                <w:lang w:eastAsia="en-AU"/>
              </w:rPr>
            </w:pPr>
            <w:r w:rsidRPr="004E5DCF">
              <w:rPr>
                <w:rFonts w:ascii="Calibri" w:eastAsiaTheme="minorEastAsia" w:hAnsi="Calibri" w:cs="Calibri"/>
                <w:i/>
                <w:iCs/>
                <w:color w:val="FFFFFF"/>
                <w:sz w:val="19"/>
                <w:szCs w:val="19"/>
                <w:lang w:eastAsia="en-AU"/>
              </w:rPr>
              <w:t>estimate</w:t>
            </w:r>
          </w:p>
        </w:tc>
      </w:tr>
      <w:tr w:rsidR="00965D85" w:rsidRPr="00E22AD9" w:rsidTr="008B46DF">
        <w:tc>
          <w:tcPr>
            <w:tcW w:w="3544" w:type="dxa"/>
            <w:gridSpan w:val="4"/>
            <w:tcBorders>
              <w:top w:val="nil"/>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b/>
                <w:bCs/>
                <w:color w:val="000000"/>
                <w:sz w:val="19"/>
                <w:lang w:eastAsia="en-AU"/>
              </w:rPr>
            </w:pPr>
            <w:r w:rsidRPr="00E22AD9">
              <w:rPr>
                <w:rFonts w:ascii="Calibri" w:eastAsiaTheme="minorEastAsia" w:hAnsi="Calibri" w:cs="Calibri"/>
                <w:b/>
                <w:bCs/>
                <w:color w:val="000000"/>
                <w:sz w:val="19"/>
                <w:lang w:eastAsia="en-AU"/>
              </w:rPr>
              <w:t>Cash flows from operating activities</w:t>
            </w:r>
          </w:p>
        </w:tc>
        <w:tc>
          <w:tcPr>
            <w:tcW w:w="284" w:type="dxa"/>
            <w:tcBorders>
              <w:top w:val="nil"/>
              <w:left w:val="nil"/>
              <w:right w:val="nil"/>
            </w:tcBorders>
            <w:shd w:val="clear" w:color="auto" w:fill="FFFFFF"/>
          </w:tcPr>
          <w:p w:rsidR="00965D85" w:rsidRPr="00E22AD9" w:rsidRDefault="00965D85" w:rsidP="008B46DF">
            <w:pPr>
              <w:autoSpaceDE w:val="0"/>
              <w:autoSpaceDN w:val="0"/>
              <w:adjustRightInd w:val="0"/>
              <w:spacing w:after="0"/>
              <w:rPr>
                <w:rFonts w:ascii="Calibri" w:eastAsiaTheme="minorEastAsia" w:hAnsi="Calibri" w:cs="Calibri"/>
                <w:b/>
                <w:bCs/>
                <w:color w:val="000000"/>
                <w:sz w:val="19"/>
                <w:lang w:eastAsia="en-AU"/>
              </w:rPr>
            </w:pPr>
            <w:r w:rsidRPr="00E22AD9">
              <w:rPr>
                <w:rFonts w:ascii="Calibri" w:eastAsiaTheme="minorEastAsia" w:hAnsi="Calibri" w:cs="Calibri"/>
                <w:b/>
                <w:bCs/>
                <w:color w:val="000000"/>
                <w:sz w:val="19"/>
                <w:lang w:eastAsia="en-AU"/>
              </w:rPr>
              <w:t xml:space="preserve"> </w:t>
            </w:r>
          </w:p>
        </w:tc>
        <w:tc>
          <w:tcPr>
            <w:tcW w:w="279"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915"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915"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915"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915"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r>
      <w:tr w:rsidR="00965D85" w:rsidRPr="00E22AD9" w:rsidTr="008B46DF">
        <w:tc>
          <w:tcPr>
            <w:tcW w:w="2618" w:type="dxa"/>
            <w:tcBorders>
              <w:top w:val="nil"/>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b/>
                <w:bCs/>
                <w:color w:val="000000"/>
                <w:sz w:val="19"/>
                <w:lang w:eastAsia="en-AU"/>
              </w:rPr>
            </w:pPr>
            <w:r w:rsidRPr="00E22AD9">
              <w:rPr>
                <w:rFonts w:ascii="Calibri" w:eastAsiaTheme="minorEastAsia" w:hAnsi="Calibri" w:cs="Calibri"/>
                <w:b/>
                <w:bCs/>
                <w:color w:val="000000"/>
                <w:sz w:val="19"/>
                <w:lang w:eastAsia="en-AU"/>
              </w:rPr>
              <w:t>Receipts</w:t>
            </w:r>
          </w:p>
        </w:tc>
        <w:tc>
          <w:tcPr>
            <w:tcW w:w="574" w:type="dxa"/>
            <w:gridSpan w:val="2"/>
            <w:tcBorders>
              <w:top w:val="nil"/>
              <w:left w:val="nil"/>
              <w:right w:val="nil"/>
            </w:tcBorders>
            <w:shd w:val="clear" w:color="auto" w:fill="FFFFFF"/>
          </w:tcPr>
          <w:p w:rsidR="00965D85" w:rsidRPr="00E22AD9" w:rsidRDefault="00965D85" w:rsidP="008B46DF">
            <w:pPr>
              <w:autoSpaceDE w:val="0"/>
              <w:autoSpaceDN w:val="0"/>
              <w:adjustRightInd w:val="0"/>
              <w:spacing w:after="0"/>
              <w:jc w:val="center"/>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19"/>
                <w:lang w:eastAsia="en-AU"/>
              </w:rPr>
              <w:t xml:space="preserve"> </w:t>
            </w:r>
          </w:p>
        </w:tc>
        <w:tc>
          <w:tcPr>
            <w:tcW w:w="915" w:type="dxa"/>
            <w:gridSpan w:val="3"/>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915"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915"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915"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915"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r>
      <w:tr w:rsidR="00965D85" w:rsidRPr="00E22AD9" w:rsidTr="008B46DF">
        <w:tc>
          <w:tcPr>
            <w:tcW w:w="2618" w:type="dxa"/>
            <w:tcBorders>
              <w:top w:val="nil"/>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Taxes received</w:t>
            </w:r>
          </w:p>
        </w:tc>
        <w:tc>
          <w:tcPr>
            <w:tcW w:w="574" w:type="dxa"/>
            <w:gridSpan w:val="2"/>
            <w:tcBorders>
              <w:top w:val="nil"/>
              <w:left w:val="nil"/>
              <w:right w:val="nil"/>
            </w:tcBorders>
            <w:shd w:val="clear" w:color="auto" w:fill="FFFFFF"/>
          </w:tcPr>
          <w:p w:rsidR="00965D85" w:rsidRPr="00E22AD9" w:rsidRDefault="00965D85" w:rsidP="008B46DF">
            <w:pPr>
              <w:autoSpaceDE w:val="0"/>
              <w:autoSpaceDN w:val="0"/>
              <w:adjustRightInd w:val="0"/>
              <w:spacing w:after="0"/>
              <w:jc w:val="center"/>
              <w:rPr>
                <w:rFonts w:ascii="Calibri" w:eastAsiaTheme="minorEastAsia" w:hAnsi="Calibri" w:cs="Calibri"/>
                <w:color w:val="000000"/>
                <w:sz w:val="20"/>
                <w:lang w:eastAsia="en-AU"/>
              </w:rPr>
            </w:pPr>
            <w:r w:rsidRPr="00E22AD9">
              <w:rPr>
                <w:rFonts w:ascii="Calibri" w:eastAsiaTheme="minorEastAsia" w:hAnsi="Calibri" w:cs="Calibri"/>
                <w:color w:val="000000"/>
                <w:sz w:val="19"/>
                <w:lang w:eastAsia="en-AU"/>
              </w:rPr>
              <w:t xml:space="preserve"> </w:t>
            </w:r>
          </w:p>
        </w:tc>
        <w:tc>
          <w:tcPr>
            <w:tcW w:w="915" w:type="dxa"/>
            <w:gridSpan w:val="3"/>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19 007.3</w:t>
            </w:r>
          </w:p>
        </w:tc>
        <w:tc>
          <w:tcPr>
            <w:tcW w:w="915"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19 415.4</w:t>
            </w:r>
          </w:p>
        </w:tc>
        <w:tc>
          <w:tcPr>
            <w:tcW w:w="915"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19 959.4</w:t>
            </w:r>
          </w:p>
        </w:tc>
        <w:tc>
          <w:tcPr>
            <w:tcW w:w="915"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20 453.7</w:t>
            </w:r>
          </w:p>
        </w:tc>
        <w:tc>
          <w:tcPr>
            <w:tcW w:w="915"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21 305.6</w:t>
            </w:r>
          </w:p>
        </w:tc>
      </w:tr>
      <w:tr w:rsidR="00965D85" w:rsidRPr="00E22AD9" w:rsidTr="008B46DF">
        <w:tc>
          <w:tcPr>
            <w:tcW w:w="2618" w:type="dxa"/>
            <w:tcBorders>
              <w:top w:val="nil"/>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Grants</w:t>
            </w:r>
          </w:p>
        </w:tc>
        <w:tc>
          <w:tcPr>
            <w:tcW w:w="574" w:type="dxa"/>
            <w:gridSpan w:val="2"/>
            <w:tcBorders>
              <w:top w:val="nil"/>
              <w:left w:val="nil"/>
              <w:right w:val="nil"/>
            </w:tcBorders>
            <w:shd w:val="clear" w:color="auto" w:fill="FFFFFF"/>
          </w:tcPr>
          <w:p w:rsidR="00965D85" w:rsidRPr="00E22AD9" w:rsidRDefault="00965D85" w:rsidP="008B46DF">
            <w:pPr>
              <w:autoSpaceDE w:val="0"/>
              <w:autoSpaceDN w:val="0"/>
              <w:adjustRightInd w:val="0"/>
              <w:spacing w:after="0"/>
              <w:jc w:val="center"/>
              <w:rPr>
                <w:rFonts w:ascii="Calibri" w:eastAsiaTheme="minorEastAsia" w:hAnsi="Calibri" w:cs="Calibri"/>
                <w:color w:val="000000"/>
                <w:sz w:val="20"/>
                <w:lang w:eastAsia="en-AU"/>
              </w:rPr>
            </w:pPr>
            <w:r w:rsidRPr="00E22AD9">
              <w:rPr>
                <w:rFonts w:ascii="Calibri" w:eastAsiaTheme="minorEastAsia" w:hAnsi="Calibri" w:cs="Calibri"/>
                <w:color w:val="000000"/>
                <w:sz w:val="19"/>
                <w:lang w:eastAsia="en-AU"/>
              </w:rPr>
              <w:t xml:space="preserve"> </w:t>
            </w:r>
          </w:p>
        </w:tc>
        <w:tc>
          <w:tcPr>
            <w:tcW w:w="915" w:type="dxa"/>
            <w:gridSpan w:val="3"/>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25 668.3</w:t>
            </w:r>
          </w:p>
        </w:tc>
        <w:tc>
          <w:tcPr>
            <w:tcW w:w="915"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25 543.5</w:t>
            </w:r>
          </w:p>
        </w:tc>
        <w:tc>
          <w:tcPr>
            <w:tcW w:w="915"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26 009.6</w:t>
            </w:r>
          </w:p>
        </w:tc>
        <w:tc>
          <w:tcPr>
            <w:tcW w:w="915"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27 821.7</w:t>
            </w:r>
          </w:p>
        </w:tc>
        <w:tc>
          <w:tcPr>
            <w:tcW w:w="915"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28 358.3</w:t>
            </w:r>
          </w:p>
        </w:tc>
      </w:tr>
      <w:tr w:rsidR="00965D85" w:rsidRPr="00E22AD9" w:rsidTr="008B46DF">
        <w:tc>
          <w:tcPr>
            <w:tcW w:w="2618" w:type="dxa"/>
            <w:tcBorders>
              <w:top w:val="nil"/>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20"/>
                <w:vertAlign w:val="superscript"/>
                <w:lang w:eastAsia="en-AU"/>
              </w:rPr>
            </w:pPr>
            <w:r w:rsidRPr="00E22AD9">
              <w:rPr>
                <w:rFonts w:ascii="Calibri" w:eastAsiaTheme="minorEastAsia" w:hAnsi="Calibri" w:cs="Calibri"/>
                <w:color w:val="000000"/>
                <w:sz w:val="19"/>
                <w:lang w:eastAsia="en-AU"/>
              </w:rPr>
              <w:t>Sales of goods and services</w:t>
            </w:r>
            <w:r w:rsidRPr="00E22AD9">
              <w:rPr>
                <w:rFonts w:ascii="Calibri" w:eastAsiaTheme="minorEastAsia" w:hAnsi="Calibri" w:cs="Calibri"/>
                <w:color w:val="000000"/>
                <w:sz w:val="19"/>
                <w:vertAlign w:val="superscript"/>
                <w:lang w:eastAsia="en-AU"/>
              </w:rPr>
              <w:t xml:space="preserve"> (a)</w:t>
            </w:r>
          </w:p>
        </w:tc>
        <w:tc>
          <w:tcPr>
            <w:tcW w:w="574" w:type="dxa"/>
            <w:gridSpan w:val="2"/>
            <w:tcBorders>
              <w:top w:val="nil"/>
              <w:left w:val="nil"/>
              <w:right w:val="nil"/>
            </w:tcBorders>
            <w:shd w:val="clear" w:color="auto" w:fill="FFFFFF"/>
          </w:tcPr>
          <w:p w:rsidR="00965D85" w:rsidRPr="00E22AD9" w:rsidRDefault="00965D85" w:rsidP="008B46DF">
            <w:pPr>
              <w:autoSpaceDE w:val="0"/>
              <w:autoSpaceDN w:val="0"/>
              <w:adjustRightInd w:val="0"/>
              <w:spacing w:after="0"/>
              <w:jc w:val="center"/>
              <w:rPr>
                <w:rFonts w:ascii="Calibri" w:eastAsiaTheme="minorEastAsia" w:hAnsi="Calibri" w:cs="Calibri"/>
                <w:color w:val="000000"/>
                <w:sz w:val="20"/>
                <w:lang w:eastAsia="en-AU"/>
              </w:rPr>
            </w:pPr>
            <w:r w:rsidRPr="00E22AD9">
              <w:rPr>
                <w:rFonts w:ascii="Calibri" w:eastAsiaTheme="minorEastAsia" w:hAnsi="Calibri" w:cs="Calibri"/>
                <w:color w:val="000000"/>
                <w:sz w:val="19"/>
                <w:lang w:eastAsia="en-AU"/>
              </w:rPr>
              <w:t xml:space="preserve"> </w:t>
            </w:r>
          </w:p>
        </w:tc>
        <w:tc>
          <w:tcPr>
            <w:tcW w:w="915" w:type="dxa"/>
            <w:gridSpan w:val="3"/>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7 531.3</w:t>
            </w:r>
          </w:p>
        </w:tc>
        <w:tc>
          <w:tcPr>
            <w:tcW w:w="915"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7 521.5</w:t>
            </w:r>
          </w:p>
        </w:tc>
        <w:tc>
          <w:tcPr>
            <w:tcW w:w="915"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7 659.3</w:t>
            </w:r>
          </w:p>
        </w:tc>
        <w:tc>
          <w:tcPr>
            <w:tcW w:w="915"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7 710.7</w:t>
            </w:r>
          </w:p>
        </w:tc>
        <w:tc>
          <w:tcPr>
            <w:tcW w:w="915"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7 690.7</w:t>
            </w:r>
          </w:p>
        </w:tc>
      </w:tr>
      <w:tr w:rsidR="00965D85" w:rsidRPr="00E22AD9" w:rsidTr="008B46DF">
        <w:tc>
          <w:tcPr>
            <w:tcW w:w="2618" w:type="dxa"/>
            <w:tcBorders>
              <w:top w:val="nil"/>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Interest received</w:t>
            </w:r>
          </w:p>
        </w:tc>
        <w:tc>
          <w:tcPr>
            <w:tcW w:w="574" w:type="dxa"/>
            <w:gridSpan w:val="2"/>
            <w:tcBorders>
              <w:top w:val="nil"/>
              <w:left w:val="nil"/>
              <w:right w:val="nil"/>
            </w:tcBorders>
            <w:shd w:val="clear" w:color="auto" w:fill="FFFFFF"/>
          </w:tcPr>
          <w:p w:rsidR="00965D85" w:rsidRPr="00E22AD9" w:rsidRDefault="00965D85" w:rsidP="008B46DF">
            <w:pPr>
              <w:autoSpaceDE w:val="0"/>
              <w:autoSpaceDN w:val="0"/>
              <w:adjustRightInd w:val="0"/>
              <w:spacing w:after="0"/>
              <w:jc w:val="center"/>
              <w:rPr>
                <w:rFonts w:ascii="Calibri" w:eastAsiaTheme="minorEastAsia" w:hAnsi="Calibri" w:cs="Calibri"/>
                <w:color w:val="000000"/>
                <w:sz w:val="20"/>
                <w:lang w:eastAsia="en-AU"/>
              </w:rPr>
            </w:pPr>
            <w:r w:rsidRPr="00E22AD9">
              <w:rPr>
                <w:rFonts w:ascii="Calibri" w:eastAsiaTheme="minorEastAsia" w:hAnsi="Calibri" w:cs="Calibri"/>
                <w:color w:val="000000"/>
                <w:sz w:val="19"/>
                <w:lang w:eastAsia="en-AU"/>
              </w:rPr>
              <w:t xml:space="preserve"> </w:t>
            </w:r>
          </w:p>
        </w:tc>
        <w:tc>
          <w:tcPr>
            <w:tcW w:w="915" w:type="dxa"/>
            <w:gridSpan w:val="3"/>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811.8</w:t>
            </w:r>
          </w:p>
        </w:tc>
        <w:tc>
          <w:tcPr>
            <w:tcW w:w="915"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787.2</w:t>
            </w:r>
          </w:p>
        </w:tc>
        <w:tc>
          <w:tcPr>
            <w:tcW w:w="915"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795.4</w:t>
            </w:r>
          </w:p>
        </w:tc>
        <w:tc>
          <w:tcPr>
            <w:tcW w:w="915"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804.5</w:t>
            </w:r>
          </w:p>
        </w:tc>
        <w:tc>
          <w:tcPr>
            <w:tcW w:w="915"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807.4</w:t>
            </w:r>
          </w:p>
        </w:tc>
      </w:tr>
      <w:tr w:rsidR="00965D85" w:rsidRPr="00E22AD9" w:rsidTr="008B46DF">
        <w:tc>
          <w:tcPr>
            <w:tcW w:w="2618" w:type="dxa"/>
            <w:tcBorders>
              <w:top w:val="nil"/>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Dividends and income tax equivalent and rate equivalent revenue</w:t>
            </w:r>
          </w:p>
        </w:tc>
        <w:tc>
          <w:tcPr>
            <w:tcW w:w="574" w:type="dxa"/>
            <w:gridSpan w:val="2"/>
            <w:tcBorders>
              <w:top w:val="nil"/>
              <w:left w:val="nil"/>
              <w:right w:val="nil"/>
            </w:tcBorders>
            <w:shd w:val="clear" w:color="auto" w:fill="FFFFFF"/>
          </w:tcPr>
          <w:p w:rsidR="00965D85" w:rsidRPr="00E22AD9" w:rsidRDefault="00965D85" w:rsidP="008B46DF">
            <w:pPr>
              <w:autoSpaceDE w:val="0"/>
              <w:autoSpaceDN w:val="0"/>
              <w:adjustRightInd w:val="0"/>
              <w:spacing w:after="0"/>
              <w:jc w:val="center"/>
              <w:rPr>
                <w:rFonts w:ascii="Calibri" w:eastAsiaTheme="minorEastAsia" w:hAnsi="Calibri" w:cs="Calibri"/>
                <w:color w:val="000000"/>
                <w:sz w:val="20"/>
                <w:lang w:eastAsia="en-AU"/>
              </w:rPr>
            </w:pPr>
            <w:r w:rsidRPr="00E22AD9">
              <w:rPr>
                <w:rFonts w:ascii="Calibri" w:eastAsiaTheme="minorEastAsia" w:hAnsi="Calibri" w:cs="Calibri"/>
                <w:color w:val="000000"/>
                <w:sz w:val="19"/>
                <w:lang w:eastAsia="en-AU"/>
              </w:rPr>
              <w:t xml:space="preserve"> </w:t>
            </w:r>
          </w:p>
        </w:tc>
        <w:tc>
          <w:tcPr>
            <w:tcW w:w="915" w:type="dxa"/>
            <w:gridSpan w:val="3"/>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1 143.5</w:t>
            </w:r>
          </w:p>
        </w:tc>
        <w:tc>
          <w:tcPr>
            <w:tcW w:w="915"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1 120.0</w:t>
            </w:r>
          </w:p>
        </w:tc>
        <w:tc>
          <w:tcPr>
            <w:tcW w:w="915"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989.6</w:t>
            </w:r>
          </w:p>
        </w:tc>
        <w:tc>
          <w:tcPr>
            <w:tcW w:w="915"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982.5</w:t>
            </w:r>
          </w:p>
        </w:tc>
        <w:tc>
          <w:tcPr>
            <w:tcW w:w="915"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825.3</w:t>
            </w:r>
          </w:p>
        </w:tc>
      </w:tr>
      <w:tr w:rsidR="00965D85" w:rsidRPr="00E22AD9" w:rsidTr="008B46DF">
        <w:tc>
          <w:tcPr>
            <w:tcW w:w="2618"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Other receipts</w:t>
            </w:r>
          </w:p>
        </w:tc>
        <w:tc>
          <w:tcPr>
            <w:tcW w:w="574" w:type="dxa"/>
            <w:gridSpan w:val="2"/>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center"/>
              <w:rPr>
                <w:rFonts w:ascii="Calibri" w:eastAsiaTheme="minorEastAsia" w:hAnsi="Calibri" w:cs="Calibri"/>
                <w:color w:val="000000"/>
                <w:sz w:val="20"/>
                <w:lang w:eastAsia="en-AU"/>
              </w:rPr>
            </w:pPr>
            <w:r w:rsidRPr="00E22AD9">
              <w:rPr>
                <w:rFonts w:ascii="Calibri" w:eastAsiaTheme="minorEastAsia" w:hAnsi="Calibri" w:cs="Calibri"/>
                <w:color w:val="000000"/>
                <w:sz w:val="19"/>
                <w:lang w:eastAsia="en-AU"/>
              </w:rPr>
              <w:t xml:space="preserve"> </w:t>
            </w:r>
          </w:p>
        </w:tc>
        <w:tc>
          <w:tcPr>
            <w:tcW w:w="915" w:type="dxa"/>
            <w:gridSpan w:val="3"/>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1 741.4</w:t>
            </w:r>
          </w:p>
        </w:tc>
        <w:tc>
          <w:tcPr>
            <w:tcW w:w="915"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2 007.2</w:t>
            </w:r>
          </w:p>
        </w:tc>
        <w:tc>
          <w:tcPr>
            <w:tcW w:w="915"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2 091.4</w:t>
            </w:r>
          </w:p>
        </w:tc>
        <w:tc>
          <w:tcPr>
            <w:tcW w:w="915"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2 037.2</w:t>
            </w:r>
          </w:p>
        </w:tc>
        <w:tc>
          <w:tcPr>
            <w:tcW w:w="915"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2 025.9</w:t>
            </w:r>
          </w:p>
        </w:tc>
      </w:tr>
      <w:tr w:rsidR="00965D85" w:rsidRPr="00E22AD9" w:rsidTr="008B46DF">
        <w:tc>
          <w:tcPr>
            <w:tcW w:w="2618" w:type="dxa"/>
            <w:tcBorders>
              <w:top w:val="single" w:sz="6" w:space="0" w:color="000000"/>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b/>
                <w:bCs/>
                <w:color w:val="000000"/>
                <w:sz w:val="19"/>
                <w:lang w:eastAsia="en-AU"/>
              </w:rPr>
            </w:pPr>
            <w:r w:rsidRPr="00E22AD9">
              <w:rPr>
                <w:rFonts w:ascii="Calibri" w:eastAsiaTheme="minorEastAsia" w:hAnsi="Calibri" w:cs="Calibri"/>
                <w:b/>
                <w:bCs/>
                <w:color w:val="000000"/>
                <w:sz w:val="19"/>
                <w:lang w:eastAsia="en-AU"/>
              </w:rPr>
              <w:t>Total receipts</w:t>
            </w:r>
          </w:p>
        </w:tc>
        <w:tc>
          <w:tcPr>
            <w:tcW w:w="574" w:type="dxa"/>
            <w:gridSpan w:val="2"/>
            <w:tcBorders>
              <w:top w:val="single" w:sz="6" w:space="0" w:color="000000"/>
              <w:left w:val="nil"/>
              <w:right w:val="nil"/>
            </w:tcBorders>
            <w:shd w:val="clear" w:color="auto" w:fill="FFFFFF"/>
          </w:tcPr>
          <w:p w:rsidR="00965D85" w:rsidRPr="00E22AD9" w:rsidRDefault="00965D85" w:rsidP="008B46DF">
            <w:pPr>
              <w:autoSpaceDE w:val="0"/>
              <w:autoSpaceDN w:val="0"/>
              <w:adjustRightInd w:val="0"/>
              <w:spacing w:after="0"/>
              <w:jc w:val="center"/>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19"/>
                <w:lang w:eastAsia="en-AU"/>
              </w:rPr>
              <w:t xml:space="preserve"> </w:t>
            </w:r>
          </w:p>
        </w:tc>
        <w:tc>
          <w:tcPr>
            <w:tcW w:w="915" w:type="dxa"/>
            <w:gridSpan w:val="3"/>
            <w:tcBorders>
              <w:top w:val="single" w:sz="6" w:space="0" w:color="000000"/>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19"/>
                <w:lang w:eastAsia="en-AU"/>
              </w:rPr>
            </w:pPr>
            <w:r w:rsidRPr="00E22AD9">
              <w:rPr>
                <w:rFonts w:ascii="Calibri" w:eastAsiaTheme="minorEastAsia" w:hAnsi="Calibri" w:cs="Calibri"/>
                <w:b/>
                <w:bCs/>
                <w:color w:val="000000"/>
                <w:sz w:val="19"/>
                <w:lang w:eastAsia="en-AU"/>
              </w:rPr>
              <w:t>55 903.6</w:t>
            </w:r>
          </w:p>
        </w:tc>
        <w:tc>
          <w:tcPr>
            <w:tcW w:w="915" w:type="dxa"/>
            <w:tcBorders>
              <w:top w:val="single" w:sz="6" w:space="0" w:color="000000"/>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19"/>
                <w:lang w:eastAsia="en-AU"/>
              </w:rPr>
            </w:pPr>
            <w:r w:rsidRPr="00E22AD9">
              <w:rPr>
                <w:rFonts w:ascii="Calibri" w:eastAsiaTheme="minorEastAsia" w:hAnsi="Calibri" w:cs="Calibri"/>
                <w:b/>
                <w:bCs/>
                <w:color w:val="000000"/>
                <w:sz w:val="19"/>
                <w:lang w:eastAsia="en-AU"/>
              </w:rPr>
              <w:t>56 394.8</w:t>
            </w:r>
          </w:p>
        </w:tc>
        <w:tc>
          <w:tcPr>
            <w:tcW w:w="915" w:type="dxa"/>
            <w:tcBorders>
              <w:top w:val="single" w:sz="6" w:space="0" w:color="000000"/>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19"/>
                <w:lang w:eastAsia="en-AU"/>
              </w:rPr>
            </w:pPr>
            <w:r w:rsidRPr="00E22AD9">
              <w:rPr>
                <w:rFonts w:ascii="Calibri" w:eastAsiaTheme="minorEastAsia" w:hAnsi="Calibri" w:cs="Calibri"/>
                <w:b/>
                <w:bCs/>
                <w:color w:val="000000"/>
                <w:sz w:val="19"/>
                <w:lang w:eastAsia="en-AU"/>
              </w:rPr>
              <w:t>57 504.8</w:t>
            </w:r>
          </w:p>
        </w:tc>
        <w:tc>
          <w:tcPr>
            <w:tcW w:w="915" w:type="dxa"/>
            <w:tcBorders>
              <w:top w:val="single" w:sz="6" w:space="0" w:color="000000"/>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19"/>
                <w:lang w:eastAsia="en-AU"/>
              </w:rPr>
            </w:pPr>
            <w:r w:rsidRPr="00E22AD9">
              <w:rPr>
                <w:rFonts w:ascii="Calibri" w:eastAsiaTheme="minorEastAsia" w:hAnsi="Calibri" w:cs="Calibri"/>
                <w:b/>
                <w:bCs/>
                <w:color w:val="000000"/>
                <w:sz w:val="19"/>
                <w:lang w:eastAsia="en-AU"/>
              </w:rPr>
              <w:t>59 810.2</w:t>
            </w:r>
          </w:p>
        </w:tc>
        <w:tc>
          <w:tcPr>
            <w:tcW w:w="915" w:type="dxa"/>
            <w:tcBorders>
              <w:top w:val="single" w:sz="6" w:space="0" w:color="000000"/>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19"/>
                <w:lang w:eastAsia="en-AU"/>
              </w:rPr>
            </w:pPr>
            <w:r w:rsidRPr="00E22AD9">
              <w:rPr>
                <w:rFonts w:ascii="Calibri" w:eastAsiaTheme="minorEastAsia" w:hAnsi="Calibri" w:cs="Calibri"/>
                <w:b/>
                <w:bCs/>
                <w:color w:val="000000"/>
                <w:sz w:val="19"/>
                <w:lang w:eastAsia="en-AU"/>
              </w:rPr>
              <w:t>61 013.2</w:t>
            </w:r>
          </w:p>
        </w:tc>
      </w:tr>
      <w:tr w:rsidR="00965D85" w:rsidRPr="00E22AD9" w:rsidTr="008B46DF">
        <w:tc>
          <w:tcPr>
            <w:tcW w:w="2618" w:type="dxa"/>
            <w:tcBorders>
              <w:top w:val="nil"/>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b/>
                <w:bCs/>
                <w:color w:val="000000"/>
                <w:sz w:val="19"/>
                <w:lang w:eastAsia="en-AU"/>
              </w:rPr>
            </w:pPr>
            <w:r w:rsidRPr="00E22AD9">
              <w:rPr>
                <w:rFonts w:ascii="Calibri" w:eastAsiaTheme="minorEastAsia" w:hAnsi="Calibri" w:cs="Calibri"/>
                <w:b/>
                <w:bCs/>
                <w:color w:val="000000"/>
                <w:sz w:val="19"/>
                <w:lang w:eastAsia="en-AU"/>
              </w:rPr>
              <w:t>Payments</w:t>
            </w:r>
          </w:p>
        </w:tc>
        <w:tc>
          <w:tcPr>
            <w:tcW w:w="574" w:type="dxa"/>
            <w:gridSpan w:val="2"/>
            <w:tcBorders>
              <w:top w:val="nil"/>
              <w:left w:val="nil"/>
              <w:right w:val="nil"/>
            </w:tcBorders>
            <w:shd w:val="clear" w:color="auto" w:fill="FFFFFF"/>
          </w:tcPr>
          <w:p w:rsidR="00965D85" w:rsidRPr="00E22AD9" w:rsidRDefault="00965D85" w:rsidP="008B46DF">
            <w:pPr>
              <w:autoSpaceDE w:val="0"/>
              <w:autoSpaceDN w:val="0"/>
              <w:adjustRightInd w:val="0"/>
              <w:spacing w:after="0"/>
              <w:jc w:val="center"/>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19"/>
                <w:lang w:eastAsia="en-AU"/>
              </w:rPr>
              <w:t xml:space="preserve"> </w:t>
            </w:r>
          </w:p>
        </w:tc>
        <w:tc>
          <w:tcPr>
            <w:tcW w:w="915" w:type="dxa"/>
            <w:gridSpan w:val="3"/>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915"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915"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915"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915"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r>
      <w:tr w:rsidR="00965D85" w:rsidRPr="00E22AD9" w:rsidTr="008B46DF">
        <w:tc>
          <w:tcPr>
            <w:tcW w:w="2618" w:type="dxa"/>
            <w:tcBorders>
              <w:top w:val="nil"/>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Payments for employees</w:t>
            </w:r>
          </w:p>
        </w:tc>
        <w:tc>
          <w:tcPr>
            <w:tcW w:w="574" w:type="dxa"/>
            <w:gridSpan w:val="2"/>
            <w:tcBorders>
              <w:top w:val="nil"/>
              <w:left w:val="nil"/>
              <w:right w:val="nil"/>
            </w:tcBorders>
            <w:shd w:val="clear" w:color="auto" w:fill="FFFFFF"/>
          </w:tcPr>
          <w:p w:rsidR="00965D85" w:rsidRPr="00E22AD9" w:rsidRDefault="00965D85" w:rsidP="008B46DF">
            <w:pPr>
              <w:autoSpaceDE w:val="0"/>
              <w:autoSpaceDN w:val="0"/>
              <w:adjustRightInd w:val="0"/>
              <w:spacing w:after="0"/>
              <w:jc w:val="center"/>
              <w:rPr>
                <w:rFonts w:ascii="Calibri" w:eastAsiaTheme="minorEastAsia" w:hAnsi="Calibri" w:cs="Calibri"/>
                <w:color w:val="000000"/>
                <w:sz w:val="20"/>
                <w:lang w:eastAsia="en-AU"/>
              </w:rPr>
            </w:pPr>
            <w:r w:rsidRPr="00E22AD9">
              <w:rPr>
                <w:rFonts w:ascii="Calibri" w:eastAsiaTheme="minorEastAsia" w:hAnsi="Calibri" w:cs="Calibri"/>
                <w:color w:val="000000"/>
                <w:sz w:val="19"/>
                <w:lang w:eastAsia="en-AU"/>
              </w:rPr>
              <w:t xml:space="preserve"> </w:t>
            </w:r>
          </w:p>
        </w:tc>
        <w:tc>
          <w:tcPr>
            <w:tcW w:w="915" w:type="dxa"/>
            <w:gridSpan w:val="3"/>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(19 657.1)</w:t>
            </w:r>
          </w:p>
        </w:tc>
        <w:tc>
          <w:tcPr>
            <w:tcW w:w="915"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(19 819.2)</w:t>
            </w:r>
          </w:p>
        </w:tc>
        <w:tc>
          <w:tcPr>
            <w:tcW w:w="915"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(20 516.4)</w:t>
            </w:r>
          </w:p>
        </w:tc>
        <w:tc>
          <w:tcPr>
            <w:tcW w:w="915"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(21 440.3)</w:t>
            </w:r>
          </w:p>
        </w:tc>
        <w:tc>
          <w:tcPr>
            <w:tcW w:w="915"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(22 336.3)</w:t>
            </w:r>
          </w:p>
        </w:tc>
      </w:tr>
      <w:tr w:rsidR="00965D85" w:rsidRPr="00E22AD9" w:rsidTr="008B46DF">
        <w:tc>
          <w:tcPr>
            <w:tcW w:w="2618" w:type="dxa"/>
            <w:tcBorders>
              <w:top w:val="nil"/>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Superannuation</w:t>
            </w:r>
          </w:p>
        </w:tc>
        <w:tc>
          <w:tcPr>
            <w:tcW w:w="574" w:type="dxa"/>
            <w:gridSpan w:val="2"/>
            <w:tcBorders>
              <w:top w:val="nil"/>
              <w:left w:val="nil"/>
              <w:right w:val="nil"/>
            </w:tcBorders>
            <w:shd w:val="clear" w:color="auto" w:fill="FFFFFF"/>
          </w:tcPr>
          <w:p w:rsidR="00965D85" w:rsidRPr="00E22AD9" w:rsidRDefault="00965D85" w:rsidP="008B46DF">
            <w:pPr>
              <w:autoSpaceDE w:val="0"/>
              <w:autoSpaceDN w:val="0"/>
              <w:adjustRightInd w:val="0"/>
              <w:spacing w:after="0"/>
              <w:jc w:val="center"/>
              <w:rPr>
                <w:rFonts w:ascii="Calibri" w:eastAsiaTheme="minorEastAsia" w:hAnsi="Calibri" w:cs="Calibri"/>
                <w:color w:val="000000"/>
                <w:sz w:val="20"/>
                <w:lang w:eastAsia="en-AU"/>
              </w:rPr>
            </w:pPr>
            <w:r w:rsidRPr="00E22AD9">
              <w:rPr>
                <w:rFonts w:ascii="Calibri" w:eastAsiaTheme="minorEastAsia" w:hAnsi="Calibri" w:cs="Calibri"/>
                <w:color w:val="000000"/>
                <w:sz w:val="19"/>
                <w:lang w:eastAsia="en-AU"/>
              </w:rPr>
              <w:t xml:space="preserve"> </w:t>
            </w:r>
          </w:p>
        </w:tc>
        <w:tc>
          <w:tcPr>
            <w:tcW w:w="915" w:type="dxa"/>
            <w:gridSpan w:val="3"/>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(2 969.0)</w:t>
            </w:r>
          </w:p>
        </w:tc>
        <w:tc>
          <w:tcPr>
            <w:tcW w:w="915"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(2 783.6)</w:t>
            </w:r>
          </w:p>
        </w:tc>
        <w:tc>
          <w:tcPr>
            <w:tcW w:w="915"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(2 836.2)</w:t>
            </w:r>
          </w:p>
        </w:tc>
        <w:tc>
          <w:tcPr>
            <w:tcW w:w="915"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(2 863.1)</w:t>
            </w:r>
          </w:p>
        </w:tc>
        <w:tc>
          <w:tcPr>
            <w:tcW w:w="915"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(2 941.0)</w:t>
            </w:r>
          </w:p>
        </w:tc>
      </w:tr>
      <w:tr w:rsidR="00965D85" w:rsidRPr="00E22AD9" w:rsidTr="008B46DF">
        <w:tc>
          <w:tcPr>
            <w:tcW w:w="2618" w:type="dxa"/>
            <w:tcBorders>
              <w:top w:val="nil"/>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Interest paid</w:t>
            </w:r>
          </w:p>
        </w:tc>
        <w:tc>
          <w:tcPr>
            <w:tcW w:w="574" w:type="dxa"/>
            <w:gridSpan w:val="2"/>
            <w:tcBorders>
              <w:top w:val="nil"/>
              <w:left w:val="nil"/>
              <w:right w:val="nil"/>
            </w:tcBorders>
            <w:shd w:val="clear" w:color="auto" w:fill="FFFFFF"/>
          </w:tcPr>
          <w:p w:rsidR="00965D85" w:rsidRPr="00E22AD9" w:rsidRDefault="00965D85" w:rsidP="008B46DF">
            <w:pPr>
              <w:autoSpaceDE w:val="0"/>
              <w:autoSpaceDN w:val="0"/>
              <w:adjustRightInd w:val="0"/>
              <w:spacing w:after="0"/>
              <w:jc w:val="center"/>
              <w:rPr>
                <w:rFonts w:ascii="Calibri" w:eastAsiaTheme="minorEastAsia" w:hAnsi="Calibri" w:cs="Calibri"/>
                <w:color w:val="000000"/>
                <w:sz w:val="20"/>
                <w:lang w:eastAsia="en-AU"/>
              </w:rPr>
            </w:pPr>
            <w:r w:rsidRPr="00E22AD9">
              <w:rPr>
                <w:rFonts w:ascii="Calibri" w:eastAsiaTheme="minorEastAsia" w:hAnsi="Calibri" w:cs="Calibri"/>
                <w:color w:val="000000"/>
                <w:sz w:val="19"/>
                <w:lang w:eastAsia="en-AU"/>
              </w:rPr>
              <w:t xml:space="preserve"> </w:t>
            </w:r>
          </w:p>
        </w:tc>
        <w:tc>
          <w:tcPr>
            <w:tcW w:w="915" w:type="dxa"/>
            <w:gridSpan w:val="3"/>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(2 058.6)</w:t>
            </w:r>
          </w:p>
        </w:tc>
        <w:tc>
          <w:tcPr>
            <w:tcW w:w="915"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(2 093.2)</w:t>
            </w:r>
          </w:p>
        </w:tc>
        <w:tc>
          <w:tcPr>
            <w:tcW w:w="915"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(2 071.2)</w:t>
            </w:r>
          </w:p>
        </w:tc>
        <w:tc>
          <w:tcPr>
            <w:tcW w:w="915"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(2 130.1)</w:t>
            </w:r>
          </w:p>
        </w:tc>
        <w:tc>
          <w:tcPr>
            <w:tcW w:w="915"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(2 122.5)</w:t>
            </w:r>
          </w:p>
        </w:tc>
      </w:tr>
      <w:tr w:rsidR="00965D85" w:rsidRPr="00E22AD9" w:rsidTr="008B46DF">
        <w:tc>
          <w:tcPr>
            <w:tcW w:w="2618" w:type="dxa"/>
            <w:tcBorders>
              <w:top w:val="nil"/>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Grants and subsidies</w:t>
            </w:r>
          </w:p>
        </w:tc>
        <w:tc>
          <w:tcPr>
            <w:tcW w:w="574" w:type="dxa"/>
            <w:gridSpan w:val="2"/>
            <w:tcBorders>
              <w:top w:val="nil"/>
              <w:left w:val="nil"/>
              <w:right w:val="nil"/>
            </w:tcBorders>
            <w:shd w:val="clear" w:color="auto" w:fill="FFFFFF"/>
          </w:tcPr>
          <w:p w:rsidR="00965D85" w:rsidRPr="00E22AD9" w:rsidRDefault="00965D85" w:rsidP="008B46DF">
            <w:pPr>
              <w:autoSpaceDE w:val="0"/>
              <w:autoSpaceDN w:val="0"/>
              <w:adjustRightInd w:val="0"/>
              <w:spacing w:after="0"/>
              <w:jc w:val="center"/>
              <w:rPr>
                <w:rFonts w:ascii="Calibri" w:eastAsiaTheme="minorEastAsia" w:hAnsi="Calibri" w:cs="Calibri"/>
                <w:color w:val="000000"/>
                <w:sz w:val="20"/>
                <w:lang w:eastAsia="en-AU"/>
              </w:rPr>
            </w:pPr>
            <w:r w:rsidRPr="00E22AD9">
              <w:rPr>
                <w:rFonts w:ascii="Calibri" w:eastAsiaTheme="minorEastAsia" w:hAnsi="Calibri" w:cs="Calibri"/>
                <w:color w:val="000000"/>
                <w:sz w:val="19"/>
                <w:lang w:eastAsia="en-AU"/>
              </w:rPr>
              <w:t xml:space="preserve"> </w:t>
            </w:r>
          </w:p>
        </w:tc>
        <w:tc>
          <w:tcPr>
            <w:tcW w:w="915" w:type="dxa"/>
            <w:gridSpan w:val="3"/>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(8 748.0)</w:t>
            </w:r>
          </w:p>
        </w:tc>
        <w:tc>
          <w:tcPr>
            <w:tcW w:w="915"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(8 724.7)</w:t>
            </w:r>
          </w:p>
        </w:tc>
        <w:tc>
          <w:tcPr>
            <w:tcW w:w="915"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(9 214.9)</w:t>
            </w:r>
          </w:p>
        </w:tc>
        <w:tc>
          <w:tcPr>
            <w:tcW w:w="915"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(9 454.9)</w:t>
            </w:r>
          </w:p>
        </w:tc>
        <w:tc>
          <w:tcPr>
            <w:tcW w:w="915"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(9 722.5)</w:t>
            </w:r>
          </w:p>
        </w:tc>
      </w:tr>
      <w:tr w:rsidR="00965D85" w:rsidRPr="00E22AD9" w:rsidTr="008B46DF">
        <w:tc>
          <w:tcPr>
            <w:tcW w:w="2618" w:type="dxa"/>
            <w:tcBorders>
              <w:top w:val="nil"/>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20"/>
                <w:vertAlign w:val="superscript"/>
                <w:lang w:eastAsia="en-AU"/>
              </w:rPr>
            </w:pPr>
            <w:r w:rsidRPr="00E22AD9">
              <w:rPr>
                <w:rFonts w:ascii="Calibri" w:eastAsiaTheme="minorEastAsia" w:hAnsi="Calibri" w:cs="Calibri"/>
                <w:color w:val="000000"/>
                <w:sz w:val="19"/>
                <w:lang w:eastAsia="en-AU"/>
              </w:rPr>
              <w:t>Goods and services</w:t>
            </w:r>
            <w:r w:rsidRPr="00E22AD9">
              <w:rPr>
                <w:rFonts w:ascii="Calibri" w:eastAsiaTheme="minorEastAsia" w:hAnsi="Calibri" w:cs="Calibri"/>
                <w:color w:val="000000"/>
                <w:sz w:val="19"/>
                <w:vertAlign w:val="superscript"/>
                <w:lang w:eastAsia="en-AU"/>
              </w:rPr>
              <w:t xml:space="preserve"> (a)</w:t>
            </w:r>
          </w:p>
        </w:tc>
        <w:tc>
          <w:tcPr>
            <w:tcW w:w="574" w:type="dxa"/>
            <w:gridSpan w:val="2"/>
            <w:tcBorders>
              <w:top w:val="nil"/>
              <w:left w:val="nil"/>
              <w:right w:val="nil"/>
            </w:tcBorders>
            <w:shd w:val="clear" w:color="auto" w:fill="FFFFFF"/>
          </w:tcPr>
          <w:p w:rsidR="00965D85" w:rsidRPr="00E22AD9" w:rsidRDefault="00965D85" w:rsidP="008B46DF">
            <w:pPr>
              <w:autoSpaceDE w:val="0"/>
              <w:autoSpaceDN w:val="0"/>
              <w:adjustRightInd w:val="0"/>
              <w:spacing w:after="0"/>
              <w:jc w:val="center"/>
              <w:rPr>
                <w:rFonts w:ascii="Calibri" w:eastAsiaTheme="minorEastAsia" w:hAnsi="Calibri" w:cs="Calibri"/>
                <w:color w:val="000000"/>
                <w:sz w:val="20"/>
                <w:lang w:eastAsia="en-AU"/>
              </w:rPr>
            </w:pPr>
            <w:r w:rsidRPr="00E22AD9">
              <w:rPr>
                <w:rFonts w:ascii="Calibri" w:eastAsiaTheme="minorEastAsia" w:hAnsi="Calibri" w:cs="Calibri"/>
                <w:color w:val="000000"/>
                <w:sz w:val="19"/>
                <w:lang w:eastAsia="en-AU"/>
              </w:rPr>
              <w:t xml:space="preserve"> </w:t>
            </w:r>
          </w:p>
        </w:tc>
        <w:tc>
          <w:tcPr>
            <w:tcW w:w="915" w:type="dxa"/>
            <w:gridSpan w:val="3"/>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(18 055.5)</w:t>
            </w:r>
          </w:p>
        </w:tc>
        <w:tc>
          <w:tcPr>
            <w:tcW w:w="915"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(18 271.7)</w:t>
            </w:r>
          </w:p>
        </w:tc>
        <w:tc>
          <w:tcPr>
            <w:tcW w:w="915"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(18 034.8)</w:t>
            </w:r>
          </w:p>
        </w:tc>
        <w:tc>
          <w:tcPr>
            <w:tcW w:w="915"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(18 608.1)</w:t>
            </w:r>
          </w:p>
        </w:tc>
        <w:tc>
          <w:tcPr>
            <w:tcW w:w="915"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(18 843.1)</w:t>
            </w:r>
          </w:p>
        </w:tc>
      </w:tr>
      <w:tr w:rsidR="00965D85" w:rsidRPr="00E22AD9" w:rsidTr="008B46DF">
        <w:tc>
          <w:tcPr>
            <w:tcW w:w="2618"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Other payments</w:t>
            </w:r>
          </w:p>
        </w:tc>
        <w:tc>
          <w:tcPr>
            <w:tcW w:w="574" w:type="dxa"/>
            <w:gridSpan w:val="2"/>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center"/>
              <w:rPr>
                <w:rFonts w:ascii="Calibri" w:eastAsiaTheme="minorEastAsia" w:hAnsi="Calibri" w:cs="Calibri"/>
                <w:color w:val="000000"/>
                <w:sz w:val="20"/>
                <w:lang w:eastAsia="en-AU"/>
              </w:rPr>
            </w:pPr>
            <w:r w:rsidRPr="00E22AD9">
              <w:rPr>
                <w:rFonts w:ascii="Calibri" w:eastAsiaTheme="minorEastAsia" w:hAnsi="Calibri" w:cs="Calibri"/>
                <w:color w:val="000000"/>
                <w:sz w:val="19"/>
                <w:lang w:eastAsia="en-AU"/>
              </w:rPr>
              <w:t xml:space="preserve"> </w:t>
            </w:r>
          </w:p>
        </w:tc>
        <w:tc>
          <w:tcPr>
            <w:tcW w:w="915" w:type="dxa"/>
            <w:gridSpan w:val="3"/>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(660.5)</w:t>
            </w:r>
          </w:p>
        </w:tc>
        <w:tc>
          <w:tcPr>
            <w:tcW w:w="915"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(672.8)</w:t>
            </w:r>
          </w:p>
        </w:tc>
        <w:tc>
          <w:tcPr>
            <w:tcW w:w="915"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(689.6)</w:t>
            </w:r>
          </w:p>
        </w:tc>
        <w:tc>
          <w:tcPr>
            <w:tcW w:w="915"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(720.5)</w:t>
            </w:r>
          </w:p>
        </w:tc>
        <w:tc>
          <w:tcPr>
            <w:tcW w:w="915"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(748.7)</w:t>
            </w:r>
          </w:p>
        </w:tc>
      </w:tr>
      <w:tr w:rsidR="00965D85" w:rsidRPr="00E22AD9" w:rsidTr="008B46DF">
        <w:tc>
          <w:tcPr>
            <w:tcW w:w="2618" w:type="dxa"/>
            <w:tcBorders>
              <w:top w:val="single" w:sz="6" w:space="0" w:color="000000"/>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b/>
                <w:bCs/>
                <w:color w:val="000000"/>
                <w:sz w:val="19"/>
                <w:lang w:eastAsia="en-AU"/>
              </w:rPr>
            </w:pPr>
            <w:r w:rsidRPr="00E22AD9">
              <w:rPr>
                <w:rFonts w:ascii="Calibri" w:eastAsiaTheme="minorEastAsia" w:hAnsi="Calibri" w:cs="Calibri"/>
                <w:b/>
                <w:bCs/>
                <w:color w:val="000000"/>
                <w:sz w:val="19"/>
                <w:lang w:eastAsia="en-AU"/>
              </w:rPr>
              <w:t>Total payments</w:t>
            </w:r>
          </w:p>
        </w:tc>
        <w:tc>
          <w:tcPr>
            <w:tcW w:w="574" w:type="dxa"/>
            <w:gridSpan w:val="2"/>
            <w:tcBorders>
              <w:top w:val="single" w:sz="6" w:space="0" w:color="000000"/>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center"/>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19"/>
                <w:lang w:eastAsia="en-AU"/>
              </w:rPr>
              <w:t xml:space="preserve"> </w:t>
            </w:r>
          </w:p>
        </w:tc>
        <w:tc>
          <w:tcPr>
            <w:tcW w:w="915" w:type="dxa"/>
            <w:gridSpan w:val="3"/>
            <w:tcBorders>
              <w:top w:val="single" w:sz="6" w:space="0" w:color="000000"/>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19"/>
                <w:lang w:eastAsia="en-AU"/>
              </w:rPr>
              <w:t>(52 148.7)</w:t>
            </w:r>
          </w:p>
        </w:tc>
        <w:tc>
          <w:tcPr>
            <w:tcW w:w="915" w:type="dxa"/>
            <w:tcBorders>
              <w:top w:val="single" w:sz="6" w:space="0" w:color="000000"/>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19"/>
                <w:lang w:eastAsia="en-AU"/>
              </w:rPr>
              <w:t>(52 365.2)</w:t>
            </w:r>
          </w:p>
        </w:tc>
        <w:tc>
          <w:tcPr>
            <w:tcW w:w="915" w:type="dxa"/>
            <w:tcBorders>
              <w:top w:val="single" w:sz="6" w:space="0" w:color="000000"/>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19"/>
                <w:lang w:eastAsia="en-AU"/>
              </w:rPr>
              <w:t>(53 363.1)</w:t>
            </w:r>
          </w:p>
        </w:tc>
        <w:tc>
          <w:tcPr>
            <w:tcW w:w="915" w:type="dxa"/>
            <w:tcBorders>
              <w:top w:val="single" w:sz="6" w:space="0" w:color="000000"/>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19"/>
                <w:lang w:eastAsia="en-AU"/>
              </w:rPr>
              <w:t>(55 217.1)</w:t>
            </w:r>
          </w:p>
        </w:tc>
        <w:tc>
          <w:tcPr>
            <w:tcW w:w="915" w:type="dxa"/>
            <w:tcBorders>
              <w:top w:val="single" w:sz="6" w:space="0" w:color="000000"/>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19"/>
                <w:lang w:eastAsia="en-AU"/>
              </w:rPr>
              <w:t>(56 714.1)</w:t>
            </w:r>
          </w:p>
        </w:tc>
      </w:tr>
      <w:tr w:rsidR="00965D85" w:rsidRPr="00E22AD9" w:rsidTr="008B46DF">
        <w:tc>
          <w:tcPr>
            <w:tcW w:w="2618" w:type="dxa"/>
            <w:tcBorders>
              <w:top w:val="single" w:sz="6" w:space="0" w:color="000000"/>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b/>
                <w:bCs/>
                <w:color w:val="000000"/>
                <w:sz w:val="19"/>
                <w:lang w:eastAsia="en-AU"/>
              </w:rPr>
            </w:pPr>
            <w:r w:rsidRPr="00E22AD9">
              <w:rPr>
                <w:rFonts w:ascii="Calibri" w:eastAsiaTheme="minorEastAsia" w:hAnsi="Calibri" w:cs="Calibri"/>
                <w:b/>
                <w:bCs/>
                <w:color w:val="000000"/>
                <w:sz w:val="19"/>
                <w:lang w:eastAsia="en-AU"/>
              </w:rPr>
              <w:t>Net cash flows from operating activities</w:t>
            </w:r>
          </w:p>
        </w:tc>
        <w:tc>
          <w:tcPr>
            <w:tcW w:w="574" w:type="dxa"/>
            <w:gridSpan w:val="2"/>
            <w:tcBorders>
              <w:top w:val="single" w:sz="6" w:space="0" w:color="000000"/>
              <w:left w:val="nil"/>
              <w:right w:val="nil"/>
            </w:tcBorders>
            <w:shd w:val="clear" w:color="auto" w:fill="FFFFFF"/>
          </w:tcPr>
          <w:p w:rsidR="00965D85" w:rsidRPr="00E22AD9" w:rsidRDefault="00965D85" w:rsidP="008B46DF">
            <w:pPr>
              <w:autoSpaceDE w:val="0"/>
              <w:autoSpaceDN w:val="0"/>
              <w:adjustRightInd w:val="0"/>
              <w:spacing w:after="0"/>
              <w:jc w:val="center"/>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19"/>
                <w:lang w:eastAsia="en-AU"/>
              </w:rPr>
              <w:t xml:space="preserve"> </w:t>
            </w:r>
          </w:p>
        </w:tc>
        <w:tc>
          <w:tcPr>
            <w:tcW w:w="915" w:type="dxa"/>
            <w:gridSpan w:val="3"/>
            <w:tcBorders>
              <w:top w:val="single" w:sz="6" w:space="0" w:color="000000"/>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19"/>
                <w:lang w:eastAsia="en-AU"/>
              </w:rPr>
            </w:pPr>
            <w:r w:rsidRPr="00E22AD9">
              <w:rPr>
                <w:rFonts w:ascii="Calibri" w:eastAsiaTheme="minorEastAsia" w:hAnsi="Calibri" w:cs="Calibri"/>
                <w:b/>
                <w:bCs/>
                <w:color w:val="000000"/>
                <w:sz w:val="19"/>
                <w:lang w:eastAsia="en-AU"/>
              </w:rPr>
              <w:t>3 754.9</w:t>
            </w:r>
          </w:p>
        </w:tc>
        <w:tc>
          <w:tcPr>
            <w:tcW w:w="915" w:type="dxa"/>
            <w:tcBorders>
              <w:top w:val="single" w:sz="6" w:space="0" w:color="000000"/>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19"/>
                <w:lang w:eastAsia="en-AU"/>
              </w:rPr>
            </w:pPr>
            <w:r w:rsidRPr="00E22AD9">
              <w:rPr>
                <w:rFonts w:ascii="Calibri" w:eastAsiaTheme="minorEastAsia" w:hAnsi="Calibri" w:cs="Calibri"/>
                <w:b/>
                <w:bCs/>
                <w:color w:val="000000"/>
                <w:sz w:val="19"/>
                <w:lang w:eastAsia="en-AU"/>
              </w:rPr>
              <w:t>4 029.6</w:t>
            </w:r>
          </w:p>
        </w:tc>
        <w:tc>
          <w:tcPr>
            <w:tcW w:w="915" w:type="dxa"/>
            <w:tcBorders>
              <w:top w:val="single" w:sz="6" w:space="0" w:color="000000"/>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19"/>
                <w:lang w:eastAsia="en-AU"/>
              </w:rPr>
            </w:pPr>
            <w:r w:rsidRPr="00E22AD9">
              <w:rPr>
                <w:rFonts w:ascii="Calibri" w:eastAsiaTheme="minorEastAsia" w:hAnsi="Calibri" w:cs="Calibri"/>
                <w:b/>
                <w:bCs/>
                <w:color w:val="000000"/>
                <w:sz w:val="19"/>
                <w:lang w:eastAsia="en-AU"/>
              </w:rPr>
              <w:t>4 141.6</w:t>
            </w:r>
          </w:p>
        </w:tc>
        <w:tc>
          <w:tcPr>
            <w:tcW w:w="915" w:type="dxa"/>
            <w:tcBorders>
              <w:top w:val="single" w:sz="6" w:space="0" w:color="000000"/>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19"/>
                <w:lang w:eastAsia="en-AU"/>
              </w:rPr>
            </w:pPr>
            <w:r w:rsidRPr="00E22AD9">
              <w:rPr>
                <w:rFonts w:ascii="Calibri" w:eastAsiaTheme="minorEastAsia" w:hAnsi="Calibri" w:cs="Calibri"/>
                <w:b/>
                <w:bCs/>
                <w:color w:val="000000"/>
                <w:sz w:val="19"/>
                <w:lang w:eastAsia="en-AU"/>
              </w:rPr>
              <w:t>4 593.1</w:t>
            </w:r>
          </w:p>
        </w:tc>
        <w:tc>
          <w:tcPr>
            <w:tcW w:w="915" w:type="dxa"/>
            <w:tcBorders>
              <w:top w:val="single" w:sz="6" w:space="0" w:color="000000"/>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19"/>
                <w:lang w:eastAsia="en-AU"/>
              </w:rPr>
            </w:pPr>
            <w:r w:rsidRPr="00E22AD9">
              <w:rPr>
                <w:rFonts w:ascii="Calibri" w:eastAsiaTheme="minorEastAsia" w:hAnsi="Calibri" w:cs="Calibri"/>
                <w:b/>
                <w:bCs/>
                <w:color w:val="000000"/>
                <w:sz w:val="19"/>
                <w:lang w:eastAsia="en-AU"/>
              </w:rPr>
              <w:t>4 299.1</w:t>
            </w:r>
          </w:p>
        </w:tc>
      </w:tr>
      <w:tr w:rsidR="00965D85" w:rsidRPr="00E22AD9" w:rsidTr="008B46DF">
        <w:tc>
          <w:tcPr>
            <w:tcW w:w="3544" w:type="dxa"/>
            <w:gridSpan w:val="4"/>
            <w:tcBorders>
              <w:top w:val="nil"/>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b/>
                <w:bCs/>
                <w:color w:val="000000"/>
                <w:sz w:val="19"/>
                <w:lang w:eastAsia="en-AU"/>
              </w:rPr>
            </w:pPr>
            <w:r w:rsidRPr="00E22AD9">
              <w:rPr>
                <w:rFonts w:ascii="Calibri" w:eastAsiaTheme="minorEastAsia" w:hAnsi="Calibri" w:cs="Calibri"/>
                <w:b/>
                <w:bCs/>
                <w:color w:val="000000"/>
                <w:sz w:val="19"/>
                <w:lang w:eastAsia="en-AU"/>
              </w:rPr>
              <w:t>Cash flows from investing activities</w:t>
            </w:r>
          </w:p>
        </w:tc>
        <w:tc>
          <w:tcPr>
            <w:tcW w:w="284" w:type="dxa"/>
            <w:tcBorders>
              <w:top w:val="nil"/>
              <w:left w:val="nil"/>
              <w:right w:val="nil"/>
            </w:tcBorders>
            <w:shd w:val="clear" w:color="auto" w:fill="FFFFFF"/>
          </w:tcPr>
          <w:p w:rsidR="00965D85" w:rsidRPr="00E22AD9" w:rsidRDefault="00965D85" w:rsidP="008B46DF">
            <w:pPr>
              <w:autoSpaceDE w:val="0"/>
              <w:autoSpaceDN w:val="0"/>
              <w:adjustRightInd w:val="0"/>
              <w:spacing w:after="0"/>
              <w:rPr>
                <w:rFonts w:ascii="Calibri" w:eastAsiaTheme="minorEastAsia" w:hAnsi="Calibri" w:cs="Calibri"/>
                <w:b/>
                <w:bCs/>
                <w:color w:val="000000"/>
                <w:sz w:val="19"/>
                <w:lang w:eastAsia="en-AU"/>
              </w:rPr>
            </w:pPr>
            <w:r w:rsidRPr="00E22AD9">
              <w:rPr>
                <w:rFonts w:ascii="Calibri" w:eastAsiaTheme="minorEastAsia" w:hAnsi="Calibri" w:cs="Calibri"/>
                <w:b/>
                <w:bCs/>
                <w:color w:val="000000"/>
                <w:sz w:val="19"/>
                <w:lang w:eastAsia="en-AU"/>
              </w:rPr>
              <w:t xml:space="preserve"> </w:t>
            </w:r>
          </w:p>
        </w:tc>
        <w:tc>
          <w:tcPr>
            <w:tcW w:w="279"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915"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915"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915"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915"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r>
      <w:tr w:rsidR="00965D85" w:rsidRPr="00E22AD9" w:rsidTr="008B46DF">
        <w:tc>
          <w:tcPr>
            <w:tcW w:w="2618" w:type="dxa"/>
            <w:tcBorders>
              <w:top w:val="nil"/>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Purchases of non</w:t>
            </w:r>
            <w:r>
              <w:rPr>
                <w:rFonts w:ascii="Calibri" w:eastAsiaTheme="minorEastAsia" w:hAnsi="Calibri" w:cs="Calibri"/>
                <w:color w:val="000000"/>
                <w:sz w:val="19"/>
                <w:lang w:eastAsia="en-AU"/>
              </w:rPr>
              <w:noBreakHyphen/>
            </w:r>
            <w:r w:rsidRPr="00E22AD9">
              <w:rPr>
                <w:rFonts w:ascii="Calibri" w:eastAsiaTheme="minorEastAsia" w:hAnsi="Calibri" w:cs="Calibri"/>
                <w:color w:val="000000"/>
                <w:sz w:val="19"/>
                <w:lang w:eastAsia="en-AU"/>
              </w:rPr>
              <w:t>financial assets</w:t>
            </w:r>
          </w:p>
        </w:tc>
        <w:tc>
          <w:tcPr>
            <w:tcW w:w="574" w:type="dxa"/>
            <w:gridSpan w:val="2"/>
            <w:tcBorders>
              <w:top w:val="nil"/>
              <w:left w:val="nil"/>
              <w:right w:val="nil"/>
            </w:tcBorders>
            <w:shd w:val="clear" w:color="auto" w:fill="FFFFFF"/>
          </w:tcPr>
          <w:p w:rsidR="00965D85" w:rsidRPr="00E22AD9" w:rsidRDefault="00965D85" w:rsidP="008B46DF">
            <w:pPr>
              <w:autoSpaceDE w:val="0"/>
              <w:autoSpaceDN w:val="0"/>
              <w:adjustRightInd w:val="0"/>
              <w:spacing w:after="0"/>
              <w:jc w:val="center"/>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20a,b</w:t>
            </w:r>
          </w:p>
        </w:tc>
        <w:tc>
          <w:tcPr>
            <w:tcW w:w="915" w:type="dxa"/>
            <w:gridSpan w:val="3"/>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(4 551.7)</w:t>
            </w:r>
          </w:p>
        </w:tc>
        <w:tc>
          <w:tcPr>
            <w:tcW w:w="915"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(4 340.8)</w:t>
            </w:r>
          </w:p>
        </w:tc>
        <w:tc>
          <w:tcPr>
            <w:tcW w:w="915"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(5 915.4)</w:t>
            </w:r>
          </w:p>
        </w:tc>
        <w:tc>
          <w:tcPr>
            <w:tcW w:w="915"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(5 541.9)</w:t>
            </w:r>
          </w:p>
        </w:tc>
        <w:tc>
          <w:tcPr>
            <w:tcW w:w="915"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(5 028.9)</w:t>
            </w:r>
          </w:p>
        </w:tc>
      </w:tr>
      <w:tr w:rsidR="00965D85" w:rsidRPr="00E22AD9" w:rsidTr="008B46DF">
        <w:tc>
          <w:tcPr>
            <w:tcW w:w="2618"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Sales of non</w:t>
            </w:r>
            <w:r>
              <w:rPr>
                <w:rFonts w:ascii="Calibri" w:eastAsiaTheme="minorEastAsia" w:hAnsi="Calibri" w:cs="Calibri"/>
                <w:color w:val="000000"/>
                <w:sz w:val="19"/>
                <w:lang w:eastAsia="en-AU"/>
              </w:rPr>
              <w:noBreakHyphen/>
            </w:r>
            <w:r w:rsidRPr="00E22AD9">
              <w:rPr>
                <w:rFonts w:ascii="Calibri" w:eastAsiaTheme="minorEastAsia" w:hAnsi="Calibri" w:cs="Calibri"/>
                <w:color w:val="000000"/>
                <w:sz w:val="19"/>
                <w:lang w:eastAsia="en-AU"/>
              </w:rPr>
              <w:t>financial assets</w:t>
            </w:r>
          </w:p>
        </w:tc>
        <w:tc>
          <w:tcPr>
            <w:tcW w:w="574" w:type="dxa"/>
            <w:gridSpan w:val="2"/>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center"/>
              <w:rPr>
                <w:rFonts w:ascii="Calibri" w:eastAsiaTheme="minorEastAsia" w:hAnsi="Calibri" w:cs="Calibri"/>
                <w:color w:val="000000"/>
                <w:sz w:val="20"/>
                <w:lang w:eastAsia="en-AU"/>
              </w:rPr>
            </w:pPr>
            <w:r w:rsidRPr="00E22AD9">
              <w:rPr>
                <w:rFonts w:ascii="Calibri" w:eastAsiaTheme="minorEastAsia" w:hAnsi="Calibri" w:cs="Calibri"/>
                <w:color w:val="000000"/>
                <w:sz w:val="19"/>
                <w:lang w:eastAsia="en-AU"/>
              </w:rPr>
              <w:t xml:space="preserve"> </w:t>
            </w:r>
          </w:p>
        </w:tc>
        <w:tc>
          <w:tcPr>
            <w:tcW w:w="915" w:type="dxa"/>
            <w:gridSpan w:val="3"/>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322.0</w:t>
            </w:r>
          </w:p>
        </w:tc>
        <w:tc>
          <w:tcPr>
            <w:tcW w:w="915"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329.3</w:t>
            </w:r>
          </w:p>
        </w:tc>
        <w:tc>
          <w:tcPr>
            <w:tcW w:w="915"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555.0</w:t>
            </w:r>
          </w:p>
        </w:tc>
        <w:tc>
          <w:tcPr>
            <w:tcW w:w="915"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491.7</w:t>
            </w:r>
          </w:p>
        </w:tc>
        <w:tc>
          <w:tcPr>
            <w:tcW w:w="915"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292.5</w:t>
            </w:r>
          </w:p>
        </w:tc>
      </w:tr>
      <w:tr w:rsidR="00965D85" w:rsidRPr="00E22AD9" w:rsidTr="008B46DF">
        <w:tc>
          <w:tcPr>
            <w:tcW w:w="2618" w:type="dxa"/>
            <w:tcBorders>
              <w:top w:val="single" w:sz="6" w:space="0" w:color="000000"/>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Cash flows from investments in non</w:t>
            </w:r>
            <w:r>
              <w:rPr>
                <w:rFonts w:ascii="Calibri" w:eastAsiaTheme="minorEastAsia" w:hAnsi="Calibri" w:cs="Calibri"/>
                <w:color w:val="000000"/>
                <w:sz w:val="19"/>
                <w:lang w:eastAsia="en-AU"/>
              </w:rPr>
              <w:noBreakHyphen/>
            </w:r>
            <w:r w:rsidRPr="00E22AD9">
              <w:rPr>
                <w:rFonts w:ascii="Calibri" w:eastAsiaTheme="minorEastAsia" w:hAnsi="Calibri" w:cs="Calibri"/>
                <w:color w:val="000000"/>
                <w:sz w:val="19"/>
                <w:lang w:eastAsia="en-AU"/>
              </w:rPr>
              <w:t>financial assets</w:t>
            </w:r>
          </w:p>
        </w:tc>
        <w:tc>
          <w:tcPr>
            <w:tcW w:w="574" w:type="dxa"/>
            <w:gridSpan w:val="2"/>
            <w:tcBorders>
              <w:top w:val="single" w:sz="6" w:space="0" w:color="000000"/>
              <w:left w:val="nil"/>
              <w:right w:val="nil"/>
            </w:tcBorders>
            <w:shd w:val="clear" w:color="auto" w:fill="FFFFFF"/>
          </w:tcPr>
          <w:p w:rsidR="00965D85" w:rsidRPr="00E22AD9" w:rsidRDefault="00965D85" w:rsidP="008B46DF">
            <w:pPr>
              <w:autoSpaceDE w:val="0"/>
              <w:autoSpaceDN w:val="0"/>
              <w:adjustRightInd w:val="0"/>
              <w:spacing w:after="0"/>
              <w:jc w:val="center"/>
              <w:rPr>
                <w:rFonts w:ascii="Calibri" w:eastAsiaTheme="minorEastAsia" w:hAnsi="Calibri" w:cs="Calibri"/>
                <w:color w:val="000000"/>
                <w:sz w:val="20"/>
                <w:lang w:eastAsia="en-AU"/>
              </w:rPr>
            </w:pPr>
            <w:r w:rsidRPr="00E22AD9">
              <w:rPr>
                <w:rFonts w:ascii="Calibri" w:eastAsiaTheme="minorEastAsia" w:hAnsi="Calibri" w:cs="Calibri"/>
                <w:color w:val="000000"/>
                <w:sz w:val="19"/>
                <w:lang w:eastAsia="en-AU"/>
              </w:rPr>
              <w:t xml:space="preserve"> </w:t>
            </w:r>
          </w:p>
        </w:tc>
        <w:tc>
          <w:tcPr>
            <w:tcW w:w="915" w:type="dxa"/>
            <w:gridSpan w:val="3"/>
            <w:tcBorders>
              <w:top w:val="single" w:sz="6" w:space="0" w:color="000000"/>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(4 229.7)</w:t>
            </w:r>
          </w:p>
        </w:tc>
        <w:tc>
          <w:tcPr>
            <w:tcW w:w="915" w:type="dxa"/>
            <w:tcBorders>
              <w:top w:val="single" w:sz="6" w:space="0" w:color="000000"/>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(4 011.5)</w:t>
            </w:r>
          </w:p>
        </w:tc>
        <w:tc>
          <w:tcPr>
            <w:tcW w:w="915" w:type="dxa"/>
            <w:tcBorders>
              <w:top w:val="single" w:sz="6" w:space="0" w:color="000000"/>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(5 360.4)</w:t>
            </w:r>
          </w:p>
        </w:tc>
        <w:tc>
          <w:tcPr>
            <w:tcW w:w="915" w:type="dxa"/>
            <w:tcBorders>
              <w:top w:val="single" w:sz="6" w:space="0" w:color="000000"/>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(5 050.2)</w:t>
            </w:r>
          </w:p>
        </w:tc>
        <w:tc>
          <w:tcPr>
            <w:tcW w:w="915" w:type="dxa"/>
            <w:tcBorders>
              <w:top w:val="single" w:sz="6" w:space="0" w:color="000000"/>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(4 736.5)</w:t>
            </w:r>
          </w:p>
        </w:tc>
      </w:tr>
      <w:tr w:rsidR="00965D85" w:rsidRPr="00E22AD9" w:rsidTr="008B46DF">
        <w:tc>
          <w:tcPr>
            <w:tcW w:w="2618"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Net cash flows from investments in financial assets for policy purposes</w:t>
            </w:r>
          </w:p>
        </w:tc>
        <w:tc>
          <w:tcPr>
            <w:tcW w:w="574" w:type="dxa"/>
            <w:gridSpan w:val="2"/>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center"/>
              <w:rPr>
                <w:rFonts w:ascii="Calibri" w:eastAsiaTheme="minorEastAsia" w:hAnsi="Calibri" w:cs="Calibri"/>
                <w:color w:val="000000"/>
                <w:sz w:val="20"/>
                <w:lang w:eastAsia="en-AU"/>
              </w:rPr>
            </w:pPr>
            <w:r w:rsidRPr="00E22AD9">
              <w:rPr>
                <w:rFonts w:ascii="Calibri" w:eastAsiaTheme="minorEastAsia" w:hAnsi="Calibri" w:cs="Calibri"/>
                <w:color w:val="000000"/>
                <w:sz w:val="19"/>
                <w:lang w:eastAsia="en-AU"/>
              </w:rPr>
              <w:t xml:space="preserve"> </w:t>
            </w:r>
          </w:p>
        </w:tc>
        <w:tc>
          <w:tcPr>
            <w:tcW w:w="915" w:type="dxa"/>
            <w:gridSpan w:val="3"/>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6 510.8</w:t>
            </w:r>
          </w:p>
        </w:tc>
        <w:tc>
          <w:tcPr>
            <w:tcW w:w="915"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6 524.4</w:t>
            </w:r>
          </w:p>
        </w:tc>
        <w:tc>
          <w:tcPr>
            <w:tcW w:w="915"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(102.3)</w:t>
            </w:r>
          </w:p>
        </w:tc>
        <w:tc>
          <w:tcPr>
            <w:tcW w:w="915"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1 048.8</w:t>
            </w:r>
          </w:p>
        </w:tc>
        <w:tc>
          <w:tcPr>
            <w:tcW w:w="915"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(216.8)</w:t>
            </w:r>
          </w:p>
        </w:tc>
      </w:tr>
      <w:tr w:rsidR="00965D85" w:rsidRPr="00E22AD9" w:rsidTr="008B46DF">
        <w:tc>
          <w:tcPr>
            <w:tcW w:w="2618" w:type="dxa"/>
            <w:tcBorders>
              <w:top w:val="single" w:sz="6" w:space="0" w:color="000000"/>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b/>
                <w:bCs/>
                <w:color w:val="000000"/>
                <w:sz w:val="19"/>
                <w:lang w:eastAsia="en-AU"/>
              </w:rPr>
            </w:pPr>
            <w:r w:rsidRPr="00E22AD9">
              <w:rPr>
                <w:rFonts w:ascii="Calibri" w:eastAsiaTheme="minorEastAsia" w:hAnsi="Calibri" w:cs="Calibri"/>
                <w:b/>
                <w:bCs/>
                <w:color w:val="000000"/>
                <w:sz w:val="19"/>
                <w:lang w:eastAsia="en-AU"/>
              </w:rPr>
              <w:t>Subtotal</w:t>
            </w:r>
          </w:p>
        </w:tc>
        <w:tc>
          <w:tcPr>
            <w:tcW w:w="574" w:type="dxa"/>
            <w:gridSpan w:val="2"/>
            <w:tcBorders>
              <w:top w:val="single" w:sz="6" w:space="0" w:color="000000"/>
              <w:left w:val="nil"/>
              <w:right w:val="nil"/>
            </w:tcBorders>
            <w:shd w:val="clear" w:color="auto" w:fill="FFFFFF"/>
          </w:tcPr>
          <w:p w:rsidR="00965D85" w:rsidRPr="00E22AD9" w:rsidRDefault="00965D85" w:rsidP="008B46DF">
            <w:pPr>
              <w:autoSpaceDE w:val="0"/>
              <w:autoSpaceDN w:val="0"/>
              <w:adjustRightInd w:val="0"/>
              <w:spacing w:after="0"/>
              <w:jc w:val="center"/>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19"/>
                <w:lang w:eastAsia="en-AU"/>
              </w:rPr>
              <w:t xml:space="preserve"> </w:t>
            </w:r>
          </w:p>
        </w:tc>
        <w:tc>
          <w:tcPr>
            <w:tcW w:w="915" w:type="dxa"/>
            <w:gridSpan w:val="3"/>
            <w:tcBorders>
              <w:top w:val="single" w:sz="6" w:space="0" w:color="000000"/>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19"/>
                <w:lang w:eastAsia="en-AU"/>
              </w:rPr>
            </w:pPr>
            <w:r w:rsidRPr="00E22AD9">
              <w:rPr>
                <w:rFonts w:ascii="Calibri" w:eastAsiaTheme="minorEastAsia" w:hAnsi="Calibri" w:cs="Calibri"/>
                <w:b/>
                <w:bCs/>
                <w:color w:val="000000"/>
                <w:sz w:val="19"/>
                <w:lang w:eastAsia="en-AU"/>
              </w:rPr>
              <w:t>2 281.1</w:t>
            </w:r>
          </w:p>
        </w:tc>
        <w:tc>
          <w:tcPr>
            <w:tcW w:w="915" w:type="dxa"/>
            <w:tcBorders>
              <w:top w:val="single" w:sz="6" w:space="0" w:color="000000"/>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19"/>
                <w:lang w:eastAsia="en-AU"/>
              </w:rPr>
            </w:pPr>
            <w:r w:rsidRPr="00E22AD9">
              <w:rPr>
                <w:rFonts w:ascii="Calibri" w:eastAsiaTheme="minorEastAsia" w:hAnsi="Calibri" w:cs="Calibri"/>
                <w:b/>
                <w:bCs/>
                <w:color w:val="000000"/>
                <w:sz w:val="19"/>
                <w:lang w:eastAsia="en-AU"/>
              </w:rPr>
              <w:t>2 512.9</w:t>
            </w:r>
          </w:p>
        </w:tc>
        <w:tc>
          <w:tcPr>
            <w:tcW w:w="915" w:type="dxa"/>
            <w:tcBorders>
              <w:top w:val="single" w:sz="6" w:space="0" w:color="000000"/>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19"/>
                <w:lang w:eastAsia="en-AU"/>
              </w:rPr>
              <w:t>(5 462.7)</w:t>
            </w:r>
          </w:p>
        </w:tc>
        <w:tc>
          <w:tcPr>
            <w:tcW w:w="915" w:type="dxa"/>
            <w:tcBorders>
              <w:top w:val="single" w:sz="6" w:space="0" w:color="000000"/>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19"/>
                <w:lang w:eastAsia="en-AU"/>
              </w:rPr>
              <w:t>(4 001.4)</w:t>
            </w:r>
          </w:p>
        </w:tc>
        <w:tc>
          <w:tcPr>
            <w:tcW w:w="915" w:type="dxa"/>
            <w:tcBorders>
              <w:top w:val="single" w:sz="6" w:space="0" w:color="000000"/>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19"/>
                <w:lang w:eastAsia="en-AU"/>
              </w:rPr>
              <w:t>(4 953.2)</w:t>
            </w:r>
          </w:p>
        </w:tc>
      </w:tr>
      <w:tr w:rsidR="00965D85" w:rsidRPr="00E22AD9" w:rsidTr="008B46DF">
        <w:tc>
          <w:tcPr>
            <w:tcW w:w="2618"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Net cash flows from investment in financial assets for liquidity management purposes</w:t>
            </w:r>
          </w:p>
        </w:tc>
        <w:tc>
          <w:tcPr>
            <w:tcW w:w="574" w:type="dxa"/>
            <w:gridSpan w:val="2"/>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center"/>
              <w:rPr>
                <w:rFonts w:ascii="Calibri" w:eastAsiaTheme="minorEastAsia" w:hAnsi="Calibri" w:cs="Calibri"/>
                <w:color w:val="000000"/>
                <w:sz w:val="20"/>
                <w:lang w:eastAsia="en-AU"/>
              </w:rPr>
            </w:pPr>
            <w:r w:rsidRPr="00E22AD9">
              <w:rPr>
                <w:rFonts w:ascii="Calibri" w:eastAsiaTheme="minorEastAsia" w:hAnsi="Calibri" w:cs="Calibri"/>
                <w:color w:val="000000"/>
                <w:sz w:val="19"/>
                <w:lang w:eastAsia="en-AU"/>
              </w:rPr>
              <w:t xml:space="preserve"> </w:t>
            </w:r>
          </w:p>
        </w:tc>
        <w:tc>
          <w:tcPr>
            <w:tcW w:w="915" w:type="dxa"/>
            <w:gridSpan w:val="3"/>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(82.6)</w:t>
            </w:r>
          </w:p>
        </w:tc>
        <w:tc>
          <w:tcPr>
            <w:tcW w:w="915"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(77.6)</w:t>
            </w:r>
          </w:p>
        </w:tc>
        <w:tc>
          <w:tcPr>
            <w:tcW w:w="915"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(126.7)</w:t>
            </w:r>
          </w:p>
        </w:tc>
        <w:tc>
          <w:tcPr>
            <w:tcW w:w="915"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(119.4)</w:t>
            </w:r>
          </w:p>
        </w:tc>
        <w:tc>
          <w:tcPr>
            <w:tcW w:w="915"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(118.3)</w:t>
            </w:r>
          </w:p>
        </w:tc>
      </w:tr>
      <w:tr w:rsidR="00965D85" w:rsidRPr="00E22AD9" w:rsidTr="008B46DF">
        <w:tc>
          <w:tcPr>
            <w:tcW w:w="2618" w:type="dxa"/>
            <w:tcBorders>
              <w:top w:val="single" w:sz="6" w:space="0" w:color="000000"/>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b/>
                <w:bCs/>
                <w:color w:val="000000"/>
                <w:sz w:val="19"/>
                <w:lang w:eastAsia="en-AU"/>
              </w:rPr>
            </w:pPr>
            <w:r w:rsidRPr="00E22AD9">
              <w:rPr>
                <w:rFonts w:ascii="Calibri" w:eastAsiaTheme="minorEastAsia" w:hAnsi="Calibri" w:cs="Calibri"/>
                <w:b/>
                <w:bCs/>
                <w:color w:val="000000"/>
                <w:sz w:val="19"/>
                <w:lang w:eastAsia="en-AU"/>
              </w:rPr>
              <w:t>Net cash flows from investing activities</w:t>
            </w:r>
          </w:p>
        </w:tc>
        <w:tc>
          <w:tcPr>
            <w:tcW w:w="574" w:type="dxa"/>
            <w:gridSpan w:val="2"/>
            <w:tcBorders>
              <w:top w:val="single" w:sz="6" w:space="0" w:color="000000"/>
              <w:left w:val="nil"/>
              <w:right w:val="nil"/>
            </w:tcBorders>
            <w:shd w:val="clear" w:color="auto" w:fill="FFFFFF"/>
          </w:tcPr>
          <w:p w:rsidR="00965D85" w:rsidRPr="00E22AD9" w:rsidRDefault="00965D85" w:rsidP="008B46DF">
            <w:pPr>
              <w:autoSpaceDE w:val="0"/>
              <w:autoSpaceDN w:val="0"/>
              <w:adjustRightInd w:val="0"/>
              <w:spacing w:after="0"/>
              <w:jc w:val="center"/>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19"/>
                <w:lang w:eastAsia="en-AU"/>
              </w:rPr>
              <w:t xml:space="preserve"> </w:t>
            </w:r>
          </w:p>
        </w:tc>
        <w:tc>
          <w:tcPr>
            <w:tcW w:w="915" w:type="dxa"/>
            <w:gridSpan w:val="3"/>
            <w:tcBorders>
              <w:top w:val="single" w:sz="6" w:space="0" w:color="000000"/>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19"/>
                <w:lang w:eastAsia="en-AU"/>
              </w:rPr>
            </w:pPr>
            <w:r w:rsidRPr="00E22AD9">
              <w:rPr>
                <w:rFonts w:ascii="Calibri" w:eastAsiaTheme="minorEastAsia" w:hAnsi="Calibri" w:cs="Calibri"/>
                <w:b/>
                <w:bCs/>
                <w:color w:val="000000"/>
                <w:sz w:val="19"/>
                <w:lang w:eastAsia="en-AU"/>
              </w:rPr>
              <w:t>2 198.5</w:t>
            </w:r>
          </w:p>
        </w:tc>
        <w:tc>
          <w:tcPr>
            <w:tcW w:w="915" w:type="dxa"/>
            <w:tcBorders>
              <w:top w:val="single" w:sz="6" w:space="0" w:color="000000"/>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19"/>
                <w:lang w:eastAsia="en-AU"/>
              </w:rPr>
            </w:pPr>
            <w:r w:rsidRPr="00E22AD9">
              <w:rPr>
                <w:rFonts w:ascii="Calibri" w:eastAsiaTheme="minorEastAsia" w:hAnsi="Calibri" w:cs="Calibri"/>
                <w:b/>
                <w:bCs/>
                <w:color w:val="000000"/>
                <w:sz w:val="19"/>
                <w:lang w:eastAsia="en-AU"/>
              </w:rPr>
              <w:t>2 435.3</w:t>
            </w:r>
          </w:p>
        </w:tc>
        <w:tc>
          <w:tcPr>
            <w:tcW w:w="915" w:type="dxa"/>
            <w:tcBorders>
              <w:top w:val="single" w:sz="6" w:space="0" w:color="000000"/>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19"/>
                <w:lang w:eastAsia="en-AU"/>
              </w:rPr>
              <w:t>(5 589.4)</w:t>
            </w:r>
          </w:p>
        </w:tc>
        <w:tc>
          <w:tcPr>
            <w:tcW w:w="915" w:type="dxa"/>
            <w:tcBorders>
              <w:top w:val="single" w:sz="6" w:space="0" w:color="000000"/>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19"/>
                <w:lang w:eastAsia="en-AU"/>
              </w:rPr>
              <w:t>(4 120.8)</w:t>
            </w:r>
          </w:p>
        </w:tc>
        <w:tc>
          <w:tcPr>
            <w:tcW w:w="915" w:type="dxa"/>
            <w:tcBorders>
              <w:top w:val="single" w:sz="6" w:space="0" w:color="000000"/>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19"/>
                <w:lang w:eastAsia="en-AU"/>
              </w:rPr>
              <w:t>(5 071.5)</w:t>
            </w:r>
          </w:p>
        </w:tc>
      </w:tr>
      <w:tr w:rsidR="00965D85" w:rsidRPr="00E22AD9" w:rsidTr="008B46DF">
        <w:tc>
          <w:tcPr>
            <w:tcW w:w="3544" w:type="dxa"/>
            <w:gridSpan w:val="4"/>
            <w:tcBorders>
              <w:top w:val="nil"/>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b/>
                <w:bCs/>
                <w:color w:val="000000"/>
                <w:sz w:val="19"/>
                <w:lang w:eastAsia="en-AU"/>
              </w:rPr>
            </w:pPr>
            <w:r w:rsidRPr="00E22AD9">
              <w:rPr>
                <w:rFonts w:ascii="Calibri" w:eastAsiaTheme="minorEastAsia" w:hAnsi="Calibri" w:cs="Calibri"/>
                <w:b/>
                <w:bCs/>
                <w:color w:val="000000"/>
                <w:sz w:val="19"/>
                <w:lang w:eastAsia="en-AU"/>
              </w:rPr>
              <w:t>Cash flows from financing activities</w:t>
            </w:r>
          </w:p>
        </w:tc>
        <w:tc>
          <w:tcPr>
            <w:tcW w:w="284" w:type="dxa"/>
            <w:tcBorders>
              <w:top w:val="nil"/>
              <w:left w:val="nil"/>
              <w:right w:val="nil"/>
            </w:tcBorders>
            <w:shd w:val="clear" w:color="auto" w:fill="FFFFFF"/>
          </w:tcPr>
          <w:p w:rsidR="00965D85" w:rsidRPr="00E22AD9" w:rsidRDefault="00965D85" w:rsidP="008B46DF">
            <w:pPr>
              <w:autoSpaceDE w:val="0"/>
              <w:autoSpaceDN w:val="0"/>
              <w:adjustRightInd w:val="0"/>
              <w:spacing w:after="0"/>
              <w:rPr>
                <w:rFonts w:ascii="Calibri" w:eastAsiaTheme="minorEastAsia" w:hAnsi="Calibri" w:cs="Calibri"/>
                <w:b/>
                <w:bCs/>
                <w:color w:val="000000"/>
                <w:sz w:val="19"/>
                <w:lang w:eastAsia="en-AU"/>
              </w:rPr>
            </w:pPr>
            <w:r w:rsidRPr="00E22AD9">
              <w:rPr>
                <w:rFonts w:ascii="Calibri" w:eastAsiaTheme="minorEastAsia" w:hAnsi="Calibri" w:cs="Calibri"/>
                <w:b/>
                <w:bCs/>
                <w:color w:val="000000"/>
                <w:sz w:val="19"/>
                <w:lang w:eastAsia="en-AU"/>
              </w:rPr>
              <w:t xml:space="preserve"> </w:t>
            </w:r>
          </w:p>
        </w:tc>
        <w:tc>
          <w:tcPr>
            <w:tcW w:w="279"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915"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915"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915"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915"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r>
      <w:tr w:rsidR="00965D85" w:rsidRPr="00E22AD9" w:rsidTr="008B46DF">
        <w:tc>
          <w:tcPr>
            <w:tcW w:w="2694" w:type="dxa"/>
            <w:gridSpan w:val="2"/>
            <w:tcBorders>
              <w:top w:val="nil"/>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Net borrowings</w:t>
            </w:r>
          </w:p>
        </w:tc>
        <w:tc>
          <w:tcPr>
            <w:tcW w:w="498"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center"/>
              <w:rPr>
                <w:rFonts w:ascii="Calibri" w:eastAsiaTheme="minorEastAsia" w:hAnsi="Calibri" w:cs="Calibri"/>
                <w:color w:val="000000"/>
                <w:sz w:val="20"/>
                <w:lang w:eastAsia="en-AU"/>
              </w:rPr>
            </w:pPr>
            <w:r w:rsidRPr="00E22AD9">
              <w:rPr>
                <w:rFonts w:ascii="Calibri" w:eastAsiaTheme="minorEastAsia" w:hAnsi="Calibri" w:cs="Calibri"/>
                <w:color w:val="000000"/>
                <w:sz w:val="19"/>
                <w:lang w:eastAsia="en-AU"/>
              </w:rPr>
              <w:t xml:space="preserve"> </w:t>
            </w:r>
          </w:p>
        </w:tc>
        <w:tc>
          <w:tcPr>
            <w:tcW w:w="915" w:type="dxa"/>
            <w:gridSpan w:val="3"/>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(5 755.7)</w:t>
            </w:r>
          </w:p>
        </w:tc>
        <w:tc>
          <w:tcPr>
            <w:tcW w:w="915"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(6 285.5)</w:t>
            </w:r>
          </w:p>
        </w:tc>
        <w:tc>
          <w:tcPr>
            <w:tcW w:w="915"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1 704.0</w:t>
            </w:r>
          </w:p>
        </w:tc>
        <w:tc>
          <w:tcPr>
            <w:tcW w:w="915"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(159.6)</w:t>
            </w:r>
          </w:p>
        </w:tc>
        <w:tc>
          <w:tcPr>
            <w:tcW w:w="915"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1 105.7</w:t>
            </w:r>
          </w:p>
        </w:tc>
      </w:tr>
      <w:tr w:rsidR="00965D85" w:rsidRPr="00E22AD9" w:rsidTr="008B46DF">
        <w:tc>
          <w:tcPr>
            <w:tcW w:w="2694" w:type="dxa"/>
            <w:gridSpan w:val="2"/>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Deposits received (net)</w:t>
            </w:r>
          </w:p>
        </w:tc>
        <w:tc>
          <w:tcPr>
            <w:tcW w:w="498"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center"/>
              <w:rPr>
                <w:rFonts w:ascii="Calibri" w:eastAsiaTheme="minorEastAsia" w:hAnsi="Calibri" w:cs="Calibri"/>
                <w:color w:val="000000"/>
                <w:sz w:val="20"/>
                <w:lang w:eastAsia="en-AU"/>
              </w:rPr>
            </w:pPr>
            <w:r w:rsidRPr="00E22AD9">
              <w:rPr>
                <w:rFonts w:ascii="Calibri" w:eastAsiaTheme="minorEastAsia" w:hAnsi="Calibri" w:cs="Calibri"/>
                <w:color w:val="000000"/>
                <w:sz w:val="19"/>
                <w:lang w:eastAsia="en-AU"/>
              </w:rPr>
              <w:t xml:space="preserve"> </w:t>
            </w:r>
          </w:p>
        </w:tc>
        <w:tc>
          <w:tcPr>
            <w:tcW w:w="915" w:type="dxa"/>
            <w:gridSpan w:val="3"/>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(0.1)</w:t>
            </w:r>
          </w:p>
        </w:tc>
        <w:tc>
          <w:tcPr>
            <w:tcW w:w="915"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(0.1)</w:t>
            </w:r>
          </w:p>
        </w:tc>
        <w:tc>
          <w:tcPr>
            <w:tcW w:w="915"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(0.1)</w:t>
            </w:r>
          </w:p>
        </w:tc>
        <w:tc>
          <w:tcPr>
            <w:tcW w:w="915"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(0.1)</w:t>
            </w:r>
          </w:p>
        </w:tc>
        <w:tc>
          <w:tcPr>
            <w:tcW w:w="915"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(0.1)</w:t>
            </w:r>
          </w:p>
        </w:tc>
      </w:tr>
      <w:tr w:rsidR="00965D85" w:rsidRPr="00E22AD9" w:rsidTr="008B46DF">
        <w:tc>
          <w:tcPr>
            <w:tcW w:w="2694" w:type="dxa"/>
            <w:gridSpan w:val="2"/>
            <w:tcBorders>
              <w:top w:val="single" w:sz="6" w:space="0" w:color="000000"/>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b/>
                <w:bCs/>
                <w:color w:val="000000"/>
                <w:sz w:val="19"/>
                <w:lang w:eastAsia="en-AU"/>
              </w:rPr>
            </w:pPr>
            <w:r w:rsidRPr="00E22AD9">
              <w:rPr>
                <w:rFonts w:ascii="Calibri" w:eastAsiaTheme="minorEastAsia" w:hAnsi="Calibri" w:cs="Calibri"/>
                <w:b/>
                <w:bCs/>
                <w:color w:val="000000"/>
                <w:sz w:val="19"/>
                <w:lang w:eastAsia="en-AU"/>
              </w:rPr>
              <w:t>Net cash flows from financing activities</w:t>
            </w:r>
          </w:p>
        </w:tc>
        <w:tc>
          <w:tcPr>
            <w:tcW w:w="498" w:type="dxa"/>
            <w:tcBorders>
              <w:top w:val="single" w:sz="6" w:space="0" w:color="000000"/>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center"/>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19"/>
                <w:lang w:eastAsia="en-AU"/>
              </w:rPr>
              <w:t xml:space="preserve"> </w:t>
            </w:r>
          </w:p>
        </w:tc>
        <w:tc>
          <w:tcPr>
            <w:tcW w:w="915" w:type="dxa"/>
            <w:gridSpan w:val="3"/>
            <w:tcBorders>
              <w:top w:val="single" w:sz="6" w:space="0" w:color="000000"/>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19"/>
                <w:lang w:eastAsia="en-AU"/>
              </w:rPr>
              <w:t>(5 755.8)</w:t>
            </w:r>
          </w:p>
        </w:tc>
        <w:tc>
          <w:tcPr>
            <w:tcW w:w="915" w:type="dxa"/>
            <w:tcBorders>
              <w:top w:val="single" w:sz="6" w:space="0" w:color="000000"/>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19"/>
                <w:lang w:eastAsia="en-AU"/>
              </w:rPr>
              <w:t>(6 285.6)</w:t>
            </w:r>
          </w:p>
        </w:tc>
        <w:tc>
          <w:tcPr>
            <w:tcW w:w="915" w:type="dxa"/>
            <w:tcBorders>
              <w:top w:val="single" w:sz="6" w:space="0" w:color="000000"/>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19"/>
                <w:lang w:eastAsia="en-AU"/>
              </w:rPr>
            </w:pPr>
            <w:r w:rsidRPr="00E22AD9">
              <w:rPr>
                <w:rFonts w:ascii="Calibri" w:eastAsiaTheme="minorEastAsia" w:hAnsi="Calibri" w:cs="Calibri"/>
                <w:b/>
                <w:bCs/>
                <w:color w:val="000000"/>
                <w:sz w:val="19"/>
                <w:lang w:eastAsia="en-AU"/>
              </w:rPr>
              <w:t>1 703.9</w:t>
            </w:r>
          </w:p>
        </w:tc>
        <w:tc>
          <w:tcPr>
            <w:tcW w:w="915" w:type="dxa"/>
            <w:tcBorders>
              <w:top w:val="single" w:sz="6" w:space="0" w:color="000000"/>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19"/>
                <w:lang w:eastAsia="en-AU"/>
              </w:rPr>
              <w:t>(159.7)</w:t>
            </w:r>
          </w:p>
        </w:tc>
        <w:tc>
          <w:tcPr>
            <w:tcW w:w="915" w:type="dxa"/>
            <w:tcBorders>
              <w:top w:val="single" w:sz="6" w:space="0" w:color="000000"/>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19"/>
                <w:lang w:eastAsia="en-AU"/>
              </w:rPr>
            </w:pPr>
            <w:r w:rsidRPr="00E22AD9">
              <w:rPr>
                <w:rFonts w:ascii="Calibri" w:eastAsiaTheme="minorEastAsia" w:hAnsi="Calibri" w:cs="Calibri"/>
                <w:b/>
                <w:bCs/>
                <w:color w:val="000000"/>
                <w:sz w:val="19"/>
                <w:lang w:eastAsia="en-AU"/>
              </w:rPr>
              <w:t>1 105.6</w:t>
            </w:r>
          </w:p>
        </w:tc>
      </w:tr>
    </w:tbl>
    <w:p w:rsidR="00965D85" w:rsidRDefault="00965D85"/>
    <w:p w:rsidR="00965D85" w:rsidRDefault="00965D85"/>
    <w:p w:rsidR="00965D85" w:rsidRPr="00E22AD9" w:rsidRDefault="00965D85" w:rsidP="008B46DF">
      <w:pPr>
        <w:pStyle w:val="Tableheading"/>
        <w:rPr>
          <w:rFonts w:ascii="Times New Roman" w:hAnsi="Times New Roman"/>
          <w:b w:val="0"/>
          <w:sz w:val="20"/>
          <w:lang w:eastAsia="en-AU"/>
        </w:rPr>
      </w:pPr>
      <w:r w:rsidRPr="003878BE">
        <w:rPr>
          <w:lang w:eastAsia="en-AU"/>
        </w:rPr>
        <w:lastRenderedPageBreak/>
        <w:t>Table 4.3:</w:t>
      </w:r>
      <w:r w:rsidRPr="003878BE">
        <w:rPr>
          <w:lang w:eastAsia="en-AU"/>
        </w:rPr>
        <w:tab/>
        <w:t>Estimated general government sector cash</w:t>
      </w:r>
      <w:r>
        <w:rPr>
          <w:lang w:eastAsia="en-AU"/>
        </w:rPr>
        <w:t xml:space="preserve"> </w:t>
      </w:r>
      <w:r w:rsidRPr="003878BE">
        <w:rPr>
          <w:lang w:eastAsia="en-AU"/>
        </w:rPr>
        <w:t>flow stateme</w:t>
      </w:r>
      <w:r>
        <w:rPr>
          <w:lang w:eastAsia="en-AU"/>
        </w:rPr>
        <w:t>nt for the financial year ended</w:t>
      </w:r>
      <w:r w:rsidRPr="003878BE">
        <w:rPr>
          <w:lang w:eastAsia="en-AU"/>
        </w:rPr>
        <w:t xml:space="preserve"> 30 June</w:t>
      </w:r>
      <w:r>
        <w:rPr>
          <w:lang w:eastAsia="en-AU"/>
        </w:rPr>
        <w:t xml:space="preserve"> </w:t>
      </w:r>
      <w:r w:rsidRPr="00045339">
        <w:rPr>
          <w:i/>
          <w:lang w:eastAsia="en-AU"/>
        </w:rPr>
        <w:t>(continued)</w:t>
      </w:r>
    </w:p>
    <w:tbl>
      <w:tblPr>
        <w:tblW w:w="7767" w:type="dxa"/>
        <w:tblInd w:w="28" w:type="dxa"/>
        <w:tblLayout w:type="fixed"/>
        <w:tblCellMar>
          <w:left w:w="28" w:type="dxa"/>
          <w:right w:w="28" w:type="dxa"/>
        </w:tblCellMar>
        <w:tblLook w:val="0000" w:firstRow="0" w:lastRow="0" w:firstColumn="0" w:lastColumn="0" w:noHBand="0" w:noVBand="0"/>
      </w:tblPr>
      <w:tblGrid>
        <w:gridCol w:w="2618"/>
        <w:gridCol w:w="76"/>
        <w:gridCol w:w="141"/>
        <w:gridCol w:w="357"/>
        <w:gridCol w:w="915"/>
        <w:gridCol w:w="915"/>
        <w:gridCol w:w="915"/>
        <w:gridCol w:w="915"/>
        <w:gridCol w:w="915"/>
      </w:tblGrid>
      <w:tr w:rsidR="00965D85" w:rsidRPr="00E22AD9" w:rsidTr="008B46DF">
        <w:trPr>
          <w:tblHeader/>
        </w:trPr>
        <w:tc>
          <w:tcPr>
            <w:tcW w:w="7767" w:type="dxa"/>
            <w:gridSpan w:val="9"/>
            <w:tcBorders>
              <w:top w:val="nil"/>
              <w:left w:val="nil"/>
              <w:bottom w:val="nil"/>
              <w:right w:val="nil"/>
            </w:tcBorders>
          </w:tcPr>
          <w:p w:rsidR="00965D85" w:rsidRPr="00E22AD9" w:rsidRDefault="00965D85" w:rsidP="008B46DF">
            <w:pPr>
              <w:pStyle w:val="million"/>
              <w:rPr>
                <w:rFonts w:eastAsiaTheme="minorEastAsia" w:cs="Calibri"/>
                <w:iCs/>
                <w:color w:val="000000"/>
                <w:sz w:val="20"/>
                <w:lang w:eastAsia="en-AU"/>
              </w:rPr>
            </w:pPr>
            <w:r w:rsidRPr="00E22AD9">
              <w:rPr>
                <w:rFonts w:eastAsiaTheme="minorEastAsia"/>
                <w:lang w:eastAsia="en-AU"/>
              </w:rPr>
              <w:t>($ million)</w:t>
            </w:r>
          </w:p>
        </w:tc>
      </w:tr>
      <w:tr w:rsidR="00965D85" w:rsidRPr="00E22AD9" w:rsidTr="008B46DF">
        <w:trPr>
          <w:trHeight w:val="464"/>
          <w:tblHeader/>
        </w:trPr>
        <w:tc>
          <w:tcPr>
            <w:tcW w:w="2618" w:type="dxa"/>
            <w:tcBorders>
              <w:top w:val="nil"/>
              <w:left w:val="nil"/>
              <w:right w:val="nil"/>
            </w:tcBorders>
            <w:shd w:val="solid" w:color="000000" w:fill="auto"/>
          </w:tcPr>
          <w:p w:rsidR="00965D85" w:rsidRPr="00E22AD9" w:rsidRDefault="00965D85" w:rsidP="008B46DF">
            <w:pPr>
              <w:autoSpaceDE w:val="0"/>
              <w:autoSpaceDN w:val="0"/>
              <w:adjustRightInd w:val="0"/>
              <w:spacing w:after="0"/>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 xml:space="preserve"> </w:t>
            </w:r>
          </w:p>
          <w:p w:rsidR="00965D85" w:rsidRPr="00E22AD9" w:rsidRDefault="00965D85" w:rsidP="008B46DF">
            <w:pPr>
              <w:autoSpaceDE w:val="0"/>
              <w:autoSpaceDN w:val="0"/>
              <w:adjustRightInd w:val="0"/>
              <w:spacing w:after="0"/>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 xml:space="preserve"> </w:t>
            </w:r>
          </w:p>
        </w:tc>
        <w:tc>
          <w:tcPr>
            <w:tcW w:w="574" w:type="dxa"/>
            <w:gridSpan w:val="3"/>
            <w:tcBorders>
              <w:top w:val="nil"/>
              <w:left w:val="nil"/>
              <w:right w:val="nil"/>
            </w:tcBorders>
            <w:shd w:val="solid" w:color="000000" w:fill="auto"/>
          </w:tcPr>
          <w:p w:rsidR="00965D85" w:rsidRPr="00E22AD9" w:rsidRDefault="00965D85" w:rsidP="008B46DF">
            <w:pPr>
              <w:autoSpaceDE w:val="0"/>
              <w:autoSpaceDN w:val="0"/>
              <w:adjustRightInd w:val="0"/>
              <w:spacing w:after="0"/>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 xml:space="preserve"> </w:t>
            </w:r>
          </w:p>
          <w:p w:rsidR="00965D85" w:rsidRPr="00E22AD9" w:rsidRDefault="00965D85" w:rsidP="008B46DF">
            <w:pPr>
              <w:autoSpaceDE w:val="0"/>
              <w:autoSpaceDN w:val="0"/>
              <w:adjustRightInd w:val="0"/>
              <w:spacing w:after="0"/>
              <w:jc w:val="center"/>
              <w:rPr>
                <w:rFonts w:ascii="Calibri" w:eastAsiaTheme="minorEastAsia" w:hAnsi="Calibri" w:cs="Calibri"/>
                <w:color w:val="000000"/>
                <w:sz w:val="19"/>
                <w:lang w:eastAsia="en-AU"/>
              </w:rPr>
            </w:pPr>
            <w:r w:rsidRPr="00E22AD9">
              <w:rPr>
                <w:rFonts w:ascii="Calibri" w:eastAsiaTheme="minorEastAsia" w:hAnsi="Calibri" w:cs="Calibri"/>
                <w:i/>
                <w:iCs/>
                <w:color w:val="FFFFFF"/>
                <w:sz w:val="19"/>
                <w:lang w:eastAsia="en-AU"/>
              </w:rPr>
              <w:t>Notes</w:t>
            </w:r>
          </w:p>
        </w:tc>
        <w:tc>
          <w:tcPr>
            <w:tcW w:w="915" w:type="dxa"/>
            <w:tcBorders>
              <w:top w:val="nil"/>
              <w:left w:val="nil"/>
              <w:right w:val="nil"/>
            </w:tcBorders>
            <w:shd w:val="solid" w:color="000000" w:fill="auto"/>
          </w:tcPr>
          <w:p w:rsidR="00965D85" w:rsidRPr="00E22AD9" w:rsidRDefault="00965D85" w:rsidP="008B46DF">
            <w:pPr>
              <w:autoSpaceDE w:val="0"/>
              <w:autoSpaceDN w:val="0"/>
              <w:adjustRightInd w:val="0"/>
              <w:spacing w:after="0"/>
              <w:jc w:val="right"/>
              <w:rPr>
                <w:rFonts w:ascii="Calibri" w:eastAsiaTheme="minorEastAsia" w:hAnsi="Calibri" w:cs="Calibri"/>
                <w:i/>
                <w:iCs/>
                <w:color w:val="FFFFFF"/>
                <w:sz w:val="19"/>
                <w:lang w:eastAsia="en-AU"/>
              </w:rPr>
            </w:pPr>
            <w:r w:rsidRPr="00E22AD9">
              <w:rPr>
                <w:rFonts w:ascii="Calibri" w:eastAsiaTheme="minorEastAsia" w:hAnsi="Calibri" w:cs="Calibri"/>
                <w:i/>
                <w:iCs/>
                <w:color w:val="FFFFFF"/>
                <w:sz w:val="19"/>
                <w:lang w:eastAsia="en-AU"/>
              </w:rPr>
              <w:t>2015</w:t>
            </w:r>
            <w:r>
              <w:rPr>
                <w:rFonts w:ascii="Calibri" w:eastAsiaTheme="minorEastAsia" w:hAnsi="Calibri" w:cs="Calibri"/>
                <w:i/>
                <w:iCs/>
                <w:color w:val="FFFFFF"/>
                <w:sz w:val="19"/>
                <w:lang w:eastAsia="en-AU"/>
              </w:rPr>
              <w:noBreakHyphen/>
            </w:r>
            <w:r w:rsidRPr="00E22AD9">
              <w:rPr>
                <w:rFonts w:ascii="Calibri" w:eastAsiaTheme="minorEastAsia" w:hAnsi="Calibri" w:cs="Calibri"/>
                <w:i/>
                <w:iCs/>
                <w:color w:val="FFFFFF"/>
                <w:sz w:val="19"/>
                <w:lang w:eastAsia="en-AU"/>
              </w:rPr>
              <w:t xml:space="preserve">16 </w:t>
            </w:r>
          </w:p>
          <w:p w:rsidR="00965D85" w:rsidRPr="00E22AD9" w:rsidRDefault="00965D85" w:rsidP="008B46DF">
            <w:pPr>
              <w:autoSpaceDE w:val="0"/>
              <w:autoSpaceDN w:val="0"/>
              <w:adjustRightInd w:val="0"/>
              <w:spacing w:after="0"/>
              <w:jc w:val="right"/>
              <w:rPr>
                <w:rFonts w:ascii="Calibri" w:eastAsiaTheme="minorEastAsia" w:hAnsi="Calibri" w:cs="Calibri"/>
                <w:i/>
                <w:iCs/>
                <w:color w:val="FFFFFF"/>
                <w:sz w:val="19"/>
                <w:lang w:eastAsia="en-AU"/>
              </w:rPr>
            </w:pPr>
            <w:r w:rsidRPr="00E22AD9">
              <w:rPr>
                <w:rFonts w:ascii="Calibri" w:eastAsiaTheme="minorEastAsia" w:hAnsi="Calibri" w:cs="Calibri"/>
                <w:i/>
                <w:iCs/>
                <w:color w:val="FFFFFF"/>
                <w:sz w:val="19"/>
                <w:lang w:eastAsia="en-AU"/>
              </w:rPr>
              <w:t>budget</w:t>
            </w:r>
          </w:p>
        </w:tc>
        <w:tc>
          <w:tcPr>
            <w:tcW w:w="915" w:type="dxa"/>
            <w:tcBorders>
              <w:top w:val="nil"/>
              <w:left w:val="nil"/>
              <w:right w:val="nil"/>
            </w:tcBorders>
            <w:shd w:val="solid" w:color="000000" w:fill="auto"/>
          </w:tcPr>
          <w:p w:rsidR="00965D85" w:rsidRPr="00E22AD9" w:rsidRDefault="00965D85" w:rsidP="008B46DF">
            <w:pPr>
              <w:autoSpaceDE w:val="0"/>
              <w:autoSpaceDN w:val="0"/>
              <w:adjustRightInd w:val="0"/>
              <w:spacing w:after="0"/>
              <w:jc w:val="right"/>
              <w:rPr>
                <w:rFonts w:ascii="Calibri" w:eastAsiaTheme="minorEastAsia" w:hAnsi="Calibri" w:cs="Calibri"/>
                <w:i/>
                <w:iCs/>
                <w:color w:val="FFFFFF"/>
                <w:sz w:val="19"/>
                <w:lang w:eastAsia="en-AU"/>
              </w:rPr>
            </w:pPr>
            <w:r w:rsidRPr="00E22AD9">
              <w:rPr>
                <w:rFonts w:ascii="Calibri" w:eastAsiaTheme="minorEastAsia" w:hAnsi="Calibri" w:cs="Calibri"/>
                <w:i/>
                <w:iCs/>
                <w:color w:val="FFFFFF"/>
                <w:sz w:val="19"/>
                <w:lang w:eastAsia="en-AU"/>
              </w:rPr>
              <w:t>2015</w:t>
            </w:r>
            <w:r>
              <w:rPr>
                <w:rFonts w:ascii="Calibri" w:eastAsiaTheme="minorEastAsia" w:hAnsi="Calibri" w:cs="Calibri"/>
                <w:i/>
                <w:iCs/>
                <w:color w:val="FFFFFF"/>
                <w:sz w:val="19"/>
                <w:lang w:eastAsia="en-AU"/>
              </w:rPr>
              <w:noBreakHyphen/>
            </w:r>
            <w:r w:rsidRPr="00E22AD9">
              <w:rPr>
                <w:rFonts w:ascii="Calibri" w:eastAsiaTheme="minorEastAsia" w:hAnsi="Calibri" w:cs="Calibri"/>
                <w:i/>
                <w:iCs/>
                <w:color w:val="FFFFFF"/>
                <w:sz w:val="19"/>
                <w:lang w:eastAsia="en-AU"/>
              </w:rPr>
              <w:t xml:space="preserve">16 </w:t>
            </w:r>
          </w:p>
          <w:p w:rsidR="00965D85" w:rsidRPr="00E22AD9" w:rsidRDefault="00965D85" w:rsidP="008B46DF">
            <w:pPr>
              <w:autoSpaceDE w:val="0"/>
              <w:autoSpaceDN w:val="0"/>
              <w:adjustRightInd w:val="0"/>
              <w:spacing w:after="0"/>
              <w:jc w:val="right"/>
              <w:rPr>
                <w:rFonts w:ascii="Calibri" w:eastAsiaTheme="minorEastAsia" w:hAnsi="Calibri" w:cs="Calibri"/>
                <w:i/>
                <w:iCs/>
                <w:color w:val="FFFFFF"/>
                <w:sz w:val="19"/>
                <w:lang w:eastAsia="en-AU"/>
              </w:rPr>
            </w:pPr>
            <w:r w:rsidRPr="00E22AD9">
              <w:rPr>
                <w:rFonts w:ascii="Calibri" w:eastAsiaTheme="minorEastAsia" w:hAnsi="Calibri" w:cs="Calibri"/>
                <w:i/>
                <w:iCs/>
                <w:color w:val="FFFFFF"/>
                <w:sz w:val="19"/>
                <w:lang w:eastAsia="en-AU"/>
              </w:rPr>
              <w:t>revised</w:t>
            </w:r>
          </w:p>
        </w:tc>
        <w:tc>
          <w:tcPr>
            <w:tcW w:w="915" w:type="dxa"/>
            <w:tcBorders>
              <w:top w:val="nil"/>
              <w:left w:val="nil"/>
              <w:right w:val="nil"/>
            </w:tcBorders>
            <w:shd w:val="solid" w:color="000000" w:fill="auto"/>
          </w:tcPr>
          <w:p w:rsidR="00965D85" w:rsidRPr="00E22AD9" w:rsidRDefault="00965D85" w:rsidP="008B46DF">
            <w:pPr>
              <w:autoSpaceDE w:val="0"/>
              <w:autoSpaceDN w:val="0"/>
              <w:adjustRightInd w:val="0"/>
              <w:spacing w:after="0"/>
              <w:jc w:val="right"/>
              <w:rPr>
                <w:rFonts w:ascii="Calibri" w:eastAsiaTheme="minorEastAsia" w:hAnsi="Calibri" w:cs="Calibri"/>
                <w:i/>
                <w:iCs/>
                <w:color w:val="FFFFFF"/>
                <w:sz w:val="19"/>
                <w:lang w:eastAsia="en-AU"/>
              </w:rPr>
            </w:pPr>
            <w:r w:rsidRPr="00E22AD9">
              <w:rPr>
                <w:rFonts w:ascii="Calibri" w:eastAsiaTheme="minorEastAsia" w:hAnsi="Calibri" w:cs="Calibri"/>
                <w:i/>
                <w:iCs/>
                <w:color w:val="FFFFFF"/>
                <w:sz w:val="19"/>
                <w:lang w:eastAsia="en-AU"/>
              </w:rPr>
              <w:t>2016</w:t>
            </w:r>
            <w:r>
              <w:rPr>
                <w:rFonts w:ascii="Calibri" w:eastAsiaTheme="minorEastAsia" w:hAnsi="Calibri" w:cs="Calibri"/>
                <w:i/>
                <w:iCs/>
                <w:color w:val="FFFFFF"/>
                <w:sz w:val="19"/>
                <w:lang w:eastAsia="en-AU"/>
              </w:rPr>
              <w:noBreakHyphen/>
            </w:r>
            <w:r w:rsidRPr="00E22AD9">
              <w:rPr>
                <w:rFonts w:ascii="Calibri" w:eastAsiaTheme="minorEastAsia" w:hAnsi="Calibri" w:cs="Calibri"/>
                <w:i/>
                <w:iCs/>
                <w:color w:val="FFFFFF"/>
                <w:sz w:val="19"/>
                <w:lang w:eastAsia="en-AU"/>
              </w:rPr>
              <w:t xml:space="preserve">17 </w:t>
            </w:r>
          </w:p>
          <w:p w:rsidR="00965D85" w:rsidRPr="00E22AD9" w:rsidRDefault="00965D85" w:rsidP="008B46DF">
            <w:pPr>
              <w:autoSpaceDE w:val="0"/>
              <w:autoSpaceDN w:val="0"/>
              <w:adjustRightInd w:val="0"/>
              <w:spacing w:after="0"/>
              <w:jc w:val="right"/>
              <w:rPr>
                <w:rFonts w:ascii="Calibri" w:eastAsiaTheme="minorEastAsia" w:hAnsi="Calibri" w:cs="Calibri"/>
                <w:i/>
                <w:iCs/>
                <w:color w:val="FFFFFF"/>
                <w:sz w:val="19"/>
                <w:lang w:eastAsia="en-AU"/>
              </w:rPr>
            </w:pPr>
            <w:r w:rsidRPr="00E22AD9">
              <w:rPr>
                <w:rFonts w:ascii="Calibri" w:eastAsiaTheme="minorEastAsia" w:hAnsi="Calibri" w:cs="Calibri"/>
                <w:i/>
                <w:iCs/>
                <w:color w:val="FFFFFF"/>
                <w:sz w:val="19"/>
                <w:lang w:eastAsia="en-AU"/>
              </w:rPr>
              <w:t>estimate</w:t>
            </w:r>
          </w:p>
        </w:tc>
        <w:tc>
          <w:tcPr>
            <w:tcW w:w="915" w:type="dxa"/>
            <w:tcBorders>
              <w:top w:val="nil"/>
              <w:left w:val="nil"/>
              <w:right w:val="nil"/>
            </w:tcBorders>
            <w:shd w:val="solid" w:color="000000" w:fill="auto"/>
          </w:tcPr>
          <w:p w:rsidR="00965D85" w:rsidRPr="00E22AD9" w:rsidRDefault="00965D85" w:rsidP="008B46DF">
            <w:pPr>
              <w:autoSpaceDE w:val="0"/>
              <w:autoSpaceDN w:val="0"/>
              <w:adjustRightInd w:val="0"/>
              <w:spacing w:after="0"/>
              <w:jc w:val="right"/>
              <w:rPr>
                <w:rFonts w:ascii="Calibri" w:eastAsiaTheme="minorEastAsia" w:hAnsi="Calibri" w:cs="Calibri"/>
                <w:i/>
                <w:iCs/>
                <w:color w:val="FFFFFF"/>
                <w:sz w:val="19"/>
                <w:lang w:eastAsia="en-AU"/>
              </w:rPr>
            </w:pPr>
            <w:r w:rsidRPr="00E22AD9">
              <w:rPr>
                <w:rFonts w:ascii="Calibri" w:eastAsiaTheme="minorEastAsia" w:hAnsi="Calibri" w:cs="Calibri"/>
                <w:i/>
                <w:iCs/>
                <w:color w:val="FFFFFF"/>
                <w:sz w:val="19"/>
                <w:lang w:eastAsia="en-AU"/>
              </w:rPr>
              <w:t>2017</w:t>
            </w:r>
            <w:r>
              <w:rPr>
                <w:rFonts w:ascii="Calibri" w:eastAsiaTheme="minorEastAsia" w:hAnsi="Calibri" w:cs="Calibri"/>
                <w:i/>
                <w:iCs/>
                <w:color w:val="FFFFFF"/>
                <w:sz w:val="19"/>
                <w:lang w:eastAsia="en-AU"/>
              </w:rPr>
              <w:noBreakHyphen/>
            </w:r>
            <w:r w:rsidRPr="00E22AD9">
              <w:rPr>
                <w:rFonts w:ascii="Calibri" w:eastAsiaTheme="minorEastAsia" w:hAnsi="Calibri" w:cs="Calibri"/>
                <w:i/>
                <w:iCs/>
                <w:color w:val="FFFFFF"/>
                <w:sz w:val="19"/>
                <w:lang w:eastAsia="en-AU"/>
              </w:rPr>
              <w:t xml:space="preserve">18 </w:t>
            </w:r>
          </w:p>
          <w:p w:rsidR="00965D85" w:rsidRPr="00E22AD9" w:rsidRDefault="00965D85" w:rsidP="008B46DF">
            <w:pPr>
              <w:autoSpaceDE w:val="0"/>
              <w:autoSpaceDN w:val="0"/>
              <w:adjustRightInd w:val="0"/>
              <w:spacing w:after="0"/>
              <w:jc w:val="right"/>
              <w:rPr>
                <w:rFonts w:ascii="Calibri" w:eastAsiaTheme="minorEastAsia" w:hAnsi="Calibri" w:cs="Calibri"/>
                <w:i/>
                <w:iCs/>
                <w:color w:val="FFFFFF"/>
                <w:sz w:val="19"/>
                <w:lang w:eastAsia="en-AU"/>
              </w:rPr>
            </w:pPr>
            <w:r w:rsidRPr="00E22AD9">
              <w:rPr>
                <w:rFonts w:ascii="Calibri" w:eastAsiaTheme="minorEastAsia" w:hAnsi="Calibri" w:cs="Calibri"/>
                <w:i/>
                <w:iCs/>
                <w:color w:val="FFFFFF"/>
                <w:sz w:val="19"/>
                <w:lang w:eastAsia="en-AU"/>
              </w:rPr>
              <w:t>estimate</w:t>
            </w:r>
          </w:p>
        </w:tc>
        <w:tc>
          <w:tcPr>
            <w:tcW w:w="915" w:type="dxa"/>
            <w:tcBorders>
              <w:top w:val="nil"/>
              <w:left w:val="nil"/>
              <w:right w:val="nil"/>
            </w:tcBorders>
            <w:shd w:val="solid" w:color="000000" w:fill="auto"/>
          </w:tcPr>
          <w:p w:rsidR="00965D85" w:rsidRPr="00E22AD9" w:rsidRDefault="00965D85" w:rsidP="008B46DF">
            <w:pPr>
              <w:autoSpaceDE w:val="0"/>
              <w:autoSpaceDN w:val="0"/>
              <w:adjustRightInd w:val="0"/>
              <w:spacing w:after="0"/>
              <w:jc w:val="right"/>
              <w:rPr>
                <w:rFonts w:ascii="Calibri" w:eastAsiaTheme="minorEastAsia" w:hAnsi="Calibri" w:cs="Calibri"/>
                <w:i/>
                <w:iCs/>
                <w:color w:val="FFFFFF"/>
                <w:sz w:val="19"/>
                <w:lang w:eastAsia="en-AU"/>
              </w:rPr>
            </w:pPr>
            <w:r w:rsidRPr="00E22AD9">
              <w:rPr>
                <w:rFonts w:ascii="Calibri" w:eastAsiaTheme="minorEastAsia" w:hAnsi="Calibri" w:cs="Calibri"/>
                <w:i/>
                <w:iCs/>
                <w:color w:val="FFFFFF"/>
                <w:sz w:val="19"/>
                <w:lang w:eastAsia="en-AU"/>
              </w:rPr>
              <w:t>2018</w:t>
            </w:r>
            <w:r>
              <w:rPr>
                <w:rFonts w:ascii="Calibri" w:eastAsiaTheme="minorEastAsia" w:hAnsi="Calibri" w:cs="Calibri"/>
                <w:i/>
                <w:iCs/>
                <w:color w:val="FFFFFF"/>
                <w:sz w:val="19"/>
                <w:lang w:eastAsia="en-AU"/>
              </w:rPr>
              <w:noBreakHyphen/>
            </w:r>
            <w:r w:rsidRPr="00E22AD9">
              <w:rPr>
                <w:rFonts w:ascii="Calibri" w:eastAsiaTheme="minorEastAsia" w:hAnsi="Calibri" w:cs="Calibri"/>
                <w:i/>
                <w:iCs/>
                <w:color w:val="FFFFFF"/>
                <w:sz w:val="19"/>
                <w:lang w:eastAsia="en-AU"/>
              </w:rPr>
              <w:t xml:space="preserve">19 </w:t>
            </w:r>
          </w:p>
          <w:p w:rsidR="00965D85" w:rsidRPr="00E22AD9" w:rsidRDefault="00965D85" w:rsidP="008B46DF">
            <w:pPr>
              <w:autoSpaceDE w:val="0"/>
              <w:autoSpaceDN w:val="0"/>
              <w:adjustRightInd w:val="0"/>
              <w:spacing w:after="0"/>
              <w:jc w:val="right"/>
              <w:rPr>
                <w:rFonts w:ascii="Calibri" w:eastAsiaTheme="minorEastAsia" w:hAnsi="Calibri" w:cs="Calibri"/>
                <w:i/>
                <w:iCs/>
                <w:color w:val="FFFFFF"/>
                <w:sz w:val="19"/>
                <w:lang w:eastAsia="en-AU"/>
              </w:rPr>
            </w:pPr>
            <w:r w:rsidRPr="00E22AD9">
              <w:rPr>
                <w:rFonts w:ascii="Calibri" w:eastAsiaTheme="minorEastAsia" w:hAnsi="Calibri" w:cs="Calibri"/>
                <w:i/>
                <w:iCs/>
                <w:color w:val="FFFFFF"/>
                <w:sz w:val="19"/>
                <w:lang w:eastAsia="en-AU"/>
              </w:rPr>
              <w:t>estimate</w:t>
            </w:r>
          </w:p>
        </w:tc>
      </w:tr>
      <w:tr w:rsidR="00965D85" w:rsidRPr="00E22AD9" w:rsidTr="008B46DF">
        <w:tc>
          <w:tcPr>
            <w:tcW w:w="2694" w:type="dxa"/>
            <w:gridSpan w:val="2"/>
            <w:tcBorders>
              <w:top w:val="single" w:sz="6" w:space="0" w:color="000000"/>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b/>
                <w:bCs/>
                <w:color w:val="000000"/>
                <w:sz w:val="19"/>
                <w:lang w:eastAsia="en-AU"/>
              </w:rPr>
            </w:pPr>
            <w:r w:rsidRPr="00E22AD9">
              <w:rPr>
                <w:rFonts w:ascii="Calibri" w:eastAsiaTheme="minorEastAsia" w:hAnsi="Calibri" w:cs="Calibri"/>
                <w:b/>
                <w:bCs/>
                <w:color w:val="000000"/>
                <w:sz w:val="19"/>
                <w:lang w:eastAsia="en-AU"/>
              </w:rPr>
              <w:t>Net increase/(decrease) in cash and cash equivalents</w:t>
            </w:r>
          </w:p>
        </w:tc>
        <w:tc>
          <w:tcPr>
            <w:tcW w:w="498" w:type="dxa"/>
            <w:gridSpan w:val="2"/>
            <w:tcBorders>
              <w:top w:val="single" w:sz="6" w:space="0" w:color="000000"/>
              <w:left w:val="nil"/>
              <w:right w:val="nil"/>
            </w:tcBorders>
            <w:shd w:val="clear" w:color="auto" w:fill="FFFFFF"/>
          </w:tcPr>
          <w:p w:rsidR="00965D85" w:rsidRPr="00E22AD9" w:rsidRDefault="00965D85" w:rsidP="008B46DF">
            <w:pPr>
              <w:autoSpaceDE w:val="0"/>
              <w:autoSpaceDN w:val="0"/>
              <w:adjustRightInd w:val="0"/>
              <w:spacing w:after="0"/>
              <w:jc w:val="center"/>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19"/>
                <w:lang w:eastAsia="en-AU"/>
              </w:rPr>
              <w:t xml:space="preserve"> </w:t>
            </w:r>
          </w:p>
        </w:tc>
        <w:tc>
          <w:tcPr>
            <w:tcW w:w="915" w:type="dxa"/>
            <w:tcBorders>
              <w:top w:val="single" w:sz="6" w:space="0" w:color="000000"/>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19"/>
                <w:lang w:eastAsia="en-AU"/>
              </w:rPr>
              <w:t>197.6</w:t>
            </w:r>
          </w:p>
        </w:tc>
        <w:tc>
          <w:tcPr>
            <w:tcW w:w="915" w:type="dxa"/>
            <w:tcBorders>
              <w:top w:val="single" w:sz="6" w:space="0" w:color="000000"/>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19"/>
                <w:lang w:eastAsia="en-AU"/>
              </w:rPr>
              <w:t>179.3</w:t>
            </w:r>
          </w:p>
        </w:tc>
        <w:tc>
          <w:tcPr>
            <w:tcW w:w="915" w:type="dxa"/>
            <w:tcBorders>
              <w:top w:val="single" w:sz="6" w:space="0" w:color="000000"/>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19"/>
                <w:lang w:eastAsia="en-AU"/>
              </w:rPr>
              <w:t>256.1</w:t>
            </w:r>
          </w:p>
        </w:tc>
        <w:tc>
          <w:tcPr>
            <w:tcW w:w="915" w:type="dxa"/>
            <w:tcBorders>
              <w:top w:val="single" w:sz="6" w:space="0" w:color="000000"/>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19"/>
                <w:lang w:eastAsia="en-AU"/>
              </w:rPr>
              <w:t>312.6</w:t>
            </w:r>
          </w:p>
        </w:tc>
        <w:tc>
          <w:tcPr>
            <w:tcW w:w="915" w:type="dxa"/>
            <w:tcBorders>
              <w:top w:val="single" w:sz="6" w:space="0" w:color="000000"/>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19"/>
                <w:lang w:eastAsia="en-AU"/>
              </w:rPr>
              <w:t>333.2</w:t>
            </w:r>
          </w:p>
        </w:tc>
      </w:tr>
      <w:tr w:rsidR="00965D85" w:rsidRPr="00E22AD9" w:rsidTr="008B46DF">
        <w:tc>
          <w:tcPr>
            <w:tcW w:w="2835" w:type="dxa"/>
            <w:gridSpan w:val="3"/>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18"/>
                <w:szCs w:val="18"/>
                <w:vertAlign w:val="superscript"/>
                <w:lang w:eastAsia="en-AU"/>
              </w:rPr>
            </w:pPr>
            <w:r w:rsidRPr="00E22AD9">
              <w:rPr>
                <w:rFonts w:ascii="Calibri" w:eastAsiaTheme="minorEastAsia" w:hAnsi="Calibri" w:cs="Calibri"/>
                <w:color w:val="000000"/>
                <w:sz w:val="19"/>
                <w:szCs w:val="19"/>
                <w:lang w:eastAsia="en-AU"/>
              </w:rPr>
              <w:t>Cash and cash equivalents at beginning of reporting period</w:t>
            </w:r>
            <w:r w:rsidRPr="00E22AD9">
              <w:rPr>
                <w:rFonts w:ascii="Calibri" w:eastAsiaTheme="minorEastAsia" w:hAnsi="Calibri" w:cs="Calibri"/>
                <w:color w:val="000000"/>
                <w:sz w:val="19"/>
                <w:szCs w:val="19"/>
                <w:vertAlign w:val="superscript"/>
                <w:lang w:eastAsia="en-AU"/>
              </w:rPr>
              <w:t xml:space="preserve"> (b</w:t>
            </w:r>
            <w:r w:rsidRPr="00E22AD9">
              <w:rPr>
                <w:rFonts w:ascii="Calibri" w:eastAsiaTheme="minorEastAsia" w:hAnsi="Calibri" w:cs="Calibri"/>
                <w:color w:val="000000"/>
                <w:sz w:val="18"/>
                <w:szCs w:val="18"/>
                <w:vertAlign w:val="superscript"/>
                <w:lang w:eastAsia="en-AU"/>
              </w:rPr>
              <w:t>)</w:t>
            </w:r>
          </w:p>
        </w:tc>
        <w:tc>
          <w:tcPr>
            <w:tcW w:w="357"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center"/>
              <w:rPr>
                <w:rFonts w:ascii="Calibri" w:eastAsiaTheme="minorEastAsia" w:hAnsi="Calibri" w:cs="Calibri"/>
                <w:color w:val="000000"/>
                <w:sz w:val="20"/>
                <w:lang w:eastAsia="en-AU"/>
              </w:rPr>
            </w:pPr>
            <w:r w:rsidRPr="00E22AD9">
              <w:rPr>
                <w:rFonts w:ascii="Calibri" w:eastAsiaTheme="minorEastAsia" w:hAnsi="Calibri" w:cs="Calibri"/>
                <w:color w:val="000000"/>
                <w:sz w:val="19"/>
                <w:lang w:eastAsia="en-AU"/>
              </w:rPr>
              <w:t xml:space="preserve"> </w:t>
            </w:r>
          </w:p>
        </w:tc>
        <w:tc>
          <w:tcPr>
            <w:tcW w:w="915"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4 281.7</w:t>
            </w:r>
          </w:p>
        </w:tc>
        <w:tc>
          <w:tcPr>
            <w:tcW w:w="915"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4 281.7</w:t>
            </w:r>
          </w:p>
        </w:tc>
        <w:tc>
          <w:tcPr>
            <w:tcW w:w="915"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4 461.0</w:t>
            </w:r>
          </w:p>
        </w:tc>
        <w:tc>
          <w:tcPr>
            <w:tcW w:w="915"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4 717.2</w:t>
            </w:r>
          </w:p>
        </w:tc>
        <w:tc>
          <w:tcPr>
            <w:tcW w:w="915"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5 029.8</w:t>
            </w:r>
          </w:p>
        </w:tc>
      </w:tr>
      <w:tr w:rsidR="00965D85" w:rsidRPr="00E22AD9" w:rsidTr="008B46DF">
        <w:tc>
          <w:tcPr>
            <w:tcW w:w="2694" w:type="dxa"/>
            <w:gridSpan w:val="2"/>
            <w:tcBorders>
              <w:top w:val="single" w:sz="6" w:space="0" w:color="000000"/>
              <w:left w:val="nil"/>
              <w:bottom w:val="single" w:sz="12" w:space="0" w:color="auto"/>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b/>
                <w:bCs/>
                <w:color w:val="000000"/>
                <w:sz w:val="20"/>
                <w:vertAlign w:val="superscript"/>
                <w:lang w:eastAsia="en-AU"/>
              </w:rPr>
            </w:pPr>
            <w:r w:rsidRPr="00E22AD9">
              <w:rPr>
                <w:rFonts w:ascii="Calibri" w:eastAsiaTheme="minorEastAsia" w:hAnsi="Calibri" w:cs="Calibri"/>
                <w:b/>
                <w:bCs/>
                <w:color w:val="000000"/>
                <w:sz w:val="19"/>
                <w:lang w:eastAsia="en-AU"/>
              </w:rPr>
              <w:t>Cash and cash equivalents at end of reporting period</w:t>
            </w:r>
            <w:r w:rsidRPr="00E22AD9">
              <w:rPr>
                <w:rFonts w:ascii="Calibri" w:eastAsiaTheme="minorEastAsia" w:hAnsi="Calibri" w:cs="Calibri"/>
                <w:b/>
                <w:bCs/>
                <w:color w:val="000000"/>
                <w:sz w:val="19"/>
                <w:vertAlign w:val="superscript"/>
                <w:lang w:eastAsia="en-AU"/>
              </w:rPr>
              <w:t xml:space="preserve"> (b)</w:t>
            </w:r>
          </w:p>
        </w:tc>
        <w:tc>
          <w:tcPr>
            <w:tcW w:w="498" w:type="dxa"/>
            <w:gridSpan w:val="2"/>
            <w:tcBorders>
              <w:top w:val="single" w:sz="6" w:space="0" w:color="000000"/>
              <w:left w:val="nil"/>
              <w:bottom w:val="single" w:sz="12" w:space="0" w:color="auto"/>
              <w:right w:val="nil"/>
            </w:tcBorders>
            <w:shd w:val="clear" w:color="auto" w:fill="FFFFFF"/>
          </w:tcPr>
          <w:p w:rsidR="00965D85" w:rsidRPr="00E22AD9" w:rsidRDefault="00965D85" w:rsidP="008B46DF">
            <w:pPr>
              <w:autoSpaceDE w:val="0"/>
              <w:autoSpaceDN w:val="0"/>
              <w:adjustRightInd w:val="0"/>
              <w:spacing w:after="0"/>
              <w:jc w:val="center"/>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19"/>
                <w:lang w:eastAsia="en-AU"/>
              </w:rPr>
              <w:t xml:space="preserve"> </w:t>
            </w:r>
          </w:p>
        </w:tc>
        <w:tc>
          <w:tcPr>
            <w:tcW w:w="915" w:type="dxa"/>
            <w:tcBorders>
              <w:top w:val="single" w:sz="6" w:space="0" w:color="000000"/>
              <w:left w:val="nil"/>
              <w:bottom w:val="single" w:sz="12" w:space="0" w:color="auto"/>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19"/>
                <w:lang w:eastAsia="en-AU"/>
              </w:rPr>
            </w:pPr>
            <w:r w:rsidRPr="00E22AD9">
              <w:rPr>
                <w:rFonts w:ascii="Calibri" w:eastAsiaTheme="minorEastAsia" w:hAnsi="Calibri" w:cs="Calibri"/>
                <w:b/>
                <w:bCs/>
                <w:color w:val="000000"/>
                <w:sz w:val="19"/>
                <w:lang w:eastAsia="en-AU"/>
              </w:rPr>
              <w:t>4 479.3</w:t>
            </w:r>
          </w:p>
        </w:tc>
        <w:tc>
          <w:tcPr>
            <w:tcW w:w="915" w:type="dxa"/>
            <w:tcBorders>
              <w:top w:val="single" w:sz="6" w:space="0" w:color="000000"/>
              <w:left w:val="nil"/>
              <w:bottom w:val="single" w:sz="12" w:space="0" w:color="auto"/>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19"/>
                <w:lang w:eastAsia="en-AU"/>
              </w:rPr>
            </w:pPr>
            <w:r w:rsidRPr="00E22AD9">
              <w:rPr>
                <w:rFonts w:ascii="Calibri" w:eastAsiaTheme="minorEastAsia" w:hAnsi="Calibri" w:cs="Calibri"/>
                <w:b/>
                <w:bCs/>
                <w:color w:val="000000"/>
                <w:sz w:val="19"/>
                <w:lang w:eastAsia="en-AU"/>
              </w:rPr>
              <w:t>4 461.0</w:t>
            </w:r>
          </w:p>
        </w:tc>
        <w:tc>
          <w:tcPr>
            <w:tcW w:w="915" w:type="dxa"/>
            <w:tcBorders>
              <w:top w:val="single" w:sz="6" w:space="0" w:color="000000"/>
              <w:left w:val="nil"/>
              <w:bottom w:val="single" w:sz="12" w:space="0" w:color="auto"/>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19"/>
                <w:lang w:eastAsia="en-AU"/>
              </w:rPr>
            </w:pPr>
            <w:r w:rsidRPr="00E22AD9">
              <w:rPr>
                <w:rFonts w:ascii="Calibri" w:eastAsiaTheme="minorEastAsia" w:hAnsi="Calibri" w:cs="Calibri"/>
                <w:b/>
                <w:bCs/>
                <w:color w:val="000000"/>
                <w:sz w:val="19"/>
                <w:lang w:eastAsia="en-AU"/>
              </w:rPr>
              <w:t>4 717.2</w:t>
            </w:r>
          </w:p>
        </w:tc>
        <w:tc>
          <w:tcPr>
            <w:tcW w:w="915" w:type="dxa"/>
            <w:tcBorders>
              <w:top w:val="single" w:sz="6" w:space="0" w:color="000000"/>
              <w:left w:val="nil"/>
              <w:bottom w:val="single" w:sz="12" w:space="0" w:color="auto"/>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19"/>
                <w:lang w:eastAsia="en-AU"/>
              </w:rPr>
            </w:pPr>
            <w:r w:rsidRPr="00E22AD9">
              <w:rPr>
                <w:rFonts w:ascii="Calibri" w:eastAsiaTheme="minorEastAsia" w:hAnsi="Calibri" w:cs="Calibri"/>
                <w:b/>
                <w:bCs/>
                <w:color w:val="000000"/>
                <w:sz w:val="19"/>
                <w:lang w:eastAsia="en-AU"/>
              </w:rPr>
              <w:t>5 029.8</w:t>
            </w:r>
          </w:p>
        </w:tc>
        <w:tc>
          <w:tcPr>
            <w:tcW w:w="915" w:type="dxa"/>
            <w:tcBorders>
              <w:top w:val="single" w:sz="6" w:space="0" w:color="000000"/>
              <w:left w:val="nil"/>
              <w:bottom w:val="single" w:sz="12" w:space="0" w:color="auto"/>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19"/>
                <w:lang w:eastAsia="en-AU"/>
              </w:rPr>
            </w:pPr>
            <w:r w:rsidRPr="00E22AD9">
              <w:rPr>
                <w:rFonts w:ascii="Calibri" w:eastAsiaTheme="minorEastAsia" w:hAnsi="Calibri" w:cs="Calibri"/>
                <w:b/>
                <w:bCs/>
                <w:color w:val="000000"/>
                <w:sz w:val="19"/>
                <w:lang w:eastAsia="en-AU"/>
              </w:rPr>
              <w:t>5 363.0</w:t>
            </w:r>
          </w:p>
        </w:tc>
      </w:tr>
      <w:tr w:rsidR="00965D85" w:rsidRPr="00E22AD9" w:rsidTr="008B46DF">
        <w:trPr>
          <w:trHeight w:hRule="exact" w:val="120"/>
        </w:trPr>
        <w:tc>
          <w:tcPr>
            <w:tcW w:w="2694" w:type="dxa"/>
            <w:gridSpan w:val="2"/>
            <w:tcBorders>
              <w:top w:val="single" w:sz="12" w:space="0" w:color="auto"/>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 xml:space="preserve"> </w:t>
            </w:r>
          </w:p>
        </w:tc>
        <w:tc>
          <w:tcPr>
            <w:tcW w:w="498" w:type="dxa"/>
            <w:gridSpan w:val="2"/>
            <w:tcBorders>
              <w:top w:val="single" w:sz="12" w:space="0" w:color="auto"/>
              <w:left w:val="nil"/>
              <w:right w:val="nil"/>
            </w:tcBorders>
            <w:shd w:val="clear" w:color="auto" w:fill="FFFFFF"/>
          </w:tcPr>
          <w:p w:rsidR="00965D85" w:rsidRPr="00E22AD9" w:rsidRDefault="00965D85" w:rsidP="008B46DF">
            <w:pPr>
              <w:autoSpaceDE w:val="0"/>
              <w:autoSpaceDN w:val="0"/>
              <w:adjustRightInd w:val="0"/>
              <w:spacing w:after="0"/>
              <w:jc w:val="center"/>
              <w:rPr>
                <w:rFonts w:ascii="Calibri" w:eastAsiaTheme="minorEastAsia" w:hAnsi="Calibri" w:cs="Calibri"/>
                <w:color w:val="000000"/>
                <w:sz w:val="20"/>
                <w:lang w:eastAsia="en-AU"/>
              </w:rPr>
            </w:pPr>
            <w:r w:rsidRPr="00E22AD9">
              <w:rPr>
                <w:rFonts w:ascii="Calibri" w:eastAsiaTheme="minorEastAsia" w:hAnsi="Calibri" w:cs="Calibri"/>
                <w:color w:val="000000"/>
                <w:sz w:val="19"/>
                <w:lang w:eastAsia="en-AU"/>
              </w:rPr>
              <w:t xml:space="preserve"> </w:t>
            </w:r>
          </w:p>
        </w:tc>
        <w:tc>
          <w:tcPr>
            <w:tcW w:w="915" w:type="dxa"/>
            <w:tcBorders>
              <w:top w:val="single" w:sz="12" w:space="0" w:color="auto"/>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p>
        </w:tc>
        <w:tc>
          <w:tcPr>
            <w:tcW w:w="915" w:type="dxa"/>
            <w:tcBorders>
              <w:top w:val="single" w:sz="12" w:space="0" w:color="auto"/>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p>
        </w:tc>
        <w:tc>
          <w:tcPr>
            <w:tcW w:w="915" w:type="dxa"/>
            <w:tcBorders>
              <w:top w:val="single" w:sz="12" w:space="0" w:color="auto"/>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p>
        </w:tc>
        <w:tc>
          <w:tcPr>
            <w:tcW w:w="915" w:type="dxa"/>
            <w:tcBorders>
              <w:top w:val="single" w:sz="12" w:space="0" w:color="auto"/>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p>
        </w:tc>
        <w:tc>
          <w:tcPr>
            <w:tcW w:w="915" w:type="dxa"/>
            <w:tcBorders>
              <w:top w:val="single" w:sz="12" w:space="0" w:color="auto"/>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p>
        </w:tc>
      </w:tr>
      <w:tr w:rsidR="00965D85" w:rsidRPr="00E22AD9" w:rsidTr="008B46DF">
        <w:tc>
          <w:tcPr>
            <w:tcW w:w="2694" w:type="dxa"/>
            <w:gridSpan w:val="2"/>
            <w:tcBorders>
              <w:top w:val="nil"/>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b/>
                <w:bCs/>
                <w:color w:val="000000"/>
                <w:sz w:val="19"/>
                <w:lang w:eastAsia="en-AU"/>
              </w:rPr>
            </w:pPr>
            <w:r w:rsidRPr="00E22AD9">
              <w:rPr>
                <w:rFonts w:ascii="Calibri" w:eastAsiaTheme="minorEastAsia" w:hAnsi="Calibri" w:cs="Calibri"/>
                <w:b/>
                <w:bCs/>
                <w:color w:val="000000"/>
                <w:sz w:val="19"/>
                <w:lang w:eastAsia="en-AU"/>
              </w:rPr>
              <w:t>FISCAL AGGREGATES</w:t>
            </w:r>
          </w:p>
        </w:tc>
        <w:tc>
          <w:tcPr>
            <w:tcW w:w="498" w:type="dxa"/>
            <w:gridSpan w:val="2"/>
            <w:tcBorders>
              <w:top w:val="nil"/>
              <w:left w:val="nil"/>
              <w:right w:val="nil"/>
            </w:tcBorders>
            <w:shd w:val="clear" w:color="auto" w:fill="FFFFFF"/>
          </w:tcPr>
          <w:p w:rsidR="00965D85" w:rsidRPr="00E22AD9" w:rsidRDefault="00965D85" w:rsidP="008B46DF">
            <w:pPr>
              <w:autoSpaceDE w:val="0"/>
              <w:autoSpaceDN w:val="0"/>
              <w:adjustRightInd w:val="0"/>
              <w:spacing w:after="0"/>
              <w:jc w:val="center"/>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19"/>
                <w:lang w:eastAsia="en-AU"/>
              </w:rPr>
              <w:t xml:space="preserve"> </w:t>
            </w:r>
          </w:p>
        </w:tc>
        <w:tc>
          <w:tcPr>
            <w:tcW w:w="915"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915"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915"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915"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915"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r>
      <w:tr w:rsidR="00965D85" w:rsidRPr="00E22AD9" w:rsidTr="008B46DF">
        <w:tc>
          <w:tcPr>
            <w:tcW w:w="2694" w:type="dxa"/>
            <w:gridSpan w:val="2"/>
            <w:tcBorders>
              <w:top w:val="nil"/>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Net cash flows from operating activities</w:t>
            </w:r>
          </w:p>
        </w:tc>
        <w:tc>
          <w:tcPr>
            <w:tcW w:w="498" w:type="dxa"/>
            <w:gridSpan w:val="2"/>
            <w:tcBorders>
              <w:top w:val="nil"/>
              <w:left w:val="nil"/>
              <w:right w:val="nil"/>
            </w:tcBorders>
            <w:shd w:val="clear" w:color="auto" w:fill="FFFFFF"/>
          </w:tcPr>
          <w:p w:rsidR="00965D85" w:rsidRPr="00E22AD9" w:rsidRDefault="00965D85" w:rsidP="008B46DF">
            <w:pPr>
              <w:autoSpaceDE w:val="0"/>
              <w:autoSpaceDN w:val="0"/>
              <w:adjustRightInd w:val="0"/>
              <w:spacing w:after="0"/>
              <w:jc w:val="center"/>
              <w:rPr>
                <w:rFonts w:ascii="Calibri" w:eastAsiaTheme="minorEastAsia" w:hAnsi="Calibri" w:cs="Calibri"/>
                <w:color w:val="000000"/>
                <w:sz w:val="20"/>
                <w:lang w:eastAsia="en-AU"/>
              </w:rPr>
            </w:pPr>
            <w:r w:rsidRPr="00E22AD9">
              <w:rPr>
                <w:rFonts w:ascii="Calibri" w:eastAsiaTheme="minorEastAsia" w:hAnsi="Calibri" w:cs="Calibri"/>
                <w:color w:val="000000"/>
                <w:sz w:val="19"/>
                <w:lang w:eastAsia="en-AU"/>
              </w:rPr>
              <w:t xml:space="preserve"> </w:t>
            </w:r>
          </w:p>
        </w:tc>
        <w:tc>
          <w:tcPr>
            <w:tcW w:w="915"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3 754.9</w:t>
            </w:r>
          </w:p>
        </w:tc>
        <w:tc>
          <w:tcPr>
            <w:tcW w:w="915"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4 029.6</w:t>
            </w:r>
          </w:p>
        </w:tc>
        <w:tc>
          <w:tcPr>
            <w:tcW w:w="915"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4 141.6</w:t>
            </w:r>
          </w:p>
        </w:tc>
        <w:tc>
          <w:tcPr>
            <w:tcW w:w="915"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4 593.1</w:t>
            </w:r>
          </w:p>
        </w:tc>
        <w:tc>
          <w:tcPr>
            <w:tcW w:w="915"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4 299.1</w:t>
            </w:r>
          </w:p>
        </w:tc>
      </w:tr>
      <w:tr w:rsidR="00965D85" w:rsidRPr="00E22AD9" w:rsidTr="008B46DF">
        <w:tc>
          <w:tcPr>
            <w:tcW w:w="2694" w:type="dxa"/>
            <w:gridSpan w:val="2"/>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19"/>
                <w:lang w:eastAsia="en-AU"/>
              </w:rPr>
            </w:pPr>
            <w:r w:rsidRPr="00E22AD9">
              <w:rPr>
                <w:rFonts w:ascii="Calibri" w:eastAsiaTheme="minorEastAsia" w:hAnsi="Calibri" w:cs="Calibri"/>
                <w:color w:val="000000"/>
                <w:sz w:val="19"/>
                <w:lang w:eastAsia="en-AU"/>
              </w:rPr>
              <w:t>Net cash flows from investments in non</w:t>
            </w:r>
            <w:r>
              <w:rPr>
                <w:rFonts w:ascii="Calibri" w:eastAsiaTheme="minorEastAsia" w:hAnsi="Calibri" w:cs="Calibri"/>
                <w:color w:val="000000"/>
                <w:sz w:val="19"/>
                <w:lang w:eastAsia="en-AU"/>
              </w:rPr>
              <w:noBreakHyphen/>
            </w:r>
            <w:r w:rsidRPr="00E22AD9">
              <w:rPr>
                <w:rFonts w:ascii="Calibri" w:eastAsiaTheme="minorEastAsia" w:hAnsi="Calibri" w:cs="Calibri"/>
                <w:color w:val="000000"/>
                <w:sz w:val="19"/>
                <w:lang w:eastAsia="en-AU"/>
              </w:rPr>
              <w:t>financial assets</w:t>
            </w:r>
          </w:p>
        </w:tc>
        <w:tc>
          <w:tcPr>
            <w:tcW w:w="498" w:type="dxa"/>
            <w:gridSpan w:val="2"/>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center"/>
              <w:rPr>
                <w:rFonts w:ascii="Calibri" w:eastAsiaTheme="minorEastAsia" w:hAnsi="Calibri" w:cs="Calibri"/>
                <w:color w:val="000000"/>
                <w:sz w:val="20"/>
                <w:lang w:eastAsia="en-AU"/>
              </w:rPr>
            </w:pPr>
            <w:r w:rsidRPr="00E22AD9">
              <w:rPr>
                <w:rFonts w:ascii="Calibri" w:eastAsiaTheme="minorEastAsia" w:hAnsi="Calibri" w:cs="Calibri"/>
                <w:color w:val="000000"/>
                <w:sz w:val="19"/>
                <w:lang w:eastAsia="en-AU"/>
              </w:rPr>
              <w:t xml:space="preserve"> </w:t>
            </w:r>
          </w:p>
        </w:tc>
        <w:tc>
          <w:tcPr>
            <w:tcW w:w="915"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(4 229.7)</w:t>
            </w:r>
          </w:p>
        </w:tc>
        <w:tc>
          <w:tcPr>
            <w:tcW w:w="915"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(4 011.5)</w:t>
            </w:r>
          </w:p>
        </w:tc>
        <w:tc>
          <w:tcPr>
            <w:tcW w:w="915"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(5 360.4)</w:t>
            </w:r>
          </w:p>
        </w:tc>
        <w:tc>
          <w:tcPr>
            <w:tcW w:w="915"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(5 050.2)</w:t>
            </w:r>
          </w:p>
        </w:tc>
        <w:tc>
          <w:tcPr>
            <w:tcW w:w="915"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(4 736.5)</w:t>
            </w:r>
          </w:p>
        </w:tc>
      </w:tr>
      <w:tr w:rsidR="00965D85" w:rsidRPr="00E22AD9" w:rsidTr="008B46DF">
        <w:tc>
          <w:tcPr>
            <w:tcW w:w="2694" w:type="dxa"/>
            <w:gridSpan w:val="2"/>
            <w:tcBorders>
              <w:top w:val="single" w:sz="6" w:space="0" w:color="000000"/>
              <w:left w:val="nil"/>
              <w:bottom w:val="single" w:sz="12" w:space="0" w:color="000000"/>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b/>
                <w:bCs/>
                <w:color w:val="000000"/>
                <w:sz w:val="19"/>
                <w:lang w:eastAsia="en-AU"/>
              </w:rPr>
            </w:pPr>
            <w:r w:rsidRPr="00E22AD9">
              <w:rPr>
                <w:rFonts w:ascii="Calibri" w:eastAsiaTheme="minorEastAsia" w:hAnsi="Calibri" w:cs="Calibri"/>
                <w:b/>
                <w:bCs/>
                <w:color w:val="000000"/>
                <w:sz w:val="19"/>
                <w:lang w:eastAsia="en-AU"/>
              </w:rPr>
              <w:t>Cash surplus/(deficit)</w:t>
            </w:r>
          </w:p>
        </w:tc>
        <w:tc>
          <w:tcPr>
            <w:tcW w:w="498" w:type="dxa"/>
            <w:gridSpan w:val="2"/>
            <w:tcBorders>
              <w:top w:val="single" w:sz="6" w:space="0" w:color="000000"/>
              <w:left w:val="nil"/>
              <w:bottom w:val="single" w:sz="12" w:space="0" w:color="000000"/>
              <w:right w:val="nil"/>
            </w:tcBorders>
            <w:shd w:val="clear" w:color="auto" w:fill="FFFFFF"/>
          </w:tcPr>
          <w:p w:rsidR="00965D85" w:rsidRPr="00E22AD9" w:rsidRDefault="00965D85" w:rsidP="008B46DF">
            <w:pPr>
              <w:autoSpaceDE w:val="0"/>
              <w:autoSpaceDN w:val="0"/>
              <w:adjustRightInd w:val="0"/>
              <w:spacing w:after="0"/>
              <w:jc w:val="center"/>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19"/>
                <w:lang w:eastAsia="en-AU"/>
              </w:rPr>
              <w:t xml:space="preserve"> </w:t>
            </w:r>
          </w:p>
        </w:tc>
        <w:tc>
          <w:tcPr>
            <w:tcW w:w="915" w:type="dxa"/>
            <w:tcBorders>
              <w:top w:val="single" w:sz="6" w:space="0" w:color="000000"/>
              <w:left w:val="nil"/>
              <w:bottom w:val="single" w:sz="12"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19"/>
                <w:lang w:eastAsia="en-AU"/>
              </w:rPr>
              <w:t>(474.9)</w:t>
            </w:r>
          </w:p>
        </w:tc>
        <w:tc>
          <w:tcPr>
            <w:tcW w:w="915" w:type="dxa"/>
            <w:tcBorders>
              <w:top w:val="single" w:sz="6" w:space="0" w:color="000000"/>
              <w:left w:val="nil"/>
              <w:bottom w:val="single" w:sz="12"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19"/>
                <w:lang w:eastAsia="en-AU"/>
              </w:rPr>
            </w:pPr>
            <w:r>
              <w:rPr>
                <w:rFonts w:ascii="Calibri" w:eastAsiaTheme="minorEastAsia" w:hAnsi="Calibri" w:cs="Calibri"/>
                <w:b/>
                <w:bCs/>
                <w:color w:val="000000"/>
                <w:sz w:val="19"/>
                <w:lang w:eastAsia="en-AU"/>
              </w:rPr>
              <w:t>18.2</w:t>
            </w:r>
          </w:p>
        </w:tc>
        <w:tc>
          <w:tcPr>
            <w:tcW w:w="915" w:type="dxa"/>
            <w:tcBorders>
              <w:top w:val="single" w:sz="6" w:space="0" w:color="000000"/>
              <w:left w:val="nil"/>
              <w:bottom w:val="single" w:sz="12"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19"/>
                <w:lang w:eastAsia="en-AU"/>
              </w:rPr>
              <w:t>(1 218.8)</w:t>
            </w:r>
          </w:p>
        </w:tc>
        <w:tc>
          <w:tcPr>
            <w:tcW w:w="915" w:type="dxa"/>
            <w:tcBorders>
              <w:top w:val="single" w:sz="6" w:space="0" w:color="000000"/>
              <w:left w:val="nil"/>
              <w:bottom w:val="single" w:sz="12"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19"/>
                <w:lang w:eastAsia="en-AU"/>
              </w:rPr>
              <w:t>(457.1)</w:t>
            </w:r>
          </w:p>
        </w:tc>
        <w:tc>
          <w:tcPr>
            <w:tcW w:w="915" w:type="dxa"/>
            <w:tcBorders>
              <w:top w:val="single" w:sz="6" w:space="0" w:color="000000"/>
              <w:left w:val="nil"/>
              <w:bottom w:val="single" w:sz="12"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19"/>
                <w:lang w:eastAsia="en-AU"/>
              </w:rPr>
              <w:t>(437.3)</w:t>
            </w:r>
          </w:p>
        </w:tc>
      </w:tr>
    </w:tbl>
    <w:p w:rsidR="00965D85" w:rsidRDefault="00965D85" w:rsidP="008B46DF">
      <w:pPr>
        <w:pStyle w:val="Notes"/>
      </w:pPr>
      <w:r>
        <w:t>The accompanying notes form part of these estimated financial statements.</w:t>
      </w:r>
    </w:p>
    <w:p w:rsidR="00965D85" w:rsidRDefault="00965D85" w:rsidP="008B46DF">
      <w:pPr>
        <w:pStyle w:val="Notes"/>
      </w:pPr>
    </w:p>
    <w:p w:rsidR="00965D85" w:rsidRPr="00A01226" w:rsidRDefault="00965D85" w:rsidP="008B46DF">
      <w:pPr>
        <w:pStyle w:val="Notes"/>
        <w:rPr>
          <w:lang w:eastAsia="en-AU"/>
        </w:rPr>
      </w:pPr>
      <w:r w:rsidRPr="00A01226">
        <w:rPr>
          <w:lang w:eastAsia="en-AU"/>
        </w:rPr>
        <w:t>Note</w:t>
      </w:r>
      <w:r>
        <w:rPr>
          <w:lang w:eastAsia="en-AU"/>
        </w:rPr>
        <w:t>s</w:t>
      </w:r>
      <w:r w:rsidRPr="00A01226">
        <w:rPr>
          <w:lang w:eastAsia="en-AU"/>
        </w:rPr>
        <w:t>:</w:t>
      </w:r>
    </w:p>
    <w:p w:rsidR="00965D85" w:rsidRDefault="00965D85" w:rsidP="008B46DF">
      <w:pPr>
        <w:pStyle w:val="Notes"/>
        <w:rPr>
          <w:lang w:eastAsia="en-AU"/>
        </w:rPr>
      </w:pPr>
      <w:r>
        <w:rPr>
          <w:lang w:eastAsia="en-AU"/>
        </w:rPr>
        <w:t xml:space="preserve">(a) </w:t>
      </w:r>
      <w:r>
        <w:rPr>
          <w:lang w:eastAsia="en-AU"/>
        </w:rPr>
        <w:tab/>
        <w:t>Inclusive of goods and services tax</w:t>
      </w:r>
      <w:r w:rsidRPr="00A01226">
        <w:rPr>
          <w:lang w:eastAsia="en-AU"/>
        </w:rPr>
        <w:t>.</w:t>
      </w:r>
    </w:p>
    <w:p w:rsidR="00965D85" w:rsidRDefault="00965D85" w:rsidP="008B46DF">
      <w:pPr>
        <w:pStyle w:val="Notes"/>
        <w:rPr>
          <w:lang w:eastAsia="en-AU"/>
        </w:rPr>
      </w:pPr>
      <w:r>
        <w:rPr>
          <w:lang w:eastAsia="en-AU"/>
        </w:rPr>
        <w:t xml:space="preserve">(b) </w:t>
      </w:r>
      <w:r>
        <w:rPr>
          <w:lang w:eastAsia="en-AU"/>
        </w:rPr>
        <w:tab/>
      </w:r>
      <w:r w:rsidRPr="00826FAB">
        <w:rPr>
          <w:i w:val="0"/>
          <w:lang w:eastAsia="en-AU"/>
        </w:rPr>
        <w:t>2015</w:t>
      </w:r>
      <w:r>
        <w:rPr>
          <w:i w:val="0"/>
          <w:lang w:eastAsia="en-AU"/>
        </w:rPr>
        <w:noBreakHyphen/>
      </w:r>
      <w:r w:rsidRPr="00826FAB">
        <w:rPr>
          <w:i w:val="0"/>
          <w:lang w:eastAsia="en-AU"/>
        </w:rPr>
        <w:t>16 Budget</w:t>
      </w:r>
      <w:r>
        <w:rPr>
          <w:lang w:eastAsia="en-AU"/>
        </w:rPr>
        <w:t xml:space="preserve"> figures have been restated to represent actual opening balances at 1 July 2015</w:t>
      </w:r>
      <w:r w:rsidRPr="00A01226">
        <w:rPr>
          <w:lang w:eastAsia="en-AU"/>
        </w:rPr>
        <w:t>.</w:t>
      </w:r>
    </w:p>
    <w:p w:rsidR="00965D85" w:rsidRDefault="00965D85" w:rsidP="008B46DF">
      <w:pPr>
        <w:pStyle w:val="Notes"/>
        <w:rPr>
          <w:lang w:eastAsia="en-AU"/>
        </w:rPr>
      </w:pPr>
    </w:p>
    <w:p w:rsidR="00965D85" w:rsidRDefault="00965D85" w:rsidP="008B46DF"/>
    <w:p w:rsidR="00965D85" w:rsidRDefault="00965D85">
      <w:pPr>
        <w:spacing w:after="0"/>
      </w:pPr>
      <w:r>
        <w:br w:type="page"/>
      </w:r>
    </w:p>
    <w:p w:rsidR="00965D85" w:rsidRPr="00E22AD9" w:rsidRDefault="00965D85" w:rsidP="008B46DF">
      <w:pPr>
        <w:pStyle w:val="Tableheading"/>
        <w:rPr>
          <w:rFonts w:ascii="Times New Roman" w:hAnsi="Times New Roman"/>
          <w:b w:val="0"/>
          <w:sz w:val="20"/>
          <w:lang w:eastAsia="en-AU"/>
        </w:rPr>
      </w:pPr>
      <w:r w:rsidRPr="003878BE">
        <w:lastRenderedPageBreak/>
        <w:t xml:space="preserve">Table 4.4: </w:t>
      </w:r>
      <w:r w:rsidRPr="003878BE">
        <w:tab/>
        <w:t>Estimated general government sector statement of changes in equity for the financial year ended 30 June</w:t>
      </w:r>
    </w:p>
    <w:tbl>
      <w:tblPr>
        <w:tblW w:w="7767" w:type="dxa"/>
        <w:tblInd w:w="28" w:type="dxa"/>
        <w:tblLayout w:type="fixed"/>
        <w:tblCellMar>
          <w:left w:w="28" w:type="dxa"/>
          <w:right w:w="28" w:type="dxa"/>
        </w:tblCellMar>
        <w:tblLook w:val="0000" w:firstRow="0" w:lastRow="0" w:firstColumn="0" w:lastColumn="0" w:noHBand="0" w:noVBand="0"/>
      </w:tblPr>
      <w:tblGrid>
        <w:gridCol w:w="4253"/>
        <w:gridCol w:w="1843"/>
        <w:gridCol w:w="1671"/>
      </w:tblGrid>
      <w:tr w:rsidR="00965D85" w:rsidRPr="00E22AD9" w:rsidTr="008B46DF">
        <w:trPr>
          <w:tblHeader/>
        </w:trPr>
        <w:tc>
          <w:tcPr>
            <w:tcW w:w="7767" w:type="dxa"/>
            <w:gridSpan w:val="3"/>
            <w:tcBorders>
              <w:top w:val="nil"/>
              <w:left w:val="nil"/>
              <w:bottom w:val="nil"/>
              <w:right w:val="nil"/>
            </w:tcBorders>
          </w:tcPr>
          <w:p w:rsidR="00965D85" w:rsidRPr="00E22AD9" w:rsidRDefault="00965D85" w:rsidP="008B46DF">
            <w:pPr>
              <w:pStyle w:val="million"/>
              <w:rPr>
                <w:rFonts w:eastAsiaTheme="minorEastAsia" w:cs="Calibri"/>
                <w:iCs/>
                <w:color w:val="000000"/>
                <w:sz w:val="20"/>
                <w:lang w:eastAsia="en-AU"/>
              </w:rPr>
            </w:pPr>
            <w:r w:rsidRPr="00E22AD9">
              <w:rPr>
                <w:rFonts w:eastAsiaTheme="minorEastAsia"/>
                <w:lang w:eastAsia="en-AU"/>
              </w:rPr>
              <w:t>($ million)</w:t>
            </w:r>
          </w:p>
        </w:tc>
      </w:tr>
      <w:tr w:rsidR="00965D85" w:rsidRPr="00E22AD9" w:rsidTr="008B46DF">
        <w:trPr>
          <w:tblHeader/>
        </w:trPr>
        <w:tc>
          <w:tcPr>
            <w:tcW w:w="4253" w:type="dxa"/>
            <w:tcBorders>
              <w:top w:val="single" w:sz="6" w:space="0" w:color="auto"/>
              <w:left w:val="single" w:sz="6" w:space="0" w:color="auto"/>
              <w:bottom w:val="single" w:sz="6" w:space="0" w:color="auto"/>
              <w:right w:val="nil"/>
            </w:tcBorders>
            <w:shd w:val="solid" w:color="000000" w:fill="auto"/>
          </w:tcPr>
          <w:p w:rsidR="00965D85" w:rsidRPr="00E22AD9" w:rsidRDefault="00965D85" w:rsidP="008B46DF">
            <w:pPr>
              <w:pStyle w:val="million"/>
              <w:rPr>
                <w:rFonts w:eastAsiaTheme="minorEastAsia"/>
                <w:sz w:val="20"/>
                <w:lang w:eastAsia="en-AU"/>
              </w:rPr>
            </w:pPr>
            <w:r w:rsidRPr="00E22AD9">
              <w:rPr>
                <w:rFonts w:eastAsiaTheme="minorEastAsia"/>
                <w:sz w:val="20"/>
                <w:lang w:eastAsia="en-AU"/>
              </w:rPr>
              <w:t xml:space="preserve"> </w:t>
            </w:r>
          </w:p>
        </w:tc>
        <w:tc>
          <w:tcPr>
            <w:tcW w:w="1843" w:type="dxa"/>
            <w:tcBorders>
              <w:top w:val="single" w:sz="6" w:space="0" w:color="auto"/>
              <w:left w:val="nil"/>
              <w:bottom w:val="single" w:sz="6" w:space="0" w:color="auto"/>
              <w:right w:val="nil"/>
            </w:tcBorders>
            <w:shd w:val="solid" w:color="000000" w:fill="auto"/>
          </w:tcPr>
          <w:p w:rsidR="00965D85" w:rsidRPr="00E22AD9" w:rsidRDefault="00965D85" w:rsidP="008B46DF">
            <w:pPr>
              <w:pStyle w:val="million"/>
              <w:rPr>
                <w:rFonts w:eastAsiaTheme="minorEastAsia"/>
                <w:sz w:val="20"/>
                <w:lang w:eastAsia="en-AU"/>
              </w:rPr>
            </w:pPr>
          </w:p>
          <w:p w:rsidR="00965D85" w:rsidRPr="00E22AD9" w:rsidRDefault="00965D85" w:rsidP="008B46DF">
            <w:pPr>
              <w:pStyle w:val="million"/>
              <w:jc w:val="right"/>
              <w:rPr>
                <w:rFonts w:eastAsiaTheme="minorEastAsia"/>
                <w:sz w:val="20"/>
                <w:lang w:eastAsia="en-AU"/>
              </w:rPr>
            </w:pPr>
            <w:r w:rsidRPr="00E22AD9">
              <w:rPr>
                <w:rFonts w:eastAsiaTheme="minorEastAsia"/>
                <w:sz w:val="20"/>
                <w:lang w:eastAsia="en-AU"/>
              </w:rPr>
              <w:t>Accumulated surplus/(deficit)</w:t>
            </w:r>
          </w:p>
        </w:tc>
        <w:tc>
          <w:tcPr>
            <w:tcW w:w="1671" w:type="dxa"/>
            <w:tcBorders>
              <w:top w:val="single" w:sz="6" w:space="0" w:color="auto"/>
              <w:left w:val="nil"/>
              <w:bottom w:val="single" w:sz="6" w:space="0" w:color="auto"/>
              <w:right w:val="nil"/>
            </w:tcBorders>
            <w:shd w:val="solid" w:color="000000" w:fill="auto"/>
          </w:tcPr>
          <w:p w:rsidR="00965D85" w:rsidRPr="00E22AD9" w:rsidRDefault="00965D85" w:rsidP="008B46DF">
            <w:pPr>
              <w:pStyle w:val="million"/>
              <w:jc w:val="right"/>
              <w:rPr>
                <w:rFonts w:eastAsiaTheme="minorEastAsia"/>
                <w:sz w:val="20"/>
                <w:lang w:eastAsia="en-AU"/>
              </w:rPr>
            </w:pPr>
          </w:p>
          <w:p w:rsidR="00965D85" w:rsidRPr="00E22AD9" w:rsidRDefault="00965D85" w:rsidP="008B46DF">
            <w:pPr>
              <w:pStyle w:val="million"/>
              <w:jc w:val="right"/>
              <w:rPr>
                <w:rFonts w:eastAsiaTheme="minorEastAsia"/>
                <w:sz w:val="20"/>
                <w:lang w:eastAsia="en-AU"/>
              </w:rPr>
            </w:pPr>
            <w:r w:rsidRPr="00E22AD9">
              <w:rPr>
                <w:rFonts w:eastAsiaTheme="minorEastAsia"/>
                <w:sz w:val="20"/>
                <w:lang w:eastAsia="en-AU"/>
              </w:rPr>
              <w:t>Non</w:t>
            </w:r>
            <w:r>
              <w:rPr>
                <w:rFonts w:eastAsiaTheme="minorEastAsia"/>
                <w:sz w:val="20"/>
                <w:lang w:eastAsia="en-AU"/>
              </w:rPr>
              <w:noBreakHyphen/>
            </w:r>
            <w:r w:rsidRPr="00E22AD9">
              <w:rPr>
                <w:rFonts w:eastAsiaTheme="minorEastAsia"/>
                <w:sz w:val="20"/>
                <w:lang w:eastAsia="en-AU"/>
              </w:rPr>
              <w:t>controlling interest</w:t>
            </w:r>
          </w:p>
        </w:tc>
      </w:tr>
      <w:tr w:rsidR="00965D85" w:rsidRPr="00E22AD9" w:rsidTr="008B46DF">
        <w:tc>
          <w:tcPr>
            <w:tcW w:w="4253" w:type="dxa"/>
            <w:tcBorders>
              <w:top w:val="single" w:sz="6" w:space="0" w:color="auto"/>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b/>
                <w:bCs/>
                <w:color w:val="000000"/>
                <w:sz w:val="20"/>
                <w:vertAlign w:val="superscript"/>
                <w:lang w:eastAsia="en-AU"/>
              </w:rPr>
            </w:pPr>
            <w:r w:rsidRPr="00E22AD9">
              <w:rPr>
                <w:rFonts w:ascii="Calibri" w:eastAsiaTheme="minorEastAsia" w:hAnsi="Calibri" w:cs="Calibri"/>
                <w:b/>
                <w:bCs/>
                <w:color w:val="000000"/>
                <w:sz w:val="20"/>
                <w:lang w:eastAsia="en-AU"/>
              </w:rPr>
              <w:t>2015</w:t>
            </w:r>
            <w:r>
              <w:rPr>
                <w:rFonts w:ascii="Calibri" w:eastAsiaTheme="minorEastAsia" w:hAnsi="Calibri" w:cs="Calibri"/>
                <w:b/>
                <w:bCs/>
                <w:color w:val="000000"/>
                <w:sz w:val="20"/>
                <w:lang w:eastAsia="en-AU"/>
              </w:rPr>
              <w:noBreakHyphen/>
            </w:r>
            <w:r w:rsidRPr="00E22AD9">
              <w:rPr>
                <w:rFonts w:ascii="Calibri" w:eastAsiaTheme="minorEastAsia" w:hAnsi="Calibri" w:cs="Calibri"/>
                <w:b/>
                <w:bCs/>
                <w:color w:val="000000"/>
                <w:sz w:val="20"/>
                <w:lang w:eastAsia="en-AU"/>
              </w:rPr>
              <w:t>16 budget</w:t>
            </w:r>
            <w:r w:rsidRPr="00E22AD9">
              <w:rPr>
                <w:rFonts w:ascii="Calibri" w:eastAsiaTheme="minorEastAsia" w:hAnsi="Calibri" w:cs="Calibri"/>
                <w:b/>
                <w:bCs/>
                <w:color w:val="000000"/>
                <w:sz w:val="20"/>
                <w:vertAlign w:val="superscript"/>
                <w:lang w:eastAsia="en-AU"/>
              </w:rPr>
              <w:t>(a)</w:t>
            </w:r>
          </w:p>
        </w:tc>
        <w:tc>
          <w:tcPr>
            <w:tcW w:w="1843" w:type="dxa"/>
            <w:tcBorders>
              <w:top w:val="single" w:sz="6" w:space="0" w:color="auto"/>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FF"/>
                <w:sz w:val="20"/>
                <w:vertAlign w:val="superscript"/>
                <w:lang w:eastAsia="en-AU"/>
              </w:rPr>
            </w:pPr>
          </w:p>
        </w:tc>
        <w:tc>
          <w:tcPr>
            <w:tcW w:w="1671" w:type="dxa"/>
            <w:tcBorders>
              <w:top w:val="single" w:sz="6" w:space="0" w:color="auto"/>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FF"/>
                <w:sz w:val="20"/>
                <w:vertAlign w:val="superscript"/>
                <w:lang w:eastAsia="en-AU"/>
              </w:rPr>
            </w:pPr>
          </w:p>
        </w:tc>
      </w:tr>
      <w:tr w:rsidR="00965D85" w:rsidRPr="00E22AD9" w:rsidTr="008B46DF">
        <w:tc>
          <w:tcPr>
            <w:tcW w:w="4253" w:type="dxa"/>
            <w:tcBorders>
              <w:top w:val="nil"/>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Balance at 1 July 2015</w:t>
            </w:r>
          </w:p>
        </w:tc>
        <w:tc>
          <w:tcPr>
            <w:tcW w:w="1843"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45 788.5</w:t>
            </w:r>
          </w:p>
        </w:tc>
        <w:tc>
          <w:tcPr>
            <w:tcW w:w="1671"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vertAlign w:val="superscript"/>
                <w:lang w:eastAsia="en-AU"/>
              </w:rPr>
            </w:pPr>
            <w:r>
              <w:rPr>
                <w:rFonts w:ascii="Calibri" w:eastAsiaTheme="minorEastAsia" w:hAnsi="Calibri" w:cs="Calibri"/>
                <w:color w:val="000000"/>
                <w:sz w:val="20"/>
                <w:lang w:eastAsia="en-AU"/>
              </w:rPr>
              <w:t>50.0</w:t>
            </w:r>
          </w:p>
        </w:tc>
      </w:tr>
      <w:tr w:rsidR="00965D85" w:rsidRPr="00E22AD9" w:rsidTr="008B46DF">
        <w:tc>
          <w:tcPr>
            <w:tcW w:w="4253" w:type="dxa"/>
            <w:tcBorders>
              <w:top w:val="nil"/>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Net result for the year</w:t>
            </w:r>
          </w:p>
        </w:tc>
        <w:tc>
          <w:tcPr>
            <w:tcW w:w="1843"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6 366.3</w:t>
            </w:r>
          </w:p>
        </w:tc>
        <w:tc>
          <w:tcPr>
            <w:tcW w:w="1671"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w:t>
            </w:r>
          </w:p>
        </w:tc>
      </w:tr>
      <w:tr w:rsidR="00965D85" w:rsidRPr="00E22AD9" w:rsidTr="008B46DF">
        <w:tc>
          <w:tcPr>
            <w:tcW w:w="4253" w:type="dxa"/>
            <w:tcBorders>
              <w:top w:val="nil"/>
              <w:left w:val="nil"/>
              <w:bottom w:val="single" w:sz="6" w:space="0" w:color="auto"/>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Other comprehensive income for the year</w:t>
            </w:r>
          </w:p>
        </w:tc>
        <w:tc>
          <w:tcPr>
            <w:tcW w:w="1843" w:type="dxa"/>
            <w:tcBorders>
              <w:top w:val="nil"/>
              <w:left w:val="nil"/>
              <w:bottom w:val="single" w:sz="6" w:space="0" w:color="auto"/>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vertAlign w:val="superscript"/>
                <w:lang w:eastAsia="en-AU"/>
              </w:rPr>
            </w:pPr>
            <w:r>
              <w:rPr>
                <w:rFonts w:ascii="Calibri" w:eastAsiaTheme="minorEastAsia" w:hAnsi="Calibri" w:cs="Calibri"/>
                <w:color w:val="000000"/>
                <w:sz w:val="20"/>
                <w:lang w:eastAsia="en-AU"/>
              </w:rPr>
              <w:t>957.2</w:t>
            </w:r>
          </w:p>
        </w:tc>
        <w:tc>
          <w:tcPr>
            <w:tcW w:w="1671" w:type="dxa"/>
            <w:tcBorders>
              <w:top w:val="nil"/>
              <w:left w:val="nil"/>
              <w:bottom w:val="single" w:sz="6" w:space="0" w:color="auto"/>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w:t>
            </w:r>
          </w:p>
        </w:tc>
      </w:tr>
      <w:tr w:rsidR="00965D85" w:rsidRPr="00E22AD9" w:rsidTr="008B46DF">
        <w:tc>
          <w:tcPr>
            <w:tcW w:w="4253" w:type="dxa"/>
            <w:tcBorders>
              <w:top w:val="single" w:sz="6" w:space="0" w:color="auto"/>
              <w:left w:val="nil"/>
              <w:bottom w:val="single" w:sz="12" w:space="0" w:color="auto"/>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Total equity at end of period</w:t>
            </w:r>
          </w:p>
        </w:tc>
        <w:tc>
          <w:tcPr>
            <w:tcW w:w="1843" w:type="dxa"/>
            <w:tcBorders>
              <w:top w:val="single" w:sz="6" w:space="0" w:color="auto"/>
              <w:left w:val="nil"/>
              <w:bottom w:val="single" w:sz="12" w:space="0" w:color="auto"/>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53 112.0</w:t>
            </w:r>
          </w:p>
        </w:tc>
        <w:tc>
          <w:tcPr>
            <w:tcW w:w="1671" w:type="dxa"/>
            <w:tcBorders>
              <w:top w:val="single" w:sz="6" w:space="0" w:color="auto"/>
              <w:left w:val="nil"/>
              <w:bottom w:val="single" w:sz="12" w:space="0" w:color="auto"/>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vertAlign w:val="superscript"/>
                <w:lang w:eastAsia="en-AU"/>
              </w:rPr>
            </w:pPr>
            <w:r>
              <w:rPr>
                <w:rFonts w:ascii="Calibri" w:eastAsiaTheme="minorEastAsia" w:hAnsi="Calibri" w:cs="Calibri"/>
                <w:b/>
                <w:bCs/>
                <w:color w:val="000000"/>
                <w:sz w:val="20"/>
                <w:lang w:eastAsia="en-AU"/>
              </w:rPr>
              <w:t>50.0</w:t>
            </w:r>
          </w:p>
        </w:tc>
      </w:tr>
      <w:tr w:rsidR="00965D85" w:rsidRPr="00E22AD9" w:rsidTr="008B46DF">
        <w:tc>
          <w:tcPr>
            <w:tcW w:w="4253" w:type="dxa"/>
            <w:tcBorders>
              <w:top w:val="single" w:sz="12" w:space="0" w:color="auto"/>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2015</w:t>
            </w:r>
            <w:r>
              <w:rPr>
                <w:rFonts w:ascii="Calibri" w:eastAsiaTheme="minorEastAsia" w:hAnsi="Calibri" w:cs="Calibri"/>
                <w:b/>
                <w:bCs/>
                <w:color w:val="000000"/>
                <w:sz w:val="20"/>
                <w:lang w:eastAsia="en-AU"/>
              </w:rPr>
              <w:noBreakHyphen/>
            </w:r>
            <w:r w:rsidRPr="00E22AD9">
              <w:rPr>
                <w:rFonts w:ascii="Calibri" w:eastAsiaTheme="minorEastAsia" w:hAnsi="Calibri" w:cs="Calibri"/>
                <w:b/>
                <w:bCs/>
                <w:color w:val="000000"/>
                <w:sz w:val="20"/>
                <w:lang w:eastAsia="en-AU"/>
              </w:rPr>
              <w:t>16 revised</w:t>
            </w:r>
          </w:p>
        </w:tc>
        <w:tc>
          <w:tcPr>
            <w:tcW w:w="1843" w:type="dxa"/>
            <w:tcBorders>
              <w:top w:val="single" w:sz="12" w:space="0" w:color="auto"/>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FF"/>
                <w:sz w:val="20"/>
                <w:vertAlign w:val="superscript"/>
                <w:lang w:eastAsia="en-AU"/>
              </w:rPr>
            </w:pPr>
          </w:p>
        </w:tc>
        <w:tc>
          <w:tcPr>
            <w:tcW w:w="1671" w:type="dxa"/>
            <w:tcBorders>
              <w:top w:val="single" w:sz="12" w:space="0" w:color="auto"/>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FF"/>
                <w:sz w:val="20"/>
                <w:vertAlign w:val="superscript"/>
                <w:lang w:eastAsia="en-AU"/>
              </w:rPr>
            </w:pPr>
          </w:p>
        </w:tc>
      </w:tr>
      <w:tr w:rsidR="00965D85" w:rsidRPr="00E22AD9" w:rsidTr="008B46DF">
        <w:tc>
          <w:tcPr>
            <w:tcW w:w="4253" w:type="dxa"/>
            <w:tcBorders>
              <w:top w:val="nil"/>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Balance at 1 July 2015</w:t>
            </w:r>
          </w:p>
        </w:tc>
        <w:tc>
          <w:tcPr>
            <w:tcW w:w="1843"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45 788.5</w:t>
            </w:r>
          </w:p>
        </w:tc>
        <w:tc>
          <w:tcPr>
            <w:tcW w:w="1671"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vertAlign w:val="superscript"/>
                <w:lang w:eastAsia="en-AU"/>
              </w:rPr>
            </w:pPr>
            <w:r>
              <w:rPr>
                <w:rFonts w:ascii="Calibri" w:eastAsiaTheme="minorEastAsia" w:hAnsi="Calibri" w:cs="Calibri"/>
                <w:color w:val="000000"/>
                <w:sz w:val="20"/>
                <w:lang w:eastAsia="en-AU"/>
              </w:rPr>
              <w:t>50.0</w:t>
            </w:r>
          </w:p>
        </w:tc>
      </w:tr>
      <w:tr w:rsidR="00965D85" w:rsidRPr="00E22AD9" w:rsidTr="008B46DF">
        <w:tc>
          <w:tcPr>
            <w:tcW w:w="4253" w:type="dxa"/>
            <w:tcBorders>
              <w:top w:val="nil"/>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Net result for the year</w:t>
            </w:r>
          </w:p>
        </w:tc>
        <w:tc>
          <w:tcPr>
            <w:tcW w:w="1843"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5 190.8</w:t>
            </w:r>
          </w:p>
        </w:tc>
        <w:tc>
          <w:tcPr>
            <w:tcW w:w="1671"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w:t>
            </w:r>
          </w:p>
        </w:tc>
      </w:tr>
      <w:tr w:rsidR="00965D85" w:rsidRPr="00E22AD9" w:rsidTr="008B46DF">
        <w:tc>
          <w:tcPr>
            <w:tcW w:w="4253" w:type="dxa"/>
            <w:tcBorders>
              <w:top w:val="nil"/>
              <w:left w:val="nil"/>
              <w:bottom w:val="single" w:sz="6" w:space="0" w:color="auto"/>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Other comprehensive income for the year</w:t>
            </w:r>
          </w:p>
        </w:tc>
        <w:tc>
          <w:tcPr>
            <w:tcW w:w="1843" w:type="dxa"/>
            <w:tcBorders>
              <w:top w:val="nil"/>
              <w:left w:val="nil"/>
              <w:bottom w:val="single" w:sz="6" w:space="0" w:color="auto"/>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(1 398.2)</w:t>
            </w:r>
          </w:p>
        </w:tc>
        <w:tc>
          <w:tcPr>
            <w:tcW w:w="1671" w:type="dxa"/>
            <w:tcBorders>
              <w:top w:val="nil"/>
              <w:left w:val="nil"/>
              <w:bottom w:val="single" w:sz="6" w:space="0" w:color="auto"/>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w:t>
            </w:r>
          </w:p>
        </w:tc>
      </w:tr>
      <w:tr w:rsidR="00965D85" w:rsidRPr="00E22AD9" w:rsidTr="008B46DF">
        <w:tc>
          <w:tcPr>
            <w:tcW w:w="4253" w:type="dxa"/>
            <w:tcBorders>
              <w:top w:val="single" w:sz="6" w:space="0" w:color="auto"/>
              <w:left w:val="nil"/>
              <w:bottom w:val="single" w:sz="12" w:space="0" w:color="auto"/>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Total equity at end of period</w:t>
            </w:r>
          </w:p>
        </w:tc>
        <w:tc>
          <w:tcPr>
            <w:tcW w:w="1843" w:type="dxa"/>
            <w:tcBorders>
              <w:top w:val="single" w:sz="6" w:space="0" w:color="auto"/>
              <w:left w:val="nil"/>
              <w:bottom w:val="single" w:sz="12" w:space="0" w:color="auto"/>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49 581.1</w:t>
            </w:r>
          </w:p>
        </w:tc>
        <w:tc>
          <w:tcPr>
            <w:tcW w:w="1671" w:type="dxa"/>
            <w:tcBorders>
              <w:top w:val="single" w:sz="6" w:space="0" w:color="auto"/>
              <w:left w:val="nil"/>
              <w:bottom w:val="single" w:sz="12" w:space="0" w:color="auto"/>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vertAlign w:val="superscript"/>
                <w:lang w:eastAsia="en-AU"/>
              </w:rPr>
            </w:pPr>
            <w:r>
              <w:rPr>
                <w:rFonts w:ascii="Calibri" w:eastAsiaTheme="minorEastAsia" w:hAnsi="Calibri" w:cs="Calibri"/>
                <w:b/>
                <w:bCs/>
                <w:color w:val="000000"/>
                <w:sz w:val="20"/>
                <w:lang w:eastAsia="en-AU"/>
              </w:rPr>
              <w:t>50.0</w:t>
            </w:r>
          </w:p>
        </w:tc>
      </w:tr>
      <w:tr w:rsidR="00965D85" w:rsidRPr="00E22AD9" w:rsidTr="008B46DF">
        <w:tc>
          <w:tcPr>
            <w:tcW w:w="4253" w:type="dxa"/>
            <w:tcBorders>
              <w:top w:val="single" w:sz="12" w:space="0" w:color="auto"/>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2016</w:t>
            </w:r>
            <w:r>
              <w:rPr>
                <w:rFonts w:ascii="Calibri" w:eastAsiaTheme="minorEastAsia" w:hAnsi="Calibri" w:cs="Calibri"/>
                <w:b/>
                <w:bCs/>
                <w:color w:val="000000"/>
                <w:sz w:val="20"/>
                <w:lang w:eastAsia="en-AU"/>
              </w:rPr>
              <w:noBreakHyphen/>
            </w:r>
            <w:r w:rsidRPr="00E22AD9">
              <w:rPr>
                <w:rFonts w:ascii="Calibri" w:eastAsiaTheme="minorEastAsia" w:hAnsi="Calibri" w:cs="Calibri"/>
                <w:b/>
                <w:bCs/>
                <w:color w:val="000000"/>
                <w:sz w:val="20"/>
                <w:lang w:eastAsia="en-AU"/>
              </w:rPr>
              <w:t>17 estimate</w:t>
            </w:r>
          </w:p>
        </w:tc>
        <w:tc>
          <w:tcPr>
            <w:tcW w:w="1843" w:type="dxa"/>
            <w:tcBorders>
              <w:top w:val="single" w:sz="12" w:space="0" w:color="auto"/>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FF"/>
                <w:sz w:val="20"/>
                <w:vertAlign w:val="superscript"/>
                <w:lang w:eastAsia="en-AU"/>
              </w:rPr>
            </w:pPr>
          </w:p>
        </w:tc>
        <w:tc>
          <w:tcPr>
            <w:tcW w:w="1671" w:type="dxa"/>
            <w:tcBorders>
              <w:top w:val="single" w:sz="12" w:space="0" w:color="auto"/>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FF"/>
                <w:sz w:val="20"/>
                <w:vertAlign w:val="superscript"/>
                <w:lang w:eastAsia="en-AU"/>
              </w:rPr>
            </w:pPr>
          </w:p>
        </w:tc>
      </w:tr>
      <w:tr w:rsidR="00965D85" w:rsidRPr="00E22AD9" w:rsidTr="008B46DF">
        <w:tc>
          <w:tcPr>
            <w:tcW w:w="4253" w:type="dxa"/>
            <w:tcBorders>
              <w:top w:val="nil"/>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Balance at 1 July 2016</w:t>
            </w:r>
          </w:p>
        </w:tc>
        <w:tc>
          <w:tcPr>
            <w:tcW w:w="1843"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49 581.1</w:t>
            </w:r>
          </w:p>
        </w:tc>
        <w:tc>
          <w:tcPr>
            <w:tcW w:w="1671"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vertAlign w:val="superscript"/>
                <w:lang w:eastAsia="en-AU"/>
              </w:rPr>
            </w:pPr>
            <w:r>
              <w:rPr>
                <w:rFonts w:ascii="Calibri" w:eastAsiaTheme="minorEastAsia" w:hAnsi="Calibri" w:cs="Calibri"/>
                <w:color w:val="000000"/>
                <w:sz w:val="20"/>
                <w:lang w:eastAsia="en-AU"/>
              </w:rPr>
              <w:t>50.0</w:t>
            </w:r>
          </w:p>
        </w:tc>
      </w:tr>
      <w:tr w:rsidR="00965D85" w:rsidRPr="00E22AD9" w:rsidTr="008B46DF">
        <w:tc>
          <w:tcPr>
            <w:tcW w:w="4253" w:type="dxa"/>
            <w:tcBorders>
              <w:top w:val="nil"/>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Net result for the year</w:t>
            </w:r>
          </w:p>
        </w:tc>
        <w:tc>
          <w:tcPr>
            <w:tcW w:w="1843"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1 306.0</w:t>
            </w:r>
          </w:p>
        </w:tc>
        <w:tc>
          <w:tcPr>
            <w:tcW w:w="1671"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w:t>
            </w:r>
          </w:p>
        </w:tc>
      </w:tr>
      <w:tr w:rsidR="00965D85" w:rsidRPr="00E22AD9" w:rsidTr="008B46DF">
        <w:tc>
          <w:tcPr>
            <w:tcW w:w="4253" w:type="dxa"/>
            <w:tcBorders>
              <w:top w:val="nil"/>
              <w:left w:val="nil"/>
              <w:bottom w:val="single" w:sz="6" w:space="0" w:color="auto"/>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Other comprehensive income for the year</w:t>
            </w:r>
          </w:p>
        </w:tc>
        <w:tc>
          <w:tcPr>
            <w:tcW w:w="1843" w:type="dxa"/>
            <w:tcBorders>
              <w:top w:val="nil"/>
              <w:left w:val="nil"/>
              <w:bottom w:val="single" w:sz="6" w:space="0" w:color="auto"/>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vertAlign w:val="superscript"/>
                <w:lang w:eastAsia="en-AU"/>
              </w:rPr>
            </w:pPr>
            <w:r>
              <w:rPr>
                <w:rFonts w:ascii="Calibri" w:eastAsiaTheme="minorEastAsia" w:hAnsi="Calibri" w:cs="Calibri"/>
                <w:color w:val="000000"/>
                <w:sz w:val="20"/>
                <w:lang w:eastAsia="en-AU"/>
              </w:rPr>
              <w:t>833.7</w:t>
            </w:r>
          </w:p>
        </w:tc>
        <w:tc>
          <w:tcPr>
            <w:tcW w:w="1671" w:type="dxa"/>
            <w:tcBorders>
              <w:top w:val="nil"/>
              <w:left w:val="nil"/>
              <w:bottom w:val="single" w:sz="6" w:space="0" w:color="auto"/>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w:t>
            </w:r>
          </w:p>
        </w:tc>
      </w:tr>
      <w:tr w:rsidR="00965D85" w:rsidRPr="00E22AD9" w:rsidTr="008B46DF">
        <w:tc>
          <w:tcPr>
            <w:tcW w:w="4253" w:type="dxa"/>
            <w:tcBorders>
              <w:top w:val="single" w:sz="6" w:space="0" w:color="auto"/>
              <w:left w:val="nil"/>
              <w:bottom w:val="single" w:sz="12" w:space="0" w:color="auto"/>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Total equity at end of period</w:t>
            </w:r>
          </w:p>
        </w:tc>
        <w:tc>
          <w:tcPr>
            <w:tcW w:w="1843" w:type="dxa"/>
            <w:tcBorders>
              <w:top w:val="single" w:sz="6" w:space="0" w:color="auto"/>
              <w:left w:val="nil"/>
              <w:bottom w:val="single" w:sz="12" w:space="0" w:color="auto"/>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51 720.8</w:t>
            </w:r>
          </w:p>
        </w:tc>
        <w:tc>
          <w:tcPr>
            <w:tcW w:w="1671" w:type="dxa"/>
            <w:tcBorders>
              <w:top w:val="single" w:sz="6" w:space="0" w:color="auto"/>
              <w:left w:val="nil"/>
              <w:bottom w:val="single" w:sz="12" w:space="0" w:color="auto"/>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vertAlign w:val="superscript"/>
                <w:lang w:eastAsia="en-AU"/>
              </w:rPr>
            </w:pPr>
            <w:r>
              <w:rPr>
                <w:rFonts w:ascii="Calibri" w:eastAsiaTheme="minorEastAsia" w:hAnsi="Calibri" w:cs="Calibri"/>
                <w:b/>
                <w:bCs/>
                <w:color w:val="000000"/>
                <w:sz w:val="20"/>
                <w:lang w:eastAsia="en-AU"/>
              </w:rPr>
              <w:t>50.0</w:t>
            </w:r>
          </w:p>
        </w:tc>
      </w:tr>
      <w:tr w:rsidR="00965D85" w:rsidRPr="00E22AD9" w:rsidTr="008B46DF">
        <w:tc>
          <w:tcPr>
            <w:tcW w:w="4253" w:type="dxa"/>
            <w:tcBorders>
              <w:top w:val="single" w:sz="12" w:space="0" w:color="auto"/>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2017</w:t>
            </w:r>
            <w:r>
              <w:rPr>
                <w:rFonts w:ascii="Calibri" w:eastAsiaTheme="minorEastAsia" w:hAnsi="Calibri" w:cs="Calibri"/>
                <w:b/>
                <w:bCs/>
                <w:color w:val="000000"/>
                <w:sz w:val="20"/>
                <w:lang w:eastAsia="en-AU"/>
              </w:rPr>
              <w:noBreakHyphen/>
            </w:r>
            <w:r w:rsidRPr="00E22AD9">
              <w:rPr>
                <w:rFonts w:ascii="Calibri" w:eastAsiaTheme="minorEastAsia" w:hAnsi="Calibri" w:cs="Calibri"/>
                <w:b/>
                <w:bCs/>
                <w:color w:val="000000"/>
                <w:sz w:val="20"/>
                <w:lang w:eastAsia="en-AU"/>
              </w:rPr>
              <w:t>18 estimate</w:t>
            </w:r>
          </w:p>
        </w:tc>
        <w:tc>
          <w:tcPr>
            <w:tcW w:w="1843" w:type="dxa"/>
            <w:tcBorders>
              <w:top w:val="single" w:sz="12" w:space="0" w:color="auto"/>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FF"/>
                <w:sz w:val="20"/>
                <w:vertAlign w:val="superscript"/>
                <w:lang w:eastAsia="en-AU"/>
              </w:rPr>
            </w:pPr>
          </w:p>
        </w:tc>
        <w:tc>
          <w:tcPr>
            <w:tcW w:w="1671" w:type="dxa"/>
            <w:tcBorders>
              <w:top w:val="single" w:sz="12" w:space="0" w:color="auto"/>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FF"/>
                <w:sz w:val="20"/>
                <w:vertAlign w:val="superscript"/>
                <w:lang w:eastAsia="en-AU"/>
              </w:rPr>
            </w:pPr>
          </w:p>
        </w:tc>
      </w:tr>
      <w:tr w:rsidR="00965D85" w:rsidRPr="00E22AD9" w:rsidTr="008B46DF">
        <w:tc>
          <w:tcPr>
            <w:tcW w:w="4253" w:type="dxa"/>
            <w:tcBorders>
              <w:top w:val="nil"/>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Balance at 1 July 2017</w:t>
            </w:r>
          </w:p>
        </w:tc>
        <w:tc>
          <w:tcPr>
            <w:tcW w:w="1843"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51 720.8</w:t>
            </w:r>
          </w:p>
        </w:tc>
        <w:tc>
          <w:tcPr>
            <w:tcW w:w="1671"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vertAlign w:val="superscript"/>
                <w:lang w:eastAsia="en-AU"/>
              </w:rPr>
            </w:pPr>
            <w:r>
              <w:rPr>
                <w:rFonts w:ascii="Calibri" w:eastAsiaTheme="minorEastAsia" w:hAnsi="Calibri" w:cs="Calibri"/>
                <w:color w:val="000000"/>
                <w:sz w:val="20"/>
                <w:lang w:eastAsia="en-AU"/>
              </w:rPr>
              <w:t>50.0</w:t>
            </w:r>
          </w:p>
        </w:tc>
      </w:tr>
      <w:tr w:rsidR="00965D85" w:rsidRPr="00E22AD9" w:rsidTr="008B46DF">
        <w:tc>
          <w:tcPr>
            <w:tcW w:w="4253" w:type="dxa"/>
            <w:tcBorders>
              <w:top w:val="nil"/>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Net result for the year</w:t>
            </w:r>
          </w:p>
        </w:tc>
        <w:tc>
          <w:tcPr>
            <w:tcW w:w="1843"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1 607.8</w:t>
            </w:r>
          </w:p>
        </w:tc>
        <w:tc>
          <w:tcPr>
            <w:tcW w:w="1671"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w:t>
            </w:r>
          </w:p>
        </w:tc>
      </w:tr>
      <w:tr w:rsidR="00965D85" w:rsidRPr="00E22AD9" w:rsidTr="008B46DF">
        <w:tc>
          <w:tcPr>
            <w:tcW w:w="4253" w:type="dxa"/>
            <w:tcBorders>
              <w:top w:val="nil"/>
              <w:left w:val="nil"/>
              <w:bottom w:val="single" w:sz="6" w:space="0" w:color="auto"/>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Other comprehensive income for the year</w:t>
            </w:r>
          </w:p>
        </w:tc>
        <w:tc>
          <w:tcPr>
            <w:tcW w:w="1843" w:type="dxa"/>
            <w:tcBorders>
              <w:top w:val="nil"/>
              <w:left w:val="nil"/>
              <w:bottom w:val="single" w:sz="6" w:space="0" w:color="auto"/>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vertAlign w:val="superscript"/>
                <w:lang w:eastAsia="en-AU"/>
              </w:rPr>
            </w:pPr>
            <w:r>
              <w:rPr>
                <w:rFonts w:ascii="Calibri" w:eastAsiaTheme="minorEastAsia" w:hAnsi="Calibri" w:cs="Calibri"/>
                <w:color w:val="000000"/>
                <w:sz w:val="20"/>
                <w:lang w:eastAsia="en-AU"/>
              </w:rPr>
              <w:t>840.5</w:t>
            </w:r>
          </w:p>
        </w:tc>
        <w:tc>
          <w:tcPr>
            <w:tcW w:w="1671" w:type="dxa"/>
            <w:tcBorders>
              <w:top w:val="nil"/>
              <w:left w:val="nil"/>
              <w:bottom w:val="single" w:sz="6" w:space="0" w:color="auto"/>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w:t>
            </w:r>
          </w:p>
        </w:tc>
      </w:tr>
      <w:tr w:rsidR="00965D85" w:rsidRPr="00E22AD9" w:rsidTr="008B46DF">
        <w:tc>
          <w:tcPr>
            <w:tcW w:w="4253" w:type="dxa"/>
            <w:tcBorders>
              <w:top w:val="single" w:sz="6" w:space="0" w:color="auto"/>
              <w:left w:val="nil"/>
              <w:bottom w:val="single" w:sz="12" w:space="0" w:color="auto"/>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Total equity at end of period</w:t>
            </w:r>
          </w:p>
        </w:tc>
        <w:tc>
          <w:tcPr>
            <w:tcW w:w="1843" w:type="dxa"/>
            <w:tcBorders>
              <w:top w:val="single" w:sz="6" w:space="0" w:color="auto"/>
              <w:left w:val="nil"/>
              <w:bottom w:val="single" w:sz="12" w:space="0" w:color="auto"/>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54 169.1</w:t>
            </w:r>
          </w:p>
        </w:tc>
        <w:tc>
          <w:tcPr>
            <w:tcW w:w="1671" w:type="dxa"/>
            <w:tcBorders>
              <w:top w:val="single" w:sz="6" w:space="0" w:color="auto"/>
              <w:left w:val="nil"/>
              <w:bottom w:val="single" w:sz="12" w:space="0" w:color="auto"/>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vertAlign w:val="superscript"/>
                <w:lang w:eastAsia="en-AU"/>
              </w:rPr>
            </w:pPr>
            <w:r>
              <w:rPr>
                <w:rFonts w:ascii="Calibri" w:eastAsiaTheme="minorEastAsia" w:hAnsi="Calibri" w:cs="Calibri"/>
                <w:b/>
                <w:bCs/>
                <w:color w:val="000000"/>
                <w:sz w:val="20"/>
                <w:lang w:eastAsia="en-AU"/>
              </w:rPr>
              <w:t>50.0</w:t>
            </w:r>
          </w:p>
        </w:tc>
      </w:tr>
      <w:tr w:rsidR="00965D85" w:rsidRPr="00E22AD9" w:rsidTr="008B46DF">
        <w:tc>
          <w:tcPr>
            <w:tcW w:w="4253" w:type="dxa"/>
            <w:tcBorders>
              <w:top w:val="single" w:sz="12" w:space="0" w:color="auto"/>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2018</w:t>
            </w:r>
            <w:r>
              <w:rPr>
                <w:rFonts w:ascii="Calibri" w:eastAsiaTheme="minorEastAsia" w:hAnsi="Calibri" w:cs="Calibri"/>
                <w:b/>
                <w:bCs/>
                <w:color w:val="000000"/>
                <w:sz w:val="20"/>
                <w:lang w:eastAsia="en-AU"/>
              </w:rPr>
              <w:noBreakHyphen/>
            </w:r>
            <w:r w:rsidRPr="00E22AD9">
              <w:rPr>
                <w:rFonts w:ascii="Calibri" w:eastAsiaTheme="minorEastAsia" w:hAnsi="Calibri" w:cs="Calibri"/>
                <w:b/>
                <w:bCs/>
                <w:color w:val="000000"/>
                <w:sz w:val="20"/>
                <w:lang w:eastAsia="en-AU"/>
              </w:rPr>
              <w:t>19 estimate</w:t>
            </w:r>
          </w:p>
        </w:tc>
        <w:tc>
          <w:tcPr>
            <w:tcW w:w="1843" w:type="dxa"/>
            <w:tcBorders>
              <w:top w:val="single" w:sz="12" w:space="0" w:color="auto"/>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FF"/>
                <w:sz w:val="20"/>
                <w:vertAlign w:val="superscript"/>
                <w:lang w:eastAsia="en-AU"/>
              </w:rPr>
            </w:pPr>
          </w:p>
        </w:tc>
        <w:tc>
          <w:tcPr>
            <w:tcW w:w="1671" w:type="dxa"/>
            <w:tcBorders>
              <w:top w:val="single" w:sz="12" w:space="0" w:color="auto"/>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FF"/>
                <w:sz w:val="20"/>
                <w:vertAlign w:val="superscript"/>
                <w:lang w:eastAsia="en-AU"/>
              </w:rPr>
            </w:pPr>
          </w:p>
        </w:tc>
      </w:tr>
      <w:tr w:rsidR="00965D85" w:rsidRPr="00E22AD9" w:rsidTr="008B46DF">
        <w:tc>
          <w:tcPr>
            <w:tcW w:w="4253" w:type="dxa"/>
            <w:tcBorders>
              <w:top w:val="nil"/>
              <w:left w:val="nil"/>
              <w:right w:val="nil"/>
            </w:tcBorders>
            <w:shd w:val="clear" w:color="000000"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Balance at 1 July 2018</w:t>
            </w:r>
          </w:p>
        </w:tc>
        <w:tc>
          <w:tcPr>
            <w:tcW w:w="1843" w:type="dxa"/>
            <w:tcBorders>
              <w:top w:val="nil"/>
              <w:left w:val="nil"/>
              <w:right w:val="nil"/>
            </w:tcBorders>
            <w:shd w:val="clear" w:color="000000"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54 169.1</w:t>
            </w:r>
          </w:p>
        </w:tc>
        <w:tc>
          <w:tcPr>
            <w:tcW w:w="1671" w:type="dxa"/>
            <w:tcBorders>
              <w:top w:val="nil"/>
              <w:left w:val="nil"/>
              <w:right w:val="nil"/>
            </w:tcBorders>
            <w:shd w:val="clear" w:color="000000"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vertAlign w:val="superscript"/>
                <w:lang w:eastAsia="en-AU"/>
              </w:rPr>
            </w:pPr>
            <w:r>
              <w:rPr>
                <w:rFonts w:ascii="Calibri" w:eastAsiaTheme="minorEastAsia" w:hAnsi="Calibri" w:cs="Calibri"/>
                <w:color w:val="000000"/>
                <w:sz w:val="20"/>
                <w:lang w:eastAsia="en-AU"/>
              </w:rPr>
              <w:t>50.0</w:t>
            </w:r>
          </w:p>
        </w:tc>
      </w:tr>
      <w:tr w:rsidR="00965D85" w:rsidRPr="00E22AD9" w:rsidTr="008B46DF">
        <w:tc>
          <w:tcPr>
            <w:tcW w:w="4253" w:type="dxa"/>
            <w:tcBorders>
              <w:top w:val="nil"/>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Net result for the year</w:t>
            </w:r>
          </w:p>
        </w:tc>
        <w:tc>
          <w:tcPr>
            <w:tcW w:w="1843"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1 275.1</w:t>
            </w:r>
          </w:p>
        </w:tc>
        <w:tc>
          <w:tcPr>
            <w:tcW w:w="1671"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w:t>
            </w:r>
          </w:p>
        </w:tc>
      </w:tr>
      <w:tr w:rsidR="00965D85" w:rsidRPr="00E22AD9" w:rsidTr="008B46DF">
        <w:tc>
          <w:tcPr>
            <w:tcW w:w="4253" w:type="dxa"/>
            <w:tcBorders>
              <w:top w:val="nil"/>
              <w:left w:val="nil"/>
              <w:bottom w:val="single" w:sz="6" w:space="0" w:color="auto"/>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Other comprehensive income for the year</w:t>
            </w:r>
          </w:p>
        </w:tc>
        <w:tc>
          <w:tcPr>
            <w:tcW w:w="1843" w:type="dxa"/>
            <w:tcBorders>
              <w:top w:val="nil"/>
              <w:left w:val="nil"/>
              <w:bottom w:val="single" w:sz="6" w:space="0" w:color="auto"/>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vertAlign w:val="superscript"/>
                <w:lang w:eastAsia="en-AU"/>
              </w:rPr>
            </w:pPr>
            <w:r>
              <w:rPr>
                <w:rFonts w:ascii="Calibri" w:eastAsiaTheme="minorEastAsia" w:hAnsi="Calibri" w:cs="Calibri"/>
                <w:color w:val="000000"/>
                <w:sz w:val="20"/>
                <w:lang w:eastAsia="en-AU"/>
              </w:rPr>
              <w:t>845.1</w:t>
            </w:r>
          </w:p>
        </w:tc>
        <w:tc>
          <w:tcPr>
            <w:tcW w:w="1671" w:type="dxa"/>
            <w:tcBorders>
              <w:top w:val="nil"/>
              <w:left w:val="nil"/>
              <w:bottom w:val="single" w:sz="6" w:space="0" w:color="auto"/>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w:t>
            </w:r>
          </w:p>
        </w:tc>
      </w:tr>
      <w:tr w:rsidR="00965D85" w:rsidRPr="00E22AD9" w:rsidTr="008B46DF">
        <w:tc>
          <w:tcPr>
            <w:tcW w:w="4253" w:type="dxa"/>
            <w:tcBorders>
              <w:top w:val="single" w:sz="6" w:space="0" w:color="auto"/>
              <w:left w:val="nil"/>
              <w:bottom w:val="single" w:sz="12" w:space="0" w:color="auto"/>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Total equity at end of period</w:t>
            </w:r>
          </w:p>
        </w:tc>
        <w:tc>
          <w:tcPr>
            <w:tcW w:w="1843" w:type="dxa"/>
            <w:tcBorders>
              <w:top w:val="single" w:sz="6" w:space="0" w:color="auto"/>
              <w:left w:val="nil"/>
              <w:bottom w:val="single" w:sz="12" w:space="0" w:color="auto"/>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56 289.4</w:t>
            </w:r>
          </w:p>
        </w:tc>
        <w:tc>
          <w:tcPr>
            <w:tcW w:w="1671" w:type="dxa"/>
            <w:tcBorders>
              <w:top w:val="single" w:sz="6" w:space="0" w:color="auto"/>
              <w:left w:val="nil"/>
              <w:bottom w:val="single" w:sz="12" w:space="0" w:color="auto"/>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vertAlign w:val="superscript"/>
                <w:lang w:eastAsia="en-AU"/>
              </w:rPr>
            </w:pPr>
            <w:r>
              <w:rPr>
                <w:rFonts w:ascii="Calibri" w:eastAsiaTheme="minorEastAsia" w:hAnsi="Calibri" w:cs="Calibri"/>
                <w:b/>
                <w:bCs/>
                <w:color w:val="000000"/>
                <w:sz w:val="20"/>
                <w:lang w:eastAsia="en-AU"/>
              </w:rPr>
              <w:t>50.0</w:t>
            </w:r>
          </w:p>
        </w:tc>
      </w:tr>
    </w:tbl>
    <w:p w:rsidR="00965D85" w:rsidRDefault="00965D85" w:rsidP="008B46DF">
      <w:pPr>
        <w:pStyle w:val="Notes"/>
      </w:pPr>
      <w:r>
        <w:t>The accompanying notes form part of these estimated financial statements.</w:t>
      </w:r>
    </w:p>
    <w:p w:rsidR="00965D85" w:rsidRDefault="00965D85" w:rsidP="008B46DF">
      <w:pPr>
        <w:pStyle w:val="Notes"/>
      </w:pPr>
    </w:p>
    <w:p w:rsidR="00965D85" w:rsidRPr="00A01226" w:rsidRDefault="00965D85" w:rsidP="008B46DF">
      <w:pPr>
        <w:pStyle w:val="Notes"/>
      </w:pPr>
      <w:r w:rsidRPr="00A01226">
        <w:t>Note:</w:t>
      </w:r>
    </w:p>
    <w:p w:rsidR="00965D85" w:rsidRDefault="00965D85" w:rsidP="008B46DF">
      <w:pPr>
        <w:pStyle w:val="Notes"/>
        <w:rPr>
          <w:lang w:eastAsia="en-AU"/>
        </w:rPr>
      </w:pPr>
      <w:r>
        <w:rPr>
          <w:lang w:eastAsia="en-AU"/>
        </w:rPr>
        <w:t>(a)</w:t>
      </w:r>
      <w:r>
        <w:rPr>
          <w:lang w:eastAsia="en-AU"/>
        </w:rPr>
        <w:tab/>
        <w:t>Balances represent actual opening balances at 1 July 2015 plus 2015</w:t>
      </w:r>
      <w:r>
        <w:rPr>
          <w:lang w:eastAsia="en-AU"/>
        </w:rPr>
        <w:noBreakHyphen/>
        <w:t>16 budgeted movements.</w:t>
      </w:r>
    </w:p>
    <w:p w:rsidR="00965D85" w:rsidRDefault="00965D85" w:rsidP="008B46DF">
      <w:pPr>
        <w:pStyle w:val="Heading2Notes"/>
        <w:rPr>
          <w:rFonts w:ascii="Tms Rmn" w:hAnsi="Tms Rmn" w:cs="Tms Rmn"/>
          <w:color w:val="000000"/>
          <w:sz w:val="18"/>
          <w:szCs w:val="18"/>
          <w:lang w:eastAsia="en-AU"/>
        </w:rPr>
      </w:pPr>
    </w:p>
    <w:p w:rsidR="00965D85" w:rsidRDefault="00965D85">
      <w:pPr>
        <w:spacing w:after="0"/>
        <w:rPr>
          <w:rFonts w:ascii="Calibri" w:hAnsi="Calibri"/>
          <w:b/>
          <w:lang w:eastAsia="en-AU"/>
        </w:rPr>
      </w:pPr>
      <w:r>
        <w:rPr>
          <w:lang w:eastAsia="en-AU"/>
        </w:rPr>
        <w:br w:type="page"/>
      </w:r>
    </w:p>
    <w:p w:rsidR="00965D85" w:rsidRPr="00E22AD9" w:rsidRDefault="00965D85" w:rsidP="008B46DF">
      <w:pPr>
        <w:pStyle w:val="Tableheading"/>
      </w:pPr>
      <w:r>
        <w:rPr>
          <w:lang w:eastAsia="en-AU"/>
        </w:rPr>
        <w:lastRenderedPageBreak/>
        <w:br/>
      </w:r>
    </w:p>
    <w:tbl>
      <w:tblPr>
        <w:tblW w:w="7767" w:type="dxa"/>
        <w:tblInd w:w="28" w:type="dxa"/>
        <w:tblLayout w:type="fixed"/>
        <w:tblCellMar>
          <w:left w:w="28" w:type="dxa"/>
          <w:right w:w="28" w:type="dxa"/>
        </w:tblCellMar>
        <w:tblLook w:val="0000" w:firstRow="0" w:lastRow="0" w:firstColumn="0" w:lastColumn="0" w:noHBand="0" w:noVBand="0"/>
      </w:tblPr>
      <w:tblGrid>
        <w:gridCol w:w="2694"/>
        <w:gridCol w:w="2409"/>
        <w:gridCol w:w="1276"/>
        <w:gridCol w:w="1388"/>
      </w:tblGrid>
      <w:tr w:rsidR="00965D85" w:rsidRPr="00E22AD9" w:rsidTr="008B46DF">
        <w:trPr>
          <w:tblHeader/>
        </w:trPr>
        <w:tc>
          <w:tcPr>
            <w:tcW w:w="7767" w:type="dxa"/>
            <w:gridSpan w:val="4"/>
            <w:tcBorders>
              <w:top w:val="nil"/>
              <w:left w:val="nil"/>
              <w:bottom w:val="nil"/>
              <w:right w:val="nil"/>
            </w:tcBorders>
          </w:tcPr>
          <w:p w:rsidR="00965D85" w:rsidRPr="00E22AD9" w:rsidRDefault="00965D85" w:rsidP="008B46DF">
            <w:pPr>
              <w:pStyle w:val="million"/>
              <w:rPr>
                <w:rFonts w:eastAsiaTheme="minorEastAsia"/>
                <w:lang w:eastAsia="en-AU"/>
              </w:rPr>
            </w:pPr>
            <w:r w:rsidRPr="00E22AD9">
              <w:rPr>
                <w:rFonts w:eastAsiaTheme="minorEastAsia"/>
                <w:lang w:eastAsia="en-AU"/>
              </w:rPr>
              <w:t xml:space="preserve"> </w:t>
            </w:r>
          </w:p>
        </w:tc>
      </w:tr>
      <w:tr w:rsidR="00965D85" w:rsidRPr="00E22AD9" w:rsidTr="008B46DF">
        <w:trPr>
          <w:tblHeader/>
        </w:trPr>
        <w:tc>
          <w:tcPr>
            <w:tcW w:w="2694" w:type="dxa"/>
            <w:tcBorders>
              <w:top w:val="single" w:sz="6" w:space="0" w:color="auto"/>
              <w:left w:val="nil"/>
              <w:bottom w:val="single" w:sz="6" w:space="0" w:color="auto"/>
              <w:right w:val="nil"/>
            </w:tcBorders>
            <w:shd w:val="solid" w:color="000000" w:fill="auto"/>
          </w:tcPr>
          <w:p w:rsidR="00965D85" w:rsidRPr="00E22AD9" w:rsidRDefault="00965D85" w:rsidP="008B46DF">
            <w:pPr>
              <w:pStyle w:val="million"/>
              <w:jc w:val="right"/>
              <w:rPr>
                <w:rFonts w:eastAsiaTheme="minorEastAsia"/>
                <w:sz w:val="20"/>
                <w:lang w:eastAsia="en-AU"/>
              </w:rPr>
            </w:pPr>
            <w:r w:rsidRPr="00E22AD9">
              <w:rPr>
                <w:rFonts w:eastAsiaTheme="minorEastAsia"/>
                <w:sz w:val="20"/>
                <w:lang w:eastAsia="en-AU"/>
              </w:rPr>
              <w:t xml:space="preserve">Land, buildings, </w:t>
            </w:r>
          </w:p>
          <w:p w:rsidR="00965D85" w:rsidRPr="00E22AD9" w:rsidRDefault="00965D85" w:rsidP="008B46DF">
            <w:pPr>
              <w:pStyle w:val="million"/>
              <w:jc w:val="right"/>
              <w:rPr>
                <w:rFonts w:eastAsiaTheme="minorEastAsia"/>
                <w:sz w:val="20"/>
                <w:lang w:eastAsia="en-AU"/>
              </w:rPr>
            </w:pPr>
            <w:r w:rsidRPr="00E22AD9">
              <w:rPr>
                <w:rFonts w:eastAsiaTheme="minorEastAsia"/>
                <w:sz w:val="20"/>
                <w:lang w:eastAsia="en-AU"/>
              </w:rPr>
              <w:t xml:space="preserve">infrastructure, plant and </w:t>
            </w:r>
          </w:p>
          <w:p w:rsidR="00965D85" w:rsidRPr="00E22AD9" w:rsidRDefault="00965D85" w:rsidP="008B46DF">
            <w:pPr>
              <w:pStyle w:val="million"/>
              <w:jc w:val="right"/>
              <w:rPr>
                <w:rFonts w:eastAsiaTheme="minorEastAsia"/>
                <w:sz w:val="20"/>
                <w:lang w:eastAsia="en-AU"/>
              </w:rPr>
            </w:pPr>
            <w:r w:rsidRPr="00E22AD9">
              <w:rPr>
                <w:rFonts w:eastAsiaTheme="minorEastAsia"/>
                <w:sz w:val="20"/>
                <w:lang w:eastAsia="en-AU"/>
              </w:rPr>
              <w:t>equipment revaluation surplus</w:t>
            </w:r>
          </w:p>
        </w:tc>
        <w:tc>
          <w:tcPr>
            <w:tcW w:w="2409" w:type="dxa"/>
            <w:tcBorders>
              <w:top w:val="single" w:sz="6" w:space="0" w:color="auto"/>
              <w:left w:val="nil"/>
              <w:bottom w:val="single" w:sz="6" w:space="0" w:color="auto"/>
              <w:right w:val="nil"/>
            </w:tcBorders>
            <w:shd w:val="solid" w:color="000000" w:fill="auto"/>
          </w:tcPr>
          <w:p w:rsidR="00965D85" w:rsidRPr="00E22AD9" w:rsidRDefault="00965D85" w:rsidP="008B46DF">
            <w:pPr>
              <w:pStyle w:val="million"/>
              <w:jc w:val="right"/>
              <w:rPr>
                <w:rFonts w:eastAsiaTheme="minorEastAsia" w:cs="Calibri"/>
                <w:iCs/>
                <w:color w:val="FFFFFF"/>
                <w:sz w:val="20"/>
                <w:lang w:eastAsia="en-AU"/>
              </w:rPr>
            </w:pPr>
            <w:r w:rsidRPr="00E22AD9">
              <w:rPr>
                <w:rFonts w:eastAsiaTheme="minorEastAsia"/>
                <w:sz w:val="20"/>
                <w:lang w:eastAsia="en-AU"/>
              </w:rPr>
              <w:t xml:space="preserve">Investment </w:t>
            </w:r>
            <w:r w:rsidRPr="00E22AD9">
              <w:rPr>
                <w:rFonts w:eastAsiaTheme="minorEastAsia" w:cs="Calibri"/>
                <w:iCs/>
                <w:color w:val="FFFFFF"/>
                <w:sz w:val="20"/>
                <w:lang w:eastAsia="en-AU"/>
              </w:rPr>
              <w:t xml:space="preserve">in </w:t>
            </w:r>
            <w:r>
              <w:rPr>
                <w:rFonts w:eastAsiaTheme="minorEastAsia" w:cs="Calibri"/>
                <w:iCs/>
                <w:color w:val="FFFFFF"/>
                <w:sz w:val="20"/>
                <w:lang w:eastAsia="en-AU"/>
              </w:rPr>
              <w:br/>
            </w:r>
            <w:r w:rsidRPr="00E22AD9">
              <w:rPr>
                <w:rFonts w:eastAsiaTheme="minorEastAsia" w:cs="Calibri"/>
                <w:iCs/>
                <w:color w:val="FFFFFF"/>
                <w:sz w:val="20"/>
                <w:lang w:eastAsia="en-AU"/>
              </w:rPr>
              <w:t>other sector entities revaluation surplus</w:t>
            </w:r>
          </w:p>
        </w:tc>
        <w:tc>
          <w:tcPr>
            <w:tcW w:w="1276" w:type="dxa"/>
            <w:tcBorders>
              <w:top w:val="single" w:sz="6" w:space="0" w:color="auto"/>
              <w:left w:val="nil"/>
              <w:bottom w:val="single" w:sz="6" w:space="0" w:color="auto"/>
              <w:right w:val="nil"/>
            </w:tcBorders>
            <w:shd w:val="solid" w:color="000000" w:fill="auto"/>
          </w:tcPr>
          <w:p w:rsidR="00965D85" w:rsidRPr="00E22AD9" w:rsidRDefault="00965D85" w:rsidP="008B46DF">
            <w:pPr>
              <w:pStyle w:val="million"/>
              <w:jc w:val="right"/>
              <w:rPr>
                <w:rFonts w:eastAsiaTheme="minorEastAsia"/>
                <w:sz w:val="20"/>
                <w:lang w:eastAsia="en-AU"/>
              </w:rPr>
            </w:pPr>
          </w:p>
          <w:p w:rsidR="00965D85" w:rsidRPr="00E22AD9" w:rsidRDefault="00965D85" w:rsidP="008B46DF">
            <w:pPr>
              <w:pStyle w:val="million"/>
              <w:jc w:val="right"/>
              <w:rPr>
                <w:rFonts w:eastAsiaTheme="minorEastAsia"/>
                <w:sz w:val="20"/>
                <w:lang w:eastAsia="en-AU"/>
              </w:rPr>
            </w:pPr>
            <w:r w:rsidRPr="00E22AD9">
              <w:rPr>
                <w:rFonts w:eastAsiaTheme="minorEastAsia"/>
                <w:sz w:val="20"/>
                <w:lang w:eastAsia="en-AU"/>
              </w:rPr>
              <w:t xml:space="preserve">Other </w:t>
            </w:r>
          </w:p>
          <w:p w:rsidR="00965D85" w:rsidRPr="00E22AD9" w:rsidRDefault="00965D85" w:rsidP="008B46DF">
            <w:pPr>
              <w:pStyle w:val="million"/>
              <w:jc w:val="right"/>
              <w:rPr>
                <w:rFonts w:eastAsiaTheme="minorEastAsia"/>
                <w:sz w:val="20"/>
                <w:lang w:eastAsia="en-AU"/>
              </w:rPr>
            </w:pPr>
            <w:r w:rsidRPr="00E22AD9">
              <w:rPr>
                <w:rFonts w:eastAsiaTheme="minorEastAsia"/>
                <w:sz w:val="20"/>
                <w:lang w:eastAsia="en-AU"/>
              </w:rPr>
              <w:t>reserves</w:t>
            </w:r>
          </w:p>
        </w:tc>
        <w:tc>
          <w:tcPr>
            <w:tcW w:w="1388" w:type="dxa"/>
            <w:tcBorders>
              <w:top w:val="single" w:sz="6" w:space="0" w:color="auto"/>
              <w:left w:val="nil"/>
              <w:bottom w:val="single" w:sz="6" w:space="0" w:color="auto"/>
              <w:right w:val="single" w:sz="6" w:space="0" w:color="auto"/>
            </w:tcBorders>
            <w:shd w:val="solid" w:color="000000" w:fill="auto"/>
          </w:tcPr>
          <w:p w:rsidR="00965D85" w:rsidRPr="00E22AD9" w:rsidRDefault="00965D85" w:rsidP="008B46DF">
            <w:pPr>
              <w:pStyle w:val="million"/>
              <w:jc w:val="right"/>
              <w:rPr>
                <w:rFonts w:eastAsiaTheme="minorEastAsia"/>
                <w:sz w:val="20"/>
                <w:lang w:eastAsia="en-AU"/>
              </w:rPr>
            </w:pPr>
          </w:p>
          <w:p w:rsidR="00965D85" w:rsidRPr="00E22AD9" w:rsidRDefault="00965D85" w:rsidP="008B46DF">
            <w:pPr>
              <w:pStyle w:val="million"/>
              <w:jc w:val="right"/>
              <w:rPr>
                <w:rFonts w:eastAsiaTheme="minorEastAsia"/>
                <w:sz w:val="20"/>
                <w:lang w:eastAsia="en-AU"/>
              </w:rPr>
            </w:pPr>
          </w:p>
          <w:p w:rsidR="00965D85" w:rsidRPr="00E22AD9" w:rsidRDefault="00965D85" w:rsidP="008B46DF">
            <w:pPr>
              <w:pStyle w:val="million"/>
              <w:jc w:val="right"/>
              <w:rPr>
                <w:rFonts w:eastAsiaTheme="minorEastAsia"/>
                <w:sz w:val="20"/>
                <w:lang w:eastAsia="en-AU"/>
              </w:rPr>
            </w:pPr>
            <w:r w:rsidRPr="00E22AD9">
              <w:rPr>
                <w:rFonts w:eastAsiaTheme="minorEastAsia"/>
                <w:sz w:val="20"/>
                <w:lang w:eastAsia="en-AU"/>
              </w:rPr>
              <w:t>Total</w:t>
            </w:r>
          </w:p>
        </w:tc>
      </w:tr>
      <w:tr w:rsidR="00965D85" w:rsidRPr="00E22AD9" w:rsidTr="008B46DF">
        <w:tc>
          <w:tcPr>
            <w:tcW w:w="2694" w:type="dxa"/>
            <w:tcBorders>
              <w:top w:val="single" w:sz="6" w:space="0" w:color="auto"/>
              <w:left w:val="nil"/>
              <w:right w:val="nil"/>
            </w:tcBorders>
            <w:shd w:val="clear" w:color="auto" w:fill="FFFFFF"/>
          </w:tcPr>
          <w:p w:rsidR="00965D85" w:rsidRPr="00E22AD9" w:rsidRDefault="00965D85" w:rsidP="008B46DF">
            <w:pPr>
              <w:autoSpaceDE w:val="0"/>
              <w:autoSpaceDN w:val="0"/>
              <w:adjustRightInd w:val="0"/>
              <w:spacing w:after="0"/>
              <w:ind w:left="227" w:hanging="227"/>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 xml:space="preserve"> </w:t>
            </w:r>
          </w:p>
        </w:tc>
        <w:tc>
          <w:tcPr>
            <w:tcW w:w="2409" w:type="dxa"/>
            <w:tcBorders>
              <w:top w:val="single" w:sz="6" w:space="0" w:color="auto"/>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FF"/>
                <w:sz w:val="20"/>
                <w:lang w:eastAsia="en-AU"/>
              </w:rPr>
            </w:pPr>
          </w:p>
        </w:tc>
        <w:tc>
          <w:tcPr>
            <w:tcW w:w="1276" w:type="dxa"/>
            <w:tcBorders>
              <w:top w:val="single" w:sz="6" w:space="0" w:color="auto"/>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FF"/>
                <w:sz w:val="20"/>
                <w:lang w:eastAsia="en-AU"/>
              </w:rPr>
            </w:pPr>
          </w:p>
        </w:tc>
        <w:tc>
          <w:tcPr>
            <w:tcW w:w="1388" w:type="dxa"/>
            <w:tcBorders>
              <w:top w:val="single" w:sz="6" w:space="0" w:color="auto"/>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FF"/>
                <w:sz w:val="20"/>
                <w:lang w:eastAsia="en-AU"/>
              </w:rPr>
            </w:pPr>
          </w:p>
        </w:tc>
      </w:tr>
      <w:tr w:rsidR="00965D85" w:rsidRPr="00E22AD9" w:rsidTr="008B46DF">
        <w:tc>
          <w:tcPr>
            <w:tcW w:w="2694" w:type="dxa"/>
            <w:tcBorders>
              <w:top w:val="nil"/>
              <w:left w:val="nil"/>
              <w:right w:val="nil"/>
            </w:tcBorders>
            <w:shd w:val="clear" w:color="auto" w:fill="FFFFFF"/>
          </w:tcPr>
          <w:p w:rsidR="00965D85" w:rsidRPr="00E22AD9" w:rsidRDefault="00965D85" w:rsidP="008B46DF">
            <w:pPr>
              <w:autoSpaceDE w:val="0"/>
              <w:autoSpaceDN w:val="0"/>
              <w:adjustRightInd w:val="0"/>
              <w:spacing w:after="0"/>
              <w:ind w:left="227" w:hanging="227"/>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43 354.8</w:t>
            </w:r>
          </w:p>
        </w:tc>
        <w:tc>
          <w:tcPr>
            <w:tcW w:w="2409"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46 413.0</w:t>
            </w:r>
          </w:p>
        </w:tc>
        <w:tc>
          <w:tcPr>
            <w:tcW w:w="1276"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728.2</w:t>
            </w:r>
          </w:p>
        </w:tc>
        <w:tc>
          <w:tcPr>
            <w:tcW w:w="1388"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136 334.5</w:t>
            </w:r>
          </w:p>
        </w:tc>
      </w:tr>
      <w:tr w:rsidR="00965D85" w:rsidRPr="00E22AD9" w:rsidTr="008B46DF">
        <w:tc>
          <w:tcPr>
            <w:tcW w:w="2694" w:type="dxa"/>
            <w:tcBorders>
              <w:top w:val="nil"/>
              <w:left w:val="nil"/>
              <w:right w:val="nil"/>
            </w:tcBorders>
            <w:shd w:val="clear" w:color="auto" w:fill="FFFFFF"/>
          </w:tcPr>
          <w:p w:rsidR="00965D85" w:rsidRPr="00E22AD9" w:rsidRDefault="00965D85" w:rsidP="008B46DF">
            <w:pPr>
              <w:autoSpaceDE w:val="0"/>
              <w:autoSpaceDN w:val="0"/>
              <w:adjustRightInd w:val="0"/>
              <w:spacing w:after="0"/>
              <w:ind w:left="227" w:hanging="227"/>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w:t>
            </w:r>
          </w:p>
        </w:tc>
        <w:tc>
          <w:tcPr>
            <w:tcW w:w="2409"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w:t>
            </w:r>
          </w:p>
        </w:tc>
        <w:tc>
          <w:tcPr>
            <w:tcW w:w="1276"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w:t>
            </w:r>
          </w:p>
        </w:tc>
        <w:tc>
          <w:tcPr>
            <w:tcW w:w="1388"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6 366.3</w:t>
            </w:r>
          </w:p>
        </w:tc>
      </w:tr>
      <w:tr w:rsidR="00965D85" w:rsidRPr="00E22AD9" w:rsidTr="008B46DF">
        <w:tc>
          <w:tcPr>
            <w:tcW w:w="2694" w:type="dxa"/>
            <w:tcBorders>
              <w:top w:val="nil"/>
              <w:left w:val="nil"/>
              <w:bottom w:val="single" w:sz="6" w:space="0" w:color="auto"/>
              <w:right w:val="nil"/>
            </w:tcBorders>
            <w:shd w:val="clear" w:color="auto" w:fill="FFFFFF"/>
          </w:tcPr>
          <w:p w:rsidR="00965D85" w:rsidRPr="00E22AD9" w:rsidRDefault="00965D85" w:rsidP="008B46DF">
            <w:pPr>
              <w:autoSpaceDE w:val="0"/>
              <w:autoSpaceDN w:val="0"/>
              <w:adjustRightInd w:val="0"/>
              <w:spacing w:after="0"/>
              <w:ind w:left="227" w:hanging="227"/>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 xml:space="preserve"> 755.8</w:t>
            </w:r>
          </w:p>
        </w:tc>
        <w:tc>
          <w:tcPr>
            <w:tcW w:w="2409" w:type="dxa"/>
            <w:tcBorders>
              <w:top w:val="nil"/>
              <w:left w:val="nil"/>
              <w:bottom w:val="single" w:sz="6" w:space="0" w:color="auto"/>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1.5</w:t>
            </w:r>
          </w:p>
        </w:tc>
        <w:tc>
          <w:tcPr>
            <w:tcW w:w="1276" w:type="dxa"/>
            <w:tcBorders>
              <w:top w:val="nil"/>
              <w:left w:val="nil"/>
              <w:bottom w:val="single" w:sz="6" w:space="0" w:color="auto"/>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12.2</w:t>
            </w:r>
          </w:p>
        </w:tc>
        <w:tc>
          <w:tcPr>
            <w:tcW w:w="1388" w:type="dxa"/>
            <w:tcBorders>
              <w:top w:val="nil"/>
              <w:left w:val="nil"/>
              <w:bottom w:val="single" w:sz="6" w:space="0" w:color="auto"/>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1 726.7</w:t>
            </w:r>
          </w:p>
        </w:tc>
      </w:tr>
      <w:tr w:rsidR="00965D85" w:rsidRPr="00E22AD9" w:rsidTr="008B46DF">
        <w:tc>
          <w:tcPr>
            <w:tcW w:w="2694" w:type="dxa"/>
            <w:tcBorders>
              <w:top w:val="single" w:sz="6" w:space="0" w:color="auto"/>
              <w:left w:val="nil"/>
              <w:bottom w:val="single" w:sz="12" w:space="0" w:color="auto"/>
              <w:right w:val="nil"/>
            </w:tcBorders>
            <w:shd w:val="clear" w:color="auto" w:fill="FFFFFF"/>
          </w:tcPr>
          <w:p w:rsidR="00965D85" w:rsidRPr="00E22AD9" w:rsidRDefault="00965D85" w:rsidP="008B46DF">
            <w:pPr>
              <w:autoSpaceDE w:val="0"/>
              <w:autoSpaceDN w:val="0"/>
              <w:adjustRightInd w:val="0"/>
              <w:spacing w:after="0"/>
              <w:ind w:left="227" w:hanging="227"/>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44 110.7</w:t>
            </w:r>
          </w:p>
        </w:tc>
        <w:tc>
          <w:tcPr>
            <w:tcW w:w="2409" w:type="dxa"/>
            <w:tcBorders>
              <w:top w:val="single" w:sz="6" w:space="0" w:color="auto"/>
              <w:left w:val="nil"/>
              <w:bottom w:val="single" w:sz="12" w:space="0" w:color="auto"/>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46 414.5</w:t>
            </w:r>
          </w:p>
        </w:tc>
        <w:tc>
          <w:tcPr>
            <w:tcW w:w="1276" w:type="dxa"/>
            <w:tcBorders>
              <w:top w:val="single" w:sz="6" w:space="0" w:color="auto"/>
              <w:left w:val="nil"/>
              <w:bottom w:val="single" w:sz="12" w:space="0" w:color="auto"/>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20"/>
                <w:lang w:eastAsia="en-AU"/>
              </w:rPr>
              <w:t>740.4</w:t>
            </w:r>
          </w:p>
        </w:tc>
        <w:tc>
          <w:tcPr>
            <w:tcW w:w="1388" w:type="dxa"/>
            <w:tcBorders>
              <w:top w:val="single" w:sz="6" w:space="0" w:color="auto"/>
              <w:left w:val="nil"/>
              <w:bottom w:val="single" w:sz="12" w:space="0" w:color="auto"/>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144 427.4</w:t>
            </w:r>
          </w:p>
        </w:tc>
      </w:tr>
      <w:tr w:rsidR="00965D85" w:rsidRPr="00E22AD9" w:rsidTr="008B46DF">
        <w:tc>
          <w:tcPr>
            <w:tcW w:w="2694" w:type="dxa"/>
            <w:tcBorders>
              <w:top w:val="single" w:sz="12" w:space="0" w:color="auto"/>
              <w:left w:val="nil"/>
              <w:right w:val="nil"/>
            </w:tcBorders>
            <w:shd w:val="clear" w:color="auto" w:fill="FFFFFF"/>
          </w:tcPr>
          <w:p w:rsidR="00965D85" w:rsidRPr="00E22AD9" w:rsidRDefault="00965D85" w:rsidP="008B46DF">
            <w:pPr>
              <w:autoSpaceDE w:val="0"/>
              <w:autoSpaceDN w:val="0"/>
              <w:adjustRightInd w:val="0"/>
              <w:spacing w:after="0"/>
              <w:ind w:left="227" w:hanging="227"/>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 xml:space="preserve"> </w:t>
            </w:r>
          </w:p>
        </w:tc>
        <w:tc>
          <w:tcPr>
            <w:tcW w:w="2409" w:type="dxa"/>
            <w:tcBorders>
              <w:top w:val="single" w:sz="12" w:space="0" w:color="auto"/>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FF"/>
                <w:sz w:val="20"/>
                <w:lang w:eastAsia="en-AU"/>
              </w:rPr>
            </w:pPr>
          </w:p>
        </w:tc>
        <w:tc>
          <w:tcPr>
            <w:tcW w:w="1276" w:type="dxa"/>
            <w:tcBorders>
              <w:top w:val="single" w:sz="12" w:space="0" w:color="auto"/>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FF"/>
                <w:sz w:val="20"/>
                <w:lang w:eastAsia="en-AU"/>
              </w:rPr>
            </w:pPr>
          </w:p>
        </w:tc>
        <w:tc>
          <w:tcPr>
            <w:tcW w:w="1388" w:type="dxa"/>
            <w:tcBorders>
              <w:top w:val="single" w:sz="12" w:space="0" w:color="auto"/>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FF"/>
                <w:sz w:val="20"/>
                <w:lang w:eastAsia="en-AU"/>
              </w:rPr>
            </w:pPr>
          </w:p>
        </w:tc>
      </w:tr>
      <w:tr w:rsidR="00965D85" w:rsidRPr="00E22AD9" w:rsidTr="008B46DF">
        <w:tc>
          <w:tcPr>
            <w:tcW w:w="2694" w:type="dxa"/>
            <w:tcBorders>
              <w:top w:val="nil"/>
              <w:left w:val="nil"/>
              <w:right w:val="nil"/>
            </w:tcBorders>
            <w:shd w:val="clear" w:color="auto" w:fill="FFFFFF"/>
          </w:tcPr>
          <w:p w:rsidR="00965D85" w:rsidRPr="00E22AD9" w:rsidRDefault="00965D85" w:rsidP="008B46DF">
            <w:pPr>
              <w:autoSpaceDE w:val="0"/>
              <w:autoSpaceDN w:val="0"/>
              <w:adjustRightInd w:val="0"/>
              <w:spacing w:after="0"/>
              <w:ind w:left="227" w:hanging="227"/>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43 354.8</w:t>
            </w:r>
          </w:p>
        </w:tc>
        <w:tc>
          <w:tcPr>
            <w:tcW w:w="2409"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46 413.0</w:t>
            </w:r>
          </w:p>
        </w:tc>
        <w:tc>
          <w:tcPr>
            <w:tcW w:w="1276"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728.2</w:t>
            </w:r>
          </w:p>
        </w:tc>
        <w:tc>
          <w:tcPr>
            <w:tcW w:w="1388"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136 334.5</w:t>
            </w:r>
          </w:p>
        </w:tc>
      </w:tr>
      <w:tr w:rsidR="00965D85" w:rsidRPr="00E22AD9" w:rsidTr="008B46DF">
        <w:tc>
          <w:tcPr>
            <w:tcW w:w="2694" w:type="dxa"/>
            <w:tcBorders>
              <w:top w:val="nil"/>
              <w:left w:val="nil"/>
              <w:right w:val="nil"/>
            </w:tcBorders>
            <w:shd w:val="clear" w:color="auto" w:fill="FFFFFF"/>
          </w:tcPr>
          <w:p w:rsidR="00965D85" w:rsidRPr="00E22AD9" w:rsidRDefault="00965D85" w:rsidP="008B46DF">
            <w:pPr>
              <w:autoSpaceDE w:val="0"/>
              <w:autoSpaceDN w:val="0"/>
              <w:adjustRightInd w:val="0"/>
              <w:spacing w:after="0"/>
              <w:ind w:left="227" w:hanging="227"/>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w:t>
            </w:r>
          </w:p>
        </w:tc>
        <w:tc>
          <w:tcPr>
            <w:tcW w:w="2409"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w:t>
            </w:r>
          </w:p>
        </w:tc>
        <w:tc>
          <w:tcPr>
            <w:tcW w:w="1276"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w:t>
            </w:r>
          </w:p>
        </w:tc>
        <w:tc>
          <w:tcPr>
            <w:tcW w:w="1388"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5 190.8</w:t>
            </w:r>
          </w:p>
        </w:tc>
      </w:tr>
      <w:tr w:rsidR="00965D85" w:rsidRPr="00E22AD9" w:rsidTr="008B46DF">
        <w:tc>
          <w:tcPr>
            <w:tcW w:w="2694" w:type="dxa"/>
            <w:tcBorders>
              <w:top w:val="nil"/>
              <w:left w:val="nil"/>
              <w:bottom w:val="single" w:sz="6" w:space="0" w:color="auto"/>
              <w:right w:val="nil"/>
            </w:tcBorders>
            <w:shd w:val="clear" w:color="auto" w:fill="FFFFFF"/>
          </w:tcPr>
          <w:p w:rsidR="00965D85" w:rsidRPr="00E22AD9" w:rsidRDefault="00965D85" w:rsidP="008B46DF">
            <w:pPr>
              <w:autoSpaceDE w:val="0"/>
              <w:autoSpaceDN w:val="0"/>
              <w:adjustRightInd w:val="0"/>
              <w:spacing w:after="0"/>
              <w:ind w:left="227" w:hanging="227"/>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 xml:space="preserve"> 755.8</w:t>
            </w:r>
          </w:p>
        </w:tc>
        <w:tc>
          <w:tcPr>
            <w:tcW w:w="2409" w:type="dxa"/>
            <w:tcBorders>
              <w:top w:val="nil"/>
              <w:left w:val="nil"/>
              <w:bottom w:val="single" w:sz="6" w:space="0" w:color="auto"/>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(243.6)</w:t>
            </w:r>
          </w:p>
        </w:tc>
        <w:tc>
          <w:tcPr>
            <w:tcW w:w="1276" w:type="dxa"/>
            <w:tcBorders>
              <w:top w:val="nil"/>
              <w:left w:val="nil"/>
              <w:bottom w:val="single" w:sz="6" w:space="0" w:color="auto"/>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12.2</w:t>
            </w:r>
          </w:p>
        </w:tc>
        <w:tc>
          <w:tcPr>
            <w:tcW w:w="1388" w:type="dxa"/>
            <w:tcBorders>
              <w:top w:val="nil"/>
              <w:left w:val="nil"/>
              <w:bottom w:val="single" w:sz="6" w:space="0" w:color="auto"/>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(873.8)</w:t>
            </w:r>
          </w:p>
        </w:tc>
      </w:tr>
      <w:tr w:rsidR="00965D85" w:rsidRPr="00E22AD9" w:rsidTr="008B46DF">
        <w:tc>
          <w:tcPr>
            <w:tcW w:w="2694" w:type="dxa"/>
            <w:tcBorders>
              <w:top w:val="single" w:sz="6" w:space="0" w:color="auto"/>
              <w:left w:val="nil"/>
              <w:bottom w:val="single" w:sz="12" w:space="0" w:color="auto"/>
              <w:right w:val="nil"/>
            </w:tcBorders>
            <w:shd w:val="clear" w:color="auto" w:fill="FFFFFF"/>
          </w:tcPr>
          <w:p w:rsidR="00965D85" w:rsidRPr="00E22AD9" w:rsidRDefault="00965D85" w:rsidP="008B46DF">
            <w:pPr>
              <w:autoSpaceDE w:val="0"/>
              <w:autoSpaceDN w:val="0"/>
              <w:adjustRightInd w:val="0"/>
              <w:spacing w:after="0"/>
              <w:ind w:left="227" w:hanging="227"/>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44 110.7</w:t>
            </w:r>
          </w:p>
        </w:tc>
        <w:tc>
          <w:tcPr>
            <w:tcW w:w="2409" w:type="dxa"/>
            <w:tcBorders>
              <w:top w:val="single" w:sz="6" w:space="0" w:color="auto"/>
              <w:left w:val="nil"/>
              <w:bottom w:val="single" w:sz="12" w:space="0" w:color="auto"/>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46 169.4</w:t>
            </w:r>
          </w:p>
        </w:tc>
        <w:tc>
          <w:tcPr>
            <w:tcW w:w="1276" w:type="dxa"/>
            <w:tcBorders>
              <w:top w:val="single" w:sz="6" w:space="0" w:color="auto"/>
              <w:left w:val="nil"/>
              <w:bottom w:val="single" w:sz="12" w:space="0" w:color="auto"/>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20"/>
                <w:lang w:eastAsia="en-AU"/>
              </w:rPr>
              <w:t>740.4</w:t>
            </w:r>
          </w:p>
        </w:tc>
        <w:tc>
          <w:tcPr>
            <w:tcW w:w="1388" w:type="dxa"/>
            <w:tcBorders>
              <w:top w:val="single" w:sz="6" w:space="0" w:color="auto"/>
              <w:left w:val="nil"/>
              <w:bottom w:val="single" w:sz="12" w:space="0" w:color="auto"/>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140 651.5</w:t>
            </w:r>
          </w:p>
        </w:tc>
      </w:tr>
      <w:tr w:rsidR="00965D85" w:rsidRPr="00E22AD9" w:rsidTr="008B46DF">
        <w:tc>
          <w:tcPr>
            <w:tcW w:w="2694" w:type="dxa"/>
            <w:tcBorders>
              <w:top w:val="single" w:sz="12" w:space="0" w:color="auto"/>
              <w:left w:val="nil"/>
              <w:right w:val="nil"/>
            </w:tcBorders>
            <w:shd w:val="clear" w:color="auto" w:fill="FFFFFF"/>
          </w:tcPr>
          <w:p w:rsidR="00965D85" w:rsidRPr="00E22AD9" w:rsidRDefault="00965D85" w:rsidP="008B46DF">
            <w:pPr>
              <w:autoSpaceDE w:val="0"/>
              <w:autoSpaceDN w:val="0"/>
              <w:adjustRightInd w:val="0"/>
              <w:spacing w:after="0"/>
              <w:ind w:left="227" w:hanging="227"/>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 xml:space="preserve"> </w:t>
            </w:r>
          </w:p>
        </w:tc>
        <w:tc>
          <w:tcPr>
            <w:tcW w:w="2409" w:type="dxa"/>
            <w:tcBorders>
              <w:top w:val="single" w:sz="12" w:space="0" w:color="auto"/>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FF"/>
                <w:sz w:val="20"/>
                <w:lang w:eastAsia="en-AU"/>
              </w:rPr>
            </w:pPr>
          </w:p>
        </w:tc>
        <w:tc>
          <w:tcPr>
            <w:tcW w:w="1276" w:type="dxa"/>
            <w:tcBorders>
              <w:top w:val="single" w:sz="12" w:space="0" w:color="auto"/>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FF"/>
                <w:sz w:val="20"/>
                <w:lang w:eastAsia="en-AU"/>
              </w:rPr>
            </w:pPr>
          </w:p>
        </w:tc>
        <w:tc>
          <w:tcPr>
            <w:tcW w:w="1388" w:type="dxa"/>
            <w:tcBorders>
              <w:top w:val="single" w:sz="12" w:space="0" w:color="auto"/>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FF"/>
                <w:sz w:val="20"/>
                <w:lang w:eastAsia="en-AU"/>
              </w:rPr>
            </w:pPr>
          </w:p>
        </w:tc>
      </w:tr>
      <w:tr w:rsidR="00965D85" w:rsidRPr="00E22AD9" w:rsidTr="008B46DF">
        <w:tc>
          <w:tcPr>
            <w:tcW w:w="2694" w:type="dxa"/>
            <w:tcBorders>
              <w:top w:val="nil"/>
              <w:left w:val="nil"/>
              <w:right w:val="nil"/>
            </w:tcBorders>
            <w:shd w:val="clear" w:color="auto" w:fill="FFFFFF"/>
          </w:tcPr>
          <w:p w:rsidR="00965D85" w:rsidRPr="00E22AD9" w:rsidRDefault="00965D85" w:rsidP="008B46DF">
            <w:pPr>
              <w:autoSpaceDE w:val="0"/>
              <w:autoSpaceDN w:val="0"/>
              <w:adjustRightInd w:val="0"/>
              <w:spacing w:after="0"/>
              <w:ind w:left="227" w:hanging="227"/>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44 110.7</w:t>
            </w:r>
          </w:p>
        </w:tc>
        <w:tc>
          <w:tcPr>
            <w:tcW w:w="2409"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46 169.4</w:t>
            </w:r>
          </w:p>
        </w:tc>
        <w:tc>
          <w:tcPr>
            <w:tcW w:w="1276"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740.4</w:t>
            </w:r>
          </w:p>
        </w:tc>
        <w:tc>
          <w:tcPr>
            <w:tcW w:w="1388"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140 651.5</w:t>
            </w:r>
          </w:p>
        </w:tc>
      </w:tr>
      <w:tr w:rsidR="00965D85" w:rsidRPr="00E22AD9" w:rsidTr="008B46DF">
        <w:tc>
          <w:tcPr>
            <w:tcW w:w="2694" w:type="dxa"/>
            <w:tcBorders>
              <w:top w:val="nil"/>
              <w:left w:val="nil"/>
              <w:right w:val="nil"/>
            </w:tcBorders>
            <w:shd w:val="clear" w:color="auto" w:fill="FFFFFF"/>
          </w:tcPr>
          <w:p w:rsidR="00965D85" w:rsidRPr="00E22AD9" w:rsidRDefault="00965D85" w:rsidP="008B46DF">
            <w:pPr>
              <w:autoSpaceDE w:val="0"/>
              <w:autoSpaceDN w:val="0"/>
              <w:adjustRightInd w:val="0"/>
              <w:spacing w:after="0"/>
              <w:ind w:left="227" w:hanging="227"/>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w:t>
            </w:r>
          </w:p>
        </w:tc>
        <w:tc>
          <w:tcPr>
            <w:tcW w:w="2409"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w:t>
            </w:r>
          </w:p>
        </w:tc>
        <w:tc>
          <w:tcPr>
            <w:tcW w:w="1276"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w:t>
            </w:r>
          </w:p>
        </w:tc>
        <w:tc>
          <w:tcPr>
            <w:tcW w:w="1388"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1 306.0</w:t>
            </w:r>
          </w:p>
        </w:tc>
      </w:tr>
      <w:tr w:rsidR="00965D85" w:rsidRPr="00E22AD9" w:rsidTr="008B46DF">
        <w:tc>
          <w:tcPr>
            <w:tcW w:w="2694" w:type="dxa"/>
            <w:tcBorders>
              <w:top w:val="nil"/>
              <w:left w:val="nil"/>
              <w:bottom w:val="single" w:sz="6" w:space="0" w:color="auto"/>
              <w:right w:val="nil"/>
            </w:tcBorders>
            <w:shd w:val="clear" w:color="auto" w:fill="FFFFFF"/>
          </w:tcPr>
          <w:p w:rsidR="00965D85" w:rsidRPr="00E22AD9" w:rsidRDefault="00965D85" w:rsidP="008B46DF">
            <w:pPr>
              <w:autoSpaceDE w:val="0"/>
              <w:autoSpaceDN w:val="0"/>
              <w:adjustRightInd w:val="0"/>
              <w:spacing w:after="0"/>
              <w:ind w:left="227" w:hanging="227"/>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 xml:space="preserve"> 513.0</w:t>
            </w:r>
          </w:p>
        </w:tc>
        <w:tc>
          <w:tcPr>
            <w:tcW w:w="2409" w:type="dxa"/>
            <w:tcBorders>
              <w:top w:val="nil"/>
              <w:left w:val="nil"/>
              <w:bottom w:val="single" w:sz="6" w:space="0" w:color="auto"/>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(264.7)</w:t>
            </w:r>
          </w:p>
        </w:tc>
        <w:tc>
          <w:tcPr>
            <w:tcW w:w="1276" w:type="dxa"/>
            <w:tcBorders>
              <w:top w:val="nil"/>
              <w:left w:val="nil"/>
              <w:bottom w:val="single" w:sz="6" w:space="0" w:color="auto"/>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15.8</w:t>
            </w:r>
          </w:p>
        </w:tc>
        <w:tc>
          <w:tcPr>
            <w:tcW w:w="1388" w:type="dxa"/>
            <w:tcBorders>
              <w:top w:val="nil"/>
              <w:left w:val="nil"/>
              <w:bottom w:val="single" w:sz="6" w:space="0" w:color="auto"/>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1 097.8</w:t>
            </w:r>
          </w:p>
        </w:tc>
      </w:tr>
      <w:tr w:rsidR="00965D85" w:rsidRPr="00E22AD9" w:rsidTr="008B46DF">
        <w:tc>
          <w:tcPr>
            <w:tcW w:w="2694" w:type="dxa"/>
            <w:tcBorders>
              <w:top w:val="single" w:sz="6" w:space="0" w:color="auto"/>
              <w:left w:val="nil"/>
              <w:bottom w:val="single" w:sz="12" w:space="0" w:color="auto"/>
              <w:right w:val="nil"/>
            </w:tcBorders>
            <w:shd w:val="clear" w:color="auto" w:fill="FFFFFF"/>
          </w:tcPr>
          <w:p w:rsidR="00965D85" w:rsidRPr="00E22AD9" w:rsidRDefault="00965D85" w:rsidP="008B46DF">
            <w:pPr>
              <w:autoSpaceDE w:val="0"/>
              <w:autoSpaceDN w:val="0"/>
              <w:adjustRightInd w:val="0"/>
              <w:spacing w:after="0"/>
              <w:ind w:left="227" w:hanging="227"/>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44 623.7</w:t>
            </w:r>
          </w:p>
        </w:tc>
        <w:tc>
          <w:tcPr>
            <w:tcW w:w="2409" w:type="dxa"/>
            <w:tcBorders>
              <w:top w:val="single" w:sz="6" w:space="0" w:color="auto"/>
              <w:left w:val="nil"/>
              <w:bottom w:val="single" w:sz="12" w:space="0" w:color="auto"/>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45 904.7</w:t>
            </w:r>
          </w:p>
        </w:tc>
        <w:tc>
          <w:tcPr>
            <w:tcW w:w="1276" w:type="dxa"/>
            <w:tcBorders>
              <w:top w:val="single" w:sz="6" w:space="0" w:color="auto"/>
              <w:left w:val="nil"/>
              <w:bottom w:val="single" w:sz="12" w:space="0" w:color="auto"/>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20"/>
                <w:lang w:eastAsia="en-AU"/>
              </w:rPr>
              <w:t>756.1</w:t>
            </w:r>
          </w:p>
        </w:tc>
        <w:tc>
          <w:tcPr>
            <w:tcW w:w="1388" w:type="dxa"/>
            <w:tcBorders>
              <w:top w:val="single" w:sz="6" w:space="0" w:color="auto"/>
              <w:left w:val="nil"/>
              <w:bottom w:val="single" w:sz="12" w:space="0" w:color="auto"/>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20"/>
                <w:lang w:eastAsia="en-AU"/>
              </w:rPr>
              <w:t>143 055.3</w:t>
            </w:r>
          </w:p>
        </w:tc>
      </w:tr>
      <w:tr w:rsidR="00965D85" w:rsidRPr="00E22AD9" w:rsidTr="008B46DF">
        <w:tc>
          <w:tcPr>
            <w:tcW w:w="2694" w:type="dxa"/>
            <w:tcBorders>
              <w:top w:val="single" w:sz="12" w:space="0" w:color="auto"/>
              <w:left w:val="nil"/>
              <w:right w:val="nil"/>
            </w:tcBorders>
            <w:shd w:val="clear" w:color="auto" w:fill="FFFFFF"/>
          </w:tcPr>
          <w:p w:rsidR="00965D85" w:rsidRPr="00E22AD9" w:rsidRDefault="00965D85" w:rsidP="008B46DF">
            <w:pPr>
              <w:autoSpaceDE w:val="0"/>
              <w:autoSpaceDN w:val="0"/>
              <w:adjustRightInd w:val="0"/>
              <w:spacing w:after="0"/>
              <w:ind w:left="227" w:hanging="227"/>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 xml:space="preserve"> </w:t>
            </w:r>
          </w:p>
        </w:tc>
        <w:tc>
          <w:tcPr>
            <w:tcW w:w="2409" w:type="dxa"/>
            <w:tcBorders>
              <w:top w:val="single" w:sz="12" w:space="0" w:color="auto"/>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FF"/>
                <w:sz w:val="20"/>
                <w:lang w:eastAsia="en-AU"/>
              </w:rPr>
            </w:pPr>
          </w:p>
        </w:tc>
        <w:tc>
          <w:tcPr>
            <w:tcW w:w="1276" w:type="dxa"/>
            <w:tcBorders>
              <w:top w:val="single" w:sz="12" w:space="0" w:color="auto"/>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FF"/>
                <w:sz w:val="20"/>
                <w:lang w:eastAsia="en-AU"/>
              </w:rPr>
            </w:pPr>
          </w:p>
        </w:tc>
        <w:tc>
          <w:tcPr>
            <w:tcW w:w="1388" w:type="dxa"/>
            <w:tcBorders>
              <w:top w:val="single" w:sz="12" w:space="0" w:color="auto"/>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FF"/>
                <w:sz w:val="20"/>
                <w:lang w:eastAsia="en-AU"/>
              </w:rPr>
            </w:pPr>
          </w:p>
        </w:tc>
      </w:tr>
      <w:tr w:rsidR="00965D85" w:rsidRPr="00E22AD9" w:rsidTr="008B46DF">
        <w:tc>
          <w:tcPr>
            <w:tcW w:w="2694" w:type="dxa"/>
            <w:tcBorders>
              <w:top w:val="nil"/>
              <w:left w:val="nil"/>
              <w:right w:val="nil"/>
            </w:tcBorders>
            <w:shd w:val="clear" w:color="auto" w:fill="FFFFFF"/>
          </w:tcPr>
          <w:p w:rsidR="00965D85" w:rsidRPr="00E22AD9" w:rsidRDefault="00965D85" w:rsidP="008B46DF">
            <w:pPr>
              <w:autoSpaceDE w:val="0"/>
              <w:autoSpaceDN w:val="0"/>
              <w:adjustRightInd w:val="0"/>
              <w:spacing w:after="0"/>
              <w:ind w:left="227" w:hanging="227"/>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44 623.7</w:t>
            </w:r>
          </w:p>
        </w:tc>
        <w:tc>
          <w:tcPr>
            <w:tcW w:w="2409"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45 904.7</w:t>
            </w:r>
          </w:p>
        </w:tc>
        <w:tc>
          <w:tcPr>
            <w:tcW w:w="1276"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756.1</w:t>
            </w:r>
          </w:p>
        </w:tc>
        <w:tc>
          <w:tcPr>
            <w:tcW w:w="1388"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143 055.3</w:t>
            </w:r>
          </w:p>
        </w:tc>
      </w:tr>
      <w:tr w:rsidR="00965D85" w:rsidRPr="00E22AD9" w:rsidTr="008B46DF">
        <w:tc>
          <w:tcPr>
            <w:tcW w:w="2694" w:type="dxa"/>
            <w:tcBorders>
              <w:top w:val="nil"/>
              <w:left w:val="nil"/>
              <w:right w:val="nil"/>
            </w:tcBorders>
            <w:shd w:val="clear" w:color="auto" w:fill="FFFFFF"/>
          </w:tcPr>
          <w:p w:rsidR="00965D85" w:rsidRPr="00E22AD9" w:rsidRDefault="00965D85" w:rsidP="008B46DF">
            <w:pPr>
              <w:autoSpaceDE w:val="0"/>
              <w:autoSpaceDN w:val="0"/>
              <w:adjustRightInd w:val="0"/>
              <w:spacing w:after="0"/>
              <w:ind w:left="227" w:hanging="227"/>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w:t>
            </w:r>
          </w:p>
        </w:tc>
        <w:tc>
          <w:tcPr>
            <w:tcW w:w="2409"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w:t>
            </w:r>
          </w:p>
        </w:tc>
        <w:tc>
          <w:tcPr>
            <w:tcW w:w="1276"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w:t>
            </w:r>
          </w:p>
        </w:tc>
        <w:tc>
          <w:tcPr>
            <w:tcW w:w="1388"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1 607.8</w:t>
            </w:r>
          </w:p>
        </w:tc>
      </w:tr>
      <w:tr w:rsidR="00965D85" w:rsidRPr="00E22AD9" w:rsidTr="008B46DF">
        <w:tc>
          <w:tcPr>
            <w:tcW w:w="2694" w:type="dxa"/>
            <w:tcBorders>
              <w:top w:val="nil"/>
              <w:left w:val="nil"/>
              <w:bottom w:val="single" w:sz="6" w:space="0" w:color="auto"/>
              <w:right w:val="nil"/>
            </w:tcBorders>
            <w:shd w:val="clear" w:color="auto" w:fill="FFFFFF"/>
          </w:tcPr>
          <w:p w:rsidR="00965D85" w:rsidRPr="00E22AD9" w:rsidRDefault="00965D85" w:rsidP="008B46DF">
            <w:pPr>
              <w:autoSpaceDE w:val="0"/>
              <w:autoSpaceDN w:val="0"/>
              <w:adjustRightInd w:val="0"/>
              <w:spacing w:after="0"/>
              <w:ind w:left="227" w:hanging="227"/>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9 129.8</w:t>
            </w:r>
          </w:p>
        </w:tc>
        <w:tc>
          <w:tcPr>
            <w:tcW w:w="2409" w:type="dxa"/>
            <w:tcBorders>
              <w:top w:val="nil"/>
              <w:left w:val="nil"/>
              <w:bottom w:val="single" w:sz="6" w:space="0" w:color="auto"/>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421.3</w:t>
            </w:r>
          </w:p>
        </w:tc>
        <w:tc>
          <w:tcPr>
            <w:tcW w:w="1276" w:type="dxa"/>
            <w:tcBorders>
              <w:top w:val="nil"/>
              <w:left w:val="nil"/>
              <w:bottom w:val="single" w:sz="6" w:space="0" w:color="auto"/>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16.3</w:t>
            </w:r>
          </w:p>
        </w:tc>
        <w:tc>
          <w:tcPr>
            <w:tcW w:w="1388" w:type="dxa"/>
            <w:tcBorders>
              <w:top w:val="nil"/>
              <w:left w:val="nil"/>
              <w:bottom w:val="single" w:sz="6" w:space="0" w:color="auto"/>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10 407.9</w:t>
            </w:r>
          </w:p>
        </w:tc>
      </w:tr>
      <w:tr w:rsidR="00965D85" w:rsidRPr="00E22AD9" w:rsidTr="008B46DF">
        <w:tc>
          <w:tcPr>
            <w:tcW w:w="2694" w:type="dxa"/>
            <w:tcBorders>
              <w:top w:val="single" w:sz="6" w:space="0" w:color="auto"/>
              <w:left w:val="nil"/>
              <w:bottom w:val="single" w:sz="12" w:space="0" w:color="auto"/>
              <w:right w:val="nil"/>
            </w:tcBorders>
            <w:shd w:val="clear" w:color="auto" w:fill="FFFFFF"/>
          </w:tcPr>
          <w:p w:rsidR="00965D85" w:rsidRPr="00E22AD9" w:rsidRDefault="00965D85" w:rsidP="008B46DF">
            <w:pPr>
              <w:autoSpaceDE w:val="0"/>
              <w:autoSpaceDN w:val="0"/>
              <w:adjustRightInd w:val="0"/>
              <w:spacing w:after="0"/>
              <w:ind w:left="227" w:hanging="227"/>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53 753.5</w:t>
            </w:r>
          </w:p>
        </w:tc>
        <w:tc>
          <w:tcPr>
            <w:tcW w:w="2409" w:type="dxa"/>
            <w:tcBorders>
              <w:top w:val="single" w:sz="6" w:space="0" w:color="auto"/>
              <w:left w:val="nil"/>
              <w:bottom w:val="single" w:sz="12" w:space="0" w:color="auto"/>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46 326.0</w:t>
            </w:r>
          </w:p>
        </w:tc>
        <w:tc>
          <w:tcPr>
            <w:tcW w:w="1276" w:type="dxa"/>
            <w:tcBorders>
              <w:top w:val="single" w:sz="6" w:space="0" w:color="auto"/>
              <w:left w:val="nil"/>
              <w:bottom w:val="single" w:sz="12" w:space="0" w:color="auto"/>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20"/>
                <w:lang w:eastAsia="en-AU"/>
              </w:rPr>
              <w:t>772.5</w:t>
            </w:r>
          </w:p>
        </w:tc>
        <w:tc>
          <w:tcPr>
            <w:tcW w:w="1388" w:type="dxa"/>
            <w:tcBorders>
              <w:top w:val="single" w:sz="6" w:space="0" w:color="auto"/>
              <w:left w:val="nil"/>
              <w:bottom w:val="single" w:sz="12" w:space="0" w:color="auto"/>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155 071.1</w:t>
            </w:r>
          </w:p>
        </w:tc>
      </w:tr>
      <w:tr w:rsidR="00965D85" w:rsidRPr="00E22AD9" w:rsidTr="008B46DF">
        <w:tc>
          <w:tcPr>
            <w:tcW w:w="2694" w:type="dxa"/>
            <w:tcBorders>
              <w:top w:val="single" w:sz="12" w:space="0" w:color="auto"/>
              <w:left w:val="nil"/>
              <w:right w:val="nil"/>
            </w:tcBorders>
            <w:shd w:val="clear" w:color="auto" w:fill="FFFFFF"/>
          </w:tcPr>
          <w:p w:rsidR="00965D85" w:rsidRPr="00E22AD9" w:rsidRDefault="00965D85" w:rsidP="008B46DF">
            <w:pPr>
              <w:autoSpaceDE w:val="0"/>
              <w:autoSpaceDN w:val="0"/>
              <w:adjustRightInd w:val="0"/>
              <w:spacing w:after="0"/>
              <w:ind w:left="227" w:hanging="227"/>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 xml:space="preserve"> </w:t>
            </w:r>
          </w:p>
        </w:tc>
        <w:tc>
          <w:tcPr>
            <w:tcW w:w="2409" w:type="dxa"/>
            <w:tcBorders>
              <w:top w:val="single" w:sz="12" w:space="0" w:color="auto"/>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FF"/>
                <w:sz w:val="20"/>
                <w:lang w:eastAsia="en-AU"/>
              </w:rPr>
            </w:pPr>
          </w:p>
        </w:tc>
        <w:tc>
          <w:tcPr>
            <w:tcW w:w="1276" w:type="dxa"/>
            <w:tcBorders>
              <w:top w:val="single" w:sz="12" w:space="0" w:color="auto"/>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FF"/>
                <w:sz w:val="20"/>
                <w:lang w:eastAsia="en-AU"/>
              </w:rPr>
            </w:pPr>
          </w:p>
        </w:tc>
        <w:tc>
          <w:tcPr>
            <w:tcW w:w="1388" w:type="dxa"/>
            <w:tcBorders>
              <w:top w:val="single" w:sz="12" w:space="0" w:color="auto"/>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FF"/>
                <w:sz w:val="20"/>
                <w:lang w:eastAsia="en-AU"/>
              </w:rPr>
            </w:pPr>
          </w:p>
        </w:tc>
      </w:tr>
      <w:tr w:rsidR="00965D85" w:rsidRPr="00E22AD9" w:rsidTr="008B46DF">
        <w:tc>
          <w:tcPr>
            <w:tcW w:w="2694" w:type="dxa"/>
            <w:tcBorders>
              <w:top w:val="nil"/>
              <w:left w:val="nil"/>
              <w:right w:val="nil"/>
            </w:tcBorders>
            <w:shd w:val="clear" w:color="auto" w:fill="FFFFFF"/>
          </w:tcPr>
          <w:p w:rsidR="00965D85" w:rsidRPr="00E22AD9" w:rsidRDefault="00965D85" w:rsidP="008B46DF">
            <w:pPr>
              <w:autoSpaceDE w:val="0"/>
              <w:autoSpaceDN w:val="0"/>
              <w:adjustRightInd w:val="0"/>
              <w:spacing w:after="0"/>
              <w:ind w:left="227" w:hanging="227"/>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53 753.5</w:t>
            </w:r>
          </w:p>
        </w:tc>
        <w:tc>
          <w:tcPr>
            <w:tcW w:w="2409"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46 326.0</w:t>
            </w:r>
          </w:p>
        </w:tc>
        <w:tc>
          <w:tcPr>
            <w:tcW w:w="1276"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772.5</w:t>
            </w:r>
          </w:p>
        </w:tc>
        <w:tc>
          <w:tcPr>
            <w:tcW w:w="1388"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155 071.1</w:t>
            </w:r>
          </w:p>
        </w:tc>
      </w:tr>
      <w:tr w:rsidR="00965D85" w:rsidRPr="00E22AD9" w:rsidTr="008B46DF">
        <w:tc>
          <w:tcPr>
            <w:tcW w:w="2694" w:type="dxa"/>
            <w:tcBorders>
              <w:top w:val="nil"/>
              <w:left w:val="nil"/>
              <w:right w:val="nil"/>
            </w:tcBorders>
            <w:shd w:val="clear" w:color="auto" w:fill="FFFFFF"/>
          </w:tcPr>
          <w:p w:rsidR="00965D85" w:rsidRPr="00E22AD9" w:rsidRDefault="00965D85" w:rsidP="008B46DF">
            <w:pPr>
              <w:autoSpaceDE w:val="0"/>
              <w:autoSpaceDN w:val="0"/>
              <w:adjustRightInd w:val="0"/>
              <w:spacing w:after="0"/>
              <w:ind w:left="227" w:hanging="227"/>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w:t>
            </w:r>
          </w:p>
        </w:tc>
        <w:tc>
          <w:tcPr>
            <w:tcW w:w="2409"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w:t>
            </w:r>
          </w:p>
        </w:tc>
        <w:tc>
          <w:tcPr>
            <w:tcW w:w="1276"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w:t>
            </w:r>
          </w:p>
        </w:tc>
        <w:tc>
          <w:tcPr>
            <w:tcW w:w="1388"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1 275.1</w:t>
            </w:r>
          </w:p>
        </w:tc>
      </w:tr>
      <w:tr w:rsidR="00965D85" w:rsidRPr="00E22AD9" w:rsidTr="008B46DF">
        <w:tc>
          <w:tcPr>
            <w:tcW w:w="2694" w:type="dxa"/>
            <w:tcBorders>
              <w:top w:val="nil"/>
              <w:left w:val="nil"/>
              <w:bottom w:val="single" w:sz="6" w:space="0" w:color="auto"/>
              <w:right w:val="nil"/>
            </w:tcBorders>
            <w:shd w:val="clear" w:color="auto" w:fill="FFFFFF"/>
          </w:tcPr>
          <w:p w:rsidR="00965D85" w:rsidRPr="00E22AD9" w:rsidRDefault="00965D85" w:rsidP="008B46DF">
            <w:pPr>
              <w:autoSpaceDE w:val="0"/>
              <w:autoSpaceDN w:val="0"/>
              <w:adjustRightInd w:val="0"/>
              <w:spacing w:after="0"/>
              <w:ind w:left="227" w:hanging="227"/>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 xml:space="preserve"> 421.8</w:t>
            </w:r>
          </w:p>
        </w:tc>
        <w:tc>
          <w:tcPr>
            <w:tcW w:w="2409" w:type="dxa"/>
            <w:tcBorders>
              <w:top w:val="nil"/>
              <w:left w:val="nil"/>
              <w:bottom w:val="single" w:sz="6" w:space="0" w:color="auto"/>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(70.0)</w:t>
            </w:r>
          </w:p>
        </w:tc>
        <w:tc>
          <w:tcPr>
            <w:tcW w:w="1276" w:type="dxa"/>
            <w:tcBorders>
              <w:top w:val="nil"/>
              <w:left w:val="nil"/>
              <w:bottom w:val="single" w:sz="6" w:space="0" w:color="auto"/>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16.4</w:t>
            </w:r>
          </w:p>
        </w:tc>
        <w:tc>
          <w:tcPr>
            <w:tcW w:w="1388" w:type="dxa"/>
            <w:tcBorders>
              <w:top w:val="nil"/>
              <w:left w:val="nil"/>
              <w:bottom w:val="single" w:sz="6" w:space="0" w:color="auto"/>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1 213.3</w:t>
            </w:r>
          </w:p>
        </w:tc>
      </w:tr>
      <w:tr w:rsidR="00965D85" w:rsidRPr="00E22AD9" w:rsidTr="008B46DF">
        <w:tc>
          <w:tcPr>
            <w:tcW w:w="2694" w:type="dxa"/>
            <w:tcBorders>
              <w:top w:val="single" w:sz="6" w:space="0" w:color="auto"/>
              <w:left w:val="nil"/>
              <w:bottom w:val="single" w:sz="12" w:space="0" w:color="auto"/>
              <w:right w:val="nil"/>
            </w:tcBorders>
            <w:shd w:val="clear" w:color="auto" w:fill="FFFFFF"/>
          </w:tcPr>
          <w:p w:rsidR="00965D85" w:rsidRPr="00E22AD9" w:rsidRDefault="00965D85" w:rsidP="008B46DF">
            <w:pPr>
              <w:autoSpaceDE w:val="0"/>
              <w:autoSpaceDN w:val="0"/>
              <w:adjustRightInd w:val="0"/>
              <w:spacing w:after="0"/>
              <w:ind w:left="227" w:hanging="227"/>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54 175.3</w:t>
            </w:r>
          </w:p>
        </w:tc>
        <w:tc>
          <w:tcPr>
            <w:tcW w:w="2409" w:type="dxa"/>
            <w:tcBorders>
              <w:top w:val="single" w:sz="6" w:space="0" w:color="auto"/>
              <w:left w:val="nil"/>
              <w:bottom w:val="single" w:sz="12" w:space="0" w:color="auto"/>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46 256.0</w:t>
            </w:r>
          </w:p>
        </w:tc>
        <w:tc>
          <w:tcPr>
            <w:tcW w:w="1276" w:type="dxa"/>
            <w:tcBorders>
              <w:top w:val="single" w:sz="6" w:space="0" w:color="auto"/>
              <w:left w:val="nil"/>
              <w:bottom w:val="single" w:sz="12" w:space="0" w:color="auto"/>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20"/>
                <w:lang w:eastAsia="en-AU"/>
              </w:rPr>
              <w:t>788.9</w:t>
            </w:r>
          </w:p>
        </w:tc>
        <w:tc>
          <w:tcPr>
            <w:tcW w:w="1388" w:type="dxa"/>
            <w:tcBorders>
              <w:top w:val="single" w:sz="6" w:space="0" w:color="auto"/>
              <w:left w:val="nil"/>
              <w:bottom w:val="single" w:sz="12" w:space="0" w:color="auto"/>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157 559.5</w:t>
            </w:r>
          </w:p>
        </w:tc>
      </w:tr>
    </w:tbl>
    <w:p w:rsidR="00965D85" w:rsidRDefault="00965D85" w:rsidP="008B46DF">
      <w:pPr>
        <w:pStyle w:val="Heading2Notes"/>
        <w:rPr>
          <w:rFonts w:ascii="Tms Rmn" w:hAnsi="Tms Rmn" w:cs="Tms Rmn"/>
          <w:color w:val="000000"/>
          <w:sz w:val="18"/>
          <w:szCs w:val="18"/>
          <w:lang w:eastAsia="en-AU"/>
        </w:rPr>
      </w:pPr>
    </w:p>
    <w:p w:rsidR="00965D85" w:rsidRPr="001F325D" w:rsidRDefault="00965D85" w:rsidP="001F325D"/>
    <w:p w:rsidR="00965D85" w:rsidRDefault="00965D85">
      <w:pPr>
        <w:spacing w:after="0"/>
        <w:rPr>
          <w:rFonts w:ascii="Calibri" w:hAnsi="Calibri"/>
          <w:b/>
          <w:caps/>
          <w:sz w:val="26"/>
          <w:szCs w:val="22"/>
        </w:rPr>
      </w:pPr>
      <w:r>
        <w:br w:type="page"/>
      </w:r>
    </w:p>
    <w:p w:rsidR="00965D85" w:rsidRPr="00427D0E" w:rsidRDefault="00965D85" w:rsidP="001F325D">
      <w:pPr>
        <w:pStyle w:val="Heading1"/>
      </w:pPr>
      <w:bookmarkStart w:id="44" w:name="_Toc436147541"/>
      <w:r w:rsidRPr="00427D0E">
        <w:lastRenderedPageBreak/>
        <w:t>Notes to the financial statements</w:t>
      </w:r>
      <w:bookmarkEnd w:id="44"/>
    </w:p>
    <w:p w:rsidR="00965D85" w:rsidRDefault="00965D85" w:rsidP="003F26DD">
      <w:pPr>
        <w:pStyle w:val="TOC2"/>
        <w:tabs>
          <w:tab w:val="clear" w:pos="7830"/>
          <w:tab w:val="left" w:pos="1134"/>
          <w:tab w:val="right" w:leader="dot" w:pos="7655"/>
        </w:tabs>
        <w:rPr>
          <w:rFonts w:asciiTheme="minorHAnsi" w:eastAsiaTheme="minorEastAsia" w:hAnsiTheme="minorHAnsi" w:cstheme="minorBidi"/>
          <w:noProof/>
          <w:sz w:val="22"/>
          <w:szCs w:val="22"/>
          <w:lang w:eastAsia="en-AU"/>
        </w:rPr>
      </w:pPr>
      <w:r>
        <w:rPr>
          <w:b/>
        </w:rPr>
        <w:fldChar w:fldCharType="begin"/>
      </w:r>
      <w:r>
        <w:rPr>
          <w:b/>
        </w:rPr>
        <w:instrText xml:space="preserve"> TOC \h \z \t "Heading 2 Notes,2,Table of Contents continued,2" </w:instrText>
      </w:r>
      <w:r>
        <w:rPr>
          <w:b/>
        </w:rPr>
        <w:fldChar w:fldCharType="separate"/>
      </w:r>
      <w:hyperlink w:anchor="_Toc436138907" w:history="1">
        <w:r w:rsidRPr="00DF4F77">
          <w:rPr>
            <w:rStyle w:val="Hyperlink"/>
            <w:noProof/>
          </w:rPr>
          <w:t>Note 1:</w:t>
        </w:r>
        <w:r>
          <w:rPr>
            <w:rFonts w:asciiTheme="minorHAnsi" w:eastAsiaTheme="minorEastAsia" w:hAnsiTheme="minorHAnsi" w:cstheme="minorBidi"/>
            <w:noProof/>
            <w:sz w:val="22"/>
            <w:szCs w:val="22"/>
            <w:lang w:eastAsia="en-AU"/>
          </w:rPr>
          <w:tab/>
        </w:r>
        <w:r w:rsidRPr="00DF4F77">
          <w:rPr>
            <w:rStyle w:val="Hyperlink"/>
            <w:noProof/>
          </w:rPr>
          <w:t>Statement of significant accounting policies and forecast assumptions</w:t>
        </w:r>
        <w:r>
          <w:rPr>
            <w:noProof/>
            <w:webHidden/>
          </w:rPr>
          <w:tab/>
        </w:r>
        <w:r>
          <w:rPr>
            <w:noProof/>
            <w:webHidden/>
          </w:rPr>
          <w:fldChar w:fldCharType="begin"/>
        </w:r>
        <w:r>
          <w:rPr>
            <w:noProof/>
            <w:webHidden/>
          </w:rPr>
          <w:instrText xml:space="preserve"> PAGEREF _Toc436138907 \h </w:instrText>
        </w:r>
        <w:r>
          <w:rPr>
            <w:noProof/>
            <w:webHidden/>
          </w:rPr>
        </w:r>
        <w:r>
          <w:rPr>
            <w:noProof/>
            <w:webHidden/>
          </w:rPr>
          <w:fldChar w:fldCharType="separate"/>
        </w:r>
        <w:r w:rsidR="009B0AC6">
          <w:rPr>
            <w:noProof/>
            <w:webHidden/>
          </w:rPr>
          <w:t>37</w:t>
        </w:r>
        <w:r>
          <w:rPr>
            <w:noProof/>
            <w:webHidden/>
          </w:rPr>
          <w:fldChar w:fldCharType="end"/>
        </w:r>
      </w:hyperlink>
    </w:p>
    <w:p w:rsidR="00965D85" w:rsidRDefault="00DF27E0" w:rsidP="003F26DD">
      <w:pPr>
        <w:pStyle w:val="TOC2"/>
        <w:tabs>
          <w:tab w:val="clear" w:pos="7830"/>
          <w:tab w:val="left" w:pos="1134"/>
          <w:tab w:val="right" w:leader="dot" w:pos="7655"/>
        </w:tabs>
        <w:rPr>
          <w:rFonts w:asciiTheme="minorHAnsi" w:eastAsiaTheme="minorEastAsia" w:hAnsiTheme="minorHAnsi" w:cstheme="minorBidi"/>
          <w:noProof/>
          <w:sz w:val="22"/>
          <w:szCs w:val="22"/>
          <w:lang w:eastAsia="en-AU"/>
        </w:rPr>
      </w:pPr>
      <w:hyperlink w:anchor="_Toc436138908" w:history="1">
        <w:r w:rsidR="00965D85" w:rsidRPr="00DF4F77">
          <w:rPr>
            <w:rStyle w:val="Hyperlink"/>
            <w:noProof/>
            <w:lang w:eastAsia="en-AU"/>
          </w:rPr>
          <w:t xml:space="preserve">Note 2: </w:t>
        </w:r>
        <w:r w:rsidR="00965D85">
          <w:rPr>
            <w:rFonts w:asciiTheme="minorHAnsi" w:eastAsiaTheme="minorEastAsia" w:hAnsiTheme="minorHAnsi" w:cstheme="minorBidi"/>
            <w:noProof/>
            <w:sz w:val="22"/>
            <w:szCs w:val="22"/>
            <w:lang w:eastAsia="en-AU"/>
          </w:rPr>
          <w:tab/>
        </w:r>
        <w:r w:rsidR="00965D85" w:rsidRPr="00DF4F77">
          <w:rPr>
            <w:rStyle w:val="Hyperlink"/>
            <w:noProof/>
            <w:lang w:eastAsia="en-AU"/>
          </w:rPr>
          <w:t>Taxation revenue</w:t>
        </w:r>
        <w:r w:rsidR="00965D85">
          <w:rPr>
            <w:noProof/>
            <w:webHidden/>
          </w:rPr>
          <w:tab/>
        </w:r>
        <w:r w:rsidR="00965D85">
          <w:rPr>
            <w:noProof/>
            <w:webHidden/>
          </w:rPr>
          <w:fldChar w:fldCharType="begin"/>
        </w:r>
        <w:r w:rsidR="00965D85">
          <w:rPr>
            <w:noProof/>
            <w:webHidden/>
          </w:rPr>
          <w:instrText xml:space="preserve"> PAGEREF _Toc436138908 \h </w:instrText>
        </w:r>
        <w:r w:rsidR="00965D85">
          <w:rPr>
            <w:noProof/>
            <w:webHidden/>
          </w:rPr>
        </w:r>
        <w:r w:rsidR="00965D85">
          <w:rPr>
            <w:noProof/>
            <w:webHidden/>
          </w:rPr>
          <w:fldChar w:fldCharType="separate"/>
        </w:r>
        <w:r w:rsidR="009B0AC6">
          <w:rPr>
            <w:noProof/>
            <w:webHidden/>
          </w:rPr>
          <w:t>43</w:t>
        </w:r>
        <w:r w:rsidR="00965D85">
          <w:rPr>
            <w:noProof/>
            <w:webHidden/>
          </w:rPr>
          <w:fldChar w:fldCharType="end"/>
        </w:r>
      </w:hyperlink>
    </w:p>
    <w:p w:rsidR="00965D85" w:rsidRDefault="00DF27E0" w:rsidP="003F26DD">
      <w:pPr>
        <w:pStyle w:val="TOC2"/>
        <w:tabs>
          <w:tab w:val="clear" w:pos="7830"/>
          <w:tab w:val="left" w:pos="1134"/>
          <w:tab w:val="right" w:leader="dot" w:pos="7655"/>
        </w:tabs>
        <w:rPr>
          <w:rFonts w:asciiTheme="minorHAnsi" w:eastAsiaTheme="minorEastAsia" w:hAnsiTheme="minorHAnsi" w:cstheme="minorBidi"/>
          <w:noProof/>
          <w:sz w:val="22"/>
          <w:szCs w:val="22"/>
          <w:lang w:eastAsia="en-AU"/>
        </w:rPr>
      </w:pPr>
      <w:hyperlink w:anchor="_Toc436138909" w:history="1">
        <w:r w:rsidR="00965D85" w:rsidRPr="00DF4F77">
          <w:rPr>
            <w:rStyle w:val="Hyperlink"/>
            <w:noProof/>
            <w:lang w:eastAsia="en-AU"/>
          </w:rPr>
          <w:t xml:space="preserve">Note 3: </w:t>
        </w:r>
        <w:r w:rsidR="00965D85">
          <w:rPr>
            <w:rFonts w:asciiTheme="minorHAnsi" w:eastAsiaTheme="minorEastAsia" w:hAnsiTheme="minorHAnsi" w:cstheme="minorBidi"/>
            <w:noProof/>
            <w:sz w:val="22"/>
            <w:szCs w:val="22"/>
            <w:lang w:eastAsia="en-AU"/>
          </w:rPr>
          <w:tab/>
        </w:r>
        <w:r w:rsidR="00965D85" w:rsidRPr="00DF4F77">
          <w:rPr>
            <w:rStyle w:val="Hyperlink"/>
            <w:noProof/>
            <w:lang w:eastAsia="en-AU"/>
          </w:rPr>
          <w:t>Dividends and income tax equivalent and rate equivalent revenue</w:t>
        </w:r>
        <w:r w:rsidR="00965D85">
          <w:rPr>
            <w:noProof/>
            <w:webHidden/>
          </w:rPr>
          <w:tab/>
        </w:r>
        <w:r w:rsidR="00965D85">
          <w:rPr>
            <w:noProof/>
            <w:webHidden/>
          </w:rPr>
          <w:fldChar w:fldCharType="begin"/>
        </w:r>
        <w:r w:rsidR="00965D85">
          <w:rPr>
            <w:noProof/>
            <w:webHidden/>
          </w:rPr>
          <w:instrText xml:space="preserve"> PAGEREF _Toc436138909 \h </w:instrText>
        </w:r>
        <w:r w:rsidR="00965D85">
          <w:rPr>
            <w:noProof/>
            <w:webHidden/>
          </w:rPr>
        </w:r>
        <w:r w:rsidR="00965D85">
          <w:rPr>
            <w:noProof/>
            <w:webHidden/>
          </w:rPr>
          <w:fldChar w:fldCharType="separate"/>
        </w:r>
        <w:r w:rsidR="009B0AC6">
          <w:rPr>
            <w:noProof/>
            <w:webHidden/>
          </w:rPr>
          <w:t>44</w:t>
        </w:r>
        <w:r w:rsidR="00965D85">
          <w:rPr>
            <w:noProof/>
            <w:webHidden/>
          </w:rPr>
          <w:fldChar w:fldCharType="end"/>
        </w:r>
      </w:hyperlink>
    </w:p>
    <w:p w:rsidR="00965D85" w:rsidRDefault="00DF27E0" w:rsidP="003F26DD">
      <w:pPr>
        <w:pStyle w:val="TOC2"/>
        <w:tabs>
          <w:tab w:val="clear" w:pos="7830"/>
          <w:tab w:val="left" w:pos="1134"/>
          <w:tab w:val="right" w:leader="dot" w:pos="7655"/>
        </w:tabs>
        <w:rPr>
          <w:rFonts w:asciiTheme="minorHAnsi" w:eastAsiaTheme="minorEastAsia" w:hAnsiTheme="minorHAnsi" w:cstheme="minorBidi"/>
          <w:noProof/>
          <w:sz w:val="22"/>
          <w:szCs w:val="22"/>
          <w:lang w:eastAsia="en-AU"/>
        </w:rPr>
      </w:pPr>
      <w:hyperlink w:anchor="_Toc436138910" w:history="1">
        <w:r w:rsidR="00965D85" w:rsidRPr="00DF4F77">
          <w:rPr>
            <w:rStyle w:val="Hyperlink"/>
            <w:noProof/>
            <w:lang w:eastAsia="en-AU"/>
          </w:rPr>
          <w:t xml:space="preserve">Note 4: </w:t>
        </w:r>
        <w:r w:rsidR="00965D85">
          <w:rPr>
            <w:rFonts w:asciiTheme="minorHAnsi" w:eastAsiaTheme="minorEastAsia" w:hAnsiTheme="minorHAnsi" w:cstheme="minorBidi"/>
            <w:noProof/>
            <w:sz w:val="22"/>
            <w:szCs w:val="22"/>
            <w:lang w:eastAsia="en-AU"/>
          </w:rPr>
          <w:tab/>
        </w:r>
        <w:r w:rsidR="00965D85" w:rsidRPr="00DF4F77">
          <w:rPr>
            <w:rStyle w:val="Hyperlink"/>
            <w:noProof/>
            <w:lang w:eastAsia="en-AU"/>
          </w:rPr>
          <w:t>Sales of goods and services</w:t>
        </w:r>
        <w:r w:rsidR="00965D85">
          <w:rPr>
            <w:noProof/>
            <w:webHidden/>
          </w:rPr>
          <w:tab/>
        </w:r>
        <w:r w:rsidR="00965D85">
          <w:rPr>
            <w:noProof/>
            <w:webHidden/>
          </w:rPr>
          <w:fldChar w:fldCharType="begin"/>
        </w:r>
        <w:r w:rsidR="00965D85">
          <w:rPr>
            <w:noProof/>
            <w:webHidden/>
          </w:rPr>
          <w:instrText xml:space="preserve"> PAGEREF _Toc436138910 \h </w:instrText>
        </w:r>
        <w:r w:rsidR="00965D85">
          <w:rPr>
            <w:noProof/>
            <w:webHidden/>
          </w:rPr>
        </w:r>
        <w:r w:rsidR="00965D85">
          <w:rPr>
            <w:noProof/>
            <w:webHidden/>
          </w:rPr>
          <w:fldChar w:fldCharType="separate"/>
        </w:r>
        <w:r w:rsidR="009B0AC6">
          <w:rPr>
            <w:noProof/>
            <w:webHidden/>
          </w:rPr>
          <w:t>45</w:t>
        </w:r>
        <w:r w:rsidR="00965D85">
          <w:rPr>
            <w:noProof/>
            <w:webHidden/>
          </w:rPr>
          <w:fldChar w:fldCharType="end"/>
        </w:r>
      </w:hyperlink>
    </w:p>
    <w:p w:rsidR="00965D85" w:rsidRDefault="00DF27E0" w:rsidP="003F26DD">
      <w:pPr>
        <w:pStyle w:val="TOC2"/>
        <w:tabs>
          <w:tab w:val="clear" w:pos="7830"/>
          <w:tab w:val="left" w:pos="1134"/>
          <w:tab w:val="right" w:leader="dot" w:pos="7655"/>
        </w:tabs>
        <w:rPr>
          <w:rFonts w:asciiTheme="minorHAnsi" w:eastAsiaTheme="minorEastAsia" w:hAnsiTheme="minorHAnsi" w:cstheme="minorBidi"/>
          <w:noProof/>
          <w:sz w:val="22"/>
          <w:szCs w:val="22"/>
          <w:lang w:eastAsia="en-AU"/>
        </w:rPr>
      </w:pPr>
      <w:hyperlink w:anchor="_Toc436138911" w:history="1">
        <w:r w:rsidR="00965D85" w:rsidRPr="00DF4F77">
          <w:rPr>
            <w:rStyle w:val="Hyperlink"/>
            <w:noProof/>
            <w:lang w:eastAsia="en-AU"/>
          </w:rPr>
          <w:t xml:space="preserve">Note 5: </w:t>
        </w:r>
        <w:r w:rsidR="00965D85">
          <w:rPr>
            <w:rFonts w:asciiTheme="minorHAnsi" w:eastAsiaTheme="minorEastAsia" w:hAnsiTheme="minorHAnsi" w:cstheme="minorBidi"/>
            <w:noProof/>
            <w:sz w:val="22"/>
            <w:szCs w:val="22"/>
            <w:lang w:eastAsia="en-AU"/>
          </w:rPr>
          <w:tab/>
        </w:r>
        <w:r w:rsidR="00965D85" w:rsidRPr="00DF4F77">
          <w:rPr>
            <w:rStyle w:val="Hyperlink"/>
            <w:noProof/>
            <w:lang w:eastAsia="en-AU"/>
          </w:rPr>
          <w:t>Grant revenue</w:t>
        </w:r>
        <w:r w:rsidR="00965D85">
          <w:rPr>
            <w:noProof/>
            <w:webHidden/>
          </w:rPr>
          <w:tab/>
        </w:r>
        <w:r w:rsidR="00965D85">
          <w:rPr>
            <w:noProof/>
            <w:webHidden/>
          </w:rPr>
          <w:fldChar w:fldCharType="begin"/>
        </w:r>
        <w:r w:rsidR="00965D85">
          <w:rPr>
            <w:noProof/>
            <w:webHidden/>
          </w:rPr>
          <w:instrText xml:space="preserve"> PAGEREF _Toc436138911 \h </w:instrText>
        </w:r>
        <w:r w:rsidR="00965D85">
          <w:rPr>
            <w:noProof/>
            <w:webHidden/>
          </w:rPr>
        </w:r>
        <w:r w:rsidR="00965D85">
          <w:rPr>
            <w:noProof/>
            <w:webHidden/>
          </w:rPr>
          <w:fldChar w:fldCharType="separate"/>
        </w:r>
        <w:r w:rsidR="009B0AC6">
          <w:rPr>
            <w:noProof/>
            <w:webHidden/>
          </w:rPr>
          <w:t>45</w:t>
        </w:r>
        <w:r w:rsidR="00965D85">
          <w:rPr>
            <w:noProof/>
            <w:webHidden/>
          </w:rPr>
          <w:fldChar w:fldCharType="end"/>
        </w:r>
      </w:hyperlink>
    </w:p>
    <w:p w:rsidR="00965D85" w:rsidRDefault="00DF27E0" w:rsidP="003F26DD">
      <w:pPr>
        <w:pStyle w:val="TOC2"/>
        <w:tabs>
          <w:tab w:val="clear" w:pos="7830"/>
          <w:tab w:val="left" w:pos="1134"/>
          <w:tab w:val="right" w:leader="dot" w:pos="7655"/>
        </w:tabs>
        <w:rPr>
          <w:rFonts w:asciiTheme="minorHAnsi" w:eastAsiaTheme="minorEastAsia" w:hAnsiTheme="minorHAnsi" w:cstheme="minorBidi"/>
          <w:noProof/>
          <w:sz w:val="22"/>
          <w:szCs w:val="22"/>
          <w:lang w:eastAsia="en-AU"/>
        </w:rPr>
      </w:pPr>
      <w:hyperlink w:anchor="_Toc436138912" w:history="1">
        <w:r w:rsidR="00965D85" w:rsidRPr="00DF4F77">
          <w:rPr>
            <w:rStyle w:val="Hyperlink"/>
            <w:noProof/>
            <w:lang w:eastAsia="en-AU"/>
          </w:rPr>
          <w:t xml:space="preserve">Note 6: </w:t>
        </w:r>
        <w:r w:rsidR="00965D85">
          <w:rPr>
            <w:rFonts w:asciiTheme="minorHAnsi" w:eastAsiaTheme="minorEastAsia" w:hAnsiTheme="minorHAnsi" w:cstheme="minorBidi"/>
            <w:noProof/>
            <w:sz w:val="22"/>
            <w:szCs w:val="22"/>
            <w:lang w:eastAsia="en-AU"/>
          </w:rPr>
          <w:tab/>
        </w:r>
        <w:r w:rsidR="00965D85" w:rsidRPr="00DF4F77">
          <w:rPr>
            <w:rStyle w:val="Hyperlink"/>
            <w:noProof/>
            <w:lang w:eastAsia="en-AU"/>
          </w:rPr>
          <w:t>Other revenue</w:t>
        </w:r>
        <w:r w:rsidR="00965D85">
          <w:rPr>
            <w:noProof/>
            <w:webHidden/>
          </w:rPr>
          <w:tab/>
        </w:r>
        <w:r w:rsidR="00965D85">
          <w:rPr>
            <w:noProof/>
            <w:webHidden/>
          </w:rPr>
          <w:fldChar w:fldCharType="begin"/>
        </w:r>
        <w:r w:rsidR="00965D85">
          <w:rPr>
            <w:noProof/>
            <w:webHidden/>
          </w:rPr>
          <w:instrText xml:space="preserve"> PAGEREF _Toc436138912 \h </w:instrText>
        </w:r>
        <w:r w:rsidR="00965D85">
          <w:rPr>
            <w:noProof/>
            <w:webHidden/>
          </w:rPr>
        </w:r>
        <w:r w:rsidR="00965D85">
          <w:rPr>
            <w:noProof/>
            <w:webHidden/>
          </w:rPr>
          <w:fldChar w:fldCharType="separate"/>
        </w:r>
        <w:r w:rsidR="009B0AC6">
          <w:rPr>
            <w:noProof/>
            <w:webHidden/>
          </w:rPr>
          <w:t>45</w:t>
        </w:r>
        <w:r w:rsidR="00965D85">
          <w:rPr>
            <w:noProof/>
            <w:webHidden/>
          </w:rPr>
          <w:fldChar w:fldCharType="end"/>
        </w:r>
      </w:hyperlink>
    </w:p>
    <w:p w:rsidR="00965D85" w:rsidRDefault="00DF27E0" w:rsidP="003F26DD">
      <w:pPr>
        <w:pStyle w:val="TOC2"/>
        <w:tabs>
          <w:tab w:val="clear" w:pos="7830"/>
          <w:tab w:val="left" w:pos="1134"/>
          <w:tab w:val="right" w:leader="dot" w:pos="7655"/>
        </w:tabs>
        <w:rPr>
          <w:rFonts w:asciiTheme="minorHAnsi" w:eastAsiaTheme="minorEastAsia" w:hAnsiTheme="minorHAnsi" w:cstheme="minorBidi"/>
          <w:noProof/>
          <w:sz w:val="22"/>
          <w:szCs w:val="22"/>
          <w:lang w:eastAsia="en-AU"/>
        </w:rPr>
      </w:pPr>
      <w:hyperlink w:anchor="_Toc436138913" w:history="1">
        <w:r w:rsidR="00965D85" w:rsidRPr="00DF4F77">
          <w:rPr>
            <w:rStyle w:val="Hyperlink"/>
            <w:noProof/>
            <w:lang w:eastAsia="en-AU"/>
          </w:rPr>
          <w:t>Note 7:</w:t>
        </w:r>
        <w:r w:rsidR="00965D85">
          <w:rPr>
            <w:rFonts w:asciiTheme="minorHAnsi" w:eastAsiaTheme="minorEastAsia" w:hAnsiTheme="minorHAnsi" w:cstheme="minorBidi"/>
            <w:noProof/>
            <w:sz w:val="22"/>
            <w:szCs w:val="22"/>
            <w:lang w:eastAsia="en-AU"/>
          </w:rPr>
          <w:tab/>
        </w:r>
        <w:r w:rsidR="00965D85" w:rsidRPr="00DF4F77">
          <w:rPr>
            <w:rStyle w:val="Hyperlink"/>
            <w:noProof/>
            <w:lang w:eastAsia="en-AU"/>
          </w:rPr>
          <w:t>Superannuation</w:t>
        </w:r>
        <w:r w:rsidR="00965D85">
          <w:rPr>
            <w:noProof/>
            <w:webHidden/>
          </w:rPr>
          <w:tab/>
        </w:r>
        <w:r w:rsidR="00965D85">
          <w:rPr>
            <w:noProof/>
            <w:webHidden/>
          </w:rPr>
          <w:fldChar w:fldCharType="begin"/>
        </w:r>
        <w:r w:rsidR="00965D85">
          <w:rPr>
            <w:noProof/>
            <w:webHidden/>
          </w:rPr>
          <w:instrText xml:space="preserve"> PAGEREF _Toc436138913 \h </w:instrText>
        </w:r>
        <w:r w:rsidR="00965D85">
          <w:rPr>
            <w:noProof/>
            <w:webHidden/>
          </w:rPr>
        </w:r>
        <w:r w:rsidR="00965D85">
          <w:rPr>
            <w:noProof/>
            <w:webHidden/>
          </w:rPr>
          <w:fldChar w:fldCharType="separate"/>
        </w:r>
        <w:r w:rsidR="009B0AC6">
          <w:rPr>
            <w:noProof/>
            <w:webHidden/>
          </w:rPr>
          <w:t>46</w:t>
        </w:r>
        <w:r w:rsidR="00965D85">
          <w:rPr>
            <w:noProof/>
            <w:webHidden/>
          </w:rPr>
          <w:fldChar w:fldCharType="end"/>
        </w:r>
      </w:hyperlink>
    </w:p>
    <w:p w:rsidR="00965D85" w:rsidRDefault="00DF27E0" w:rsidP="003F26DD">
      <w:pPr>
        <w:pStyle w:val="TOC2"/>
        <w:tabs>
          <w:tab w:val="clear" w:pos="7830"/>
          <w:tab w:val="left" w:pos="1134"/>
          <w:tab w:val="right" w:leader="dot" w:pos="7655"/>
        </w:tabs>
        <w:rPr>
          <w:rFonts w:asciiTheme="minorHAnsi" w:eastAsiaTheme="minorEastAsia" w:hAnsiTheme="minorHAnsi" w:cstheme="minorBidi"/>
          <w:noProof/>
          <w:sz w:val="22"/>
          <w:szCs w:val="22"/>
          <w:lang w:eastAsia="en-AU"/>
        </w:rPr>
      </w:pPr>
      <w:hyperlink w:anchor="_Toc436138914" w:history="1">
        <w:r w:rsidR="00965D85" w:rsidRPr="00DF4F77">
          <w:rPr>
            <w:rStyle w:val="Hyperlink"/>
            <w:noProof/>
          </w:rPr>
          <w:t xml:space="preserve">Note 8: </w:t>
        </w:r>
        <w:r w:rsidR="00965D85">
          <w:rPr>
            <w:rFonts w:asciiTheme="minorHAnsi" w:eastAsiaTheme="minorEastAsia" w:hAnsiTheme="minorHAnsi" w:cstheme="minorBidi"/>
            <w:noProof/>
            <w:sz w:val="22"/>
            <w:szCs w:val="22"/>
            <w:lang w:eastAsia="en-AU"/>
          </w:rPr>
          <w:tab/>
        </w:r>
        <w:r w:rsidR="00965D85" w:rsidRPr="00DF4F77">
          <w:rPr>
            <w:rStyle w:val="Hyperlink"/>
            <w:noProof/>
          </w:rPr>
          <w:t>Depreciation</w:t>
        </w:r>
        <w:r w:rsidR="00965D85">
          <w:rPr>
            <w:noProof/>
            <w:webHidden/>
          </w:rPr>
          <w:tab/>
        </w:r>
        <w:r w:rsidR="00965D85">
          <w:rPr>
            <w:noProof/>
            <w:webHidden/>
          </w:rPr>
          <w:fldChar w:fldCharType="begin"/>
        </w:r>
        <w:r w:rsidR="00965D85">
          <w:rPr>
            <w:noProof/>
            <w:webHidden/>
          </w:rPr>
          <w:instrText xml:space="preserve"> PAGEREF _Toc436138914 \h </w:instrText>
        </w:r>
        <w:r w:rsidR="00965D85">
          <w:rPr>
            <w:noProof/>
            <w:webHidden/>
          </w:rPr>
        </w:r>
        <w:r w:rsidR="00965D85">
          <w:rPr>
            <w:noProof/>
            <w:webHidden/>
          </w:rPr>
          <w:fldChar w:fldCharType="separate"/>
        </w:r>
        <w:r w:rsidR="009B0AC6">
          <w:rPr>
            <w:noProof/>
            <w:webHidden/>
          </w:rPr>
          <w:t>48</w:t>
        </w:r>
        <w:r w:rsidR="00965D85">
          <w:rPr>
            <w:noProof/>
            <w:webHidden/>
          </w:rPr>
          <w:fldChar w:fldCharType="end"/>
        </w:r>
      </w:hyperlink>
    </w:p>
    <w:p w:rsidR="00965D85" w:rsidRDefault="00DF27E0" w:rsidP="003F26DD">
      <w:pPr>
        <w:pStyle w:val="TOC2"/>
        <w:tabs>
          <w:tab w:val="clear" w:pos="7830"/>
          <w:tab w:val="left" w:pos="1134"/>
          <w:tab w:val="right" w:leader="dot" w:pos="7655"/>
        </w:tabs>
        <w:rPr>
          <w:rFonts w:asciiTheme="minorHAnsi" w:eastAsiaTheme="minorEastAsia" w:hAnsiTheme="minorHAnsi" w:cstheme="minorBidi"/>
          <w:noProof/>
          <w:sz w:val="22"/>
          <w:szCs w:val="22"/>
          <w:lang w:eastAsia="en-AU"/>
        </w:rPr>
      </w:pPr>
      <w:hyperlink w:anchor="_Toc436138915" w:history="1">
        <w:r w:rsidR="00965D85" w:rsidRPr="00DF4F77">
          <w:rPr>
            <w:rStyle w:val="Hyperlink"/>
            <w:noProof/>
            <w:lang w:eastAsia="en-AU"/>
          </w:rPr>
          <w:t xml:space="preserve">Note 9: </w:t>
        </w:r>
        <w:r w:rsidR="00965D85">
          <w:rPr>
            <w:rFonts w:asciiTheme="minorHAnsi" w:eastAsiaTheme="minorEastAsia" w:hAnsiTheme="minorHAnsi" w:cstheme="minorBidi"/>
            <w:noProof/>
            <w:sz w:val="22"/>
            <w:szCs w:val="22"/>
            <w:lang w:eastAsia="en-AU"/>
          </w:rPr>
          <w:tab/>
        </w:r>
        <w:r w:rsidR="00965D85" w:rsidRPr="00DF4F77">
          <w:rPr>
            <w:rStyle w:val="Hyperlink"/>
            <w:noProof/>
            <w:lang w:eastAsia="en-AU"/>
          </w:rPr>
          <w:t>Interest expense</w:t>
        </w:r>
        <w:r w:rsidR="00965D85">
          <w:rPr>
            <w:noProof/>
            <w:webHidden/>
          </w:rPr>
          <w:tab/>
        </w:r>
        <w:r w:rsidR="00965D85">
          <w:rPr>
            <w:noProof/>
            <w:webHidden/>
          </w:rPr>
          <w:fldChar w:fldCharType="begin"/>
        </w:r>
        <w:r w:rsidR="00965D85">
          <w:rPr>
            <w:noProof/>
            <w:webHidden/>
          </w:rPr>
          <w:instrText xml:space="preserve"> PAGEREF _Toc436138915 \h </w:instrText>
        </w:r>
        <w:r w:rsidR="00965D85">
          <w:rPr>
            <w:noProof/>
            <w:webHidden/>
          </w:rPr>
        </w:r>
        <w:r w:rsidR="00965D85">
          <w:rPr>
            <w:noProof/>
            <w:webHidden/>
          </w:rPr>
          <w:fldChar w:fldCharType="separate"/>
        </w:r>
        <w:r w:rsidR="009B0AC6">
          <w:rPr>
            <w:noProof/>
            <w:webHidden/>
          </w:rPr>
          <w:t>49</w:t>
        </w:r>
        <w:r w:rsidR="00965D85">
          <w:rPr>
            <w:noProof/>
            <w:webHidden/>
          </w:rPr>
          <w:fldChar w:fldCharType="end"/>
        </w:r>
      </w:hyperlink>
    </w:p>
    <w:p w:rsidR="00965D85" w:rsidRDefault="00DF27E0" w:rsidP="003F26DD">
      <w:pPr>
        <w:pStyle w:val="TOC2"/>
        <w:tabs>
          <w:tab w:val="clear" w:pos="7830"/>
          <w:tab w:val="left" w:pos="1134"/>
          <w:tab w:val="right" w:leader="dot" w:pos="7655"/>
        </w:tabs>
        <w:rPr>
          <w:rFonts w:asciiTheme="minorHAnsi" w:eastAsiaTheme="minorEastAsia" w:hAnsiTheme="minorHAnsi" w:cstheme="minorBidi"/>
          <w:noProof/>
          <w:sz w:val="22"/>
          <w:szCs w:val="22"/>
          <w:lang w:eastAsia="en-AU"/>
        </w:rPr>
      </w:pPr>
      <w:hyperlink w:anchor="_Toc436138916" w:history="1">
        <w:r w:rsidR="00965D85" w:rsidRPr="00DF4F77">
          <w:rPr>
            <w:rStyle w:val="Hyperlink"/>
            <w:noProof/>
            <w:lang w:eastAsia="en-AU"/>
          </w:rPr>
          <w:t xml:space="preserve">Note 10: </w:t>
        </w:r>
        <w:r w:rsidR="00965D85">
          <w:rPr>
            <w:rFonts w:asciiTheme="minorHAnsi" w:eastAsiaTheme="minorEastAsia" w:hAnsiTheme="minorHAnsi" w:cstheme="minorBidi"/>
            <w:noProof/>
            <w:sz w:val="22"/>
            <w:szCs w:val="22"/>
            <w:lang w:eastAsia="en-AU"/>
          </w:rPr>
          <w:tab/>
        </w:r>
        <w:r w:rsidR="00965D85" w:rsidRPr="00DF4F77">
          <w:rPr>
            <w:rStyle w:val="Hyperlink"/>
            <w:noProof/>
            <w:lang w:eastAsia="en-AU"/>
          </w:rPr>
          <w:t>Grant expense</w:t>
        </w:r>
        <w:r w:rsidR="00965D85">
          <w:rPr>
            <w:noProof/>
            <w:webHidden/>
          </w:rPr>
          <w:tab/>
        </w:r>
        <w:r w:rsidR="00965D85">
          <w:rPr>
            <w:noProof/>
            <w:webHidden/>
          </w:rPr>
          <w:fldChar w:fldCharType="begin"/>
        </w:r>
        <w:r w:rsidR="00965D85">
          <w:rPr>
            <w:noProof/>
            <w:webHidden/>
          </w:rPr>
          <w:instrText xml:space="preserve"> PAGEREF _Toc436138916 \h </w:instrText>
        </w:r>
        <w:r w:rsidR="00965D85">
          <w:rPr>
            <w:noProof/>
            <w:webHidden/>
          </w:rPr>
        </w:r>
        <w:r w:rsidR="00965D85">
          <w:rPr>
            <w:noProof/>
            <w:webHidden/>
          </w:rPr>
          <w:fldChar w:fldCharType="separate"/>
        </w:r>
        <w:r w:rsidR="009B0AC6">
          <w:rPr>
            <w:noProof/>
            <w:webHidden/>
          </w:rPr>
          <w:t>49</w:t>
        </w:r>
        <w:r w:rsidR="00965D85">
          <w:rPr>
            <w:noProof/>
            <w:webHidden/>
          </w:rPr>
          <w:fldChar w:fldCharType="end"/>
        </w:r>
      </w:hyperlink>
    </w:p>
    <w:p w:rsidR="00965D85" w:rsidRDefault="00DF27E0" w:rsidP="003F26DD">
      <w:pPr>
        <w:pStyle w:val="TOC2"/>
        <w:tabs>
          <w:tab w:val="clear" w:pos="7830"/>
          <w:tab w:val="left" w:pos="1134"/>
          <w:tab w:val="right" w:leader="dot" w:pos="7655"/>
        </w:tabs>
        <w:rPr>
          <w:rFonts w:asciiTheme="minorHAnsi" w:eastAsiaTheme="minorEastAsia" w:hAnsiTheme="minorHAnsi" w:cstheme="minorBidi"/>
          <w:noProof/>
          <w:sz w:val="22"/>
          <w:szCs w:val="22"/>
          <w:lang w:eastAsia="en-AU"/>
        </w:rPr>
      </w:pPr>
      <w:hyperlink w:anchor="_Toc436138917" w:history="1">
        <w:r w:rsidR="00965D85" w:rsidRPr="00DF4F77">
          <w:rPr>
            <w:rStyle w:val="Hyperlink"/>
            <w:noProof/>
            <w:lang w:eastAsia="en-AU"/>
          </w:rPr>
          <w:t xml:space="preserve">Note 11: </w:t>
        </w:r>
        <w:r w:rsidR="00965D85">
          <w:rPr>
            <w:rFonts w:asciiTheme="minorHAnsi" w:eastAsiaTheme="minorEastAsia" w:hAnsiTheme="minorHAnsi" w:cstheme="minorBidi"/>
            <w:noProof/>
            <w:sz w:val="22"/>
            <w:szCs w:val="22"/>
            <w:lang w:eastAsia="en-AU"/>
          </w:rPr>
          <w:tab/>
        </w:r>
        <w:r w:rsidR="00965D85" w:rsidRPr="00DF4F77">
          <w:rPr>
            <w:rStyle w:val="Hyperlink"/>
            <w:noProof/>
            <w:lang w:eastAsia="en-AU"/>
          </w:rPr>
          <w:t>Other operating expenses</w:t>
        </w:r>
        <w:r w:rsidR="00965D85">
          <w:rPr>
            <w:noProof/>
            <w:webHidden/>
          </w:rPr>
          <w:tab/>
        </w:r>
        <w:r w:rsidR="00965D85">
          <w:rPr>
            <w:noProof/>
            <w:webHidden/>
          </w:rPr>
          <w:fldChar w:fldCharType="begin"/>
        </w:r>
        <w:r w:rsidR="00965D85">
          <w:rPr>
            <w:noProof/>
            <w:webHidden/>
          </w:rPr>
          <w:instrText xml:space="preserve"> PAGEREF _Toc436138917 \h </w:instrText>
        </w:r>
        <w:r w:rsidR="00965D85">
          <w:rPr>
            <w:noProof/>
            <w:webHidden/>
          </w:rPr>
        </w:r>
        <w:r w:rsidR="00965D85">
          <w:rPr>
            <w:noProof/>
            <w:webHidden/>
          </w:rPr>
          <w:fldChar w:fldCharType="separate"/>
        </w:r>
        <w:r w:rsidR="009B0AC6">
          <w:rPr>
            <w:noProof/>
            <w:webHidden/>
          </w:rPr>
          <w:t>50</w:t>
        </w:r>
        <w:r w:rsidR="00965D85">
          <w:rPr>
            <w:noProof/>
            <w:webHidden/>
          </w:rPr>
          <w:fldChar w:fldCharType="end"/>
        </w:r>
      </w:hyperlink>
    </w:p>
    <w:p w:rsidR="00965D85" w:rsidRDefault="00DF27E0" w:rsidP="003F26DD">
      <w:pPr>
        <w:pStyle w:val="TOC2"/>
        <w:tabs>
          <w:tab w:val="clear" w:pos="7830"/>
          <w:tab w:val="left" w:pos="1134"/>
          <w:tab w:val="right" w:leader="dot" w:pos="7655"/>
        </w:tabs>
        <w:rPr>
          <w:rFonts w:asciiTheme="minorHAnsi" w:eastAsiaTheme="minorEastAsia" w:hAnsiTheme="minorHAnsi" w:cstheme="minorBidi"/>
          <w:noProof/>
          <w:sz w:val="22"/>
          <w:szCs w:val="22"/>
          <w:lang w:eastAsia="en-AU"/>
        </w:rPr>
      </w:pPr>
      <w:hyperlink w:anchor="_Toc436138918" w:history="1">
        <w:r w:rsidR="00965D85" w:rsidRPr="00DF4F77">
          <w:rPr>
            <w:rStyle w:val="Hyperlink"/>
            <w:noProof/>
            <w:lang w:eastAsia="en-AU"/>
          </w:rPr>
          <w:t>Note 12:</w:t>
        </w:r>
        <w:r w:rsidR="00965D85">
          <w:rPr>
            <w:rFonts w:asciiTheme="minorHAnsi" w:eastAsiaTheme="minorEastAsia" w:hAnsiTheme="minorHAnsi" w:cstheme="minorBidi"/>
            <w:noProof/>
            <w:sz w:val="22"/>
            <w:szCs w:val="22"/>
            <w:lang w:eastAsia="en-AU"/>
          </w:rPr>
          <w:tab/>
        </w:r>
        <w:r w:rsidR="00965D85" w:rsidRPr="00DF4F77">
          <w:rPr>
            <w:rStyle w:val="Hyperlink"/>
            <w:noProof/>
            <w:lang w:eastAsia="en-AU"/>
          </w:rPr>
          <w:t>Total expenses by government purpose and by department</w:t>
        </w:r>
        <w:r w:rsidR="00965D85">
          <w:rPr>
            <w:noProof/>
            <w:webHidden/>
          </w:rPr>
          <w:tab/>
        </w:r>
        <w:r w:rsidR="00965D85">
          <w:rPr>
            <w:noProof/>
            <w:webHidden/>
          </w:rPr>
          <w:fldChar w:fldCharType="begin"/>
        </w:r>
        <w:r w:rsidR="00965D85">
          <w:rPr>
            <w:noProof/>
            <w:webHidden/>
          </w:rPr>
          <w:instrText xml:space="preserve"> PAGEREF _Toc436138918 \h </w:instrText>
        </w:r>
        <w:r w:rsidR="00965D85">
          <w:rPr>
            <w:noProof/>
            <w:webHidden/>
          </w:rPr>
        </w:r>
        <w:r w:rsidR="00965D85">
          <w:rPr>
            <w:noProof/>
            <w:webHidden/>
          </w:rPr>
          <w:fldChar w:fldCharType="separate"/>
        </w:r>
        <w:r w:rsidR="009B0AC6">
          <w:rPr>
            <w:noProof/>
            <w:webHidden/>
          </w:rPr>
          <w:t>50</w:t>
        </w:r>
        <w:r w:rsidR="00965D85">
          <w:rPr>
            <w:noProof/>
            <w:webHidden/>
          </w:rPr>
          <w:fldChar w:fldCharType="end"/>
        </w:r>
      </w:hyperlink>
    </w:p>
    <w:p w:rsidR="00965D85" w:rsidRDefault="00DF27E0" w:rsidP="003F26DD">
      <w:pPr>
        <w:pStyle w:val="TOC2"/>
        <w:tabs>
          <w:tab w:val="clear" w:pos="7830"/>
          <w:tab w:val="left" w:pos="1134"/>
          <w:tab w:val="right" w:leader="dot" w:pos="7655"/>
        </w:tabs>
        <w:rPr>
          <w:rFonts w:asciiTheme="minorHAnsi" w:eastAsiaTheme="minorEastAsia" w:hAnsiTheme="minorHAnsi" w:cstheme="minorBidi"/>
          <w:noProof/>
          <w:sz w:val="22"/>
          <w:szCs w:val="22"/>
          <w:lang w:eastAsia="en-AU"/>
        </w:rPr>
      </w:pPr>
      <w:hyperlink w:anchor="_Toc436138919" w:history="1">
        <w:r w:rsidR="00965D85" w:rsidRPr="00DF4F77">
          <w:rPr>
            <w:rStyle w:val="Hyperlink"/>
            <w:noProof/>
            <w:lang w:eastAsia="en-AU"/>
          </w:rPr>
          <w:t xml:space="preserve">Note 13: </w:t>
        </w:r>
        <w:r w:rsidR="00965D85">
          <w:rPr>
            <w:rFonts w:asciiTheme="minorHAnsi" w:eastAsiaTheme="minorEastAsia" w:hAnsiTheme="minorHAnsi" w:cstheme="minorBidi"/>
            <w:noProof/>
            <w:sz w:val="22"/>
            <w:szCs w:val="22"/>
            <w:lang w:eastAsia="en-AU"/>
          </w:rPr>
          <w:tab/>
        </w:r>
        <w:r w:rsidR="00965D85" w:rsidRPr="00DF4F77">
          <w:rPr>
            <w:rStyle w:val="Hyperlink"/>
            <w:noProof/>
            <w:lang w:eastAsia="en-AU"/>
          </w:rPr>
          <w:t>Other gains/(losses) from other economic flows</w:t>
        </w:r>
        <w:r w:rsidR="00965D85">
          <w:rPr>
            <w:noProof/>
            <w:webHidden/>
          </w:rPr>
          <w:tab/>
        </w:r>
        <w:r w:rsidR="00965D85">
          <w:rPr>
            <w:noProof/>
            <w:webHidden/>
          </w:rPr>
          <w:fldChar w:fldCharType="begin"/>
        </w:r>
        <w:r w:rsidR="00965D85">
          <w:rPr>
            <w:noProof/>
            <w:webHidden/>
          </w:rPr>
          <w:instrText xml:space="preserve"> PAGEREF _Toc436138919 \h </w:instrText>
        </w:r>
        <w:r w:rsidR="00965D85">
          <w:rPr>
            <w:noProof/>
            <w:webHidden/>
          </w:rPr>
        </w:r>
        <w:r w:rsidR="00965D85">
          <w:rPr>
            <w:noProof/>
            <w:webHidden/>
          </w:rPr>
          <w:fldChar w:fldCharType="separate"/>
        </w:r>
        <w:r w:rsidR="009B0AC6">
          <w:rPr>
            <w:noProof/>
            <w:webHidden/>
          </w:rPr>
          <w:t>52</w:t>
        </w:r>
        <w:r w:rsidR="00965D85">
          <w:rPr>
            <w:noProof/>
            <w:webHidden/>
          </w:rPr>
          <w:fldChar w:fldCharType="end"/>
        </w:r>
      </w:hyperlink>
    </w:p>
    <w:p w:rsidR="00965D85" w:rsidRDefault="00DF27E0" w:rsidP="003F26DD">
      <w:pPr>
        <w:pStyle w:val="TOC2"/>
        <w:tabs>
          <w:tab w:val="clear" w:pos="7830"/>
          <w:tab w:val="left" w:pos="1134"/>
          <w:tab w:val="right" w:leader="dot" w:pos="7655"/>
        </w:tabs>
        <w:rPr>
          <w:rFonts w:asciiTheme="minorHAnsi" w:eastAsiaTheme="minorEastAsia" w:hAnsiTheme="minorHAnsi" w:cstheme="minorBidi"/>
          <w:noProof/>
          <w:sz w:val="22"/>
          <w:szCs w:val="22"/>
          <w:lang w:eastAsia="en-AU"/>
        </w:rPr>
      </w:pPr>
      <w:hyperlink w:anchor="_Toc436138920" w:history="1">
        <w:r w:rsidR="00965D85" w:rsidRPr="00DF4F77">
          <w:rPr>
            <w:rStyle w:val="Hyperlink"/>
            <w:noProof/>
            <w:lang w:eastAsia="en-AU"/>
          </w:rPr>
          <w:t xml:space="preserve">Note 14: </w:t>
        </w:r>
        <w:r w:rsidR="00965D85">
          <w:rPr>
            <w:rFonts w:asciiTheme="minorHAnsi" w:eastAsiaTheme="minorEastAsia" w:hAnsiTheme="minorHAnsi" w:cstheme="minorBidi"/>
            <w:noProof/>
            <w:sz w:val="22"/>
            <w:szCs w:val="22"/>
            <w:lang w:eastAsia="en-AU"/>
          </w:rPr>
          <w:tab/>
        </w:r>
        <w:r w:rsidR="00965D85" w:rsidRPr="00DF4F77">
          <w:rPr>
            <w:rStyle w:val="Hyperlink"/>
            <w:noProof/>
            <w:lang w:eastAsia="en-AU"/>
          </w:rPr>
          <w:t>Reconciliation of net gain/(loss) on equity investments in other sector entities at proportional share of net assets</w:t>
        </w:r>
        <w:r w:rsidR="00965D85">
          <w:rPr>
            <w:noProof/>
            <w:webHidden/>
          </w:rPr>
          <w:tab/>
        </w:r>
        <w:r w:rsidR="00965D85">
          <w:rPr>
            <w:noProof/>
            <w:webHidden/>
          </w:rPr>
          <w:fldChar w:fldCharType="begin"/>
        </w:r>
        <w:r w:rsidR="00965D85">
          <w:rPr>
            <w:noProof/>
            <w:webHidden/>
          </w:rPr>
          <w:instrText xml:space="preserve"> PAGEREF _Toc436138920 \h </w:instrText>
        </w:r>
        <w:r w:rsidR="00965D85">
          <w:rPr>
            <w:noProof/>
            <w:webHidden/>
          </w:rPr>
        </w:r>
        <w:r w:rsidR="00965D85">
          <w:rPr>
            <w:noProof/>
            <w:webHidden/>
          </w:rPr>
          <w:fldChar w:fldCharType="separate"/>
        </w:r>
        <w:r w:rsidR="009B0AC6">
          <w:rPr>
            <w:noProof/>
            <w:webHidden/>
          </w:rPr>
          <w:t>53</w:t>
        </w:r>
        <w:r w:rsidR="00965D85">
          <w:rPr>
            <w:noProof/>
            <w:webHidden/>
          </w:rPr>
          <w:fldChar w:fldCharType="end"/>
        </w:r>
      </w:hyperlink>
    </w:p>
    <w:p w:rsidR="00965D85" w:rsidRDefault="00DF27E0" w:rsidP="003F26DD">
      <w:pPr>
        <w:pStyle w:val="TOC2"/>
        <w:tabs>
          <w:tab w:val="clear" w:pos="7830"/>
          <w:tab w:val="left" w:pos="1134"/>
          <w:tab w:val="right" w:leader="dot" w:pos="7655"/>
        </w:tabs>
        <w:rPr>
          <w:rFonts w:asciiTheme="minorHAnsi" w:eastAsiaTheme="minorEastAsia" w:hAnsiTheme="minorHAnsi" w:cstheme="minorBidi"/>
          <w:noProof/>
          <w:sz w:val="22"/>
          <w:szCs w:val="22"/>
          <w:lang w:eastAsia="en-AU"/>
        </w:rPr>
      </w:pPr>
      <w:hyperlink w:anchor="_Toc436138921" w:history="1">
        <w:r w:rsidR="00965D85" w:rsidRPr="00DF4F77">
          <w:rPr>
            <w:rStyle w:val="Hyperlink"/>
            <w:noProof/>
            <w:lang w:eastAsia="en-AU"/>
          </w:rPr>
          <w:t xml:space="preserve">Note 15: </w:t>
        </w:r>
        <w:r w:rsidR="00965D85">
          <w:rPr>
            <w:rFonts w:asciiTheme="minorHAnsi" w:eastAsiaTheme="minorEastAsia" w:hAnsiTheme="minorHAnsi" w:cstheme="minorBidi"/>
            <w:noProof/>
            <w:sz w:val="22"/>
            <w:szCs w:val="22"/>
            <w:lang w:eastAsia="en-AU"/>
          </w:rPr>
          <w:tab/>
        </w:r>
        <w:r w:rsidR="00965D85" w:rsidRPr="00DF4F77">
          <w:rPr>
            <w:rStyle w:val="Hyperlink"/>
            <w:noProof/>
            <w:lang w:eastAsia="en-AU"/>
          </w:rPr>
          <w:t>Net acquisition of non</w:t>
        </w:r>
        <w:r w:rsidR="00965D85" w:rsidRPr="00DF4F77">
          <w:rPr>
            <w:rStyle w:val="Hyperlink"/>
            <w:noProof/>
            <w:lang w:eastAsia="en-AU"/>
          </w:rPr>
          <w:noBreakHyphen/>
          <w:t>financial assets from transactions</w:t>
        </w:r>
        <w:r w:rsidR="00965D85">
          <w:rPr>
            <w:noProof/>
            <w:webHidden/>
          </w:rPr>
          <w:tab/>
        </w:r>
        <w:r w:rsidR="00965D85">
          <w:rPr>
            <w:noProof/>
            <w:webHidden/>
          </w:rPr>
          <w:fldChar w:fldCharType="begin"/>
        </w:r>
        <w:r w:rsidR="00965D85">
          <w:rPr>
            <w:noProof/>
            <w:webHidden/>
          </w:rPr>
          <w:instrText xml:space="preserve"> PAGEREF _Toc436138921 \h </w:instrText>
        </w:r>
        <w:r w:rsidR="00965D85">
          <w:rPr>
            <w:noProof/>
            <w:webHidden/>
          </w:rPr>
        </w:r>
        <w:r w:rsidR="00965D85">
          <w:rPr>
            <w:noProof/>
            <w:webHidden/>
          </w:rPr>
          <w:fldChar w:fldCharType="separate"/>
        </w:r>
        <w:r w:rsidR="009B0AC6">
          <w:rPr>
            <w:noProof/>
            <w:webHidden/>
          </w:rPr>
          <w:t>53</w:t>
        </w:r>
        <w:r w:rsidR="00965D85">
          <w:rPr>
            <w:noProof/>
            <w:webHidden/>
          </w:rPr>
          <w:fldChar w:fldCharType="end"/>
        </w:r>
      </w:hyperlink>
    </w:p>
    <w:p w:rsidR="00965D85" w:rsidRDefault="00DF27E0" w:rsidP="003F26DD">
      <w:pPr>
        <w:pStyle w:val="TOC2"/>
        <w:tabs>
          <w:tab w:val="clear" w:pos="7830"/>
          <w:tab w:val="left" w:pos="1134"/>
          <w:tab w:val="right" w:leader="dot" w:pos="7655"/>
        </w:tabs>
        <w:rPr>
          <w:rFonts w:asciiTheme="minorHAnsi" w:eastAsiaTheme="minorEastAsia" w:hAnsiTheme="minorHAnsi" w:cstheme="minorBidi"/>
          <w:noProof/>
          <w:sz w:val="22"/>
          <w:szCs w:val="22"/>
          <w:lang w:eastAsia="en-AU"/>
        </w:rPr>
      </w:pPr>
      <w:hyperlink w:anchor="_Toc436138922" w:history="1">
        <w:r w:rsidR="00965D85" w:rsidRPr="00DF4F77">
          <w:rPr>
            <w:rStyle w:val="Hyperlink"/>
            <w:noProof/>
            <w:lang w:eastAsia="en-AU"/>
          </w:rPr>
          <w:t xml:space="preserve">Note 16: </w:t>
        </w:r>
        <w:r w:rsidR="00965D85">
          <w:rPr>
            <w:rFonts w:asciiTheme="minorHAnsi" w:eastAsiaTheme="minorEastAsia" w:hAnsiTheme="minorHAnsi" w:cstheme="minorBidi"/>
            <w:noProof/>
            <w:sz w:val="22"/>
            <w:szCs w:val="22"/>
            <w:lang w:eastAsia="en-AU"/>
          </w:rPr>
          <w:tab/>
        </w:r>
        <w:r w:rsidR="00965D85" w:rsidRPr="00DF4F77">
          <w:rPr>
            <w:rStyle w:val="Hyperlink"/>
            <w:noProof/>
            <w:lang w:eastAsia="en-AU"/>
          </w:rPr>
          <w:t>Advances paid and investments, loans and placements</w:t>
        </w:r>
        <w:r w:rsidR="00965D85">
          <w:rPr>
            <w:noProof/>
            <w:webHidden/>
          </w:rPr>
          <w:tab/>
        </w:r>
        <w:r w:rsidR="00965D85">
          <w:rPr>
            <w:noProof/>
            <w:webHidden/>
          </w:rPr>
          <w:fldChar w:fldCharType="begin"/>
        </w:r>
        <w:r w:rsidR="00965D85">
          <w:rPr>
            <w:noProof/>
            <w:webHidden/>
          </w:rPr>
          <w:instrText xml:space="preserve"> PAGEREF _Toc436138922 \h </w:instrText>
        </w:r>
        <w:r w:rsidR="00965D85">
          <w:rPr>
            <w:noProof/>
            <w:webHidden/>
          </w:rPr>
        </w:r>
        <w:r w:rsidR="00965D85">
          <w:rPr>
            <w:noProof/>
            <w:webHidden/>
          </w:rPr>
          <w:fldChar w:fldCharType="separate"/>
        </w:r>
        <w:r w:rsidR="009B0AC6">
          <w:rPr>
            <w:noProof/>
            <w:webHidden/>
          </w:rPr>
          <w:t>54</w:t>
        </w:r>
        <w:r w:rsidR="00965D85">
          <w:rPr>
            <w:noProof/>
            <w:webHidden/>
          </w:rPr>
          <w:fldChar w:fldCharType="end"/>
        </w:r>
      </w:hyperlink>
    </w:p>
    <w:p w:rsidR="00965D85" w:rsidRDefault="00DF27E0" w:rsidP="003F26DD">
      <w:pPr>
        <w:pStyle w:val="TOC2"/>
        <w:tabs>
          <w:tab w:val="clear" w:pos="7830"/>
          <w:tab w:val="left" w:pos="1134"/>
          <w:tab w:val="right" w:leader="dot" w:pos="7655"/>
        </w:tabs>
        <w:rPr>
          <w:rFonts w:asciiTheme="minorHAnsi" w:eastAsiaTheme="minorEastAsia" w:hAnsiTheme="minorHAnsi" w:cstheme="minorBidi"/>
          <w:noProof/>
          <w:sz w:val="22"/>
          <w:szCs w:val="22"/>
          <w:lang w:eastAsia="en-AU"/>
        </w:rPr>
      </w:pPr>
      <w:hyperlink w:anchor="_Toc436138923" w:history="1">
        <w:r w:rsidR="00965D85" w:rsidRPr="00DF4F77">
          <w:rPr>
            <w:rStyle w:val="Hyperlink"/>
            <w:noProof/>
            <w:lang w:eastAsia="en-AU"/>
          </w:rPr>
          <w:t>Note 17:</w:t>
        </w:r>
        <w:r w:rsidR="00965D85">
          <w:rPr>
            <w:rFonts w:asciiTheme="minorHAnsi" w:eastAsiaTheme="minorEastAsia" w:hAnsiTheme="minorHAnsi" w:cstheme="minorBidi"/>
            <w:noProof/>
            <w:sz w:val="22"/>
            <w:szCs w:val="22"/>
            <w:lang w:eastAsia="en-AU"/>
          </w:rPr>
          <w:tab/>
        </w:r>
        <w:r w:rsidR="00965D85" w:rsidRPr="00DF4F77">
          <w:rPr>
            <w:rStyle w:val="Hyperlink"/>
            <w:noProof/>
            <w:lang w:eastAsia="en-AU"/>
          </w:rPr>
          <w:t>Land, buildings, infrastructure, plant and equipment</w:t>
        </w:r>
        <w:r w:rsidR="00965D85">
          <w:rPr>
            <w:noProof/>
            <w:webHidden/>
          </w:rPr>
          <w:tab/>
        </w:r>
        <w:r w:rsidR="00965D85">
          <w:rPr>
            <w:noProof/>
            <w:webHidden/>
          </w:rPr>
          <w:fldChar w:fldCharType="begin"/>
        </w:r>
        <w:r w:rsidR="00965D85">
          <w:rPr>
            <w:noProof/>
            <w:webHidden/>
          </w:rPr>
          <w:instrText xml:space="preserve"> PAGEREF _Toc436138923 \h </w:instrText>
        </w:r>
        <w:r w:rsidR="00965D85">
          <w:rPr>
            <w:noProof/>
            <w:webHidden/>
          </w:rPr>
        </w:r>
        <w:r w:rsidR="00965D85">
          <w:rPr>
            <w:noProof/>
            <w:webHidden/>
          </w:rPr>
          <w:fldChar w:fldCharType="separate"/>
        </w:r>
        <w:r w:rsidR="009B0AC6">
          <w:rPr>
            <w:noProof/>
            <w:webHidden/>
          </w:rPr>
          <w:t>55</w:t>
        </w:r>
        <w:r w:rsidR="00965D85">
          <w:rPr>
            <w:noProof/>
            <w:webHidden/>
          </w:rPr>
          <w:fldChar w:fldCharType="end"/>
        </w:r>
      </w:hyperlink>
    </w:p>
    <w:p w:rsidR="00965D85" w:rsidRDefault="00DF27E0" w:rsidP="003F26DD">
      <w:pPr>
        <w:pStyle w:val="TOC2"/>
        <w:tabs>
          <w:tab w:val="clear" w:pos="7830"/>
          <w:tab w:val="left" w:pos="1134"/>
          <w:tab w:val="right" w:leader="dot" w:pos="7655"/>
        </w:tabs>
        <w:rPr>
          <w:rFonts w:asciiTheme="minorHAnsi" w:eastAsiaTheme="minorEastAsia" w:hAnsiTheme="minorHAnsi" w:cstheme="minorBidi"/>
          <w:noProof/>
          <w:sz w:val="22"/>
          <w:szCs w:val="22"/>
          <w:lang w:eastAsia="en-AU"/>
        </w:rPr>
      </w:pPr>
      <w:hyperlink w:anchor="_Toc436138924" w:history="1">
        <w:r w:rsidR="00965D85" w:rsidRPr="00DF4F77">
          <w:rPr>
            <w:rStyle w:val="Hyperlink"/>
            <w:noProof/>
            <w:lang w:eastAsia="en-AU"/>
          </w:rPr>
          <w:t xml:space="preserve">Note 18: </w:t>
        </w:r>
        <w:r w:rsidR="00965D85">
          <w:rPr>
            <w:rFonts w:asciiTheme="minorHAnsi" w:eastAsiaTheme="minorEastAsia" w:hAnsiTheme="minorHAnsi" w:cstheme="minorBidi"/>
            <w:noProof/>
            <w:sz w:val="22"/>
            <w:szCs w:val="22"/>
            <w:lang w:eastAsia="en-AU"/>
          </w:rPr>
          <w:tab/>
        </w:r>
        <w:r w:rsidR="00965D85" w:rsidRPr="00DF4F77">
          <w:rPr>
            <w:rStyle w:val="Hyperlink"/>
            <w:noProof/>
            <w:lang w:eastAsia="en-AU"/>
          </w:rPr>
          <w:t>Reconciliation of movements in land, buildings, infrastructure, plant and equipment</w:t>
        </w:r>
        <w:r w:rsidR="00965D85">
          <w:rPr>
            <w:noProof/>
            <w:webHidden/>
          </w:rPr>
          <w:tab/>
        </w:r>
        <w:r w:rsidR="00965D85">
          <w:rPr>
            <w:noProof/>
            <w:webHidden/>
          </w:rPr>
          <w:fldChar w:fldCharType="begin"/>
        </w:r>
        <w:r w:rsidR="00965D85">
          <w:rPr>
            <w:noProof/>
            <w:webHidden/>
          </w:rPr>
          <w:instrText xml:space="preserve"> PAGEREF _Toc436138924 \h </w:instrText>
        </w:r>
        <w:r w:rsidR="00965D85">
          <w:rPr>
            <w:noProof/>
            <w:webHidden/>
          </w:rPr>
        </w:r>
        <w:r w:rsidR="00965D85">
          <w:rPr>
            <w:noProof/>
            <w:webHidden/>
          </w:rPr>
          <w:fldChar w:fldCharType="separate"/>
        </w:r>
        <w:r w:rsidR="009B0AC6">
          <w:rPr>
            <w:noProof/>
            <w:webHidden/>
          </w:rPr>
          <w:t>55</w:t>
        </w:r>
        <w:r w:rsidR="00965D85">
          <w:rPr>
            <w:noProof/>
            <w:webHidden/>
          </w:rPr>
          <w:fldChar w:fldCharType="end"/>
        </w:r>
      </w:hyperlink>
    </w:p>
    <w:p w:rsidR="00965D85" w:rsidRDefault="00DF27E0" w:rsidP="003F26DD">
      <w:pPr>
        <w:pStyle w:val="TOC2"/>
        <w:tabs>
          <w:tab w:val="clear" w:pos="7830"/>
          <w:tab w:val="left" w:pos="1134"/>
          <w:tab w:val="right" w:leader="dot" w:pos="7655"/>
        </w:tabs>
        <w:rPr>
          <w:rFonts w:asciiTheme="minorHAnsi" w:eastAsiaTheme="minorEastAsia" w:hAnsiTheme="minorHAnsi" w:cstheme="minorBidi"/>
          <w:noProof/>
          <w:sz w:val="22"/>
          <w:szCs w:val="22"/>
          <w:lang w:eastAsia="en-AU"/>
        </w:rPr>
      </w:pPr>
      <w:hyperlink w:anchor="_Toc436138925" w:history="1">
        <w:r w:rsidR="00965D85" w:rsidRPr="00DF4F77">
          <w:rPr>
            <w:rStyle w:val="Hyperlink"/>
            <w:noProof/>
            <w:lang w:eastAsia="en-AU"/>
          </w:rPr>
          <w:t xml:space="preserve">Note 19: </w:t>
        </w:r>
        <w:r w:rsidR="00965D85">
          <w:rPr>
            <w:rFonts w:asciiTheme="minorHAnsi" w:eastAsiaTheme="minorEastAsia" w:hAnsiTheme="minorHAnsi" w:cstheme="minorBidi"/>
            <w:noProof/>
            <w:sz w:val="22"/>
            <w:szCs w:val="22"/>
            <w:lang w:eastAsia="en-AU"/>
          </w:rPr>
          <w:tab/>
        </w:r>
        <w:r w:rsidR="00965D85" w:rsidRPr="00DF4F77">
          <w:rPr>
            <w:rStyle w:val="Hyperlink"/>
            <w:noProof/>
            <w:lang w:eastAsia="en-AU"/>
          </w:rPr>
          <w:t>Other non</w:t>
        </w:r>
        <w:r w:rsidR="00965D85" w:rsidRPr="00DF4F77">
          <w:rPr>
            <w:rStyle w:val="Hyperlink"/>
            <w:noProof/>
            <w:lang w:eastAsia="en-AU"/>
          </w:rPr>
          <w:noBreakHyphen/>
          <w:t>financial assets</w:t>
        </w:r>
        <w:r w:rsidR="00965D85">
          <w:rPr>
            <w:noProof/>
            <w:webHidden/>
          </w:rPr>
          <w:tab/>
        </w:r>
        <w:r w:rsidR="00965D85">
          <w:rPr>
            <w:noProof/>
            <w:webHidden/>
          </w:rPr>
          <w:fldChar w:fldCharType="begin"/>
        </w:r>
        <w:r w:rsidR="00965D85">
          <w:rPr>
            <w:noProof/>
            <w:webHidden/>
          </w:rPr>
          <w:instrText xml:space="preserve"> PAGEREF _Toc436138925 \h </w:instrText>
        </w:r>
        <w:r w:rsidR="00965D85">
          <w:rPr>
            <w:noProof/>
            <w:webHidden/>
          </w:rPr>
        </w:r>
        <w:r w:rsidR="00965D85">
          <w:rPr>
            <w:noProof/>
            <w:webHidden/>
          </w:rPr>
          <w:fldChar w:fldCharType="separate"/>
        </w:r>
        <w:r w:rsidR="009B0AC6">
          <w:rPr>
            <w:noProof/>
            <w:webHidden/>
          </w:rPr>
          <w:t>56</w:t>
        </w:r>
        <w:r w:rsidR="00965D85">
          <w:rPr>
            <w:noProof/>
            <w:webHidden/>
          </w:rPr>
          <w:fldChar w:fldCharType="end"/>
        </w:r>
      </w:hyperlink>
    </w:p>
    <w:p w:rsidR="00965D85" w:rsidRDefault="00DF27E0" w:rsidP="003F26DD">
      <w:pPr>
        <w:pStyle w:val="TOC2"/>
        <w:tabs>
          <w:tab w:val="clear" w:pos="7830"/>
          <w:tab w:val="left" w:pos="1134"/>
          <w:tab w:val="right" w:leader="dot" w:pos="7655"/>
        </w:tabs>
        <w:rPr>
          <w:rFonts w:asciiTheme="minorHAnsi" w:eastAsiaTheme="minorEastAsia" w:hAnsiTheme="minorHAnsi" w:cstheme="minorBidi"/>
          <w:noProof/>
          <w:sz w:val="22"/>
          <w:szCs w:val="22"/>
          <w:lang w:eastAsia="en-AU"/>
        </w:rPr>
      </w:pPr>
      <w:hyperlink w:anchor="_Toc436138926" w:history="1">
        <w:r w:rsidR="00965D85" w:rsidRPr="00DF4F77">
          <w:rPr>
            <w:rStyle w:val="Hyperlink"/>
            <w:noProof/>
            <w:lang w:eastAsia="en-AU"/>
          </w:rPr>
          <w:t>Note 20:</w:t>
        </w:r>
        <w:r w:rsidR="00965D85">
          <w:rPr>
            <w:rFonts w:asciiTheme="minorHAnsi" w:eastAsiaTheme="minorEastAsia" w:hAnsiTheme="minorHAnsi" w:cstheme="minorBidi"/>
            <w:noProof/>
            <w:sz w:val="22"/>
            <w:szCs w:val="22"/>
            <w:lang w:eastAsia="en-AU"/>
          </w:rPr>
          <w:tab/>
        </w:r>
        <w:r w:rsidR="00965D85" w:rsidRPr="00DF4F77">
          <w:rPr>
            <w:rStyle w:val="Hyperlink"/>
            <w:noProof/>
            <w:lang w:eastAsia="en-AU"/>
          </w:rPr>
          <w:t>Assets classified by government purpose and by department</w:t>
        </w:r>
        <w:r w:rsidR="00965D85">
          <w:rPr>
            <w:noProof/>
            <w:webHidden/>
          </w:rPr>
          <w:tab/>
        </w:r>
        <w:r w:rsidR="00965D85">
          <w:rPr>
            <w:noProof/>
            <w:webHidden/>
          </w:rPr>
          <w:fldChar w:fldCharType="begin"/>
        </w:r>
        <w:r w:rsidR="00965D85">
          <w:rPr>
            <w:noProof/>
            <w:webHidden/>
          </w:rPr>
          <w:instrText xml:space="preserve"> PAGEREF _Toc436138926 \h </w:instrText>
        </w:r>
        <w:r w:rsidR="00965D85">
          <w:rPr>
            <w:noProof/>
            <w:webHidden/>
          </w:rPr>
        </w:r>
        <w:r w:rsidR="00965D85">
          <w:rPr>
            <w:noProof/>
            <w:webHidden/>
          </w:rPr>
          <w:fldChar w:fldCharType="separate"/>
        </w:r>
        <w:r w:rsidR="009B0AC6">
          <w:rPr>
            <w:noProof/>
            <w:webHidden/>
          </w:rPr>
          <w:t>56</w:t>
        </w:r>
        <w:r w:rsidR="00965D85">
          <w:rPr>
            <w:noProof/>
            <w:webHidden/>
          </w:rPr>
          <w:fldChar w:fldCharType="end"/>
        </w:r>
      </w:hyperlink>
    </w:p>
    <w:p w:rsidR="00965D85" w:rsidRDefault="00DF27E0" w:rsidP="003F26DD">
      <w:pPr>
        <w:pStyle w:val="TOC2"/>
        <w:tabs>
          <w:tab w:val="clear" w:pos="7830"/>
          <w:tab w:val="left" w:pos="1134"/>
          <w:tab w:val="right" w:leader="dot" w:pos="7655"/>
        </w:tabs>
        <w:rPr>
          <w:rFonts w:asciiTheme="minorHAnsi" w:eastAsiaTheme="minorEastAsia" w:hAnsiTheme="minorHAnsi" w:cstheme="minorBidi"/>
          <w:noProof/>
          <w:sz w:val="22"/>
          <w:szCs w:val="22"/>
          <w:lang w:eastAsia="en-AU"/>
        </w:rPr>
      </w:pPr>
      <w:hyperlink w:anchor="_Toc436138927" w:history="1">
        <w:r w:rsidR="00965D85" w:rsidRPr="00DF4F77">
          <w:rPr>
            <w:rStyle w:val="Hyperlink"/>
            <w:noProof/>
            <w:lang w:eastAsia="en-AU"/>
          </w:rPr>
          <w:t xml:space="preserve">Note 21: </w:t>
        </w:r>
        <w:r w:rsidR="00965D85">
          <w:rPr>
            <w:rFonts w:asciiTheme="minorHAnsi" w:eastAsiaTheme="minorEastAsia" w:hAnsiTheme="minorHAnsi" w:cstheme="minorBidi"/>
            <w:noProof/>
            <w:sz w:val="22"/>
            <w:szCs w:val="22"/>
            <w:lang w:eastAsia="en-AU"/>
          </w:rPr>
          <w:tab/>
        </w:r>
        <w:r w:rsidR="00965D85" w:rsidRPr="00DF4F77">
          <w:rPr>
            <w:rStyle w:val="Hyperlink"/>
            <w:noProof/>
            <w:lang w:eastAsia="en-AU"/>
          </w:rPr>
          <w:t>Payables</w:t>
        </w:r>
        <w:r w:rsidR="00965D85">
          <w:rPr>
            <w:noProof/>
            <w:webHidden/>
          </w:rPr>
          <w:tab/>
        </w:r>
        <w:r w:rsidR="00965D85">
          <w:rPr>
            <w:noProof/>
            <w:webHidden/>
          </w:rPr>
          <w:fldChar w:fldCharType="begin"/>
        </w:r>
        <w:r w:rsidR="00965D85">
          <w:rPr>
            <w:noProof/>
            <w:webHidden/>
          </w:rPr>
          <w:instrText xml:space="preserve"> PAGEREF _Toc436138927 \h </w:instrText>
        </w:r>
        <w:r w:rsidR="00965D85">
          <w:rPr>
            <w:noProof/>
            <w:webHidden/>
          </w:rPr>
        </w:r>
        <w:r w:rsidR="00965D85">
          <w:rPr>
            <w:noProof/>
            <w:webHidden/>
          </w:rPr>
          <w:fldChar w:fldCharType="separate"/>
        </w:r>
        <w:r w:rsidR="009B0AC6">
          <w:rPr>
            <w:noProof/>
            <w:webHidden/>
          </w:rPr>
          <w:t>58</w:t>
        </w:r>
        <w:r w:rsidR="00965D85">
          <w:rPr>
            <w:noProof/>
            <w:webHidden/>
          </w:rPr>
          <w:fldChar w:fldCharType="end"/>
        </w:r>
      </w:hyperlink>
    </w:p>
    <w:p w:rsidR="00965D85" w:rsidRDefault="00DF27E0" w:rsidP="003F26DD">
      <w:pPr>
        <w:pStyle w:val="TOC2"/>
        <w:tabs>
          <w:tab w:val="clear" w:pos="7830"/>
          <w:tab w:val="left" w:pos="1134"/>
          <w:tab w:val="right" w:leader="dot" w:pos="7655"/>
        </w:tabs>
        <w:rPr>
          <w:rFonts w:asciiTheme="minorHAnsi" w:eastAsiaTheme="minorEastAsia" w:hAnsiTheme="minorHAnsi" w:cstheme="minorBidi"/>
          <w:noProof/>
          <w:sz w:val="22"/>
          <w:szCs w:val="22"/>
          <w:lang w:eastAsia="en-AU"/>
        </w:rPr>
      </w:pPr>
      <w:hyperlink w:anchor="_Toc436138928" w:history="1">
        <w:r w:rsidR="00965D85" w:rsidRPr="00DF4F77">
          <w:rPr>
            <w:rStyle w:val="Hyperlink"/>
            <w:noProof/>
            <w:lang w:eastAsia="en-AU"/>
          </w:rPr>
          <w:t xml:space="preserve">Note 22: </w:t>
        </w:r>
        <w:r w:rsidR="00965D85">
          <w:rPr>
            <w:rFonts w:asciiTheme="minorHAnsi" w:eastAsiaTheme="minorEastAsia" w:hAnsiTheme="minorHAnsi" w:cstheme="minorBidi"/>
            <w:noProof/>
            <w:sz w:val="22"/>
            <w:szCs w:val="22"/>
            <w:lang w:eastAsia="en-AU"/>
          </w:rPr>
          <w:tab/>
        </w:r>
        <w:r w:rsidR="00965D85" w:rsidRPr="00DF4F77">
          <w:rPr>
            <w:rStyle w:val="Hyperlink"/>
            <w:noProof/>
            <w:lang w:eastAsia="en-AU"/>
          </w:rPr>
          <w:t>Borrowings</w:t>
        </w:r>
        <w:r w:rsidR="00965D85">
          <w:rPr>
            <w:noProof/>
            <w:webHidden/>
          </w:rPr>
          <w:tab/>
        </w:r>
        <w:r w:rsidR="00965D85">
          <w:rPr>
            <w:noProof/>
            <w:webHidden/>
          </w:rPr>
          <w:fldChar w:fldCharType="begin"/>
        </w:r>
        <w:r w:rsidR="00965D85">
          <w:rPr>
            <w:noProof/>
            <w:webHidden/>
          </w:rPr>
          <w:instrText xml:space="preserve"> PAGEREF _Toc436138928 \h </w:instrText>
        </w:r>
        <w:r w:rsidR="00965D85">
          <w:rPr>
            <w:noProof/>
            <w:webHidden/>
          </w:rPr>
        </w:r>
        <w:r w:rsidR="00965D85">
          <w:rPr>
            <w:noProof/>
            <w:webHidden/>
          </w:rPr>
          <w:fldChar w:fldCharType="separate"/>
        </w:r>
        <w:r w:rsidR="009B0AC6">
          <w:rPr>
            <w:noProof/>
            <w:webHidden/>
          </w:rPr>
          <w:t>59</w:t>
        </w:r>
        <w:r w:rsidR="00965D85">
          <w:rPr>
            <w:noProof/>
            <w:webHidden/>
          </w:rPr>
          <w:fldChar w:fldCharType="end"/>
        </w:r>
      </w:hyperlink>
    </w:p>
    <w:p w:rsidR="00965D85" w:rsidRDefault="00DF27E0" w:rsidP="003F26DD">
      <w:pPr>
        <w:pStyle w:val="TOC2"/>
        <w:tabs>
          <w:tab w:val="clear" w:pos="7830"/>
          <w:tab w:val="left" w:pos="1134"/>
          <w:tab w:val="right" w:leader="dot" w:pos="7655"/>
        </w:tabs>
        <w:rPr>
          <w:rFonts w:asciiTheme="minorHAnsi" w:eastAsiaTheme="minorEastAsia" w:hAnsiTheme="minorHAnsi" w:cstheme="minorBidi"/>
          <w:noProof/>
          <w:sz w:val="22"/>
          <w:szCs w:val="22"/>
          <w:lang w:eastAsia="en-AU"/>
        </w:rPr>
      </w:pPr>
      <w:hyperlink w:anchor="_Toc436138929" w:history="1">
        <w:r w:rsidR="00965D85" w:rsidRPr="00DF4F77">
          <w:rPr>
            <w:rStyle w:val="Hyperlink"/>
            <w:noProof/>
            <w:lang w:eastAsia="en-AU"/>
          </w:rPr>
          <w:t xml:space="preserve">Note 23: </w:t>
        </w:r>
        <w:r w:rsidR="00965D85">
          <w:rPr>
            <w:rFonts w:asciiTheme="minorHAnsi" w:eastAsiaTheme="minorEastAsia" w:hAnsiTheme="minorHAnsi" w:cstheme="minorBidi"/>
            <w:noProof/>
            <w:sz w:val="22"/>
            <w:szCs w:val="22"/>
            <w:lang w:eastAsia="en-AU"/>
          </w:rPr>
          <w:tab/>
        </w:r>
        <w:r w:rsidR="00965D85" w:rsidRPr="00DF4F77">
          <w:rPr>
            <w:rStyle w:val="Hyperlink"/>
            <w:noProof/>
            <w:lang w:eastAsia="en-AU"/>
          </w:rPr>
          <w:t>Employee benefits</w:t>
        </w:r>
        <w:r w:rsidR="00965D85">
          <w:rPr>
            <w:noProof/>
            <w:webHidden/>
          </w:rPr>
          <w:tab/>
        </w:r>
        <w:r w:rsidR="00965D85">
          <w:rPr>
            <w:noProof/>
            <w:webHidden/>
          </w:rPr>
          <w:fldChar w:fldCharType="begin"/>
        </w:r>
        <w:r w:rsidR="00965D85">
          <w:rPr>
            <w:noProof/>
            <w:webHidden/>
          </w:rPr>
          <w:instrText xml:space="preserve"> PAGEREF _Toc436138929 \h </w:instrText>
        </w:r>
        <w:r w:rsidR="00965D85">
          <w:rPr>
            <w:noProof/>
            <w:webHidden/>
          </w:rPr>
        </w:r>
        <w:r w:rsidR="00965D85">
          <w:rPr>
            <w:noProof/>
            <w:webHidden/>
          </w:rPr>
          <w:fldChar w:fldCharType="separate"/>
        </w:r>
        <w:r w:rsidR="009B0AC6">
          <w:rPr>
            <w:noProof/>
            <w:webHidden/>
          </w:rPr>
          <w:t>59</w:t>
        </w:r>
        <w:r w:rsidR="00965D85">
          <w:rPr>
            <w:noProof/>
            <w:webHidden/>
          </w:rPr>
          <w:fldChar w:fldCharType="end"/>
        </w:r>
      </w:hyperlink>
    </w:p>
    <w:p w:rsidR="00965D85" w:rsidRDefault="00DF27E0" w:rsidP="003F26DD">
      <w:pPr>
        <w:pStyle w:val="TOC2"/>
        <w:tabs>
          <w:tab w:val="clear" w:pos="7830"/>
          <w:tab w:val="left" w:pos="1134"/>
          <w:tab w:val="right" w:leader="dot" w:pos="7655"/>
        </w:tabs>
        <w:rPr>
          <w:rFonts w:asciiTheme="minorHAnsi" w:eastAsiaTheme="minorEastAsia" w:hAnsiTheme="minorHAnsi" w:cstheme="minorBidi"/>
          <w:noProof/>
          <w:sz w:val="22"/>
          <w:szCs w:val="22"/>
          <w:lang w:eastAsia="en-AU"/>
        </w:rPr>
      </w:pPr>
      <w:hyperlink w:anchor="_Toc436138930" w:history="1">
        <w:r w:rsidR="00965D85" w:rsidRPr="00DF4F77">
          <w:rPr>
            <w:rStyle w:val="Hyperlink"/>
            <w:noProof/>
            <w:lang w:eastAsia="en-AU"/>
          </w:rPr>
          <w:t xml:space="preserve">Note 24: </w:t>
        </w:r>
        <w:r w:rsidR="00965D85">
          <w:rPr>
            <w:rFonts w:asciiTheme="minorHAnsi" w:eastAsiaTheme="minorEastAsia" w:hAnsiTheme="minorHAnsi" w:cstheme="minorBidi"/>
            <w:noProof/>
            <w:sz w:val="22"/>
            <w:szCs w:val="22"/>
            <w:lang w:eastAsia="en-AU"/>
          </w:rPr>
          <w:tab/>
        </w:r>
        <w:r w:rsidR="00965D85" w:rsidRPr="00DF4F77">
          <w:rPr>
            <w:rStyle w:val="Hyperlink"/>
            <w:noProof/>
            <w:lang w:eastAsia="en-AU"/>
          </w:rPr>
          <w:t>Reserves</w:t>
        </w:r>
        <w:r w:rsidR="00965D85">
          <w:rPr>
            <w:noProof/>
            <w:webHidden/>
          </w:rPr>
          <w:tab/>
        </w:r>
        <w:r w:rsidR="00965D85">
          <w:rPr>
            <w:noProof/>
            <w:webHidden/>
          </w:rPr>
          <w:fldChar w:fldCharType="begin"/>
        </w:r>
        <w:r w:rsidR="00965D85">
          <w:rPr>
            <w:noProof/>
            <w:webHidden/>
          </w:rPr>
          <w:instrText xml:space="preserve"> PAGEREF _Toc436138930 \h </w:instrText>
        </w:r>
        <w:r w:rsidR="00965D85">
          <w:rPr>
            <w:noProof/>
            <w:webHidden/>
          </w:rPr>
        </w:r>
        <w:r w:rsidR="00965D85">
          <w:rPr>
            <w:noProof/>
            <w:webHidden/>
          </w:rPr>
          <w:fldChar w:fldCharType="separate"/>
        </w:r>
        <w:r w:rsidR="009B0AC6">
          <w:rPr>
            <w:noProof/>
            <w:webHidden/>
          </w:rPr>
          <w:t>60</w:t>
        </w:r>
        <w:r w:rsidR="00965D85">
          <w:rPr>
            <w:noProof/>
            <w:webHidden/>
          </w:rPr>
          <w:fldChar w:fldCharType="end"/>
        </w:r>
      </w:hyperlink>
    </w:p>
    <w:p w:rsidR="00965D85" w:rsidRDefault="00DF27E0" w:rsidP="003F26DD">
      <w:pPr>
        <w:pStyle w:val="TOC2"/>
        <w:tabs>
          <w:tab w:val="clear" w:pos="7830"/>
          <w:tab w:val="left" w:pos="1134"/>
          <w:tab w:val="right" w:leader="dot" w:pos="7655"/>
        </w:tabs>
        <w:rPr>
          <w:rFonts w:asciiTheme="minorHAnsi" w:eastAsiaTheme="minorEastAsia" w:hAnsiTheme="minorHAnsi" w:cstheme="minorBidi"/>
          <w:noProof/>
          <w:sz w:val="22"/>
          <w:szCs w:val="22"/>
          <w:lang w:eastAsia="en-AU"/>
        </w:rPr>
      </w:pPr>
      <w:hyperlink w:anchor="_Toc436138931" w:history="1">
        <w:r w:rsidR="00965D85" w:rsidRPr="00DF4F77">
          <w:rPr>
            <w:rStyle w:val="Hyperlink"/>
            <w:noProof/>
            <w:lang w:eastAsia="en-AU"/>
          </w:rPr>
          <w:t xml:space="preserve">Note 25: </w:t>
        </w:r>
        <w:r w:rsidR="00965D85">
          <w:rPr>
            <w:rFonts w:asciiTheme="minorHAnsi" w:eastAsiaTheme="minorEastAsia" w:hAnsiTheme="minorHAnsi" w:cstheme="minorBidi"/>
            <w:noProof/>
            <w:sz w:val="22"/>
            <w:szCs w:val="22"/>
            <w:lang w:eastAsia="en-AU"/>
          </w:rPr>
          <w:tab/>
        </w:r>
        <w:r w:rsidR="00965D85" w:rsidRPr="00DF4F77">
          <w:rPr>
            <w:rStyle w:val="Hyperlink"/>
            <w:noProof/>
            <w:lang w:eastAsia="en-AU"/>
          </w:rPr>
          <w:t>Reconciliations to Government Finance Statistics – derivation of GFS cash surplus/(deficit)</w:t>
        </w:r>
        <w:r w:rsidR="00965D85">
          <w:rPr>
            <w:noProof/>
            <w:webHidden/>
          </w:rPr>
          <w:tab/>
        </w:r>
        <w:r w:rsidR="00965D85">
          <w:rPr>
            <w:noProof/>
            <w:webHidden/>
          </w:rPr>
          <w:fldChar w:fldCharType="begin"/>
        </w:r>
        <w:r w:rsidR="00965D85">
          <w:rPr>
            <w:noProof/>
            <w:webHidden/>
          </w:rPr>
          <w:instrText xml:space="preserve"> PAGEREF _Toc436138931 \h </w:instrText>
        </w:r>
        <w:r w:rsidR="00965D85">
          <w:rPr>
            <w:noProof/>
            <w:webHidden/>
          </w:rPr>
        </w:r>
        <w:r w:rsidR="00965D85">
          <w:rPr>
            <w:noProof/>
            <w:webHidden/>
          </w:rPr>
          <w:fldChar w:fldCharType="separate"/>
        </w:r>
        <w:r w:rsidR="009B0AC6">
          <w:rPr>
            <w:noProof/>
            <w:webHidden/>
          </w:rPr>
          <w:t>60</w:t>
        </w:r>
        <w:r w:rsidR="00965D85">
          <w:rPr>
            <w:noProof/>
            <w:webHidden/>
          </w:rPr>
          <w:fldChar w:fldCharType="end"/>
        </w:r>
      </w:hyperlink>
    </w:p>
    <w:p w:rsidR="00965D85" w:rsidRDefault="00DF27E0" w:rsidP="003F26DD">
      <w:pPr>
        <w:pStyle w:val="TOC2"/>
        <w:tabs>
          <w:tab w:val="clear" w:pos="7830"/>
          <w:tab w:val="left" w:pos="1134"/>
          <w:tab w:val="right" w:leader="dot" w:pos="7655"/>
        </w:tabs>
        <w:rPr>
          <w:rFonts w:asciiTheme="minorHAnsi" w:eastAsiaTheme="minorEastAsia" w:hAnsiTheme="minorHAnsi" w:cstheme="minorBidi"/>
          <w:noProof/>
          <w:sz w:val="22"/>
          <w:szCs w:val="22"/>
          <w:lang w:eastAsia="en-AU"/>
        </w:rPr>
      </w:pPr>
      <w:hyperlink w:anchor="_Toc436138932" w:history="1">
        <w:r w:rsidR="00965D85" w:rsidRPr="00DF4F77">
          <w:rPr>
            <w:rStyle w:val="Hyperlink"/>
            <w:noProof/>
            <w:lang w:eastAsia="en-AU"/>
          </w:rPr>
          <w:t>Note 26:</w:t>
        </w:r>
        <w:r w:rsidR="00965D85">
          <w:rPr>
            <w:rFonts w:asciiTheme="minorHAnsi" w:eastAsiaTheme="minorEastAsia" w:hAnsiTheme="minorHAnsi" w:cstheme="minorBidi"/>
            <w:noProof/>
            <w:sz w:val="22"/>
            <w:szCs w:val="22"/>
            <w:lang w:eastAsia="en-AU"/>
          </w:rPr>
          <w:tab/>
        </w:r>
        <w:r w:rsidR="00965D85" w:rsidRPr="00DF4F77">
          <w:rPr>
            <w:rStyle w:val="Hyperlink"/>
            <w:noProof/>
            <w:lang w:eastAsia="en-AU"/>
          </w:rPr>
          <w:t>Financial instruments</w:t>
        </w:r>
        <w:r w:rsidR="00965D85">
          <w:rPr>
            <w:noProof/>
            <w:webHidden/>
          </w:rPr>
          <w:tab/>
        </w:r>
        <w:r w:rsidR="00965D85">
          <w:rPr>
            <w:noProof/>
            <w:webHidden/>
          </w:rPr>
          <w:fldChar w:fldCharType="begin"/>
        </w:r>
        <w:r w:rsidR="00965D85">
          <w:rPr>
            <w:noProof/>
            <w:webHidden/>
          </w:rPr>
          <w:instrText xml:space="preserve"> PAGEREF _Toc436138932 \h </w:instrText>
        </w:r>
        <w:r w:rsidR="00965D85">
          <w:rPr>
            <w:noProof/>
            <w:webHidden/>
          </w:rPr>
        </w:r>
        <w:r w:rsidR="00965D85">
          <w:rPr>
            <w:noProof/>
            <w:webHidden/>
          </w:rPr>
          <w:fldChar w:fldCharType="separate"/>
        </w:r>
        <w:r w:rsidR="009B0AC6">
          <w:rPr>
            <w:noProof/>
            <w:webHidden/>
          </w:rPr>
          <w:t>60</w:t>
        </w:r>
        <w:r w:rsidR="00965D85">
          <w:rPr>
            <w:noProof/>
            <w:webHidden/>
          </w:rPr>
          <w:fldChar w:fldCharType="end"/>
        </w:r>
      </w:hyperlink>
    </w:p>
    <w:p w:rsidR="00965D85" w:rsidRDefault="00DF27E0" w:rsidP="003F26DD">
      <w:pPr>
        <w:pStyle w:val="TOC2"/>
        <w:tabs>
          <w:tab w:val="clear" w:pos="7830"/>
          <w:tab w:val="left" w:pos="1134"/>
          <w:tab w:val="right" w:leader="dot" w:pos="7655"/>
        </w:tabs>
        <w:rPr>
          <w:rFonts w:asciiTheme="minorHAnsi" w:eastAsiaTheme="minorEastAsia" w:hAnsiTheme="minorHAnsi" w:cstheme="minorBidi"/>
          <w:noProof/>
          <w:sz w:val="22"/>
          <w:szCs w:val="22"/>
          <w:lang w:eastAsia="en-AU"/>
        </w:rPr>
      </w:pPr>
      <w:hyperlink w:anchor="_Toc436138933" w:history="1">
        <w:r w:rsidR="00965D85" w:rsidRPr="00DF4F77">
          <w:rPr>
            <w:rStyle w:val="Hyperlink"/>
            <w:noProof/>
            <w:lang w:eastAsia="en-AU"/>
          </w:rPr>
          <w:t>Note 27:</w:t>
        </w:r>
        <w:r w:rsidR="00965D85">
          <w:rPr>
            <w:rFonts w:asciiTheme="minorHAnsi" w:eastAsiaTheme="minorEastAsia" w:hAnsiTheme="minorHAnsi" w:cstheme="minorBidi"/>
            <w:noProof/>
            <w:sz w:val="22"/>
            <w:szCs w:val="22"/>
            <w:lang w:eastAsia="en-AU"/>
          </w:rPr>
          <w:tab/>
        </w:r>
        <w:r w:rsidR="00965D85" w:rsidRPr="00DF4F77">
          <w:rPr>
            <w:rStyle w:val="Hyperlink"/>
            <w:noProof/>
            <w:lang w:eastAsia="en-AU"/>
          </w:rPr>
          <w:t>Controlled entities</w:t>
        </w:r>
        <w:r w:rsidR="00965D85">
          <w:rPr>
            <w:noProof/>
            <w:webHidden/>
          </w:rPr>
          <w:tab/>
        </w:r>
        <w:r w:rsidR="00965D85">
          <w:rPr>
            <w:noProof/>
            <w:webHidden/>
          </w:rPr>
          <w:fldChar w:fldCharType="begin"/>
        </w:r>
        <w:r w:rsidR="00965D85">
          <w:rPr>
            <w:noProof/>
            <w:webHidden/>
          </w:rPr>
          <w:instrText xml:space="preserve"> PAGEREF _Toc436138933 \h </w:instrText>
        </w:r>
        <w:r w:rsidR="00965D85">
          <w:rPr>
            <w:noProof/>
            <w:webHidden/>
          </w:rPr>
        </w:r>
        <w:r w:rsidR="00965D85">
          <w:rPr>
            <w:noProof/>
            <w:webHidden/>
          </w:rPr>
          <w:fldChar w:fldCharType="separate"/>
        </w:r>
        <w:r w:rsidR="009B0AC6">
          <w:rPr>
            <w:noProof/>
            <w:webHidden/>
          </w:rPr>
          <w:t>61</w:t>
        </w:r>
        <w:r w:rsidR="00965D85">
          <w:rPr>
            <w:noProof/>
            <w:webHidden/>
          </w:rPr>
          <w:fldChar w:fldCharType="end"/>
        </w:r>
      </w:hyperlink>
    </w:p>
    <w:p w:rsidR="00965D85" w:rsidRDefault="00965D85" w:rsidP="003F26DD">
      <w:pPr>
        <w:tabs>
          <w:tab w:val="left" w:pos="1134"/>
          <w:tab w:val="right" w:leader="dot" w:pos="7655"/>
        </w:tabs>
        <w:ind w:left="1134" w:hanging="1134"/>
      </w:pPr>
      <w:r>
        <w:rPr>
          <w:rFonts w:ascii="Calibri" w:hAnsi="Calibri"/>
          <w:b/>
          <w:noProof/>
          <w:sz w:val="20"/>
        </w:rPr>
        <w:fldChar w:fldCharType="end"/>
      </w:r>
    </w:p>
    <w:p w:rsidR="00965D85" w:rsidRDefault="00965D85" w:rsidP="001F325D"/>
    <w:p w:rsidR="00965D85" w:rsidRDefault="00965D85">
      <w:pPr>
        <w:spacing w:after="0"/>
      </w:pPr>
      <w:r>
        <w:br w:type="page"/>
      </w:r>
    </w:p>
    <w:p w:rsidR="00965D85" w:rsidRPr="00FE7221" w:rsidRDefault="00965D85" w:rsidP="008B46DF">
      <w:pPr>
        <w:pStyle w:val="Heading2Notes"/>
      </w:pPr>
      <w:bookmarkStart w:id="45" w:name="_Toc399156733"/>
      <w:bookmarkStart w:id="46" w:name="_Toc357784592"/>
      <w:bookmarkStart w:id="47" w:name="_Toc405192785"/>
      <w:bookmarkStart w:id="48" w:name="_Toc406761593"/>
      <w:bookmarkStart w:id="49" w:name="_Toc436138907"/>
      <w:r w:rsidRPr="00FE7221">
        <w:lastRenderedPageBreak/>
        <w:t>Note 1:</w:t>
      </w:r>
      <w:r w:rsidRPr="00FE7221">
        <w:tab/>
        <w:t>Statement of significant accounting policies</w:t>
      </w:r>
      <w:bookmarkEnd w:id="45"/>
      <w:bookmarkEnd w:id="46"/>
      <w:r w:rsidRPr="00FE7221">
        <w:t xml:space="preserve"> and forecast assumptions</w:t>
      </w:r>
      <w:bookmarkEnd w:id="47"/>
      <w:bookmarkEnd w:id="48"/>
      <w:bookmarkEnd w:id="49"/>
    </w:p>
    <w:p w:rsidR="00965D85" w:rsidRPr="00FE7221" w:rsidRDefault="00965D85" w:rsidP="008B46DF">
      <w:r>
        <w:t>The note summarises</w:t>
      </w:r>
      <w:r w:rsidRPr="00FE7221">
        <w:t xml:space="preserve"> the basis applied in the preparation and presentation of these updated </w:t>
      </w:r>
      <w:r>
        <w:t>E</w:t>
      </w:r>
      <w:r w:rsidRPr="00FE7221">
        <w:t xml:space="preserve">stimated </w:t>
      </w:r>
      <w:r>
        <w:t>F</w:t>
      </w:r>
      <w:r w:rsidRPr="00FE7221">
        <w:t xml:space="preserve">inancial </w:t>
      </w:r>
      <w:r>
        <w:t>S</w:t>
      </w:r>
      <w:r w:rsidRPr="00FE7221">
        <w:t>tatements for the general government sector, which includes the budget year and the estimates for the three subsequent years (referred to as the budget and forward estimates</w:t>
      </w:r>
      <w:r>
        <w:t xml:space="preserve"> period</w:t>
      </w:r>
      <w:r w:rsidRPr="00FE7221">
        <w:t>).</w:t>
      </w:r>
    </w:p>
    <w:p w:rsidR="00965D85" w:rsidRPr="00FE7221" w:rsidRDefault="00965D85" w:rsidP="008B46DF">
      <w:r>
        <w:t>T</w:t>
      </w:r>
      <w:r w:rsidRPr="00FE7221">
        <w:t xml:space="preserve">he accounting policies and forecast assumptions applied are consistent with those of the </w:t>
      </w:r>
      <w:r>
        <w:t>E</w:t>
      </w:r>
      <w:r w:rsidRPr="00FE7221">
        <w:t xml:space="preserve">stimated </w:t>
      </w:r>
      <w:r>
        <w:t>F</w:t>
      </w:r>
      <w:r w:rsidRPr="00FE7221">
        <w:t xml:space="preserve">inancial </w:t>
      </w:r>
      <w:r>
        <w:t>S</w:t>
      </w:r>
      <w:r w:rsidRPr="00FE7221">
        <w:t>tatements as published in the 201</w:t>
      </w:r>
      <w:r>
        <w:t>5</w:t>
      </w:r>
      <w:r>
        <w:noBreakHyphen/>
      </w:r>
      <w:r w:rsidRPr="00FE7221">
        <w:t>1</w:t>
      </w:r>
      <w:r>
        <w:t>6</w:t>
      </w:r>
      <w:r w:rsidRPr="00FE7221">
        <w:t xml:space="preserve"> Budget Paper No. 5 </w:t>
      </w:r>
      <w:r w:rsidRPr="00FE7221">
        <w:rPr>
          <w:i/>
        </w:rPr>
        <w:t>Statement of Finances</w:t>
      </w:r>
      <w:r w:rsidRPr="00FE7221">
        <w:t>, which should be read in conjunction with this statement. For further details of the accounting policies, refer to Note 1 of Chapter 4</w:t>
      </w:r>
      <w:r w:rsidRPr="00FE7221">
        <w:rPr>
          <w:i/>
        </w:rPr>
        <w:t xml:space="preserve"> Annual Financial Report </w:t>
      </w:r>
      <w:r w:rsidRPr="00FE7221">
        <w:t xml:space="preserve">of the </w:t>
      </w:r>
      <w:r w:rsidRPr="00FE7221">
        <w:rPr>
          <w:i/>
        </w:rPr>
        <w:t>201</w:t>
      </w:r>
      <w:r>
        <w:rPr>
          <w:i/>
        </w:rPr>
        <w:t>4</w:t>
      </w:r>
      <w:r>
        <w:rPr>
          <w:i/>
        </w:rPr>
        <w:noBreakHyphen/>
      </w:r>
      <w:r w:rsidRPr="00FE7221">
        <w:rPr>
          <w:i/>
        </w:rPr>
        <w:t>1</w:t>
      </w:r>
      <w:r>
        <w:rPr>
          <w:i/>
        </w:rPr>
        <w:t>5 </w:t>
      </w:r>
      <w:r w:rsidRPr="00FE7221">
        <w:rPr>
          <w:i/>
        </w:rPr>
        <w:t>Financial Report</w:t>
      </w:r>
      <w:r w:rsidRPr="00FE7221">
        <w:t xml:space="preserve"> for the State of Victoria as presented to Parliament.</w:t>
      </w:r>
    </w:p>
    <w:p w:rsidR="00965D85" w:rsidRPr="00FE7221" w:rsidRDefault="00965D85" w:rsidP="008B46DF">
      <w:r w:rsidRPr="00FE7221">
        <w:t xml:space="preserve">To gain a better understanding of the terminology and key aggregates used in this report, a glossary of terms can be found in </w:t>
      </w:r>
      <w:r w:rsidRPr="000B0EC9">
        <w:t xml:space="preserve">Note 40 </w:t>
      </w:r>
      <w:r w:rsidRPr="00FE7221">
        <w:t>of Chapter 4</w:t>
      </w:r>
      <w:r w:rsidRPr="00FE7221">
        <w:rPr>
          <w:i/>
        </w:rPr>
        <w:t xml:space="preserve"> Annual Financial Report </w:t>
      </w:r>
      <w:r w:rsidRPr="00FE7221">
        <w:t>of the</w:t>
      </w:r>
      <w:r w:rsidRPr="00FE7221">
        <w:rPr>
          <w:i/>
        </w:rPr>
        <w:t xml:space="preserve"> 201</w:t>
      </w:r>
      <w:r>
        <w:rPr>
          <w:i/>
        </w:rPr>
        <w:t>4</w:t>
      </w:r>
      <w:r>
        <w:rPr>
          <w:i/>
        </w:rPr>
        <w:noBreakHyphen/>
      </w:r>
      <w:r w:rsidRPr="00FE7221">
        <w:rPr>
          <w:i/>
        </w:rPr>
        <w:t>1</w:t>
      </w:r>
      <w:r>
        <w:rPr>
          <w:i/>
        </w:rPr>
        <w:t>5</w:t>
      </w:r>
      <w:r w:rsidRPr="00FE7221">
        <w:rPr>
          <w:i/>
        </w:rPr>
        <w:t xml:space="preserve"> Financial Report </w:t>
      </w:r>
      <w:r w:rsidRPr="00FE7221">
        <w:t>for the State of Victoria.</w:t>
      </w:r>
    </w:p>
    <w:p w:rsidR="00965D85" w:rsidRPr="00FE7221" w:rsidRDefault="00965D85" w:rsidP="008B46DF">
      <w:pPr>
        <w:pStyle w:val="Heading3Numbering"/>
      </w:pPr>
      <w:r w:rsidRPr="00FE7221">
        <w:t>Statement of compliance</w:t>
      </w:r>
    </w:p>
    <w:p w:rsidR="00965D85" w:rsidRPr="00FE7221" w:rsidRDefault="00965D85" w:rsidP="008B46DF">
      <w:r w:rsidRPr="00FE7221">
        <w:t xml:space="preserve">These </w:t>
      </w:r>
      <w:r>
        <w:t>E</w:t>
      </w:r>
      <w:r w:rsidRPr="00FE7221">
        <w:t xml:space="preserve">stimated </w:t>
      </w:r>
      <w:r>
        <w:t>F</w:t>
      </w:r>
      <w:r w:rsidRPr="00FE7221">
        <w:t xml:space="preserve">inancial </w:t>
      </w:r>
      <w:r>
        <w:t>S</w:t>
      </w:r>
      <w:r w:rsidRPr="00FE7221">
        <w:t xml:space="preserve">tatements have been prepared in accordance with Section 23L of the </w:t>
      </w:r>
      <w:r w:rsidRPr="00FE7221">
        <w:rPr>
          <w:i/>
        </w:rPr>
        <w:t>Financial Management Act 1994</w:t>
      </w:r>
      <w:r w:rsidRPr="00FE7221">
        <w:t>, having regard to</w:t>
      </w:r>
      <w:r>
        <w:t xml:space="preserve"> </w:t>
      </w:r>
      <w:r w:rsidRPr="00FE7221">
        <w:t xml:space="preserve">Australian Accounting Standards (AAS). AAS include Interpretations issued by the Australian Accounting Standards Board (AASB). </w:t>
      </w:r>
    </w:p>
    <w:p w:rsidR="00965D85" w:rsidRPr="00FE7221" w:rsidRDefault="00965D85" w:rsidP="008B46DF">
      <w:r>
        <w:t>The</w:t>
      </w:r>
      <w:r w:rsidRPr="00FE7221">
        <w:t xml:space="preserve"> </w:t>
      </w:r>
      <w:r>
        <w:t>E</w:t>
      </w:r>
      <w:r w:rsidRPr="00FE7221">
        <w:t xml:space="preserve">stimated </w:t>
      </w:r>
      <w:r>
        <w:t>F</w:t>
      </w:r>
      <w:r w:rsidRPr="00FE7221">
        <w:t xml:space="preserve">inancial </w:t>
      </w:r>
      <w:r>
        <w:t>S</w:t>
      </w:r>
      <w:r w:rsidRPr="00FE7221">
        <w:t xml:space="preserve">tatements are presented in a manner consistent with the principles of AASB 1049 </w:t>
      </w:r>
      <w:r w:rsidRPr="00FE7221">
        <w:rPr>
          <w:i/>
        </w:rPr>
        <w:t>Whole of Government and General Government Sector Financial Reporting</w:t>
      </w:r>
      <w:r w:rsidRPr="00FE7221">
        <w:t xml:space="preserve"> (AASB 1049). However, the prospective nature of these </w:t>
      </w:r>
      <w:r>
        <w:t>E</w:t>
      </w:r>
      <w:r w:rsidRPr="00FE7221">
        <w:t xml:space="preserve">stimated </w:t>
      </w:r>
      <w:r>
        <w:t>F</w:t>
      </w:r>
      <w:r w:rsidRPr="00FE7221">
        <w:t xml:space="preserve">inancial </w:t>
      </w:r>
      <w:r>
        <w:t>S</w:t>
      </w:r>
      <w:r w:rsidRPr="00FE7221">
        <w:t xml:space="preserve">tatements means that some AAS disclosures are neither relevant nor practical, and have been omitted. </w:t>
      </w:r>
      <w:r w:rsidRPr="00FE7221" w:rsidDel="009826C4">
        <w:t>Where appropriate, those AAS paragraphs relevant to not</w:t>
      </w:r>
      <w:r>
        <w:noBreakHyphen/>
      </w:r>
      <w:r w:rsidRPr="00FE7221" w:rsidDel="009826C4">
        <w:t>for</w:t>
      </w:r>
      <w:r>
        <w:noBreakHyphen/>
      </w:r>
      <w:r w:rsidRPr="00FE7221" w:rsidDel="009826C4">
        <w:t xml:space="preserve">profit entities have been applied. </w:t>
      </w:r>
      <w:r w:rsidRPr="00FE7221">
        <w:t>As AAS do not</w:t>
      </w:r>
      <w:r>
        <w:t xml:space="preserve"> prescribe requirements for preparing and presenting </w:t>
      </w:r>
      <w:r w:rsidRPr="00FE7221">
        <w:t xml:space="preserve">prospective financial statements, the </w:t>
      </w:r>
      <w:r>
        <w:t>E</w:t>
      </w:r>
      <w:r w:rsidRPr="00FE7221">
        <w:t xml:space="preserve">stimated </w:t>
      </w:r>
      <w:r>
        <w:t>F</w:t>
      </w:r>
      <w:r w:rsidRPr="00FE7221">
        <w:t xml:space="preserve">inancial </w:t>
      </w:r>
      <w:r>
        <w:t>S</w:t>
      </w:r>
      <w:r w:rsidRPr="00FE7221">
        <w:t xml:space="preserve">tatements have been prepared having regard to the principles set out in New Zealand Financial Reporting Standard 42 </w:t>
      </w:r>
      <w:r w:rsidRPr="00FE7221">
        <w:rPr>
          <w:i/>
        </w:rPr>
        <w:t>Prospective Financial Statements.</w:t>
      </w:r>
    </w:p>
    <w:p w:rsidR="00965D85" w:rsidRPr="00FE7221" w:rsidRDefault="00965D85" w:rsidP="008B46DF">
      <w:pPr>
        <w:rPr>
          <w:i/>
        </w:rPr>
      </w:pPr>
      <w:r w:rsidRPr="00FE7221">
        <w:t xml:space="preserve">The Government Finance Statistics (GFS) information included in this report is based on the </w:t>
      </w:r>
      <w:r w:rsidRPr="00FE7221">
        <w:rPr>
          <w:i/>
        </w:rPr>
        <w:t>Australian System of Government Finance Statistics: Concepts, Sources and Methods 2005 Cat</w:t>
      </w:r>
      <w:r w:rsidRPr="00FE7221">
        <w:t xml:space="preserve">. </w:t>
      </w:r>
      <w:r w:rsidRPr="00FE7221">
        <w:rPr>
          <w:i/>
        </w:rPr>
        <w:t>No. 5514.0.</w:t>
      </w:r>
      <w:r>
        <w:rPr>
          <w:i/>
        </w:rPr>
        <w:t xml:space="preserve"> </w:t>
      </w:r>
      <w:r w:rsidRPr="000B0EC9">
        <w:t>and the</w:t>
      </w:r>
      <w:r>
        <w:rPr>
          <w:i/>
        </w:rPr>
        <w:t xml:space="preserve"> Amendments to Australian System of Government Finance Statistics, 2005 (ABS Catalogue No 5514.0) (the GFS manual).</w:t>
      </w:r>
    </w:p>
    <w:p w:rsidR="00965D85" w:rsidRPr="00FE7221" w:rsidRDefault="00965D85" w:rsidP="008B46DF">
      <w:r w:rsidRPr="00FE7221">
        <w:t xml:space="preserve">The information presented in the </w:t>
      </w:r>
      <w:r>
        <w:t>E</w:t>
      </w:r>
      <w:r w:rsidRPr="00FE7221">
        <w:t xml:space="preserve">stimated </w:t>
      </w:r>
      <w:r>
        <w:t>F</w:t>
      </w:r>
      <w:r w:rsidRPr="00FE7221">
        <w:t xml:space="preserve">inancial </w:t>
      </w:r>
      <w:r>
        <w:t>S</w:t>
      </w:r>
      <w:r w:rsidRPr="00FE7221">
        <w:t>tatements takes into account all policy decisions take</w:t>
      </w:r>
      <w:r>
        <w:t>n by the Government</w:t>
      </w:r>
      <w:r w:rsidRPr="00FE7221">
        <w:t xml:space="preserve"> and circumstances that may have a material effect on the </w:t>
      </w:r>
      <w:r>
        <w:t>E</w:t>
      </w:r>
      <w:r w:rsidRPr="00FE7221">
        <w:t xml:space="preserve">stimated </w:t>
      </w:r>
      <w:r>
        <w:t>F</w:t>
      </w:r>
      <w:r w:rsidRPr="00FE7221">
        <w:t xml:space="preserve">inancial </w:t>
      </w:r>
      <w:r>
        <w:t>S</w:t>
      </w:r>
      <w:r w:rsidRPr="00FE7221">
        <w:t xml:space="preserve">tatements as at </w:t>
      </w:r>
      <w:r w:rsidRPr="00835F5A">
        <w:t>18 November 2015.</w:t>
      </w:r>
      <w:r w:rsidRPr="00FE7221">
        <w:t xml:space="preserve"> </w:t>
      </w:r>
    </w:p>
    <w:p w:rsidR="00965D85" w:rsidRPr="00FE7221" w:rsidRDefault="00965D85" w:rsidP="008B46DF">
      <w:pPr>
        <w:spacing w:after="0"/>
        <w:rPr>
          <w:rFonts w:ascii="Calibri" w:hAnsi="Calibri"/>
          <w:b/>
          <w:i/>
          <w:kern w:val="28"/>
          <w:sz w:val="24"/>
        </w:rPr>
      </w:pPr>
      <w:r w:rsidRPr="00FE7221">
        <w:br w:type="page"/>
      </w:r>
    </w:p>
    <w:p w:rsidR="00965D85" w:rsidRPr="00FE7221" w:rsidRDefault="00965D85" w:rsidP="008B46DF">
      <w:pPr>
        <w:pStyle w:val="Heading3Numbering"/>
      </w:pPr>
      <w:r w:rsidRPr="00FE7221">
        <w:lastRenderedPageBreak/>
        <w:t>Basis of accounting, preparation and measurement</w:t>
      </w:r>
    </w:p>
    <w:p w:rsidR="00965D85" w:rsidRPr="00FE7221" w:rsidRDefault="00965D85" w:rsidP="008B46DF">
      <w:r w:rsidRPr="00FE7221">
        <w:t>The Estimated Financial Statements have been prepared for the 201</w:t>
      </w:r>
      <w:r>
        <w:t>5</w:t>
      </w:r>
      <w:r>
        <w:noBreakHyphen/>
      </w:r>
      <w:r w:rsidRPr="00FE7221">
        <w:t>1</w:t>
      </w:r>
      <w:r>
        <w:t>6</w:t>
      </w:r>
      <w:r w:rsidRPr="00FE7221">
        <w:t xml:space="preserve"> year in accordance with accounting policies expected to be used in preparing historically oriented general purpose financial statements for that year, and the same accounting policies have been used for the subsequent forecast years.</w:t>
      </w:r>
    </w:p>
    <w:p w:rsidR="00965D85" w:rsidRPr="00FE7221" w:rsidRDefault="00965D85" w:rsidP="008B46DF">
      <w:r w:rsidRPr="00FE7221">
        <w:t xml:space="preserve">The accrual basis of accounting has been applied in the preparation of the </w:t>
      </w:r>
      <w:r>
        <w:t>E</w:t>
      </w:r>
      <w:r w:rsidRPr="00FE7221">
        <w:t xml:space="preserve">stimated </w:t>
      </w:r>
      <w:r>
        <w:t>F</w:t>
      </w:r>
      <w:r w:rsidRPr="00FE7221">
        <w:t xml:space="preserve">inancial </w:t>
      </w:r>
      <w:r>
        <w:t>S</w:t>
      </w:r>
      <w:r w:rsidRPr="00FE7221">
        <w:t>tatements whereby assets, liabilities, equity, revenue and expenses are recognised in the reporting period to which they relate, regardless of when cash is received or paid.</w:t>
      </w:r>
    </w:p>
    <w:p w:rsidR="00965D85" w:rsidRPr="00FE7221" w:rsidRDefault="00965D85" w:rsidP="008B46DF">
      <w:r w:rsidRPr="00FE7221">
        <w:t xml:space="preserve">The </w:t>
      </w:r>
      <w:r>
        <w:t>E</w:t>
      </w:r>
      <w:r w:rsidRPr="00FE7221">
        <w:t xml:space="preserve">stimated </w:t>
      </w:r>
      <w:r>
        <w:t>F</w:t>
      </w:r>
      <w:r w:rsidRPr="00FE7221">
        <w:t xml:space="preserve">inancial </w:t>
      </w:r>
      <w:r>
        <w:t>S</w:t>
      </w:r>
      <w:r w:rsidRPr="00FE7221">
        <w:t>tatements are presented in Australian dollars which is also the functional currency of the general government sector.</w:t>
      </w:r>
    </w:p>
    <w:p w:rsidR="00965D85" w:rsidRPr="00FE7221" w:rsidRDefault="00965D85" w:rsidP="008B46DF">
      <w:r w:rsidRPr="00FE7221">
        <w:t xml:space="preserve">Judgements, estimates and assumptions are required to be made about the carrying values of assets and liabilities that are not readily apparent from other sources. The estimates and associated assumptions are based on professional judgements derived from historical experience and various other factors that are believed to be reasonable under the circumstances. </w:t>
      </w:r>
      <w:r>
        <w:t>Given the prospective nature of the Estimated Financial Statements, a</w:t>
      </w:r>
      <w:r w:rsidRPr="00FE7221">
        <w:t xml:space="preserve">ctual results may differ from these estimates. Revisions to accounting estimates are recognised in the period in which the estimate is revised and also in future periods that are affected by the revision. </w:t>
      </w:r>
    </w:p>
    <w:p w:rsidR="00965D85" w:rsidRPr="00FE7221" w:rsidRDefault="00965D85" w:rsidP="008B46DF">
      <w:r w:rsidRPr="00FE7221">
        <w:t xml:space="preserve">The </w:t>
      </w:r>
      <w:r>
        <w:t>E</w:t>
      </w:r>
      <w:r w:rsidRPr="00FE7221">
        <w:t xml:space="preserve">stimated </w:t>
      </w:r>
      <w:r>
        <w:t>F</w:t>
      </w:r>
      <w:r w:rsidRPr="00FE7221">
        <w:t xml:space="preserve">inancial </w:t>
      </w:r>
      <w:r>
        <w:t>S</w:t>
      </w:r>
      <w:r w:rsidRPr="00FE7221">
        <w:t>tatements have been prepared in accordance with the historical cost convention. Historical cost is based on the fair values of the consideration given in exchange for assets. Exceptions to the historical cost convention include:</w:t>
      </w:r>
    </w:p>
    <w:p w:rsidR="00965D85" w:rsidRPr="004D25B1" w:rsidRDefault="00965D85" w:rsidP="008B46DF">
      <w:pPr>
        <w:pStyle w:val="BulletText"/>
      </w:pPr>
      <w:r w:rsidRPr="004D25B1">
        <w:t>general government sector investments in other sector entities that are measured at net asset value;</w:t>
      </w:r>
    </w:p>
    <w:p w:rsidR="00965D85" w:rsidRPr="004D25B1" w:rsidRDefault="00965D85" w:rsidP="008B46DF">
      <w:pPr>
        <w:pStyle w:val="BulletText"/>
      </w:pPr>
      <w:r w:rsidRPr="004D25B1">
        <w:t>non</w:t>
      </w:r>
      <w:r>
        <w:noBreakHyphen/>
      </w:r>
      <w:r w:rsidRPr="004D25B1">
        <w:t xml:space="preserve">financial physical assets which, subsequent to acquisition, are measured at a revalued amount being their fair value at the date of revaluation less any subsequent accumulated depreciation and subsequent impairment losses. Revaluations are made with sufficient regularity to ensure that the carrying amounts do not materially differ from their fair value; </w:t>
      </w:r>
    </w:p>
    <w:p w:rsidR="00965D85" w:rsidRPr="004D25B1" w:rsidRDefault="00965D85" w:rsidP="008B46DF">
      <w:pPr>
        <w:pStyle w:val="BulletText"/>
      </w:pPr>
      <w:r w:rsidRPr="004D25B1">
        <w:t>productive trees in commercial native forests, which are recognised at their fair value less costs to sell;</w:t>
      </w:r>
    </w:p>
    <w:p w:rsidR="00965D85" w:rsidRPr="004D25B1" w:rsidRDefault="00965D85" w:rsidP="008B46DF">
      <w:pPr>
        <w:pStyle w:val="BulletText"/>
      </w:pPr>
      <w:r w:rsidRPr="004D25B1">
        <w:t xml:space="preserve">derivative financial instruments, managed investment schemes, certain debt securities and investment properties after initial recognition, which are measured at fair value with changes reflected in the estimated comprehensive operating statement (fair value through profit and loss); </w:t>
      </w:r>
    </w:p>
    <w:p w:rsidR="00965D85" w:rsidRPr="004D25B1" w:rsidRDefault="00965D85" w:rsidP="008B46DF">
      <w:pPr>
        <w:pStyle w:val="BulletText"/>
      </w:pPr>
      <w:r w:rsidRPr="004D25B1">
        <w:t>certain liabilities, most notably unfunded superannuation and some insurance claim provisions, which are subject to an actuarial assessment; and</w:t>
      </w:r>
    </w:p>
    <w:p w:rsidR="00965D85" w:rsidRPr="004D25B1" w:rsidRDefault="00965D85" w:rsidP="008B46DF">
      <w:pPr>
        <w:pStyle w:val="BulletText"/>
      </w:pPr>
      <w:r w:rsidRPr="004D25B1">
        <w:t>available</w:t>
      </w:r>
      <w:r>
        <w:noBreakHyphen/>
      </w:r>
      <w:r w:rsidRPr="004D25B1">
        <w:t>for</w:t>
      </w:r>
      <w:r>
        <w:noBreakHyphen/>
      </w:r>
      <w:r w:rsidRPr="004D25B1">
        <w:t xml:space="preserve">sale investments which are measured at fair value with movements reflected in </w:t>
      </w:r>
      <w:r>
        <w:t>‘</w:t>
      </w:r>
      <w:r w:rsidRPr="004D25B1">
        <w:t>Other economic flows – other comprehensive income</w:t>
      </w:r>
      <w:r>
        <w:t>’</w:t>
      </w:r>
      <w:r w:rsidRPr="004D25B1">
        <w:t>.</w:t>
      </w:r>
    </w:p>
    <w:p w:rsidR="00965D85" w:rsidRPr="00FE7221" w:rsidRDefault="00965D85" w:rsidP="008B46DF">
      <w:r w:rsidRPr="00FE7221">
        <w:t xml:space="preserve">For assets and liabilities measured at fair value in the estimated balance sheet, the principles under AASB 13 </w:t>
      </w:r>
      <w:r w:rsidRPr="00FE7221">
        <w:rPr>
          <w:i/>
        </w:rPr>
        <w:t>Fair Value Measurement</w:t>
      </w:r>
      <w:r w:rsidRPr="00FE7221">
        <w:t xml:space="preserve"> have been applied. </w:t>
      </w:r>
    </w:p>
    <w:p w:rsidR="00965D85" w:rsidRPr="00FE7221" w:rsidRDefault="00965D85" w:rsidP="008B46DF">
      <w:r w:rsidRPr="00FE7221">
        <w:lastRenderedPageBreak/>
        <w:t xml:space="preserve">As required by AASB 1049, the estimated comprehensive operating statement distinguishes between </w:t>
      </w:r>
      <w:r>
        <w:t>‘T</w:t>
      </w:r>
      <w:r w:rsidRPr="00FE7221">
        <w:t>ransactions</w:t>
      </w:r>
      <w:r>
        <w:t>’</w:t>
      </w:r>
      <w:r w:rsidRPr="00FE7221">
        <w:t xml:space="preserve"> and </w:t>
      </w:r>
      <w:r>
        <w:t>‘O</w:t>
      </w:r>
      <w:r w:rsidRPr="00FE7221">
        <w:t>ther economic flows</w:t>
      </w:r>
      <w:r>
        <w:t>’</w:t>
      </w:r>
      <w:r w:rsidRPr="00FE7221">
        <w:t xml:space="preserve"> based on the principles in the ABS GFS manual. Transactions are defined as flows that arise as a result of government policy decisions, usually an interaction between two entities by mutual agreement. </w:t>
      </w:r>
      <w:r>
        <w:t>For example, t</w:t>
      </w:r>
      <w:r w:rsidRPr="00FE7221">
        <w:t xml:space="preserve">axation is regarded as mutually agreed </w:t>
      </w:r>
      <w:r>
        <w:t xml:space="preserve">interactions </w:t>
      </w:r>
      <w:r w:rsidRPr="00FE7221">
        <w:t xml:space="preserve">between the government and </w:t>
      </w:r>
      <w:r>
        <w:t xml:space="preserve">the </w:t>
      </w:r>
      <w:r w:rsidRPr="00FE7221">
        <w:t>taxpayer. Transactions also include flows within an organisation such as depreciation because the owner is seen as simultaneously acting as the owner of the depreciating asset and the consumer of the service provided by the asset. Transactions may be settled in kind or for cash.</w:t>
      </w:r>
    </w:p>
    <w:p w:rsidR="00965D85" w:rsidRDefault="00965D85" w:rsidP="008B46DF">
      <w:r>
        <w:t>‘Other e</w:t>
      </w:r>
      <w:r w:rsidRPr="00FE7221">
        <w:t>conomic flows</w:t>
      </w:r>
      <w:r>
        <w:t>’</w:t>
      </w:r>
      <w:r w:rsidRPr="00FE7221">
        <w:t xml:space="preserve"> are changes arising from market remeasurements or other changes in the volume of assets. They include</w:t>
      </w:r>
      <w:r>
        <w:t>:</w:t>
      </w:r>
      <w:r w:rsidRPr="00FE7221">
        <w:t xml:space="preserve"> </w:t>
      </w:r>
    </w:p>
    <w:p w:rsidR="00965D85" w:rsidRDefault="00965D85" w:rsidP="008B46DF">
      <w:pPr>
        <w:pStyle w:val="BulletText"/>
      </w:pPr>
      <w:r w:rsidRPr="00F67038">
        <w:t>gains and losses from disposals</w:t>
      </w:r>
      <w:r>
        <w:t>;</w:t>
      </w:r>
    </w:p>
    <w:p w:rsidR="00965D85" w:rsidRDefault="00965D85" w:rsidP="008B46DF">
      <w:pPr>
        <w:pStyle w:val="BulletText"/>
      </w:pPr>
      <w:r w:rsidRPr="00F67038">
        <w:t>revaluations and impairments of non</w:t>
      </w:r>
      <w:r>
        <w:noBreakHyphen/>
      </w:r>
      <w:r w:rsidRPr="00F67038">
        <w:t>financial physical and intangible assets</w:t>
      </w:r>
      <w:r>
        <w:t>;</w:t>
      </w:r>
      <w:r w:rsidRPr="00F67038">
        <w:t xml:space="preserve"> </w:t>
      </w:r>
    </w:p>
    <w:p w:rsidR="00965D85" w:rsidRDefault="00965D85" w:rsidP="008B46DF">
      <w:pPr>
        <w:pStyle w:val="BulletText"/>
      </w:pPr>
      <w:r>
        <w:t>remeasurement</w:t>
      </w:r>
      <w:r w:rsidRPr="00F67038">
        <w:t xml:space="preserve"> arising from defined benefit superannuation plans</w:t>
      </w:r>
      <w:r>
        <w:t>;</w:t>
      </w:r>
    </w:p>
    <w:p w:rsidR="00965D85" w:rsidRDefault="00965D85" w:rsidP="008B46DF">
      <w:pPr>
        <w:pStyle w:val="BulletText"/>
      </w:pPr>
      <w:r w:rsidRPr="00F67038">
        <w:t>fair value changes of financial instruments and agricultural assets</w:t>
      </w:r>
      <w:r>
        <w:t>;</w:t>
      </w:r>
      <w:r w:rsidRPr="00F67038">
        <w:t xml:space="preserve"> and </w:t>
      </w:r>
    </w:p>
    <w:p w:rsidR="00965D85" w:rsidRPr="00F67038" w:rsidRDefault="00965D85" w:rsidP="008B46DF">
      <w:pPr>
        <w:pStyle w:val="BulletText"/>
      </w:pPr>
      <w:r w:rsidRPr="00F67038">
        <w:t>depletion of natural assets (non</w:t>
      </w:r>
      <w:r>
        <w:noBreakHyphen/>
      </w:r>
      <w:r w:rsidRPr="00F67038">
        <w:t>produced) from their use or removal.</w:t>
      </w:r>
    </w:p>
    <w:p w:rsidR="00965D85" w:rsidRPr="00FE7221" w:rsidRDefault="00965D85" w:rsidP="008B46DF">
      <w:pPr>
        <w:pStyle w:val="Heading3Numbering"/>
      </w:pPr>
      <w:r w:rsidRPr="00FE7221">
        <w:t>Reporting entity</w:t>
      </w:r>
    </w:p>
    <w:p w:rsidR="00965D85" w:rsidRPr="00FE7221" w:rsidRDefault="00965D85" w:rsidP="008B46DF">
      <w:r w:rsidRPr="00FE7221">
        <w:t>The Estimated Financial Statements are prepared for the general government sector</w:t>
      </w:r>
      <w:r>
        <w:t>,</w:t>
      </w:r>
      <w:r w:rsidRPr="00FE7221">
        <w:t xml:space="preserve"> which includes all government departments, offices and other bodies engaged in providing services free of charge or at prices significantly below their cost of production. The primary function of entities in the</w:t>
      </w:r>
      <w:r>
        <w:t xml:space="preserve"> </w:t>
      </w:r>
      <w:r w:rsidRPr="00FE7221">
        <w:t>general government sector is to provide public services (outputs), which are mainly non</w:t>
      </w:r>
      <w:r>
        <w:noBreakHyphen/>
      </w:r>
      <w:r w:rsidRPr="00FE7221">
        <w:t xml:space="preserve">market in nature, for the collective consumption of the community, and involve the transfer or redistribution of revenue that is financed mainly through taxes and other compulsory levies. </w:t>
      </w:r>
    </w:p>
    <w:p w:rsidR="00965D85" w:rsidRPr="00FE7221" w:rsidRDefault="00965D85" w:rsidP="008B46DF">
      <w:r w:rsidRPr="00FE7221">
        <w:t>The general government sector is not a separate entity but represents a sector within the State of Victoria whole of government reporting entity. Unless otherwise noted, accounting policies applied by the State apply equally to the general government sector.</w:t>
      </w:r>
    </w:p>
    <w:p w:rsidR="00965D85" w:rsidRPr="00FE7221" w:rsidRDefault="00965D85" w:rsidP="008B46DF">
      <w:pPr>
        <w:pStyle w:val="Heading3Numbering"/>
      </w:pPr>
      <w:r w:rsidRPr="00FE7221">
        <w:t>Basis of consolidation</w:t>
      </w:r>
    </w:p>
    <w:p w:rsidR="00965D85" w:rsidRDefault="00965D85" w:rsidP="008B46DF">
      <w:pPr>
        <w:rPr>
          <w:i/>
        </w:rPr>
      </w:pPr>
      <w:r w:rsidRPr="00FE7221">
        <w:t xml:space="preserve">The </w:t>
      </w:r>
      <w:r>
        <w:t>E</w:t>
      </w:r>
      <w:r w:rsidRPr="00FE7221">
        <w:t xml:space="preserve">stimated </w:t>
      </w:r>
      <w:r>
        <w:t>F</w:t>
      </w:r>
      <w:r w:rsidRPr="00FE7221">
        <w:t xml:space="preserve">inancial </w:t>
      </w:r>
      <w:r>
        <w:t>S</w:t>
      </w:r>
      <w:r w:rsidRPr="00FE7221">
        <w:t xml:space="preserve">tatements present the consolidated assets and liabilities of all reporting entities in the general government sector, </w:t>
      </w:r>
      <w:r w:rsidRPr="000025D6">
        <w:t xml:space="preserve">and their revenue, gains and expenses for the respective period, consistent with the principles of AASB 1049 and AASB 10 </w:t>
      </w:r>
      <w:r w:rsidRPr="000025D6">
        <w:rPr>
          <w:i/>
        </w:rPr>
        <w:t>Consolidated Financial Statements.</w:t>
      </w:r>
      <w:r>
        <w:t xml:space="preserve"> </w:t>
      </w:r>
    </w:p>
    <w:p w:rsidR="00965D85" w:rsidRDefault="00965D85" w:rsidP="008B46DF">
      <w:r w:rsidRPr="00FE7221">
        <w:t>Where control of an entity is expected to be obtained during the financial period, its results are included in the estimated comprehensive operating statement from the date on which control will commence. Where control is expected to cease during a financial period, the entity</w:t>
      </w:r>
      <w:r>
        <w:t>’</w:t>
      </w:r>
      <w:r w:rsidRPr="00FE7221">
        <w:t>s results are included for that part of the period for which control would exist. Where dissimilar accounting policies are adopted by entities and their effect is considered material, adjustments are made to ensure consistent policies are adopted in the Estimated Financial Statements.</w:t>
      </w:r>
    </w:p>
    <w:p w:rsidR="00965D85" w:rsidRDefault="00965D85" w:rsidP="008B46DF">
      <w:r w:rsidRPr="00FE7221">
        <w:lastRenderedPageBreak/>
        <w:t>Entities in the public non</w:t>
      </w:r>
      <w:r>
        <w:noBreakHyphen/>
      </w:r>
      <w:r w:rsidRPr="00FE7221">
        <w:t>financial corporations (PNFC) and public financial corporations (PFC) sectors are not consolidated into the financial statements of the general government sector, but are accounted for as equity investments measured at the Government</w:t>
      </w:r>
      <w:r>
        <w:t>’</w:t>
      </w:r>
      <w:r w:rsidRPr="00FE7221">
        <w:t>s proportional share of the carrying amount of net assets of PNFC and PFC sector entities before consolidation eliminations. Where the carrying amount of an entity</w:t>
      </w:r>
      <w:r>
        <w:t>’</w:t>
      </w:r>
      <w:r w:rsidRPr="00FE7221">
        <w:t xml:space="preserve">s net assets before consolidation eliminations is less than zero, the amount is not included at the general government sector. </w:t>
      </w:r>
    </w:p>
    <w:p w:rsidR="00965D85" w:rsidRDefault="00965D85" w:rsidP="008B46DF">
      <w:r w:rsidRPr="00FE7221">
        <w:t>Any change in the carrying amount of the investment from period to period is accounted for as if the change in carrying amount is a change in fair value and accounted for in a manner consistent with AASB 139</w:t>
      </w:r>
      <w:r w:rsidRPr="00FE7221">
        <w:rPr>
          <w:i/>
        </w:rPr>
        <w:t xml:space="preserve"> Financial Instruments: Recognition and Measurement</w:t>
      </w:r>
      <w:r w:rsidRPr="00FE7221">
        <w:t xml:space="preserve"> and AASB 1049.</w:t>
      </w:r>
    </w:p>
    <w:p w:rsidR="00965D85" w:rsidRPr="00FE7221" w:rsidRDefault="00965D85" w:rsidP="008B46DF">
      <w:r w:rsidRPr="00FE7221">
        <w:t>In the process of reporting the general government sector, all material transactions and balances between entities within the sector are eliminated.</w:t>
      </w:r>
    </w:p>
    <w:p w:rsidR="00965D85" w:rsidRPr="00FE7221" w:rsidDel="00965749" w:rsidRDefault="00965D85" w:rsidP="008B46DF">
      <w:r w:rsidRPr="00FE7221" w:rsidDel="00965749">
        <w:t xml:space="preserve">The significant entities consolidated within the sector comprise those entities listed in Note 42 of Chapter 4 </w:t>
      </w:r>
      <w:r w:rsidRPr="00FE7221" w:rsidDel="00965749">
        <w:rPr>
          <w:i/>
        </w:rPr>
        <w:t>Annual Financial Report</w:t>
      </w:r>
      <w:r w:rsidRPr="00FE7221" w:rsidDel="00965749">
        <w:t xml:space="preserve"> of the </w:t>
      </w:r>
      <w:r w:rsidRPr="00FE7221" w:rsidDel="00965749">
        <w:rPr>
          <w:i/>
        </w:rPr>
        <w:t>201</w:t>
      </w:r>
      <w:r>
        <w:rPr>
          <w:i/>
        </w:rPr>
        <w:t>4</w:t>
      </w:r>
      <w:r>
        <w:rPr>
          <w:i/>
        </w:rPr>
        <w:noBreakHyphen/>
      </w:r>
      <w:r w:rsidRPr="00FE7221" w:rsidDel="00965749">
        <w:rPr>
          <w:i/>
        </w:rPr>
        <w:t>1</w:t>
      </w:r>
      <w:r>
        <w:rPr>
          <w:i/>
        </w:rPr>
        <w:t>5</w:t>
      </w:r>
      <w:r w:rsidRPr="00FE7221" w:rsidDel="00965749">
        <w:rPr>
          <w:i/>
        </w:rPr>
        <w:t xml:space="preserve"> Financial Report </w:t>
      </w:r>
      <w:r w:rsidRPr="00FE7221" w:rsidDel="00965749">
        <w:t xml:space="preserve">for the State of Victoria, except as stated in </w:t>
      </w:r>
      <w:r>
        <w:t xml:space="preserve">Note </w:t>
      </w:r>
      <w:r w:rsidRPr="00F25F6A">
        <w:t>27</w:t>
      </w:r>
      <w:r w:rsidRPr="00FE7221" w:rsidDel="00965749">
        <w:t xml:space="preserve"> of the Estimated Financial Statements.</w:t>
      </w:r>
    </w:p>
    <w:p w:rsidR="00965D85" w:rsidRPr="00FE7221" w:rsidRDefault="00965D85" w:rsidP="008B46DF">
      <w:pPr>
        <w:pStyle w:val="Heading3Numbering"/>
      </w:pPr>
      <w:r w:rsidRPr="00FE7221">
        <w:t>Rounding</w:t>
      </w:r>
    </w:p>
    <w:p w:rsidR="00965D85" w:rsidRPr="00FE7221" w:rsidRDefault="00965D85" w:rsidP="008B46DF">
      <w:r w:rsidRPr="006C2BAA">
        <w:t>All amounts in the Estimated Financial Statements have been rounded to the nearest $100 000 unless otherwise stated. Figures in the Estimated Financial Statements may not add due to rounding.</w:t>
      </w:r>
    </w:p>
    <w:p w:rsidR="00965D85" w:rsidRPr="00FE7221" w:rsidRDefault="00965D85" w:rsidP="008B46DF">
      <w:pPr>
        <w:pStyle w:val="Heading3Numbering"/>
      </w:pPr>
      <w:r w:rsidRPr="00FE7221">
        <w:t>Key financial measure</w:t>
      </w:r>
    </w:p>
    <w:p w:rsidR="00965D85" w:rsidRPr="00F97300" w:rsidRDefault="00965D85" w:rsidP="008B46DF">
      <w:r w:rsidRPr="00FE7221">
        <w:t>The</w:t>
      </w:r>
      <w:r>
        <w:t xml:space="preserve"> </w:t>
      </w:r>
      <w:r w:rsidRPr="00D00464">
        <w:t xml:space="preserve">Government expects to achieve a net operating surplus (net result from transactions) consistent with maintaining general government net debt at a sustainable level over the medium term, </w:t>
      </w:r>
      <w:r w:rsidRPr="00A40179">
        <w:t xml:space="preserve">as set out in </w:t>
      </w:r>
      <w:r w:rsidRPr="000B33D3">
        <w:t xml:space="preserve">Chapter 1 </w:t>
      </w:r>
      <w:r w:rsidRPr="000B33D3">
        <w:rPr>
          <w:i/>
        </w:rPr>
        <w:t>Economic and Fiscal Overview</w:t>
      </w:r>
      <w:r w:rsidRPr="000B33D3">
        <w:t>.</w:t>
      </w:r>
    </w:p>
    <w:p w:rsidR="00965D85" w:rsidRPr="00FE7221" w:rsidRDefault="00965D85" w:rsidP="008B46DF">
      <w:pPr>
        <w:pStyle w:val="Heading3Numbering"/>
      </w:pPr>
      <w:r w:rsidRPr="00FE7221">
        <w:t>Revised material economic and other assumptions</w:t>
      </w:r>
    </w:p>
    <w:p w:rsidR="00965D85" w:rsidRDefault="00965D85" w:rsidP="008B46DF">
      <w:pPr>
        <w:autoSpaceDE w:val="0"/>
        <w:autoSpaceDN w:val="0"/>
        <w:adjustRightInd w:val="0"/>
        <w:rPr>
          <w:rFonts w:cs="Garamond"/>
          <w:color w:val="000000"/>
        </w:rPr>
      </w:pPr>
      <w:r>
        <w:rPr>
          <w:rFonts w:cs="Garamond"/>
          <w:color w:val="000000"/>
        </w:rPr>
        <w:t xml:space="preserve">The estimated financial statements have been prepared using material economic and other assumptions listed below, which have been updated since the publication of the </w:t>
      </w:r>
      <w:r>
        <w:rPr>
          <w:rFonts w:cs="Garamond"/>
          <w:i/>
          <w:iCs/>
          <w:color w:val="000000"/>
        </w:rPr>
        <w:t>2015</w:t>
      </w:r>
      <w:r>
        <w:rPr>
          <w:rFonts w:cs="Garamond"/>
          <w:i/>
          <w:iCs/>
          <w:color w:val="000000"/>
        </w:rPr>
        <w:noBreakHyphen/>
        <w:t>16 Budget</w:t>
      </w:r>
      <w:r>
        <w:rPr>
          <w:rFonts w:cs="Garamond"/>
          <w:color w:val="000000"/>
        </w:rPr>
        <w:t>.</w:t>
      </w:r>
    </w:p>
    <w:p w:rsidR="00965D85" w:rsidRDefault="00965D85">
      <w:pPr>
        <w:spacing w:after="0"/>
        <w:rPr>
          <w:rFonts w:ascii="Calibri" w:hAnsi="Calibri"/>
          <w:b/>
        </w:rPr>
      </w:pPr>
      <w:r>
        <w:br w:type="page"/>
      </w:r>
    </w:p>
    <w:p w:rsidR="00965D85" w:rsidRPr="00FE7221" w:rsidRDefault="00965D85" w:rsidP="008B46DF">
      <w:pPr>
        <w:pStyle w:val="Tableheading"/>
      </w:pPr>
      <w:r w:rsidRPr="00FE7221">
        <w:lastRenderedPageBreak/>
        <w:t>Key economic assumptions</w:t>
      </w:r>
      <w:r w:rsidRPr="00FE7221">
        <w:rPr>
          <w:vertAlign w:val="superscript"/>
        </w:rPr>
        <w:t>(a)</w:t>
      </w:r>
    </w:p>
    <w:tbl>
      <w:tblPr>
        <w:tblW w:w="7811" w:type="dxa"/>
        <w:tblInd w:w="29" w:type="dxa"/>
        <w:tblLayout w:type="fixed"/>
        <w:tblCellMar>
          <w:left w:w="43" w:type="dxa"/>
          <w:right w:w="43" w:type="dxa"/>
        </w:tblCellMar>
        <w:tblLook w:val="04A0" w:firstRow="1" w:lastRow="0" w:firstColumn="1" w:lastColumn="0" w:noHBand="0" w:noVBand="1"/>
      </w:tblPr>
      <w:tblGrid>
        <w:gridCol w:w="4055"/>
        <w:gridCol w:w="854"/>
        <w:gridCol w:w="847"/>
        <w:gridCol w:w="1062"/>
        <w:gridCol w:w="993"/>
      </w:tblGrid>
      <w:tr w:rsidR="00965D85" w:rsidRPr="00031494" w:rsidTr="008B46DF">
        <w:trPr>
          <w:trHeight w:val="498"/>
        </w:trPr>
        <w:tc>
          <w:tcPr>
            <w:tcW w:w="4055" w:type="dxa"/>
            <w:tcBorders>
              <w:top w:val="single" w:sz="4" w:space="0" w:color="auto"/>
              <w:left w:val="single" w:sz="4" w:space="0" w:color="auto"/>
              <w:right w:val="nil"/>
            </w:tcBorders>
            <w:shd w:val="clear" w:color="auto" w:fill="000000"/>
          </w:tcPr>
          <w:p w:rsidR="00965D85" w:rsidRPr="00FE7221" w:rsidRDefault="00965D85" w:rsidP="008B46DF">
            <w:pPr>
              <w:spacing w:after="0"/>
              <w:ind w:left="180" w:hanging="180"/>
              <w:rPr>
                <w:rFonts w:ascii="Calibri" w:hAnsi="Calibri"/>
                <w:sz w:val="20"/>
                <w:szCs w:val="18"/>
                <w:lang w:eastAsia="en-AU"/>
              </w:rPr>
            </w:pPr>
            <w:r w:rsidRPr="00FE7221">
              <w:rPr>
                <w:rFonts w:ascii="Calibri" w:hAnsi="Calibri"/>
                <w:sz w:val="20"/>
                <w:szCs w:val="18"/>
                <w:lang w:eastAsia="en-AU"/>
              </w:rPr>
              <w:t xml:space="preserve"> </w:t>
            </w:r>
          </w:p>
        </w:tc>
        <w:tc>
          <w:tcPr>
            <w:tcW w:w="854" w:type="dxa"/>
            <w:tcBorders>
              <w:top w:val="single" w:sz="4" w:space="0" w:color="auto"/>
              <w:left w:val="nil"/>
              <w:right w:val="nil"/>
            </w:tcBorders>
            <w:shd w:val="clear" w:color="auto" w:fill="000000"/>
            <w:hideMark/>
          </w:tcPr>
          <w:p w:rsidR="00965D85" w:rsidRPr="00031494" w:rsidRDefault="00965D85" w:rsidP="008B46DF">
            <w:pPr>
              <w:pStyle w:val="Tabletextheading"/>
            </w:pPr>
            <w:r w:rsidRPr="00031494">
              <w:t>2015</w:t>
            </w:r>
            <w:r>
              <w:noBreakHyphen/>
            </w:r>
            <w:r w:rsidRPr="00031494">
              <w:t>16</w:t>
            </w:r>
          </w:p>
          <w:p w:rsidR="00965D85" w:rsidRPr="00031494" w:rsidRDefault="00965D85" w:rsidP="008B46DF">
            <w:pPr>
              <w:pStyle w:val="Tabletextheading"/>
            </w:pPr>
            <w:r w:rsidRPr="00031494">
              <w:t>forecast</w:t>
            </w:r>
          </w:p>
        </w:tc>
        <w:tc>
          <w:tcPr>
            <w:tcW w:w="847" w:type="dxa"/>
            <w:tcBorders>
              <w:top w:val="single" w:sz="4" w:space="0" w:color="auto"/>
              <w:left w:val="nil"/>
              <w:right w:val="nil"/>
            </w:tcBorders>
            <w:shd w:val="clear" w:color="auto" w:fill="000000"/>
            <w:hideMark/>
          </w:tcPr>
          <w:p w:rsidR="00965D85" w:rsidRPr="00031494" w:rsidRDefault="00965D85" w:rsidP="008B46DF">
            <w:pPr>
              <w:pStyle w:val="Tabletextheading"/>
            </w:pPr>
            <w:r w:rsidRPr="00031494">
              <w:t>2016</w:t>
            </w:r>
            <w:r>
              <w:noBreakHyphen/>
            </w:r>
            <w:r w:rsidRPr="00031494">
              <w:t>17</w:t>
            </w:r>
          </w:p>
          <w:p w:rsidR="00965D85" w:rsidRPr="00031494" w:rsidRDefault="00965D85" w:rsidP="008B46DF">
            <w:pPr>
              <w:pStyle w:val="Tabletextheading"/>
            </w:pPr>
            <w:r w:rsidRPr="00031494">
              <w:t>forecast</w:t>
            </w:r>
          </w:p>
        </w:tc>
        <w:tc>
          <w:tcPr>
            <w:tcW w:w="1062" w:type="dxa"/>
            <w:tcBorders>
              <w:top w:val="single" w:sz="4" w:space="0" w:color="auto"/>
              <w:left w:val="nil"/>
              <w:right w:val="nil"/>
            </w:tcBorders>
            <w:shd w:val="clear" w:color="auto" w:fill="000000"/>
            <w:hideMark/>
          </w:tcPr>
          <w:p w:rsidR="00965D85" w:rsidRPr="00031494" w:rsidRDefault="00965D85" w:rsidP="008B46DF">
            <w:pPr>
              <w:pStyle w:val="Tabletextheading"/>
            </w:pPr>
            <w:r w:rsidRPr="00031494">
              <w:t>2017</w:t>
            </w:r>
            <w:r>
              <w:noBreakHyphen/>
            </w:r>
            <w:r w:rsidRPr="00031494">
              <w:t>18</w:t>
            </w:r>
          </w:p>
          <w:p w:rsidR="00965D85" w:rsidRPr="00031494" w:rsidRDefault="00965D85" w:rsidP="008B46DF">
            <w:pPr>
              <w:pStyle w:val="Tabletextheading"/>
            </w:pPr>
            <w:r w:rsidRPr="00031494">
              <w:t>projection</w:t>
            </w:r>
          </w:p>
        </w:tc>
        <w:tc>
          <w:tcPr>
            <w:tcW w:w="993" w:type="dxa"/>
            <w:tcBorders>
              <w:top w:val="single" w:sz="4" w:space="0" w:color="auto"/>
              <w:left w:val="nil"/>
              <w:right w:val="single" w:sz="4" w:space="0" w:color="auto"/>
            </w:tcBorders>
            <w:shd w:val="clear" w:color="auto" w:fill="000000"/>
            <w:hideMark/>
          </w:tcPr>
          <w:p w:rsidR="00965D85" w:rsidRPr="00031494" w:rsidRDefault="00965D85" w:rsidP="008B46DF">
            <w:pPr>
              <w:pStyle w:val="Tabletextheading"/>
            </w:pPr>
            <w:r w:rsidRPr="00031494">
              <w:t>2018</w:t>
            </w:r>
            <w:r>
              <w:noBreakHyphen/>
            </w:r>
            <w:r w:rsidRPr="00031494">
              <w:t>19</w:t>
            </w:r>
          </w:p>
          <w:p w:rsidR="00965D85" w:rsidRPr="00031494" w:rsidRDefault="00965D85" w:rsidP="008B46DF">
            <w:pPr>
              <w:pStyle w:val="Tabletextheading"/>
            </w:pPr>
            <w:r w:rsidRPr="00031494">
              <w:t>projection</w:t>
            </w:r>
          </w:p>
        </w:tc>
      </w:tr>
      <w:tr w:rsidR="00965D85" w:rsidRPr="00FE7221" w:rsidTr="008B46DF">
        <w:tc>
          <w:tcPr>
            <w:tcW w:w="4055" w:type="dxa"/>
            <w:tcBorders>
              <w:top w:val="single" w:sz="4" w:space="0" w:color="auto"/>
              <w:left w:val="nil"/>
              <w:bottom w:val="nil"/>
              <w:right w:val="nil"/>
            </w:tcBorders>
            <w:hideMark/>
          </w:tcPr>
          <w:p w:rsidR="00965D85" w:rsidRPr="00FE7221" w:rsidRDefault="00965D85" w:rsidP="008B46DF">
            <w:pPr>
              <w:pStyle w:val="Tabletext"/>
              <w:rPr>
                <w:lang w:eastAsia="en-AU"/>
              </w:rPr>
            </w:pPr>
            <w:r w:rsidRPr="00FE7221">
              <w:rPr>
                <w:lang w:eastAsia="en-AU"/>
              </w:rPr>
              <w:t xml:space="preserve"> </w:t>
            </w:r>
          </w:p>
        </w:tc>
        <w:tc>
          <w:tcPr>
            <w:tcW w:w="3756" w:type="dxa"/>
            <w:gridSpan w:val="4"/>
            <w:tcBorders>
              <w:top w:val="single" w:sz="4" w:space="0" w:color="auto"/>
              <w:left w:val="nil"/>
              <w:bottom w:val="nil"/>
              <w:right w:val="nil"/>
            </w:tcBorders>
            <w:hideMark/>
          </w:tcPr>
          <w:p w:rsidR="00965D85" w:rsidRPr="00FE7221" w:rsidRDefault="00965D85" w:rsidP="008B46DF">
            <w:pPr>
              <w:pStyle w:val="million"/>
              <w:rPr>
                <w:lang w:eastAsia="en-AU"/>
              </w:rPr>
            </w:pPr>
            <w:r>
              <w:rPr>
                <w:lang w:eastAsia="en-AU"/>
              </w:rPr>
              <w:t>($ billion)</w:t>
            </w:r>
          </w:p>
        </w:tc>
      </w:tr>
      <w:tr w:rsidR="00965D85" w:rsidRPr="00FE7221" w:rsidTr="008B46DF">
        <w:tc>
          <w:tcPr>
            <w:tcW w:w="4055" w:type="dxa"/>
            <w:hideMark/>
          </w:tcPr>
          <w:p w:rsidR="00965D85" w:rsidRPr="00FE7221" w:rsidRDefault="00965D85" w:rsidP="008B46DF">
            <w:pPr>
              <w:pStyle w:val="Tabletext"/>
              <w:rPr>
                <w:lang w:eastAsia="en-AU"/>
              </w:rPr>
            </w:pPr>
            <w:r w:rsidRPr="00FE7221">
              <w:rPr>
                <w:lang w:eastAsia="en-AU"/>
              </w:rPr>
              <w:t>Nominal gross state product</w:t>
            </w:r>
          </w:p>
        </w:tc>
        <w:tc>
          <w:tcPr>
            <w:tcW w:w="854" w:type="dxa"/>
          </w:tcPr>
          <w:p w:rsidR="00965D85" w:rsidRPr="00030371" w:rsidRDefault="00965D85" w:rsidP="008B46DF">
            <w:pPr>
              <w:pStyle w:val="TableofFigures"/>
              <w:rPr>
                <w:rFonts w:eastAsiaTheme="minorEastAsia"/>
                <w:lang w:eastAsia="en-AU"/>
              </w:rPr>
            </w:pPr>
            <w:r>
              <w:rPr>
                <w:rFonts w:eastAsiaTheme="minorEastAsia"/>
                <w:lang w:eastAsia="en-AU"/>
              </w:rPr>
              <w:t>378.8</w:t>
            </w:r>
          </w:p>
        </w:tc>
        <w:tc>
          <w:tcPr>
            <w:tcW w:w="847" w:type="dxa"/>
          </w:tcPr>
          <w:p w:rsidR="00965D85" w:rsidRPr="00030371" w:rsidRDefault="00965D85" w:rsidP="008B46DF">
            <w:pPr>
              <w:pStyle w:val="TableofFigures"/>
              <w:rPr>
                <w:rFonts w:eastAsiaTheme="minorEastAsia"/>
                <w:lang w:eastAsia="en-AU"/>
              </w:rPr>
            </w:pPr>
            <w:r>
              <w:rPr>
                <w:rFonts w:eastAsiaTheme="minorEastAsia"/>
                <w:lang w:eastAsia="en-AU"/>
              </w:rPr>
              <w:t>399.8</w:t>
            </w:r>
          </w:p>
        </w:tc>
        <w:tc>
          <w:tcPr>
            <w:tcW w:w="1062" w:type="dxa"/>
          </w:tcPr>
          <w:p w:rsidR="00965D85" w:rsidRPr="00030371" w:rsidRDefault="00965D85" w:rsidP="008B46DF">
            <w:pPr>
              <w:pStyle w:val="TableofFigures"/>
              <w:rPr>
                <w:rFonts w:eastAsiaTheme="minorEastAsia"/>
                <w:lang w:eastAsia="en-AU"/>
              </w:rPr>
            </w:pPr>
            <w:r>
              <w:rPr>
                <w:rFonts w:eastAsiaTheme="minorEastAsia"/>
                <w:lang w:eastAsia="en-AU"/>
              </w:rPr>
              <w:t>422.1</w:t>
            </w:r>
          </w:p>
        </w:tc>
        <w:tc>
          <w:tcPr>
            <w:tcW w:w="993" w:type="dxa"/>
          </w:tcPr>
          <w:p w:rsidR="00965D85" w:rsidRPr="00030371" w:rsidRDefault="00965D85" w:rsidP="008B46DF">
            <w:pPr>
              <w:pStyle w:val="TableofFigures"/>
              <w:rPr>
                <w:rFonts w:eastAsiaTheme="minorEastAsia"/>
                <w:lang w:eastAsia="en-AU"/>
              </w:rPr>
            </w:pPr>
            <w:r>
              <w:rPr>
                <w:rFonts w:eastAsiaTheme="minorEastAsia"/>
                <w:lang w:eastAsia="en-AU"/>
              </w:rPr>
              <w:t>445.6</w:t>
            </w:r>
          </w:p>
        </w:tc>
      </w:tr>
      <w:tr w:rsidR="00965D85" w:rsidRPr="00FE7221" w:rsidTr="008B46DF">
        <w:tc>
          <w:tcPr>
            <w:tcW w:w="4055" w:type="dxa"/>
            <w:hideMark/>
          </w:tcPr>
          <w:p w:rsidR="00965D85" w:rsidRPr="00FE7221" w:rsidRDefault="00965D85" w:rsidP="008B46DF">
            <w:pPr>
              <w:pStyle w:val="Tabletext"/>
              <w:rPr>
                <w:lang w:eastAsia="en-AU"/>
              </w:rPr>
            </w:pPr>
            <w:r w:rsidRPr="00FE7221">
              <w:rPr>
                <w:lang w:eastAsia="en-AU"/>
              </w:rPr>
              <w:t xml:space="preserve"> </w:t>
            </w:r>
          </w:p>
        </w:tc>
        <w:tc>
          <w:tcPr>
            <w:tcW w:w="3756" w:type="dxa"/>
            <w:gridSpan w:val="4"/>
            <w:hideMark/>
          </w:tcPr>
          <w:p w:rsidR="00965D85" w:rsidRPr="00FE7221" w:rsidRDefault="00965D85" w:rsidP="008B46DF">
            <w:pPr>
              <w:pStyle w:val="million"/>
              <w:rPr>
                <w:lang w:eastAsia="en-AU"/>
              </w:rPr>
            </w:pPr>
            <w:r w:rsidRPr="00FE7221">
              <w:t xml:space="preserve">(percentage change) </w:t>
            </w:r>
            <w:r w:rsidRPr="00FE7221">
              <w:rPr>
                <w:vertAlign w:val="superscript"/>
              </w:rPr>
              <w:t>(b)</w:t>
            </w:r>
          </w:p>
        </w:tc>
      </w:tr>
      <w:tr w:rsidR="00965D85" w:rsidRPr="00031494" w:rsidTr="008B46DF">
        <w:trPr>
          <w:trHeight w:val="145"/>
        </w:trPr>
        <w:tc>
          <w:tcPr>
            <w:tcW w:w="4055" w:type="dxa"/>
            <w:hideMark/>
          </w:tcPr>
          <w:p w:rsidR="00965D85" w:rsidRPr="00FE7221" w:rsidRDefault="00965D85" w:rsidP="008B46DF">
            <w:pPr>
              <w:pStyle w:val="Tabletext"/>
              <w:rPr>
                <w:lang w:eastAsia="en-AU"/>
              </w:rPr>
            </w:pPr>
            <w:r w:rsidRPr="00FE7221">
              <w:rPr>
                <w:lang w:eastAsia="en-AU"/>
              </w:rPr>
              <w:t>Real gross state product</w:t>
            </w:r>
          </w:p>
        </w:tc>
        <w:tc>
          <w:tcPr>
            <w:tcW w:w="854" w:type="dxa"/>
          </w:tcPr>
          <w:p w:rsidR="00965D85" w:rsidRPr="00030371" w:rsidRDefault="00965D85" w:rsidP="008B46DF">
            <w:pPr>
              <w:pStyle w:val="TableofFigures"/>
              <w:rPr>
                <w:rFonts w:eastAsiaTheme="minorEastAsia"/>
                <w:lang w:eastAsia="en-AU"/>
              </w:rPr>
            </w:pPr>
            <w:r>
              <w:rPr>
                <w:rFonts w:eastAsiaTheme="minorEastAsia"/>
                <w:lang w:eastAsia="en-AU"/>
              </w:rPr>
              <w:t>2.50</w:t>
            </w:r>
          </w:p>
        </w:tc>
        <w:tc>
          <w:tcPr>
            <w:tcW w:w="847" w:type="dxa"/>
          </w:tcPr>
          <w:p w:rsidR="00965D85" w:rsidRPr="00030371" w:rsidRDefault="00965D85" w:rsidP="008B46DF">
            <w:pPr>
              <w:pStyle w:val="TableofFigures"/>
              <w:rPr>
                <w:rFonts w:eastAsiaTheme="minorEastAsia"/>
                <w:lang w:eastAsia="en-AU"/>
              </w:rPr>
            </w:pPr>
            <w:r>
              <w:rPr>
                <w:rFonts w:eastAsiaTheme="minorEastAsia"/>
                <w:lang w:eastAsia="en-AU"/>
              </w:rPr>
              <w:t>2.75</w:t>
            </w:r>
          </w:p>
        </w:tc>
        <w:tc>
          <w:tcPr>
            <w:tcW w:w="1062" w:type="dxa"/>
          </w:tcPr>
          <w:p w:rsidR="00965D85" w:rsidRPr="00030371" w:rsidRDefault="00965D85" w:rsidP="008B46DF">
            <w:pPr>
              <w:pStyle w:val="TableofFigures"/>
              <w:rPr>
                <w:rFonts w:eastAsiaTheme="minorEastAsia"/>
                <w:lang w:eastAsia="en-AU"/>
              </w:rPr>
            </w:pPr>
            <w:r w:rsidRPr="00030371">
              <w:rPr>
                <w:rFonts w:eastAsiaTheme="minorEastAsia"/>
                <w:lang w:eastAsia="en-AU"/>
              </w:rPr>
              <w:t>2.75</w:t>
            </w:r>
          </w:p>
        </w:tc>
        <w:tc>
          <w:tcPr>
            <w:tcW w:w="993" w:type="dxa"/>
          </w:tcPr>
          <w:p w:rsidR="00965D85" w:rsidRPr="00030371" w:rsidRDefault="00965D85" w:rsidP="008B46DF">
            <w:pPr>
              <w:pStyle w:val="TableofFigures"/>
              <w:rPr>
                <w:rFonts w:eastAsiaTheme="minorEastAsia"/>
                <w:lang w:eastAsia="en-AU"/>
              </w:rPr>
            </w:pPr>
            <w:r w:rsidRPr="00030371">
              <w:rPr>
                <w:rFonts w:eastAsiaTheme="minorEastAsia"/>
                <w:lang w:eastAsia="en-AU"/>
              </w:rPr>
              <w:t>2.75</w:t>
            </w:r>
          </w:p>
        </w:tc>
      </w:tr>
      <w:tr w:rsidR="00965D85" w:rsidRPr="00031494" w:rsidTr="008B46DF">
        <w:tc>
          <w:tcPr>
            <w:tcW w:w="4055" w:type="dxa"/>
            <w:hideMark/>
          </w:tcPr>
          <w:p w:rsidR="00965D85" w:rsidRPr="00FE7221" w:rsidRDefault="00965D85" w:rsidP="008B46DF">
            <w:pPr>
              <w:pStyle w:val="Tabletext"/>
              <w:rPr>
                <w:lang w:eastAsia="en-AU"/>
              </w:rPr>
            </w:pPr>
            <w:r w:rsidRPr="00FE7221">
              <w:rPr>
                <w:lang w:eastAsia="en-AU"/>
              </w:rPr>
              <w:t>Employment</w:t>
            </w:r>
          </w:p>
        </w:tc>
        <w:tc>
          <w:tcPr>
            <w:tcW w:w="854" w:type="dxa"/>
          </w:tcPr>
          <w:p w:rsidR="00965D85" w:rsidRPr="00030371" w:rsidRDefault="00965D85" w:rsidP="008B46DF">
            <w:pPr>
              <w:pStyle w:val="TableofFigures"/>
              <w:rPr>
                <w:rFonts w:eastAsiaTheme="minorEastAsia"/>
                <w:lang w:eastAsia="en-AU"/>
              </w:rPr>
            </w:pPr>
            <w:r>
              <w:rPr>
                <w:rFonts w:eastAsiaTheme="minorEastAsia"/>
                <w:lang w:eastAsia="en-AU"/>
              </w:rPr>
              <w:t>1.50</w:t>
            </w:r>
          </w:p>
        </w:tc>
        <w:tc>
          <w:tcPr>
            <w:tcW w:w="847" w:type="dxa"/>
          </w:tcPr>
          <w:p w:rsidR="00965D85" w:rsidRPr="00030371" w:rsidRDefault="00965D85" w:rsidP="008B46DF">
            <w:pPr>
              <w:pStyle w:val="TableofFigures"/>
              <w:rPr>
                <w:rFonts w:eastAsiaTheme="minorEastAsia"/>
                <w:lang w:eastAsia="en-AU"/>
              </w:rPr>
            </w:pPr>
            <w:r w:rsidRPr="00030371">
              <w:rPr>
                <w:rFonts w:eastAsiaTheme="minorEastAsia"/>
                <w:lang w:eastAsia="en-AU"/>
              </w:rPr>
              <w:t>1.50</w:t>
            </w:r>
          </w:p>
        </w:tc>
        <w:tc>
          <w:tcPr>
            <w:tcW w:w="1062" w:type="dxa"/>
          </w:tcPr>
          <w:p w:rsidR="00965D85" w:rsidRPr="00030371" w:rsidRDefault="00965D85" w:rsidP="008B46DF">
            <w:pPr>
              <w:pStyle w:val="TableofFigures"/>
              <w:rPr>
                <w:rFonts w:eastAsiaTheme="minorEastAsia"/>
                <w:lang w:eastAsia="en-AU"/>
              </w:rPr>
            </w:pPr>
            <w:r w:rsidRPr="00030371">
              <w:rPr>
                <w:rFonts w:eastAsiaTheme="minorEastAsia"/>
                <w:lang w:eastAsia="en-AU"/>
              </w:rPr>
              <w:t>1.50</w:t>
            </w:r>
          </w:p>
        </w:tc>
        <w:tc>
          <w:tcPr>
            <w:tcW w:w="993" w:type="dxa"/>
          </w:tcPr>
          <w:p w:rsidR="00965D85" w:rsidRPr="00030371" w:rsidRDefault="00965D85" w:rsidP="008B46DF">
            <w:pPr>
              <w:pStyle w:val="TableofFigures"/>
              <w:rPr>
                <w:rFonts w:eastAsiaTheme="minorEastAsia"/>
                <w:lang w:eastAsia="en-AU"/>
              </w:rPr>
            </w:pPr>
            <w:r w:rsidRPr="00030371">
              <w:rPr>
                <w:rFonts w:eastAsiaTheme="minorEastAsia"/>
                <w:lang w:eastAsia="en-AU"/>
              </w:rPr>
              <w:t>1.50</w:t>
            </w:r>
          </w:p>
        </w:tc>
      </w:tr>
      <w:tr w:rsidR="00965D85" w:rsidRPr="00031494" w:rsidTr="008B46DF">
        <w:tc>
          <w:tcPr>
            <w:tcW w:w="4055" w:type="dxa"/>
            <w:hideMark/>
          </w:tcPr>
          <w:p w:rsidR="00965D85" w:rsidRPr="00FE7221" w:rsidRDefault="00965D85" w:rsidP="008B46DF">
            <w:pPr>
              <w:pStyle w:val="Tabletext"/>
              <w:rPr>
                <w:vertAlign w:val="superscript"/>
                <w:lang w:eastAsia="en-AU"/>
              </w:rPr>
            </w:pPr>
            <w:r w:rsidRPr="00FE7221">
              <w:rPr>
                <w:lang w:eastAsia="en-AU"/>
              </w:rPr>
              <w:t xml:space="preserve">Unemployment rate </w:t>
            </w:r>
          </w:p>
        </w:tc>
        <w:tc>
          <w:tcPr>
            <w:tcW w:w="854" w:type="dxa"/>
          </w:tcPr>
          <w:p w:rsidR="00965D85" w:rsidRPr="00057DE7" w:rsidRDefault="00965D85" w:rsidP="008B46DF">
            <w:pPr>
              <w:pStyle w:val="TableofFigures"/>
              <w:rPr>
                <w:rFonts w:eastAsiaTheme="minorEastAsia"/>
              </w:rPr>
            </w:pPr>
            <w:r>
              <w:rPr>
                <w:rFonts w:eastAsiaTheme="minorEastAsia"/>
              </w:rPr>
              <w:t>6.25</w:t>
            </w:r>
          </w:p>
        </w:tc>
        <w:tc>
          <w:tcPr>
            <w:tcW w:w="847" w:type="dxa"/>
          </w:tcPr>
          <w:p w:rsidR="00965D85" w:rsidRPr="00030371" w:rsidRDefault="00965D85" w:rsidP="008B46DF">
            <w:pPr>
              <w:pStyle w:val="TableofFigures"/>
              <w:rPr>
                <w:rFonts w:eastAsiaTheme="minorEastAsia"/>
                <w:lang w:eastAsia="en-AU"/>
              </w:rPr>
            </w:pPr>
            <w:r>
              <w:rPr>
                <w:rFonts w:eastAsiaTheme="minorEastAsia"/>
                <w:lang w:eastAsia="en-AU"/>
              </w:rPr>
              <w:t>6.00</w:t>
            </w:r>
          </w:p>
        </w:tc>
        <w:tc>
          <w:tcPr>
            <w:tcW w:w="1062" w:type="dxa"/>
          </w:tcPr>
          <w:p w:rsidR="00965D85" w:rsidRPr="00030371" w:rsidRDefault="00965D85" w:rsidP="008B46DF">
            <w:pPr>
              <w:pStyle w:val="TableofFigures"/>
              <w:rPr>
                <w:rFonts w:eastAsiaTheme="minorEastAsia"/>
                <w:lang w:eastAsia="en-AU"/>
              </w:rPr>
            </w:pPr>
            <w:r>
              <w:rPr>
                <w:rFonts w:eastAsiaTheme="minorEastAsia"/>
                <w:lang w:eastAsia="en-AU"/>
              </w:rPr>
              <w:t>5.75</w:t>
            </w:r>
          </w:p>
        </w:tc>
        <w:tc>
          <w:tcPr>
            <w:tcW w:w="993" w:type="dxa"/>
          </w:tcPr>
          <w:p w:rsidR="00965D85" w:rsidRPr="00030371" w:rsidRDefault="00965D85" w:rsidP="008B46DF">
            <w:pPr>
              <w:pStyle w:val="TableofFigures"/>
              <w:rPr>
                <w:rFonts w:eastAsiaTheme="minorEastAsia"/>
                <w:lang w:eastAsia="en-AU"/>
              </w:rPr>
            </w:pPr>
            <w:r>
              <w:rPr>
                <w:rFonts w:eastAsiaTheme="minorEastAsia"/>
                <w:lang w:eastAsia="en-AU"/>
              </w:rPr>
              <w:t>5.50</w:t>
            </w:r>
          </w:p>
        </w:tc>
      </w:tr>
      <w:tr w:rsidR="00965D85" w:rsidRPr="00031494" w:rsidTr="008B46DF">
        <w:tc>
          <w:tcPr>
            <w:tcW w:w="4055" w:type="dxa"/>
            <w:hideMark/>
          </w:tcPr>
          <w:p w:rsidR="00965D85" w:rsidRPr="00FE7221" w:rsidRDefault="00965D85" w:rsidP="008B46DF">
            <w:pPr>
              <w:pStyle w:val="Tabletext"/>
              <w:rPr>
                <w:lang w:eastAsia="en-AU"/>
              </w:rPr>
            </w:pPr>
            <w:r w:rsidRPr="00FE7221">
              <w:rPr>
                <w:lang w:eastAsia="en-AU"/>
              </w:rPr>
              <w:t xml:space="preserve">Consumer price index </w:t>
            </w:r>
            <w:r w:rsidRPr="00FE7221">
              <w:rPr>
                <w:vertAlign w:val="superscript"/>
                <w:lang w:eastAsia="en-AU"/>
              </w:rPr>
              <w:t>(c)</w:t>
            </w:r>
          </w:p>
        </w:tc>
        <w:tc>
          <w:tcPr>
            <w:tcW w:w="854" w:type="dxa"/>
          </w:tcPr>
          <w:p w:rsidR="00965D85" w:rsidRPr="00030371" w:rsidRDefault="00965D85" w:rsidP="008B46DF">
            <w:pPr>
              <w:pStyle w:val="TableofFigures"/>
              <w:rPr>
                <w:rFonts w:eastAsiaTheme="minorEastAsia"/>
                <w:lang w:eastAsia="en-AU"/>
              </w:rPr>
            </w:pPr>
            <w:r>
              <w:rPr>
                <w:rFonts w:eastAsiaTheme="minorEastAsia"/>
                <w:lang w:eastAsia="en-AU"/>
              </w:rPr>
              <w:t>2.25</w:t>
            </w:r>
          </w:p>
        </w:tc>
        <w:tc>
          <w:tcPr>
            <w:tcW w:w="847" w:type="dxa"/>
          </w:tcPr>
          <w:p w:rsidR="00965D85" w:rsidRPr="00030371" w:rsidRDefault="00965D85" w:rsidP="008B46DF">
            <w:pPr>
              <w:pStyle w:val="TableofFigures"/>
              <w:rPr>
                <w:rFonts w:eastAsiaTheme="minorEastAsia"/>
                <w:lang w:eastAsia="en-AU"/>
              </w:rPr>
            </w:pPr>
            <w:r w:rsidRPr="00030371">
              <w:rPr>
                <w:rFonts w:eastAsiaTheme="minorEastAsia"/>
                <w:lang w:eastAsia="en-AU"/>
              </w:rPr>
              <w:t>2.</w:t>
            </w:r>
            <w:r>
              <w:rPr>
                <w:rFonts w:eastAsiaTheme="minorEastAsia"/>
                <w:lang w:eastAsia="en-AU"/>
              </w:rPr>
              <w:t>50</w:t>
            </w:r>
          </w:p>
        </w:tc>
        <w:tc>
          <w:tcPr>
            <w:tcW w:w="1062" w:type="dxa"/>
          </w:tcPr>
          <w:p w:rsidR="00965D85" w:rsidRPr="00030371" w:rsidRDefault="00965D85" w:rsidP="008B46DF">
            <w:pPr>
              <w:pStyle w:val="TableofFigures"/>
              <w:rPr>
                <w:rFonts w:eastAsiaTheme="minorEastAsia"/>
                <w:lang w:eastAsia="en-AU"/>
              </w:rPr>
            </w:pPr>
            <w:r w:rsidRPr="00030371">
              <w:rPr>
                <w:rFonts w:eastAsiaTheme="minorEastAsia"/>
                <w:lang w:eastAsia="en-AU"/>
              </w:rPr>
              <w:t>2.50</w:t>
            </w:r>
          </w:p>
        </w:tc>
        <w:tc>
          <w:tcPr>
            <w:tcW w:w="993" w:type="dxa"/>
          </w:tcPr>
          <w:p w:rsidR="00965D85" w:rsidRPr="00030371" w:rsidRDefault="00965D85" w:rsidP="008B46DF">
            <w:pPr>
              <w:pStyle w:val="TableofFigures"/>
              <w:rPr>
                <w:rFonts w:eastAsiaTheme="minorEastAsia"/>
                <w:lang w:eastAsia="en-AU"/>
              </w:rPr>
            </w:pPr>
            <w:r w:rsidRPr="00030371">
              <w:rPr>
                <w:rFonts w:eastAsiaTheme="minorEastAsia"/>
                <w:lang w:eastAsia="en-AU"/>
              </w:rPr>
              <w:t>2.50</w:t>
            </w:r>
          </w:p>
        </w:tc>
      </w:tr>
      <w:tr w:rsidR="00965D85" w:rsidRPr="00031494" w:rsidTr="008B46DF">
        <w:tc>
          <w:tcPr>
            <w:tcW w:w="4055" w:type="dxa"/>
            <w:hideMark/>
          </w:tcPr>
          <w:p w:rsidR="00965D85" w:rsidRPr="00FE7221" w:rsidRDefault="00965D85" w:rsidP="008B46DF">
            <w:pPr>
              <w:pStyle w:val="Tabletext"/>
              <w:rPr>
                <w:vertAlign w:val="superscript"/>
                <w:lang w:eastAsia="en-AU"/>
              </w:rPr>
            </w:pPr>
            <w:r w:rsidRPr="00FE7221">
              <w:rPr>
                <w:lang w:eastAsia="en-AU"/>
              </w:rPr>
              <w:t xml:space="preserve">Wage price index </w:t>
            </w:r>
            <w:r w:rsidRPr="00FE7221">
              <w:rPr>
                <w:vertAlign w:val="superscript"/>
                <w:lang w:eastAsia="en-AU"/>
              </w:rPr>
              <w:t>(d)</w:t>
            </w:r>
          </w:p>
        </w:tc>
        <w:tc>
          <w:tcPr>
            <w:tcW w:w="854" w:type="dxa"/>
          </w:tcPr>
          <w:p w:rsidR="00965D85" w:rsidRPr="00030371" w:rsidRDefault="00965D85" w:rsidP="008B46DF">
            <w:pPr>
              <w:pStyle w:val="TableofFigures"/>
              <w:rPr>
                <w:rFonts w:eastAsiaTheme="minorEastAsia"/>
                <w:lang w:eastAsia="en-AU"/>
              </w:rPr>
            </w:pPr>
            <w:r>
              <w:rPr>
                <w:rFonts w:eastAsiaTheme="minorEastAsia"/>
                <w:lang w:eastAsia="en-AU"/>
              </w:rPr>
              <w:t>3.00</w:t>
            </w:r>
          </w:p>
        </w:tc>
        <w:tc>
          <w:tcPr>
            <w:tcW w:w="847" w:type="dxa"/>
          </w:tcPr>
          <w:p w:rsidR="00965D85" w:rsidRPr="00030371" w:rsidRDefault="00965D85" w:rsidP="008B46DF">
            <w:pPr>
              <w:pStyle w:val="TableofFigures"/>
              <w:rPr>
                <w:rFonts w:eastAsiaTheme="minorEastAsia"/>
                <w:lang w:eastAsia="en-AU"/>
              </w:rPr>
            </w:pPr>
            <w:r w:rsidRPr="00030371">
              <w:rPr>
                <w:rFonts w:eastAsiaTheme="minorEastAsia"/>
                <w:lang w:eastAsia="en-AU"/>
              </w:rPr>
              <w:t>3.</w:t>
            </w:r>
            <w:r>
              <w:rPr>
                <w:rFonts w:eastAsiaTheme="minorEastAsia"/>
                <w:lang w:eastAsia="en-AU"/>
              </w:rPr>
              <w:t>25</w:t>
            </w:r>
          </w:p>
        </w:tc>
        <w:tc>
          <w:tcPr>
            <w:tcW w:w="1062" w:type="dxa"/>
          </w:tcPr>
          <w:p w:rsidR="00965D85" w:rsidRPr="00030371" w:rsidRDefault="00965D85" w:rsidP="008B46DF">
            <w:pPr>
              <w:pStyle w:val="TableofFigures"/>
              <w:rPr>
                <w:rFonts w:eastAsiaTheme="minorEastAsia"/>
                <w:lang w:eastAsia="en-AU"/>
              </w:rPr>
            </w:pPr>
            <w:r w:rsidRPr="00030371">
              <w:rPr>
                <w:rFonts w:eastAsiaTheme="minorEastAsia"/>
                <w:lang w:eastAsia="en-AU"/>
              </w:rPr>
              <w:t>3.50</w:t>
            </w:r>
          </w:p>
        </w:tc>
        <w:tc>
          <w:tcPr>
            <w:tcW w:w="993" w:type="dxa"/>
          </w:tcPr>
          <w:p w:rsidR="00965D85" w:rsidRPr="00030371" w:rsidRDefault="00965D85" w:rsidP="008B46DF">
            <w:pPr>
              <w:pStyle w:val="TableofFigures"/>
              <w:rPr>
                <w:rFonts w:eastAsiaTheme="minorEastAsia"/>
                <w:lang w:eastAsia="en-AU"/>
              </w:rPr>
            </w:pPr>
            <w:r w:rsidRPr="00030371">
              <w:rPr>
                <w:rFonts w:eastAsiaTheme="minorEastAsia"/>
                <w:lang w:eastAsia="en-AU"/>
              </w:rPr>
              <w:t>3.50</w:t>
            </w:r>
          </w:p>
        </w:tc>
      </w:tr>
      <w:tr w:rsidR="00965D85" w:rsidRPr="00031494" w:rsidTr="008B46DF">
        <w:tc>
          <w:tcPr>
            <w:tcW w:w="4055" w:type="dxa"/>
            <w:tcBorders>
              <w:top w:val="nil"/>
              <w:left w:val="nil"/>
              <w:bottom w:val="single" w:sz="12" w:space="0" w:color="auto"/>
              <w:right w:val="nil"/>
            </w:tcBorders>
            <w:hideMark/>
          </w:tcPr>
          <w:p w:rsidR="00965D85" w:rsidRPr="00FE7221" w:rsidRDefault="00965D85" w:rsidP="008B46DF">
            <w:pPr>
              <w:pStyle w:val="Tabletext"/>
              <w:rPr>
                <w:vertAlign w:val="superscript"/>
                <w:lang w:eastAsia="en-AU"/>
              </w:rPr>
            </w:pPr>
            <w:r w:rsidRPr="00FE7221">
              <w:rPr>
                <w:lang w:eastAsia="en-AU"/>
              </w:rPr>
              <w:t xml:space="preserve">Population </w:t>
            </w:r>
          </w:p>
        </w:tc>
        <w:tc>
          <w:tcPr>
            <w:tcW w:w="854" w:type="dxa"/>
            <w:tcBorders>
              <w:top w:val="nil"/>
              <w:left w:val="nil"/>
              <w:bottom w:val="single" w:sz="12" w:space="0" w:color="auto"/>
              <w:right w:val="nil"/>
            </w:tcBorders>
          </w:tcPr>
          <w:p w:rsidR="00965D85" w:rsidRPr="00030371" w:rsidRDefault="00965D85" w:rsidP="008B46DF">
            <w:pPr>
              <w:pStyle w:val="TableofFigures"/>
              <w:rPr>
                <w:rFonts w:eastAsiaTheme="minorEastAsia"/>
                <w:lang w:eastAsia="en-AU"/>
              </w:rPr>
            </w:pPr>
            <w:r>
              <w:rPr>
                <w:rFonts w:eastAsiaTheme="minorEastAsia"/>
                <w:lang w:eastAsia="en-AU"/>
              </w:rPr>
              <w:t>1.8</w:t>
            </w:r>
          </w:p>
        </w:tc>
        <w:tc>
          <w:tcPr>
            <w:tcW w:w="847" w:type="dxa"/>
            <w:tcBorders>
              <w:top w:val="nil"/>
              <w:left w:val="nil"/>
              <w:bottom w:val="single" w:sz="12" w:space="0" w:color="auto"/>
              <w:right w:val="nil"/>
            </w:tcBorders>
          </w:tcPr>
          <w:p w:rsidR="00965D85" w:rsidRPr="00030371" w:rsidRDefault="00965D85" w:rsidP="008B46DF">
            <w:pPr>
              <w:pStyle w:val="TableofFigures"/>
              <w:rPr>
                <w:rFonts w:eastAsiaTheme="minorEastAsia"/>
                <w:lang w:eastAsia="en-AU"/>
              </w:rPr>
            </w:pPr>
            <w:r>
              <w:rPr>
                <w:rFonts w:eastAsiaTheme="minorEastAsia"/>
                <w:lang w:eastAsia="en-AU"/>
              </w:rPr>
              <w:t>1.8</w:t>
            </w:r>
          </w:p>
        </w:tc>
        <w:tc>
          <w:tcPr>
            <w:tcW w:w="1062" w:type="dxa"/>
            <w:tcBorders>
              <w:top w:val="nil"/>
              <w:left w:val="nil"/>
              <w:bottom w:val="single" w:sz="12" w:space="0" w:color="auto"/>
              <w:right w:val="nil"/>
            </w:tcBorders>
          </w:tcPr>
          <w:p w:rsidR="00965D85" w:rsidRPr="00030371" w:rsidRDefault="00965D85" w:rsidP="008B46DF">
            <w:pPr>
              <w:pStyle w:val="TableofFigures"/>
              <w:rPr>
                <w:rFonts w:eastAsiaTheme="minorEastAsia"/>
                <w:lang w:eastAsia="en-AU"/>
              </w:rPr>
            </w:pPr>
            <w:r w:rsidRPr="00030371">
              <w:rPr>
                <w:rFonts w:eastAsiaTheme="minorEastAsia"/>
                <w:lang w:eastAsia="en-AU"/>
              </w:rPr>
              <w:t>1.8</w:t>
            </w:r>
          </w:p>
        </w:tc>
        <w:tc>
          <w:tcPr>
            <w:tcW w:w="993" w:type="dxa"/>
            <w:tcBorders>
              <w:top w:val="nil"/>
              <w:left w:val="nil"/>
              <w:bottom w:val="single" w:sz="12" w:space="0" w:color="auto"/>
              <w:right w:val="nil"/>
            </w:tcBorders>
          </w:tcPr>
          <w:p w:rsidR="00965D85" w:rsidRPr="00030371" w:rsidRDefault="00965D85" w:rsidP="008B46DF">
            <w:pPr>
              <w:pStyle w:val="TableofFigures"/>
              <w:rPr>
                <w:rFonts w:eastAsiaTheme="minorEastAsia"/>
                <w:lang w:eastAsia="en-AU"/>
              </w:rPr>
            </w:pPr>
            <w:r w:rsidRPr="00030371">
              <w:rPr>
                <w:rFonts w:eastAsiaTheme="minorEastAsia"/>
                <w:lang w:eastAsia="en-AU"/>
              </w:rPr>
              <w:t>1.8</w:t>
            </w:r>
          </w:p>
        </w:tc>
      </w:tr>
    </w:tbl>
    <w:p w:rsidR="00965D85" w:rsidRPr="00724CAA" w:rsidRDefault="00965D85" w:rsidP="008B46DF">
      <w:pPr>
        <w:rPr>
          <w:rFonts w:ascii="Calibri" w:hAnsi="Calibri"/>
          <w:i/>
          <w:sz w:val="15"/>
        </w:rPr>
      </w:pPr>
      <w:r w:rsidRPr="00724CAA">
        <w:rPr>
          <w:rFonts w:ascii="Calibri" w:hAnsi="Calibri"/>
          <w:i/>
          <w:sz w:val="15"/>
        </w:rPr>
        <w:t>Source: Department of Treasury and Finance</w:t>
      </w:r>
    </w:p>
    <w:p w:rsidR="00965D85" w:rsidRPr="00FE7221" w:rsidRDefault="00965D85" w:rsidP="008B46DF">
      <w:pPr>
        <w:pStyle w:val="Notes"/>
      </w:pPr>
      <w:r w:rsidRPr="00FE7221">
        <w:t>Notes:</w:t>
      </w:r>
    </w:p>
    <w:p w:rsidR="00965D85" w:rsidRPr="00724CAA" w:rsidRDefault="00965D85" w:rsidP="008B46DF">
      <w:pPr>
        <w:tabs>
          <w:tab w:val="left" w:pos="454"/>
        </w:tabs>
        <w:autoSpaceDE w:val="0"/>
        <w:autoSpaceDN w:val="0"/>
        <w:adjustRightInd w:val="0"/>
        <w:spacing w:after="0"/>
        <w:ind w:left="461" w:hanging="461"/>
        <w:rPr>
          <w:rFonts w:asciiTheme="minorHAnsi" w:eastAsiaTheme="minorHAnsi" w:hAnsiTheme="minorHAnsi" w:cs="Calibri"/>
          <w:i/>
          <w:iCs/>
          <w:color w:val="000000"/>
          <w:sz w:val="15"/>
          <w:szCs w:val="15"/>
        </w:rPr>
      </w:pPr>
      <w:r w:rsidRPr="00724CAA">
        <w:rPr>
          <w:rFonts w:asciiTheme="minorHAnsi" w:hAnsiTheme="minorHAnsi"/>
          <w:sz w:val="15"/>
          <w:szCs w:val="15"/>
        </w:rPr>
        <w:t>(</w:t>
      </w:r>
      <w:r w:rsidRPr="00724CAA">
        <w:rPr>
          <w:rFonts w:asciiTheme="minorHAnsi" w:hAnsiTheme="minorHAnsi"/>
          <w:iCs/>
          <w:sz w:val="15"/>
          <w:szCs w:val="15"/>
        </w:rPr>
        <w:t>a)</w:t>
      </w:r>
      <w:r w:rsidRPr="00724CAA">
        <w:rPr>
          <w:rFonts w:asciiTheme="minorHAnsi" w:hAnsiTheme="minorHAnsi"/>
          <w:iCs/>
          <w:sz w:val="15"/>
          <w:szCs w:val="15"/>
        </w:rPr>
        <w:tab/>
      </w:r>
      <w:r w:rsidRPr="00724CAA">
        <w:rPr>
          <w:rFonts w:asciiTheme="minorHAnsi" w:eastAsiaTheme="minorHAnsi" w:hAnsiTheme="minorHAnsi" w:cs="Calibri"/>
          <w:i/>
          <w:iCs/>
          <w:color w:val="000000"/>
          <w:sz w:val="15"/>
          <w:szCs w:val="15"/>
        </w:rPr>
        <w:t>The key assumptions underlying the economic forecasts include: interest rates that follow movements in market expectations in the short term, and stabilise thereafter; a trade-weighted index of 60.7; and oil prices that follow the path suggested by oil futures.</w:t>
      </w:r>
    </w:p>
    <w:p w:rsidR="00965D85" w:rsidRPr="00724CAA" w:rsidRDefault="00965D85" w:rsidP="008B46DF">
      <w:pPr>
        <w:tabs>
          <w:tab w:val="left" w:pos="454"/>
        </w:tabs>
        <w:autoSpaceDE w:val="0"/>
        <w:autoSpaceDN w:val="0"/>
        <w:adjustRightInd w:val="0"/>
        <w:spacing w:after="0"/>
        <w:ind w:left="461" w:hanging="461"/>
        <w:rPr>
          <w:rFonts w:asciiTheme="minorHAnsi" w:eastAsiaTheme="minorHAnsi" w:hAnsiTheme="minorHAnsi" w:cs="Calibri"/>
          <w:i/>
          <w:iCs/>
          <w:color w:val="000000"/>
          <w:sz w:val="15"/>
          <w:szCs w:val="15"/>
        </w:rPr>
      </w:pPr>
      <w:r w:rsidRPr="00724CAA">
        <w:rPr>
          <w:rFonts w:asciiTheme="minorHAnsi" w:eastAsiaTheme="minorHAnsi" w:hAnsiTheme="minorHAnsi" w:cs="Calibri"/>
          <w:i/>
          <w:iCs/>
          <w:color w:val="000000"/>
          <w:sz w:val="15"/>
          <w:szCs w:val="15"/>
        </w:rPr>
        <w:t xml:space="preserve">(b) </w:t>
      </w:r>
      <w:r w:rsidRPr="00724CAA">
        <w:rPr>
          <w:rFonts w:asciiTheme="minorHAnsi" w:eastAsiaTheme="minorHAnsi" w:hAnsiTheme="minorHAnsi" w:cs="Calibri"/>
          <w:i/>
          <w:iCs/>
          <w:color w:val="000000"/>
          <w:sz w:val="15"/>
          <w:szCs w:val="15"/>
        </w:rPr>
        <w:tab/>
        <w:t>Percentage change in year-average compared with previous year, except for unemployment rate which is year-average per cent and population which is percentage change over the year to 30 June. Forecasts are rounded to the nearest 0.25 percentage points, except for population which is rounded to the nearest 0.1 percentage point.</w:t>
      </w:r>
    </w:p>
    <w:p w:rsidR="00965D85" w:rsidRPr="00724CAA" w:rsidRDefault="00965D85" w:rsidP="008B46DF">
      <w:pPr>
        <w:tabs>
          <w:tab w:val="left" w:pos="454"/>
        </w:tabs>
        <w:autoSpaceDE w:val="0"/>
        <w:autoSpaceDN w:val="0"/>
        <w:adjustRightInd w:val="0"/>
        <w:spacing w:after="0"/>
        <w:ind w:left="461" w:hanging="461"/>
        <w:rPr>
          <w:rFonts w:asciiTheme="minorHAnsi" w:eastAsiaTheme="minorHAnsi" w:hAnsiTheme="minorHAnsi" w:cs="Calibri"/>
          <w:i/>
          <w:iCs/>
          <w:color w:val="000000"/>
          <w:sz w:val="15"/>
          <w:szCs w:val="15"/>
        </w:rPr>
      </w:pPr>
      <w:r w:rsidRPr="00724CAA">
        <w:rPr>
          <w:rFonts w:asciiTheme="minorHAnsi" w:eastAsiaTheme="minorHAnsi" w:hAnsiTheme="minorHAnsi" w:cs="Calibri"/>
          <w:i/>
          <w:iCs/>
          <w:color w:val="000000"/>
          <w:sz w:val="15"/>
          <w:szCs w:val="15"/>
        </w:rPr>
        <w:t>(c)</w:t>
      </w:r>
      <w:r w:rsidRPr="00724CAA">
        <w:rPr>
          <w:rFonts w:asciiTheme="minorHAnsi" w:eastAsiaTheme="minorHAnsi" w:hAnsiTheme="minorHAnsi" w:cs="Calibri"/>
          <w:i/>
          <w:iCs/>
          <w:color w:val="000000"/>
          <w:sz w:val="15"/>
          <w:szCs w:val="15"/>
        </w:rPr>
        <w:tab/>
        <w:t>Melbourne consumer price index.</w:t>
      </w:r>
    </w:p>
    <w:p w:rsidR="00965D85" w:rsidRPr="004B2BAC" w:rsidRDefault="00965D85" w:rsidP="008B46DF">
      <w:pPr>
        <w:tabs>
          <w:tab w:val="left" w:pos="454"/>
        </w:tabs>
        <w:autoSpaceDE w:val="0"/>
        <w:autoSpaceDN w:val="0"/>
        <w:adjustRightInd w:val="0"/>
        <w:spacing w:after="0"/>
        <w:ind w:left="461" w:hanging="461"/>
        <w:rPr>
          <w:rFonts w:asciiTheme="minorHAnsi" w:eastAsiaTheme="minorHAnsi" w:hAnsiTheme="minorHAnsi" w:cs="Calibri"/>
          <w:i/>
          <w:iCs/>
          <w:color w:val="000000"/>
          <w:sz w:val="15"/>
          <w:szCs w:val="15"/>
        </w:rPr>
      </w:pPr>
      <w:r w:rsidRPr="00724CAA">
        <w:rPr>
          <w:rFonts w:asciiTheme="minorHAnsi" w:eastAsiaTheme="minorHAnsi" w:hAnsiTheme="minorHAnsi" w:cs="Calibri"/>
          <w:i/>
          <w:iCs/>
          <w:color w:val="000000"/>
          <w:sz w:val="15"/>
          <w:szCs w:val="15"/>
        </w:rPr>
        <w:t>(d)</w:t>
      </w:r>
      <w:r w:rsidRPr="00724CAA">
        <w:rPr>
          <w:rFonts w:asciiTheme="minorHAnsi" w:eastAsiaTheme="minorHAnsi" w:hAnsiTheme="minorHAnsi" w:cs="Calibri"/>
          <w:i/>
          <w:iCs/>
          <w:color w:val="000000"/>
          <w:sz w:val="15"/>
          <w:szCs w:val="15"/>
        </w:rPr>
        <w:tab/>
        <w:t xml:space="preserve">Total hourly rate excluding bonuses. </w:t>
      </w:r>
    </w:p>
    <w:p w:rsidR="00965D85" w:rsidRPr="00FE7221" w:rsidRDefault="00965D85" w:rsidP="008B46DF"/>
    <w:p w:rsidR="00965D85" w:rsidRPr="00FE7221" w:rsidRDefault="00965D85" w:rsidP="008B46DF">
      <w:pPr>
        <w:pStyle w:val="Heading5"/>
        <w:rPr>
          <w:sz w:val="18"/>
          <w:szCs w:val="18"/>
        </w:rPr>
      </w:pPr>
      <w:r w:rsidRPr="00FE7221">
        <w:t>Revised forecast assumptions for superannuation</w:t>
      </w:r>
      <w:r w:rsidRPr="00FE7221">
        <w:rPr>
          <w:sz w:val="18"/>
          <w:szCs w:val="18"/>
        </w:rPr>
        <w:t xml:space="preserve"> </w:t>
      </w:r>
    </w:p>
    <w:p w:rsidR="00965D85" w:rsidRPr="00FE7221" w:rsidRDefault="00965D85" w:rsidP="008B46DF">
      <w:r>
        <w:t xml:space="preserve">The accounting policies relating to superannuation expenses and liabilities are consistent with those applied in preparing and presenting the </w:t>
      </w:r>
      <w:r>
        <w:rPr>
          <w:i/>
          <w:iCs/>
        </w:rPr>
        <w:t>2015</w:t>
      </w:r>
      <w:r>
        <w:rPr>
          <w:i/>
          <w:iCs/>
        </w:rPr>
        <w:noBreakHyphen/>
        <w:t>16 Budget</w:t>
      </w:r>
      <w:r>
        <w:t>. However, the forecast assumptions have been revised for the budget year and forward years for each relevant defined benefit superannuation scheme as disclosed in the following table.</w:t>
      </w:r>
    </w:p>
    <w:tbl>
      <w:tblPr>
        <w:tblW w:w="7665" w:type="dxa"/>
        <w:tblInd w:w="29" w:type="dxa"/>
        <w:tblLayout w:type="fixed"/>
        <w:tblCellMar>
          <w:left w:w="43" w:type="dxa"/>
          <w:right w:w="43" w:type="dxa"/>
        </w:tblCellMar>
        <w:tblLook w:val="00A0" w:firstRow="1" w:lastRow="0" w:firstColumn="1" w:lastColumn="0" w:noHBand="0" w:noVBand="0"/>
      </w:tblPr>
      <w:tblGrid>
        <w:gridCol w:w="6532"/>
        <w:gridCol w:w="1133"/>
      </w:tblGrid>
      <w:tr w:rsidR="00965D85" w:rsidRPr="00FE7221" w:rsidTr="008B46DF">
        <w:tc>
          <w:tcPr>
            <w:tcW w:w="6532" w:type="dxa"/>
            <w:tcBorders>
              <w:top w:val="single" w:sz="6" w:space="0" w:color="000000"/>
              <w:left w:val="single" w:sz="6" w:space="0" w:color="000000"/>
              <w:bottom w:val="single" w:sz="6" w:space="0" w:color="000000"/>
              <w:right w:val="nil"/>
            </w:tcBorders>
            <w:shd w:val="clear" w:color="auto" w:fill="000000"/>
            <w:hideMark/>
          </w:tcPr>
          <w:p w:rsidR="00965D85" w:rsidRPr="00FE7221" w:rsidRDefault="00965D85" w:rsidP="008B46DF">
            <w:pPr>
              <w:pStyle w:val="Tabletextheadingleft"/>
              <w:rPr>
                <w:vertAlign w:val="superscript"/>
                <w:lang w:eastAsia="en-AU"/>
              </w:rPr>
            </w:pPr>
            <w:r w:rsidRPr="00FE7221">
              <w:rPr>
                <w:lang w:eastAsia="en-AU"/>
              </w:rPr>
              <w:t>Underlying assumptions for all listed schemes</w:t>
            </w:r>
            <w:r w:rsidRPr="00FE7221">
              <w:rPr>
                <w:vertAlign w:val="superscript"/>
                <w:lang w:eastAsia="en-AU"/>
              </w:rPr>
              <w:t xml:space="preserve"> (a)</w:t>
            </w:r>
          </w:p>
        </w:tc>
        <w:tc>
          <w:tcPr>
            <w:tcW w:w="1133" w:type="dxa"/>
            <w:tcBorders>
              <w:top w:val="single" w:sz="6" w:space="0" w:color="000000"/>
              <w:left w:val="nil"/>
              <w:bottom w:val="single" w:sz="6" w:space="0" w:color="000000"/>
              <w:right w:val="single" w:sz="6" w:space="0" w:color="000000"/>
            </w:tcBorders>
            <w:shd w:val="clear" w:color="auto" w:fill="000000"/>
            <w:hideMark/>
          </w:tcPr>
          <w:p w:rsidR="00965D85" w:rsidRPr="00FE7221" w:rsidRDefault="00965D85" w:rsidP="008B46DF">
            <w:pPr>
              <w:pStyle w:val="Tabletextheading"/>
              <w:rPr>
                <w:lang w:eastAsia="en-AU"/>
              </w:rPr>
            </w:pPr>
            <w:r w:rsidRPr="00FE7221">
              <w:rPr>
                <w:lang w:eastAsia="en-AU"/>
              </w:rPr>
              <w:t>Per cent</w:t>
            </w:r>
          </w:p>
        </w:tc>
      </w:tr>
      <w:tr w:rsidR="00965D85" w:rsidRPr="00FE7221" w:rsidTr="008B46DF">
        <w:tc>
          <w:tcPr>
            <w:tcW w:w="6532" w:type="dxa"/>
            <w:tcBorders>
              <w:top w:val="single" w:sz="6" w:space="0" w:color="000000"/>
              <w:left w:val="nil"/>
              <w:bottom w:val="nil"/>
              <w:right w:val="nil"/>
            </w:tcBorders>
            <w:hideMark/>
          </w:tcPr>
          <w:p w:rsidR="00965D85" w:rsidRPr="00FE7221" w:rsidRDefault="00965D85" w:rsidP="008B46DF">
            <w:pPr>
              <w:pStyle w:val="Tabletext"/>
              <w:rPr>
                <w:rFonts w:cs="Calibri"/>
                <w:vertAlign w:val="superscript"/>
                <w:lang w:eastAsia="en-AU"/>
              </w:rPr>
            </w:pPr>
            <w:r w:rsidRPr="00FE7221">
              <w:t>Discount rate</w:t>
            </w:r>
            <w:r w:rsidRPr="00FE7221">
              <w:rPr>
                <w:rFonts w:cs="Calibri"/>
                <w:vertAlign w:val="superscript"/>
                <w:lang w:eastAsia="en-AU"/>
              </w:rPr>
              <w:t xml:space="preserve"> (b)</w:t>
            </w:r>
          </w:p>
        </w:tc>
        <w:tc>
          <w:tcPr>
            <w:tcW w:w="1133" w:type="dxa"/>
            <w:tcBorders>
              <w:top w:val="single" w:sz="6" w:space="0" w:color="000000"/>
              <w:left w:val="nil"/>
              <w:bottom w:val="nil"/>
              <w:right w:val="nil"/>
            </w:tcBorders>
          </w:tcPr>
          <w:p w:rsidR="00965D85" w:rsidRPr="00FE7221" w:rsidRDefault="00965D85" w:rsidP="008B46DF">
            <w:pPr>
              <w:pStyle w:val="TableofFigures"/>
              <w:rPr>
                <w:lang w:eastAsia="en-AU"/>
              </w:rPr>
            </w:pPr>
            <w:r>
              <w:rPr>
                <w:lang w:eastAsia="en-AU"/>
              </w:rPr>
              <w:t>3.1</w:t>
            </w:r>
          </w:p>
        </w:tc>
      </w:tr>
      <w:tr w:rsidR="00965D85" w:rsidRPr="00FE7221" w:rsidTr="008B46DF">
        <w:tc>
          <w:tcPr>
            <w:tcW w:w="6532" w:type="dxa"/>
            <w:hideMark/>
          </w:tcPr>
          <w:p w:rsidR="00965D85" w:rsidRPr="00FE7221" w:rsidRDefault="00965D85" w:rsidP="008B46DF">
            <w:pPr>
              <w:pStyle w:val="Tabletext"/>
              <w:rPr>
                <w:rFonts w:cs="Calibri"/>
                <w:vertAlign w:val="superscript"/>
                <w:lang w:eastAsia="en-AU"/>
              </w:rPr>
            </w:pPr>
            <w:r w:rsidRPr="00FE7221">
              <w:rPr>
                <w:rFonts w:cs="Calibri"/>
                <w:lang w:eastAsia="en-AU"/>
              </w:rPr>
              <w:t xml:space="preserve">Wages growth </w:t>
            </w:r>
            <w:r w:rsidRPr="00FE7221">
              <w:rPr>
                <w:rFonts w:cs="Calibri"/>
                <w:vertAlign w:val="superscript"/>
                <w:lang w:eastAsia="en-AU"/>
              </w:rPr>
              <w:t>(c)</w:t>
            </w:r>
          </w:p>
        </w:tc>
        <w:tc>
          <w:tcPr>
            <w:tcW w:w="1133" w:type="dxa"/>
          </w:tcPr>
          <w:p w:rsidR="00965D85" w:rsidRPr="00FE7221" w:rsidRDefault="00965D85" w:rsidP="008B46DF">
            <w:pPr>
              <w:pStyle w:val="TableofFigures"/>
              <w:rPr>
                <w:lang w:eastAsia="en-AU"/>
              </w:rPr>
            </w:pPr>
            <w:r>
              <w:rPr>
                <w:lang w:eastAsia="en-AU"/>
              </w:rPr>
              <w:t>3.6</w:t>
            </w:r>
          </w:p>
        </w:tc>
      </w:tr>
      <w:tr w:rsidR="00965D85" w:rsidRPr="00FE7221" w:rsidTr="008B46DF">
        <w:tc>
          <w:tcPr>
            <w:tcW w:w="6532" w:type="dxa"/>
            <w:tcBorders>
              <w:top w:val="nil"/>
              <w:left w:val="nil"/>
              <w:bottom w:val="single" w:sz="6" w:space="0" w:color="000000"/>
              <w:right w:val="nil"/>
            </w:tcBorders>
            <w:hideMark/>
          </w:tcPr>
          <w:p w:rsidR="00965D85" w:rsidRPr="00FE7221" w:rsidRDefault="00965D85" w:rsidP="008B46DF">
            <w:pPr>
              <w:pStyle w:val="Tabletext"/>
              <w:rPr>
                <w:rFonts w:cs="Calibri"/>
                <w:vertAlign w:val="superscript"/>
                <w:lang w:eastAsia="en-AU"/>
              </w:rPr>
            </w:pPr>
            <w:r w:rsidRPr="00FE7221">
              <w:rPr>
                <w:rFonts w:cs="Calibri"/>
                <w:lang w:eastAsia="en-AU"/>
              </w:rPr>
              <w:t xml:space="preserve">Inflation rate </w:t>
            </w:r>
            <w:r w:rsidRPr="00FE7221">
              <w:rPr>
                <w:rFonts w:cs="Calibri"/>
                <w:vertAlign w:val="superscript"/>
                <w:lang w:eastAsia="en-AU"/>
              </w:rPr>
              <w:t>(d)</w:t>
            </w:r>
          </w:p>
        </w:tc>
        <w:tc>
          <w:tcPr>
            <w:tcW w:w="1133" w:type="dxa"/>
            <w:tcBorders>
              <w:top w:val="nil"/>
              <w:left w:val="nil"/>
              <w:bottom w:val="single" w:sz="6" w:space="0" w:color="000000"/>
              <w:right w:val="nil"/>
            </w:tcBorders>
          </w:tcPr>
          <w:p w:rsidR="00965D85" w:rsidRPr="00FE7221" w:rsidRDefault="00965D85" w:rsidP="008B46DF">
            <w:pPr>
              <w:pStyle w:val="TableofFigures"/>
              <w:rPr>
                <w:lang w:eastAsia="en-AU"/>
              </w:rPr>
            </w:pPr>
            <w:r>
              <w:rPr>
                <w:lang w:eastAsia="en-AU"/>
              </w:rPr>
              <w:t>2.1</w:t>
            </w:r>
          </w:p>
        </w:tc>
      </w:tr>
      <w:tr w:rsidR="00965D85" w:rsidRPr="00FE7221" w:rsidTr="008B46DF">
        <w:tc>
          <w:tcPr>
            <w:tcW w:w="6532" w:type="dxa"/>
            <w:tcBorders>
              <w:top w:val="single" w:sz="6" w:space="0" w:color="000000"/>
              <w:left w:val="single" w:sz="6" w:space="0" w:color="000000"/>
              <w:bottom w:val="single" w:sz="6" w:space="0" w:color="000000"/>
              <w:right w:val="nil"/>
            </w:tcBorders>
            <w:shd w:val="clear" w:color="auto" w:fill="000000"/>
            <w:hideMark/>
          </w:tcPr>
          <w:p w:rsidR="00965D85" w:rsidRPr="00FE7221" w:rsidRDefault="00965D85" w:rsidP="008B46DF">
            <w:pPr>
              <w:pStyle w:val="Tabletextheadingleft"/>
              <w:rPr>
                <w:vertAlign w:val="superscript"/>
                <w:lang w:eastAsia="en-AU"/>
              </w:rPr>
            </w:pPr>
            <w:r w:rsidRPr="00FE7221">
              <w:rPr>
                <w:lang w:eastAsia="en-AU"/>
              </w:rPr>
              <w:t xml:space="preserve">Expected return on assets </w:t>
            </w:r>
            <w:r w:rsidRPr="00FE7221">
              <w:rPr>
                <w:vertAlign w:val="superscript"/>
                <w:lang w:eastAsia="en-AU"/>
              </w:rPr>
              <w:t>(e)</w:t>
            </w:r>
          </w:p>
        </w:tc>
        <w:tc>
          <w:tcPr>
            <w:tcW w:w="1133" w:type="dxa"/>
            <w:tcBorders>
              <w:top w:val="single" w:sz="6" w:space="0" w:color="000000"/>
              <w:left w:val="nil"/>
              <w:bottom w:val="single" w:sz="6" w:space="0" w:color="000000"/>
              <w:right w:val="single" w:sz="6" w:space="0" w:color="000000"/>
            </w:tcBorders>
            <w:shd w:val="clear" w:color="auto" w:fill="000000"/>
          </w:tcPr>
          <w:p w:rsidR="00965D85" w:rsidRPr="00FE7221" w:rsidRDefault="00965D85" w:rsidP="008B46DF">
            <w:pPr>
              <w:pStyle w:val="Tabletextheading"/>
              <w:rPr>
                <w:vertAlign w:val="superscript"/>
                <w:lang w:eastAsia="en-AU"/>
              </w:rPr>
            </w:pPr>
          </w:p>
        </w:tc>
      </w:tr>
      <w:tr w:rsidR="00965D85" w:rsidRPr="00FE7221" w:rsidTr="008B46DF">
        <w:tc>
          <w:tcPr>
            <w:tcW w:w="6532" w:type="dxa"/>
            <w:tcBorders>
              <w:top w:val="single" w:sz="6" w:space="0" w:color="000000"/>
              <w:left w:val="nil"/>
              <w:bottom w:val="nil"/>
              <w:right w:val="nil"/>
            </w:tcBorders>
            <w:hideMark/>
          </w:tcPr>
          <w:p w:rsidR="00965D85" w:rsidRPr="00FE7221" w:rsidRDefault="00965D85" w:rsidP="008B46DF">
            <w:pPr>
              <w:pStyle w:val="Tabletext"/>
              <w:rPr>
                <w:lang w:eastAsia="en-AU"/>
              </w:rPr>
            </w:pPr>
            <w:r w:rsidRPr="00FE7221">
              <w:rPr>
                <w:lang w:eastAsia="en-AU"/>
              </w:rPr>
              <w:t xml:space="preserve">Emergency Services and State Super </w:t>
            </w:r>
          </w:p>
        </w:tc>
        <w:tc>
          <w:tcPr>
            <w:tcW w:w="1133" w:type="dxa"/>
            <w:tcBorders>
              <w:top w:val="single" w:sz="6" w:space="0" w:color="000000"/>
              <w:left w:val="nil"/>
              <w:bottom w:val="nil"/>
              <w:right w:val="nil"/>
            </w:tcBorders>
          </w:tcPr>
          <w:p w:rsidR="00965D85" w:rsidRPr="00FE7221" w:rsidRDefault="00965D85" w:rsidP="008B46DF">
            <w:pPr>
              <w:pStyle w:val="TableofFigures"/>
              <w:rPr>
                <w:lang w:eastAsia="en-AU"/>
              </w:rPr>
            </w:pPr>
            <w:r>
              <w:rPr>
                <w:lang w:eastAsia="en-AU"/>
              </w:rPr>
              <w:t>8.0</w:t>
            </w:r>
          </w:p>
        </w:tc>
      </w:tr>
      <w:tr w:rsidR="00965D85" w:rsidRPr="00FE7221" w:rsidTr="008B46DF">
        <w:tc>
          <w:tcPr>
            <w:tcW w:w="6532" w:type="dxa"/>
            <w:hideMark/>
          </w:tcPr>
          <w:p w:rsidR="00965D85" w:rsidRPr="00FE7221" w:rsidRDefault="00965D85" w:rsidP="008B46DF">
            <w:pPr>
              <w:pStyle w:val="Tabletext"/>
              <w:rPr>
                <w:lang w:eastAsia="en-AU"/>
              </w:rPr>
            </w:pPr>
            <w:r w:rsidRPr="00FE7221">
              <w:rPr>
                <w:lang w:eastAsia="en-AU"/>
              </w:rPr>
              <w:t>Health Super Fund Defined Benefit Scheme</w:t>
            </w:r>
          </w:p>
        </w:tc>
        <w:tc>
          <w:tcPr>
            <w:tcW w:w="1133" w:type="dxa"/>
          </w:tcPr>
          <w:p w:rsidR="00965D85" w:rsidRPr="00FE7221" w:rsidRDefault="00965D85" w:rsidP="008B46DF">
            <w:pPr>
              <w:pStyle w:val="TableofFigures"/>
              <w:rPr>
                <w:lang w:eastAsia="en-AU"/>
              </w:rPr>
            </w:pPr>
            <w:r>
              <w:rPr>
                <w:lang w:eastAsia="en-AU"/>
              </w:rPr>
              <w:t>5.8</w:t>
            </w:r>
          </w:p>
        </w:tc>
      </w:tr>
      <w:tr w:rsidR="00965D85" w:rsidRPr="00FE7221" w:rsidTr="008B46DF">
        <w:tc>
          <w:tcPr>
            <w:tcW w:w="6532" w:type="dxa"/>
            <w:tcBorders>
              <w:top w:val="nil"/>
              <w:left w:val="nil"/>
              <w:bottom w:val="single" w:sz="12" w:space="0" w:color="000000"/>
              <w:right w:val="nil"/>
            </w:tcBorders>
            <w:hideMark/>
          </w:tcPr>
          <w:p w:rsidR="00965D85" w:rsidRPr="00FE7221" w:rsidRDefault="00965D85" w:rsidP="008B46DF">
            <w:pPr>
              <w:pStyle w:val="Tabletext"/>
              <w:rPr>
                <w:vertAlign w:val="superscript"/>
                <w:lang w:eastAsia="en-AU"/>
              </w:rPr>
            </w:pPr>
            <w:r w:rsidRPr="00FE7221">
              <w:rPr>
                <w:lang w:eastAsia="en-AU"/>
              </w:rPr>
              <w:t xml:space="preserve">Constitutionally protected schemes </w:t>
            </w:r>
            <w:r w:rsidRPr="00FE7221">
              <w:rPr>
                <w:vertAlign w:val="superscript"/>
                <w:lang w:eastAsia="en-AU"/>
              </w:rPr>
              <w:t>(f)</w:t>
            </w:r>
          </w:p>
        </w:tc>
        <w:tc>
          <w:tcPr>
            <w:tcW w:w="1133" w:type="dxa"/>
            <w:tcBorders>
              <w:top w:val="nil"/>
              <w:left w:val="nil"/>
              <w:bottom w:val="single" w:sz="12" w:space="0" w:color="000000"/>
              <w:right w:val="nil"/>
            </w:tcBorders>
          </w:tcPr>
          <w:p w:rsidR="00965D85" w:rsidRPr="00FE7221" w:rsidRDefault="00965D85" w:rsidP="008B46DF">
            <w:pPr>
              <w:pStyle w:val="TableofFigures"/>
              <w:rPr>
                <w:lang w:eastAsia="en-AU"/>
              </w:rPr>
            </w:pPr>
            <w:r>
              <w:rPr>
                <w:lang w:eastAsia="en-AU"/>
              </w:rPr>
              <w:t>n.a.</w:t>
            </w:r>
          </w:p>
        </w:tc>
      </w:tr>
    </w:tbl>
    <w:p w:rsidR="00965D85" w:rsidRPr="00334ACE" w:rsidRDefault="00965D85" w:rsidP="008B46DF">
      <w:pPr>
        <w:pStyle w:val="Source"/>
      </w:pPr>
      <w:r w:rsidRPr="00334ACE">
        <w:t>Source: Department of Treasury and Finance</w:t>
      </w:r>
    </w:p>
    <w:p w:rsidR="00965D85" w:rsidRPr="00334ACE" w:rsidRDefault="00965D85" w:rsidP="008B46DF">
      <w:pPr>
        <w:pStyle w:val="Notes"/>
      </w:pPr>
      <w:r w:rsidRPr="00334ACE">
        <w:t>Notes:</w:t>
      </w:r>
    </w:p>
    <w:p w:rsidR="00965D85" w:rsidRPr="00334ACE" w:rsidRDefault="00965D85" w:rsidP="008B46DF">
      <w:pPr>
        <w:pStyle w:val="Notes"/>
      </w:pPr>
      <w:r w:rsidRPr="00334ACE">
        <w:t>(a)</w:t>
      </w:r>
      <w:r w:rsidRPr="00334ACE">
        <w:tab/>
        <w:t>All rates are nominal annual rates and are applicable to all the listed schemes.</w:t>
      </w:r>
    </w:p>
    <w:p w:rsidR="00965D85" w:rsidRPr="00334ACE" w:rsidRDefault="00965D85" w:rsidP="008B46DF">
      <w:pPr>
        <w:pStyle w:val="Notes"/>
      </w:pPr>
      <w:r w:rsidRPr="00334ACE">
        <w:t>(b)</w:t>
      </w:r>
      <w:r w:rsidRPr="00334ACE">
        <w:tab/>
        <w:t>The discount rate is based on a long</w:t>
      </w:r>
      <w:r>
        <w:noBreakHyphen/>
      </w:r>
      <w:r w:rsidRPr="00334ACE">
        <w:t>term fixed interest Commonwealth Government bond rate. The rate stated above is an annual effective rate, gross of tax.</w:t>
      </w:r>
    </w:p>
    <w:p w:rsidR="00965D85" w:rsidRPr="00334ACE" w:rsidRDefault="00965D85" w:rsidP="008B46DF">
      <w:pPr>
        <w:pStyle w:val="Notes"/>
      </w:pPr>
      <w:r w:rsidRPr="00045339">
        <w:t>(c)</w:t>
      </w:r>
      <w:r w:rsidRPr="00045339">
        <w:tab/>
        <w:t>Wages growth is assumed to be 1.5 per cent higher than the inflation rate assumption based on the historical relationship between price and wage inflation.</w:t>
      </w:r>
    </w:p>
    <w:p w:rsidR="00965D85" w:rsidRPr="00334ACE" w:rsidRDefault="00965D85" w:rsidP="008B46DF">
      <w:pPr>
        <w:pStyle w:val="Notes"/>
      </w:pPr>
      <w:r w:rsidRPr="00334ACE">
        <w:t>(d)</w:t>
      </w:r>
      <w:r w:rsidRPr="00334ACE">
        <w:tab/>
        <w:t>The inflation rate assumed by the actuary reflects market expectations of price inflation, implied from the relationship between the yields on nominal and inflation linked Commonwealth Government bonds. This ensures consistency with the prescribed (i.e. market</w:t>
      </w:r>
      <w:r>
        <w:noBreakHyphen/>
      </w:r>
      <w:r w:rsidRPr="00334ACE">
        <w:t>based) discount rate.</w:t>
      </w:r>
    </w:p>
    <w:p w:rsidR="00965D85" w:rsidRPr="00334ACE" w:rsidRDefault="00965D85" w:rsidP="008B46DF">
      <w:pPr>
        <w:pStyle w:val="Notes"/>
      </w:pPr>
      <w:r w:rsidRPr="00334ACE">
        <w:t>(e)</w:t>
      </w:r>
      <w:r w:rsidRPr="00334ACE">
        <w:tab/>
        <w:t>The expected return on assets stated is gross of tax. Estimated tax payments are explicitly allowed for in the calculation process.</w:t>
      </w:r>
    </w:p>
    <w:p w:rsidR="00965D85" w:rsidRPr="00C53C4A" w:rsidRDefault="00965D85" w:rsidP="008B46DF">
      <w:pPr>
        <w:pStyle w:val="Notes"/>
      </w:pPr>
      <w:r w:rsidRPr="00334ACE">
        <w:t>(f)</w:t>
      </w:r>
      <w:r>
        <w:tab/>
      </w:r>
      <w:r w:rsidRPr="00334ACE">
        <w:t>Pensions payable from constitutionally protected schemes are paid from the Consolidated Fund. These schemes hold no assets so there is no expected return on assets</w:t>
      </w:r>
      <w:r w:rsidRPr="00C53C4A">
        <w:t>.</w:t>
      </w:r>
    </w:p>
    <w:p w:rsidR="00965D85" w:rsidRPr="00C53C4A" w:rsidRDefault="00965D85" w:rsidP="008B46DF">
      <w:pPr>
        <w:pStyle w:val="Notes"/>
      </w:pPr>
    </w:p>
    <w:p w:rsidR="00965D85" w:rsidRPr="00FE7221" w:rsidRDefault="00965D85" w:rsidP="008B46DF">
      <w:r w:rsidRPr="00FE7221">
        <w:lastRenderedPageBreak/>
        <w:t>The expected return on assets, as shown above, is determined by weighting the expected long</w:t>
      </w:r>
      <w:r>
        <w:noBreakHyphen/>
      </w:r>
      <w:r w:rsidRPr="00FE7221">
        <w:t>term return for each asset class by the target allocation of assets to that class (as detailed in the table below).</w:t>
      </w:r>
    </w:p>
    <w:p w:rsidR="00965D85" w:rsidRPr="00FE7221" w:rsidRDefault="00965D85" w:rsidP="008B46DF">
      <w:pPr>
        <w:pStyle w:val="Tableheading"/>
      </w:pPr>
      <w:r w:rsidRPr="00FE7221">
        <w:t>Asset allocation</w:t>
      </w:r>
    </w:p>
    <w:tbl>
      <w:tblPr>
        <w:tblW w:w="7665" w:type="dxa"/>
        <w:tblInd w:w="29" w:type="dxa"/>
        <w:tblLayout w:type="fixed"/>
        <w:tblCellMar>
          <w:left w:w="43" w:type="dxa"/>
          <w:right w:w="43" w:type="dxa"/>
        </w:tblCellMar>
        <w:tblLook w:val="00A0" w:firstRow="1" w:lastRow="0" w:firstColumn="1" w:lastColumn="0" w:noHBand="0" w:noVBand="0"/>
      </w:tblPr>
      <w:tblGrid>
        <w:gridCol w:w="5951"/>
        <w:gridCol w:w="1714"/>
      </w:tblGrid>
      <w:tr w:rsidR="00965D85" w:rsidRPr="00FE7221" w:rsidTr="008B46DF">
        <w:trPr>
          <w:cantSplit/>
        </w:trPr>
        <w:tc>
          <w:tcPr>
            <w:tcW w:w="5954" w:type="dxa"/>
            <w:tcBorders>
              <w:top w:val="single" w:sz="4" w:space="0" w:color="auto"/>
              <w:left w:val="single" w:sz="4" w:space="0" w:color="auto"/>
              <w:bottom w:val="single" w:sz="4" w:space="0" w:color="auto"/>
              <w:right w:val="nil"/>
            </w:tcBorders>
            <w:shd w:val="clear" w:color="auto" w:fill="000000"/>
            <w:hideMark/>
          </w:tcPr>
          <w:p w:rsidR="00965D85" w:rsidRPr="00FE7221" w:rsidRDefault="00965D85" w:rsidP="008B46DF">
            <w:pPr>
              <w:pStyle w:val="Tabletextheadingleft"/>
              <w:rPr>
                <w:lang w:eastAsia="en-AU"/>
              </w:rPr>
            </w:pPr>
            <w:r w:rsidRPr="00FE7221">
              <w:rPr>
                <w:lang w:eastAsia="en-AU"/>
              </w:rPr>
              <w:t>Asset class</w:t>
            </w:r>
          </w:p>
        </w:tc>
        <w:tc>
          <w:tcPr>
            <w:tcW w:w="1715" w:type="dxa"/>
            <w:tcBorders>
              <w:top w:val="single" w:sz="4" w:space="0" w:color="auto"/>
              <w:left w:val="nil"/>
              <w:bottom w:val="single" w:sz="4" w:space="0" w:color="auto"/>
              <w:right w:val="single" w:sz="4" w:space="0" w:color="auto"/>
            </w:tcBorders>
            <w:shd w:val="clear" w:color="auto" w:fill="000000"/>
            <w:hideMark/>
          </w:tcPr>
          <w:p w:rsidR="00965D85" w:rsidRPr="00FE7221" w:rsidRDefault="00965D85" w:rsidP="008B46DF">
            <w:pPr>
              <w:pStyle w:val="Tabletextheading"/>
              <w:rPr>
                <w:lang w:eastAsia="en-AU"/>
              </w:rPr>
            </w:pPr>
            <w:r w:rsidRPr="00FE7221">
              <w:rPr>
                <w:lang w:eastAsia="en-AU"/>
              </w:rPr>
              <w:t>Per cent</w:t>
            </w:r>
          </w:p>
        </w:tc>
      </w:tr>
      <w:tr w:rsidR="00965D85" w:rsidRPr="00FE7221" w:rsidTr="008B46DF">
        <w:trPr>
          <w:cantSplit/>
        </w:trPr>
        <w:tc>
          <w:tcPr>
            <w:tcW w:w="5954" w:type="dxa"/>
            <w:tcBorders>
              <w:top w:val="single" w:sz="4" w:space="0" w:color="auto"/>
              <w:left w:val="nil"/>
              <w:bottom w:val="nil"/>
              <w:right w:val="nil"/>
            </w:tcBorders>
            <w:hideMark/>
          </w:tcPr>
          <w:p w:rsidR="00965D85" w:rsidRPr="00FE7221" w:rsidRDefault="00965D85" w:rsidP="008B46DF">
            <w:pPr>
              <w:pStyle w:val="Tabletext"/>
              <w:rPr>
                <w:lang w:eastAsia="en-AU"/>
              </w:rPr>
            </w:pPr>
            <w:r w:rsidRPr="00FE7221">
              <w:rPr>
                <w:lang w:eastAsia="en-AU"/>
              </w:rPr>
              <w:t>Domestic equity</w:t>
            </w:r>
          </w:p>
        </w:tc>
        <w:tc>
          <w:tcPr>
            <w:tcW w:w="1715" w:type="dxa"/>
            <w:tcBorders>
              <w:top w:val="single" w:sz="4" w:space="0" w:color="auto"/>
              <w:left w:val="nil"/>
              <w:bottom w:val="nil"/>
              <w:right w:val="nil"/>
            </w:tcBorders>
          </w:tcPr>
          <w:p w:rsidR="00965D85" w:rsidRPr="00FE7221" w:rsidRDefault="00965D85" w:rsidP="008B46DF">
            <w:pPr>
              <w:pStyle w:val="TableofFigures"/>
              <w:rPr>
                <w:lang w:eastAsia="en-AU"/>
              </w:rPr>
            </w:pPr>
            <w:r>
              <w:rPr>
                <w:lang w:eastAsia="en-AU"/>
              </w:rPr>
              <w:t>26.8</w:t>
            </w:r>
          </w:p>
        </w:tc>
      </w:tr>
      <w:tr w:rsidR="00965D85" w:rsidRPr="00FE7221" w:rsidTr="008B46DF">
        <w:trPr>
          <w:cantSplit/>
        </w:trPr>
        <w:tc>
          <w:tcPr>
            <w:tcW w:w="5954" w:type="dxa"/>
            <w:hideMark/>
          </w:tcPr>
          <w:p w:rsidR="00965D85" w:rsidRPr="00FE7221" w:rsidRDefault="00965D85" w:rsidP="008B46DF">
            <w:pPr>
              <w:pStyle w:val="Tabletext"/>
              <w:rPr>
                <w:lang w:eastAsia="en-AU"/>
              </w:rPr>
            </w:pPr>
            <w:r w:rsidRPr="00FE7221">
              <w:rPr>
                <w:lang w:eastAsia="en-AU"/>
              </w:rPr>
              <w:t>International equity</w:t>
            </w:r>
          </w:p>
        </w:tc>
        <w:tc>
          <w:tcPr>
            <w:tcW w:w="1715" w:type="dxa"/>
          </w:tcPr>
          <w:p w:rsidR="00965D85" w:rsidRPr="00FE7221" w:rsidRDefault="00965D85" w:rsidP="008B46DF">
            <w:pPr>
              <w:pStyle w:val="TableofFigures"/>
              <w:rPr>
                <w:lang w:eastAsia="en-AU"/>
              </w:rPr>
            </w:pPr>
            <w:r>
              <w:rPr>
                <w:lang w:eastAsia="en-AU"/>
              </w:rPr>
              <w:t>26.8</w:t>
            </w:r>
          </w:p>
        </w:tc>
      </w:tr>
      <w:tr w:rsidR="00965D85" w:rsidRPr="00FE7221" w:rsidTr="008B46DF">
        <w:trPr>
          <w:cantSplit/>
        </w:trPr>
        <w:tc>
          <w:tcPr>
            <w:tcW w:w="5954" w:type="dxa"/>
            <w:hideMark/>
          </w:tcPr>
          <w:p w:rsidR="00965D85" w:rsidRPr="00FE7221" w:rsidRDefault="00965D85" w:rsidP="008B46DF">
            <w:pPr>
              <w:pStyle w:val="Tabletext"/>
              <w:rPr>
                <w:lang w:eastAsia="en-AU"/>
              </w:rPr>
            </w:pPr>
            <w:r w:rsidRPr="00FE7221">
              <w:rPr>
                <w:lang w:eastAsia="en-AU"/>
              </w:rPr>
              <w:t>Domestic and international debt assets</w:t>
            </w:r>
          </w:p>
        </w:tc>
        <w:tc>
          <w:tcPr>
            <w:tcW w:w="1715" w:type="dxa"/>
          </w:tcPr>
          <w:p w:rsidR="00965D85" w:rsidRPr="00FE7221" w:rsidRDefault="00965D85" w:rsidP="008B46DF">
            <w:pPr>
              <w:pStyle w:val="TableofFigures"/>
              <w:rPr>
                <w:lang w:eastAsia="en-AU"/>
              </w:rPr>
            </w:pPr>
            <w:r>
              <w:rPr>
                <w:lang w:eastAsia="en-AU"/>
              </w:rPr>
              <w:t>17.4</w:t>
            </w:r>
          </w:p>
        </w:tc>
      </w:tr>
      <w:tr w:rsidR="00965D85" w:rsidRPr="00FE7221" w:rsidTr="008B46DF">
        <w:trPr>
          <w:cantSplit/>
        </w:trPr>
        <w:tc>
          <w:tcPr>
            <w:tcW w:w="5954" w:type="dxa"/>
            <w:hideMark/>
          </w:tcPr>
          <w:p w:rsidR="00965D85" w:rsidRPr="00FE7221" w:rsidRDefault="00965D85" w:rsidP="008B46DF">
            <w:pPr>
              <w:pStyle w:val="Tabletext"/>
              <w:rPr>
                <w:lang w:eastAsia="en-AU"/>
              </w:rPr>
            </w:pPr>
            <w:r w:rsidRPr="00FE7221">
              <w:rPr>
                <w:lang w:eastAsia="en-AU"/>
              </w:rPr>
              <w:t>Property</w:t>
            </w:r>
          </w:p>
        </w:tc>
        <w:tc>
          <w:tcPr>
            <w:tcW w:w="1715" w:type="dxa"/>
          </w:tcPr>
          <w:p w:rsidR="00965D85" w:rsidRPr="00FE7221" w:rsidRDefault="00965D85" w:rsidP="008B46DF">
            <w:pPr>
              <w:pStyle w:val="TableofFigures"/>
              <w:rPr>
                <w:lang w:eastAsia="en-AU"/>
              </w:rPr>
            </w:pPr>
            <w:r>
              <w:rPr>
                <w:lang w:eastAsia="en-AU"/>
              </w:rPr>
              <w:t>7.6</w:t>
            </w:r>
          </w:p>
        </w:tc>
      </w:tr>
      <w:tr w:rsidR="00965D85" w:rsidRPr="00FE7221" w:rsidTr="008B46DF">
        <w:trPr>
          <w:cantSplit/>
        </w:trPr>
        <w:tc>
          <w:tcPr>
            <w:tcW w:w="5954" w:type="dxa"/>
            <w:hideMark/>
          </w:tcPr>
          <w:p w:rsidR="00965D85" w:rsidRPr="00FE7221" w:rsidRDefault="00965D85" w:rsidP="008B46DF">
            <w:pPr>
              <w:pStyle w:val="Tabletext"/>
              <w:rPr>
                <w:lang w:eastAsia="en-AU"/>
              </w:rPr>
            </w:pPr>
            <w:r w:rsidRPr="00FE7221">
              <w:rPr>
                <w:lang w:eastAsia="en-AU"/>
              </w:rPr>
              <w:t>Cash</w:t>
            </w:r>
          </w:p>
        </w:tc>
        <w:tc>
          <w:tcPr>
            <w:tcW w:w="1715" w:type="dxa"/>
          </w:tcPr>
          <w:p w:rsidR="00965D85" w:rsidRPr="00FE7221" w:rsidRDefault="00965D85" w:rsidP="008B46DF">
            <w:pPr>
              <w:pStyle w:val="TableofFigures"/>
              <w:rPr>
                <w:lang w:eastAsia="en-AU"/>
              </w:rPr>
            </w:pPr>
            <w:r>
              <w:rPr>
                <w:lang w:eastAsia="en-AU"/>
              </w:rPr>
              <w:t>4.2</w:t>
            </w:r>
          </w:p>
        </w:tc>
      </w:tr>
      <w:tr w:rsidR="00965D85" w:rsidRPr="00FE7221" w:rsidTr="008B46DF">
        <w:trPr>
          <w:cantSplit/>
        </w:trPr>
        <w:tc>
          <w:tcPr>
            <w:tcW w:w="5954" w:type="dxa"/>
            <w:tcBorders>
              <w:top w:val="nil"/>
              <w:left w:val="nil"/>
              <w:bottom w:val="single" w:sz="4" w:space="0" w:color="auto"/>
              <w:right w:val="nil"/>
            </w:tcBorders>
            <w:hideMark/>
          </w:tcPr>
          <w:p w:rsidR="00965D85" w:rsidRPr="00FE7221" w:rsidRDefault="00965D85" w:rsidP="008B46DF">
            <w:pPr>
              <w:pStyle w:val="Tabletext"/>
              <w:rPr>
                <w:lang w:eastAsia="en-AU"/>
              </w:rPr>
            </w:pPr>
            <w:r w:rsidRPr="00FE7221">
              <w:rPr>
                <w:lang w:eastAsia="en-AU"/>
              </w:rPr>
              <w:t>Other (including private equity, hedge funds and infrastructure)</w:t>
            </w:r>
          </w:p>
        </w:tc>
        <w:tc>
          <w:tcPr>
            <w:tcW w:w="1715" w:type="dxa"/>
            <w:tcBorders>
              <w:top w:val="nil"/>
              <w:left w:val="nil"/>
              <w:bottom w:val="single" w:sz="4" w:space="0" w:color="auto"/>
              <w:right w:val="nil"/>
            </w:tcBorders>
          </w:tcPr>
          <w:p w:rsidR="00965D85" w:rsidRPr="00FE7221" w:rsidRDefault="00965D85" w:rsidP="008B46DF">
            <w:pPr>
              <w:pStyle w:val="TableofFigures"/>
              <w:rPr>
                <w:lang w:eastAsia="en-AU"/>
              </w:rPr>
            </w:pPr>
            <w:r>
              <w:rPr>
                <w:lang w:eastAsia="en-AU"/>
              </w:rPr>
              <w:t>17.2</w:t>
            </w:r>
          </w:p>
        </w:tc>
      </w:tr>
      <w:tr w:rsidR="00965D85" w:rsidRPr="00FE7221" w:rsidTr="008B46DF">
        <w:trPr>
          <w:cantSplit/>
        </w:trPr>
        <w:tc>
          <w:tcPr>
            <w:tcW w:w="5954" w:type="dxa"/>
            <w:tcBorders>
              <w:top w:val="single" w:sz="4" w:space="0" w:color="auto"/>
              <w:left w:val="nil"/>
              <w:bottom w:val="single" w:sz="12" w:space="0" w:color="000000"/>
              <w:right w:val="nil"/>
            </w:tcBorders>
            <w:hideMark/>
          </w:tcPr>
          <w:p w:rsidR="00965D85" w:rsidRPr="00FE7221" w:rsidRDefault="00965D85" w:rsidP="008B46DF">
            <w:pPr>
              <w:pStyle w:val="Tabletext"/>
              <w:rPr>
                <w:b/>
                <w:bCs/>
                <w:lang w:eastAsia="en-AU"/>
              </w:rPr>
            </w:pPr>
            <w:r w:rsidRPr="00FE7221">
              <w:rPr>
                <w:b/>
                <w:bCs/>
                <w:lang w:eastAsia="en-AU"/>
              </w:rPr>
              <w:t>Total</w:t>
            </w:r>
          </w:p>
        </w:tc>
        <w:tc>
          <w:tcPr>
            <w:tcW w:w="1715" w:type="dxa"/>
            <w:tcBorders>
              <w:top w:val="single" w:sz="4" w:space="0" w:color="auto"/>
              <w:left w:val="nil"/>
              <w:bottom w:val="single" w:sz="12" w:space="0" w:color="000000"/>
              <w:right w:val="nil"/>
            </w:tcBorders>
          </w:tcPr>
          <w:p w:rsidR="00965D85" w:rsidRPr="00FE7221" w:rsidRDefault="00965D85" w:rsidP="008B46DF">
            <w:pPr>
              <w:pStyle w:val="TableofFigures"/>
              <w:rPr>
                <w:b/>
                <w:bCs/>
                <w:lang w:eastAsia="en-AU"/>
              </w:rPr>
            </w:pPr>
            <w:r w:rsidRPr="00FE7221">
              <w:rPr>
                <w:b/>
                <w:bCs/>
                <w:lang w:eastAsia="en-AU"/>
              </w:rPr>
              <w:t>100.0</w:t>
            </w:r>
          </w:p>
        </w:tc>
      </w:tr>
    </w:tbl>
    <w:p w:rsidR="00965D85" w:rsidRDefault="00965D85" w:rsidP="008B46DF">
      <w:pPr>
        <w:pStyle w:val="Source"/>
        <w:rPr>
          <w:lang w:eastAsia="en-AU"/>
        </w:rPr>
      </w:pPr>
      <w:r w:rsidRPr="00FE7221">
        <w:rPr>
          <w:lang w:eastAsia="en-AU"/>
        </w:rPr>
        <w:t>Source: Department of Treasury and Finance</w:t>
      </w:r>
    </w:p>
    <w:p w:rsidR="00965D85" w:rsidRPr="00FE7221" w:rsidRDefault="00965D85" w:rsidP="008B46DF">
      <w:pPr>
        <w:pStyle w:val="Heading3Numbering"/>
      </w:pPr>
      <w:r w:rsidRPr="00FE7221">
        <w:t>Sensitivity analysis</w:t>
      </w:r>
    </w:p>
    <w:p w:rsidR="00965D85" w:rsidRPr="00F82B43" w:rsidRDefault="00965D85" w:rsidP="008B46DF">
      <w:r>
        <w:t xml:space="preserve">Appendix D </w:t>
      </w:r>
      <w:r>
        <w:rPr>
          <w:i/>
          <w:iCs/>
        </w:rPr>
        <w:t>Sensitivity analysis</w:t>
      </w:r>
      <w:r>
        <w:t xml:space="preserve"> provides an estimate of the impact on revenue, expenses, the net result from transactions, the net result, and net debt associated with variations to forecasts of selected economic and financial variables. </w:t>
      </w:r>
    </w:p>
    <w:p w:rsidR="00965D85" w:rsidRPr="00FE7221" w:rsidRDefault="00965D85" w:rsidP="008B46DF">
      <w:pPr>
        <w:pStyle w:val="Heading3Numbering"/>
      </w:pPr>
      <w:r w:rsidRPr="00FE7221">
        <w:t>Prospective accounting changes</w:t>
      </w:r>
    </w:p>
    <w:p w:rsidR="00965D85" w:rsidRPr="00FE7221" w:rsidRDefault="00965D85" w:rsidP="008B46DF">
      <w:r>
        <w:t>Certain new and revised accounting standards have been issued but are not effective for the 2015</w:t>
      </w:r>
      <w:r>
        <w:noBreakHyphen/>
        <w:t>16 reporting period. They include</w:t>
      </w:r>
      <w:r w:rsidRPr="00FE7221">
        <w:t>:</w:t>
      </w:r>
    </w:p>
    <w:p w:rsidR="00965D85" w:rsidRPr="00605C72" w:rsidRDefault="00965D85" w:rsidP="008B46DF">
      <w:pPr>
        <w:pStyle w:val="BulletText"/>
      </w:pPr>
      <w:r>
        <w:t>AASB </w:t>
      </w:r>
      <w:r w:rsidRPr="00605C72">
        <w:t xml:space="preserve">9 </w:t>
      </w:r>
      <w:r w:rsidRPr="00605C72">
        <w:rPr>
          <w:i/>
        </w:rPr>
        <w:t>Financial Instruments,</w:t>
      </w:r>
      <w:r w:rsidRPr="00605C72">
        <w:t xml:space="preserve"> operative for reporting periods beginning from 1 January 2018 as revised by AASB 2014</w:t>
      </w:r>
      <w:r>
        <w:noBreakHyphen/>
      </w:r>
      <w:r w:rsidRPr="00605C72">
        <w:t xml:space="preserve">1 </w:t>
      </w:r>
      <w:r w:rsidRPr="00605C72">
        <w:rPr>
          <w:i/>
        </w:rPr>
        <w:t>Amendments to Australia</w:t>
      </w:r>
      <w:r>
        <w:rPr>
          <w:i/>
        </w:rPr>
        <w:t xml:space="preserve">n Accounting Standards </w:t>
      </w:r>
      <w:r>
        <w:t>(Part E </w:t>
      </w:r>
      <w:r w:rsidRPr="00605C72">
        <w:rPr>
          <w:i/>
        </w:rPr>
        <w:t>Financial Instruments</w:t>
      </w:r>
      <w:r w:rsidRPr="00605C72">
        <w:t>). AASB 9 simplifies requirements for the classification and measurement of financial assets, introduces a new hedging accounting model and also considers a revised impairment loss model to recognise impairment loss earlier, as opposed to the current approach that recognises impairment loss only when incurred.</w:t>
      </w:r>
    </w:p>
    <w:p w:rsidR="00965D85" w:rsidRDefault="00965D85" w:rsidP="008B46DF">
      <w:pPr>
        <w:pStyle w:val="BulletText"/>
      </w:pPr>
      <w:r w:rsidRPr="00605C72">
        <w:t>AASB 15 </w:t>
      </w:r>
      <w:r w:rsidRPr="003E5E0A">
        <w:rPr>
          <w:i/>
        </w:rPr>
        <w:t>Revenue from Contracts with Customers</w:t>
      </w:r>
      <w:r w:rsidRPr="00605C72">
        <w:t xml:space="preserve">, operative for reporting periods commencing </w:t>
      </w:r>
      <w:r>
        <w:t>1 January 2018</w:t>
      </w:r>
      <w:r w:rsidRPr="00605C72">
        <w:t>. The core principle of AASB 15 requires an entity to recognise revenue when the entity satisfies a performance obligation by transferring a promised good or service to a customer. The State is reviewing its existing revenue recognition policy to assess the potential implications arising from AASB 15.</w:t>
      </w:r>
    </w:p>
    <w:p w:rsidR="00965D85" w:rsidRDefault="00965D85" w:rsidP="008B46DF">
      <w:r>
        <w:t>T</w:t>
      </w:r>
      <w:r w:rsidRPr="00FE7221">
        <w:t>here is no intention to early adopt the above accounting standards.</w:t>
      </w:r>
    </w:p>
    <w:p w:rsidR="00965D85" w:rsidRPr="00FE7221" w:rsidRDefault="00965D85" w:rsidP="008B46DF">
      <w:r w:rsidRPr="00FE7221">
        <w:t xml:space="preserve">Several other amending standards </w:t>
      </w:r>
      <w:r>
        <w:t xml:space="preserve">and AASB interpretations </w:t>
      </w:r>
      <w:r w:rsidRPr="00FE7221">
        <w:t>have been issued that are applicable for future reporting periods</w:t>
      </w:r>
      <w:r>
        <w:t>,</w:t>
      </w:r>
      <w:r w:rsidRPr="00FE7221">
        <w:t xml:space="preserve"> which have insignificant impacts on public sector reporting. </w:t>
      </w:r>
    </w:p>
    <w:p w:rsidR="00965D85" w:rsidRDefault="00965D85" w:rsidP="008B46DF"/>
    <w:p w:rsidR="00965D85" w:rsidRDefault="00965D85" w:rsidP="008B46DF"/>
    <w:p w:rsidR="00965D85" w:rsidRDefault="00965D85" w:rsidP="008B46DF">
      <w:pPr>
        <w:pStyle w:val="Heading2Notes"/>
        <w:rPr>
          <w:rFonts w:ascii="Times New Roman" w:hAnsi="Times New Roman"/>
          <w:i/>
          <w:sz w:val="20"/>
          <w:lang w:eastAsia="en-AU"/>
        </w:rPr>
      </w:pPr>
      <w:bookmarkStart w:id="50" w:name="_Toc436138908"/>
      <w:r w:rsidRPr="003878BE">
        <w:rPr>
          <w:lang w:eastAsia="en-AU"/>
        </w:rPr>
        <w:lastRenderedPageBreak/>
        <w:t xml:space="preserve">Note 2: </w:t>
      </w:r>
      <w:r w:rsidRPr="003878BE">
        <w:rPr>
          <w:lang w:eastAsia="en-AU"/>
        </w:rPr>
        <w:tab/>
        <w:t>Taxation revenue</w:t>
      </w:r>
      <w:bookmarkEnd w:id="50"/>
    </w:p>
    <w:tbl>
      <w:tblPr>
        <w:tblW w:w="7767" w:type="dxa"/>
        <w:tblInd w:w="28" w:type="dxa"/>
        <w:tblLayout w:type="fixed"/>
        <w:tblCellMar>
          <w:left w:w="28" w:type="dxa"/>
          <w:right w:w="28" w:type="dxa"/>
        </w:tblCellMar>
        <w:tblLook w:val="0000" w:firstRow="0" w:lastRow="0" w:firstColumn="0" w:lastColumn="0" w:noHBand="0" w:noVBand="0"/>
      </w:tblPr>
      <w:tblGrid>
        <w:gridCol w:w="3472"/>
        <w:gridCol w:w="497"/>
        <w:gridCol w:w="287"/>
        <w:gridCol w:w="840"/>
        <w:gridCol w:w="7"/>
        <w:gridCol w:w="284"/>
        <w:gridCol w:w="283"/>
        <w:gridCol w:w="279"/>
        <w:gridCol w:w="854"/>
        <w:gridCol w:w="964"/>
      </w:tblGrid>
      <w:tr w:rsidR="00965D85" w:rsidRPr="00E22AD9" w:rsidTr="008B46DF">
        <w:trPr>
          <w:tblHeader/>
        </w:trPr>
        <w:tc>
          <w:tcPr>
            <w:tcW w:w="7767" w:type="dxa"/>
            <w:gridSpan w:val="10"/>
            <w:tcBorders>
              <w:top w:val="nil"/>
              <w:left w:val="nil"/>
              <w:bottom w:val="nil"/>
              <w:right w:val="nil"/>
            </w:tcBorders>
          </w:tcPr>
          <w:p w:rsidR="00965D85" w:rsidRPr="00E22AD9" w:rsidRDefault="00965D85" w:rsidP="008B46DF">
            <w:pPr>
              <w:pStyle w:val="million"/>
              <w:rPr>
                <w:rFonts w:eastAsiaTheme="minorEastAsia" w:cs="Calibri"/>
                <w:iCs/>
                <w:color w:val="000000"/>
                <w:sz w:val="20"/>
                <w:lang w:eastAsia="en-AU"/>
              </w:rPr>
            </w:pPr>
            <w:r w:rsidRPr="00E22AD9">
              <w:rPr>
                <w:rFonts w:eastAsiaTheme="minorEastAsia"/>
                <w:lang w:eastAsia="en-AU"/>
              </w:rPr>
              <w:t>($ million)</w:t>
            </w:r>
          </w:p>
        </w:tc>
      </w:tr>
      <w:tr w:rsidR="00965D85" w:rsidRPr="00E22AD9" w:rsidTr="008B46DF">
        <w:trPr>
          <w:trHeight w:val="488"/>
          <w:tblHeader/>
        </w:trPr>
        <w:tc>
          <w:tcPr>
            <w:tcW w:w="3472" w:type="dxa"/>
            <w:tcBorders>
              <w:top w:val="nil"/>
              <w:left w:val="nil"/>
              <w:right w:val="nil"/>
            </w:tcBorders>
            <w:shd w:val="solid" w:color="000000" w:fill="auto"/>
          </w:tcPr>
          <w:p w:rsidR="00965D85" w:rsidRPr="00E22AD9" w:rsidRDefault="00965D85" w:rsidP="008B46DF">
            <w:pPr>
              <w:autoSpaceDE w:val="0"/>
              <w:autoSpaceDN w:val="0"/>
              <w:adjustRightInd w:val="0"/>
              <w:spacing w:after="0"/>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 xml:space="preserve"> </w:t>
            </w:r>
          </w:p>
          <w:p w:rsidR="00965D85" w:rsidRPr="00E22AD9" w:rsidRDefault="00965D85" w:rsidP="008B46DF">
            <w:pPr>
              <w:autoSpaceDE w:val="0"/>
              <w:autoSpaceDN w:val="0"/>
              <w:adjustRightInd w:val="0"/>
              <w:spacing w:after="0"/>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 xml:space="preserve"> </w:t>
            </w:r>
          </w:p>
        </w:tc>
        <w:tc>
          <w:tcPr>
            <w:tcW w:w="784" w:type="dxa"/>
            <w:gridSpan w:val="2"/>
            <w:tcBorders>
              <w:top w:val="nil"/>
              <w:left w:val="nil"/>
              <w:right w:val="nil"/>
            </w:tcBorders>
            <w:shd w:val="solid" w:color="000000" w:fill="auto"/>
          </w:tcPr>
          <w:p w:rsidR="00965D85" w:rsidRPr="00E22AD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E22AD9">
              <w:rPr>
                <w:rFonts w:ascii="Calibri" w:eastAsiaTheme="minorEastAsia" w:hAnsi="Calibri" w:cs="Calibri"/>
                <w:i/>
                <w:iCs/>
                <w:color w:val="FFFFFF"/>
                <w:sz w:val="20"/>
                <w:lang w:eastAsia="en-AU"/>
              </w:rPr>
              <w:t>2015</w:t>
            </w:r>
            <w:r>
              <w:rPr>
                <w:rFonts w:ascii="Calibri" w:eastAsiaTheme="minorEastAsia" w:hAnsi="Calibri" w:cs="Calibri"/>
                <w:i/>
                <w:iCs/>
                <w:color w:val="FFFFFF"/>
                <w:sz w:val="20"/>
                <w:lang w:eastAsia="en-AU"/>
              </w:rPr>
              <w:noBreakHyphen/>
            </w:r>
            <w:r w:rsidRPr="00E22AD9">
              <w:rPr>
                <w:rFonts w:ascii="Calibri" w:eastAsiaTheme="minorEastAsia" w:hAnsi="Calibri" w:cs="Calibri"/>
                <w:i/>
                <w:iCs/>
                <w:color w:val="FFFFFF"/>
                <w:sz w:val="20"/>
                <w:lang w:eastAsia="en-AU"/>
              </w:rPr>
              <w:t>16</w:t>
            </w:r>
          </w:p>
          <w:p w:rsidR="00965D85" w:rsidRPr="00E22AD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E22AD9">
              <w:rPr>
                <w:rFonts w:ascii="Calibri" w:eastAsiaTheme="minorEastAsia" w:hAnsi="Calibri" w:cs="Calibri"/>
                <w:i/>
                <w:iCs/>
                <w:color w:val="FFFFFF"/>
                <w:sz w:val="20"/>
                <w:lang w:eastAsia="en-AU"/>
              </w:rPr>
              <w:t>budget</w:t>
            </w:r>
          </w:p>
        </w:tc>
        <w:tc>
          <w:tcPr>
            <w:tcW w:w="840" w:type="dxa"/>
            <w:tcBorders>
              <w:top w:val="nil"/>
              <w:left w:val="nil"/>
              <w:right w:val="nil"/>
            </w:tcBorders>
            <w:shd w:val="solid" w:color="000000" w:fill="auto"/>
          </w:tcPr>
          <w:p w:rsidR="00965D85" w:rsidRPr="00E22AD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E22AD9">
              <w:rPr>
                <w:rFonts w:ascii="Calibri" w:eastAsiaTheme="minorEastAsia" w:hAnsi="Calibri" w:cs="Calibri"/>
                <w:i/>
                <w:iCs/>
                <w:color w:val="FFFFFF"/>
                <w:sz w:val="20"/>
                <w:lang w:eastAsia="en-AU"/>
              </w:rPr>
              <w:t>2015</w:t>
            </w:r>
            <w:r>
              <w:rPr>
                <w:rFonts w:ascii="Calibri" w:eastAsiaTheme="minorEastAsia" w:hAnsi="Calibri" w:cs="Calibri"/>
                <w:i/>
                <w:iCs/>
                <w:color w:val="FFFFFF"/>
                <w:sz w:val="20"/>
                <w:lang w:eastAsia="en-AU"/>
              </w:rPr>
              <w:noBreakHyphen/>
            </w:r>
            <w:r w:rsidRPr="00E22AD9">
              <w:rPr>
                <w:rFonts w:ascii="Calibri" w:eastAsiaTheme="minorEastAsia" w:hAnsi="Calibri" w:cs="Calibri"/>
                <w:i/>
                <w:iCs/>
                <w:color w:val="FFFFFF"/>
                <w:sz w:val="20"/>
                <w:lang w:eastAsia="en-AU"/>
              </w:rPr>
              <w:t>16</w:t>
            </w:r>
          </w:p>
          <w:p w:rsidR="00965D85" w:rsidRPr="00E22AD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E22AD9">
              <w:rPr>
                <w:rFonts w:ascii="Calibri" w:eastAsiaTheme="minorEastAsia" w:hAnsi="Calibri" w:cs="Calibri"/>
                <w:i/>
                <w:iCs/>
                <w:color w:val="FFFFFF"/>
                <w:sz w:val="20"/>
                <w:lang w:eastAsia="en-AU"/>
              </w:rPr>
              <w:t>revised</w:t>
            </w:r>
          </w:p>
        </w:tc>
        <w:tc>
          <w:tcPr>
            <w:tcW w:w="853" w:type="dxa"/>
            <w:gridSpan w:val="4"/>
            <w:tcBorders>
              <w:top w:val="nil"/>
              <w:left w:val="nil"/>
              <w:right w:val="nil"/>
            </w:tcBorders>
            <w:shd w:val="solid" w:color="000000" w:fill="auto"/>
          </w:tcPr>
          <w:p w:rsidR="00965D85" w:rsidRPr="00E22AD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E22AD9">
              <w:rPr>
                <w:rFonts w:ascii="Calibri" w:eastAsiaTheme="minorEastAsia" w:hAnsi="Calibri" w:cs="Calibri"/>
                <w:i/>
                <w:iCs/>
                <w:color w:val="FFFFFF"/>
                <w:sz w:val="20"/>
                <w:lang w:eastAsia="en-AU"/>
              </w:rPr>
              <w:t>2016</w:t>
            </w:r>
            <w:r>
              <w:rPr>
                <w:rFonts w:ascii="Calibri" w:eastAsiaTheme="minorEastAsia" w:hAnsi="Calibri" w:cs="Calibri"/>
                <w:i/>
                <w:iCs/>
                <w:color w:val="FFFFFF"/>
                <w:sz w:val="20"/>
                <w:lang w:eastAsia="en-AU"/>
              </w:rPr>
              <w:noBreakHyphen/>
            </w:r>
            <w:r w:rsidRPr="00E22AD9">
              <w:rPr>
                <w:rFonts w:ascii="Calibri" w:eastAsiaTheme="minorEastAsia" w:hAnsi="Calibri" w:cs="Calibri"/>
                <w:i/>
                <w:iCs/>
                <w:color w:val="FFFFFF"/>
                <w:sz w:val="20"/>
                <w:lang w:eastAsia="en-AU"/>
              </w:rPr>
              <w:t>17</w:t>
            </w:r>
          </w:p>
          <w:p w:rsidR="00965D85" w:rsidRPr="00E22AD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E22AD9">
              <w:rPr>
                <w:rFonts w:ascii="Calibri" w:eastAsiaTheme="minorEastAsia" w:hAnsi="Calibri" w:cs="Calibri"/>
                <w:i/>
                <w:iCs/>
                <w:color w:val="FFFFFF"/>
                <w:sz w:val="20"/>
                <w:lang w:eastAsia="en-AU"/>
              </w:rPr>
              <w:t>estimate</w:t>
            </w:r>
          </w:p>
        </w:tc>
        <w:tc>
          <w:tcPr>
            <w:tcW w:w="854" w:type="dxa"/>
            <w:tcBorders>
              <w:top w:val="nil"/>
              <w:left w:val="nil"/>
              <w:right w:val="nil"/>
            </w:tcBorders>
            <w:shd w:val="solid" w:color="000000" w:fill="auto"/>
          </w:tcPr>
          <w:p w:rsidR="00965D85" w:rsidRPr="00E22AD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E22AD9">
              <w:rPr>
                <w:rFonts w:ascii="Calibri" w:eastAsiaTheme="minorEastAsia" w:hAnsi="Calibri" w:cs="Calibri"/>
                <w:i/>
                <w:iCs/>
                <w:color w:val="FFFFFF"/>
                <w:sz w:val="20"/>
                <w:lang w:eastAsia="en-AU"/>
              </w:rPr>
              <w:t>2017</w:t>
            </w:r>
            <w:r>
              <w:rPr>
                <w:rFonts w:ascii="Calibri" w:eastAsiaTheme="minorEastAsia" w:hAnsi="Calibri" w:cs="Calibri"/>
                <w:i/>
                <w:iCs/>
                <w:color w:val="FFFFFF"/>
                <w:sz w:val="20"/>
                <w:lang w:eastAsia="en-AU"/>
              </w:rPr>
              <w:noBreakHyphen/>
            </w:r>
            <w:r w:rsidRPr="00E22AD9">
              <w:rPr>
                <w:rFonts w:ascii="Calibri" w:eastAsiaTheme="minorEastAsia" w:hAnsi="Calibri" w:cs="Calibri"/>
                <w:i/>
                <w:iCs/>
                <w:color w:val="FFFFFF"/>
                <w:sz w:val="20"/>
                <w:lang w:eastAsia="en-AU"/>
              </w:rPr>
              <w:t>18</w:t>
            </w:r>
          </w:p>
          <w:p w:rsidR="00965D85" w:rsidRPr="00E22AD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E22AD9">
              <w:rPr>
                <w:rFonts w:ascii="Calibri" w:eastAsiaTheme="minorEastAsia" w:hAnsi="Calibri" w:cs="Calibri"/>
                <w:i/>
                <w:iCs/>
                <w:color w:val="FFFFFF"/>
                <w:sz w:val="20"/>
                <w:lang w:eastAsia="en-AU"/>
              </w:rPr>
              <w:t>estimate</w:t>
            </w:r>
          </w:p>
        </w:tc>
        <w:tc>
          <w:tcPr>
            <w:tcW w:w="964" w:type="dxa"/>
            <w:tcBorders>
              <w:top w:val="nil"/>
              <w:left w:val="nil"/>
              <w:right w:val="nil"/>
            </w:tcBorders>
            <w:shd w:val="solid" w:color="000000" w:fill="auto"/>
          </w:tcPr>
          <w:p w:rsidR="00965D85" w:rsidRPr="00E22AD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E22AD9">
              <w:rPr>
                <w:rFonts w:ascii="Calibri" w:eastAsiaTheme="minorEastAsia" w:hAnsi="Calibri" w:cs="Calibri"/>
                <w:i/>
                <w:iCs/>
                <w:color w:val="FFFFFF"/>
                <w:sz w:val="20"/>
                <w:lang w:eastAsia="en-AU"/>
              </w:rPr>
              <w:t>2018</w:t>
            </w:r>
            <w:r>
              <w:rPr>
                <w:rFonts w:ascii="Calibri" w:eastAsiaTheme="minorEastAsia" w:hAnsi="Calibri" w:cs="Calibri"/>
                <w:i/>
                <w:iCs/>
                <w:color w:val="FFFFFF"/>
                <w:sz w:val="20"/>
                <w:lang w:eastAsia="en-AU"/>
              </w:rPr>
              <w:noBreakHyphen/>
            </w:r>
            <w:r w:rsidRPr="00E22AD9">
              <w:rPr>
                <w:rFonts w:ascii="Calibri" w:eastAsiaTheme="minorEastAsia" w:hAnsi="Calibri" w:cs="Calibri"/>
                <w:i/>
                <w:iCs/>
                <w:color w:val="FFFFFF"/>
                <w:sz w:val="20"/>
                <w:lang w:eastAsia="en-AU"/>
              </w:rPr>
              <w:t>19</w:t>
            </w:r>
          </w:p>
          <w:p w:rsidR="00965D85" w:rsidRPr="00E22AD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E22AD9">
              <w:rPr>
                <w:rFonts w:ascii="Calibri" w:eastAsiaTheme="minorEastAsia" w:hAnsi="Calibri" w:cs="Calibri"/>
                <w:i/>
                <w:iCs/>
                <w:color w:val="FFFFFF"/>
                <w:sz w:val="20"/>
                <w:lang w:eastAsia="en-AU"/>
              </w:rPr>
              <w:t>estimate</w:t>
            </w:r>
          </w:p>
        </w:tc>
      </w:tr>
      <w:tr w:rsidR="00965D85" w:rsidRPr="00E22AD9" w:rsidTr="008B46DF">
        <w:tc>
          <w:tcPr>
            <w:tcW w:w="3472" w:type="dxa"/>
            <w:tcBorders>
              <w:top w:val="nil"/>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Taxes on employers</w:t>
            </w:r>
            <w:r>
              <w:rPr>
                <w:rFonts w:ascii="Calibri" w:eastAsiaTheme="minorEastAsia" w:hAnsi="Calibri" w:cs="Calibri"/>
                <w:b/>
                <w:bCs/>
                <w:color w:val="000000"/>
                <w:sz w:val="20"/>
                <w:lang w:eastAsia="en-AU"/>
              </w:rPr>
              <w:t>’</w:t>
            </w:r>
            <w:r w:rsidRPr="00E22AD9">
              <w:rPr>
                <w:rFonts w:ascii="Calibri" w:eastAsiaTheme="minorEastAsia" w:hAnsi="Calibri" w:cs="Calibri"/>
                <w:b/>
                <w:bCs/>
                <w:color w:val="000000"/>
                <w:sz w:val="20"/>
                <w:lang w:eastAsia="en-AU"/>
              </w:rPr>
              <w:t xml:space="preserve"> payroll and labour force</w:t>
            </w:r>
          </w:p>
        </w:tc>
        <w:tc>
          <w:tcPr>
            <w:tcW w:w="784" w:type="dxa"/>
            <w:gridSpan w:val="2"/>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5 407.5</w:t>
            </w:r>
          </w:p>
        </w:tc>
        <w:tc>
          <w:tcPr>
            <w:tcW w:w="840"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5 394.2</w:t>
            </w:r>
          </w:p>
        </w:tc>
        <w:tc>
          <w:tcPr>
            <w:tcW w:w="853" w:type="dxa"/>
            <w:gridSpan w:val="4"/>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5 742.6</w:t>
            </w:r>
          </w:p>
        </w:tc>
        <w:tc>
          <w:tcPr>
            <w:tcW w:w="854"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6 067.8</w:t>
            </w:r>
          </w:p>
        </w:tc>
        <w:tc>
          <w:tcPr>
            <w:tcW w:w="964"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6 407.6</w:t>
            </w:r>
          </w:p>
        </w:tc>
      </w:tr>
      <w:tr w:rsidR="00965D85" w:rsidRPr="00E22AD9" w:rsidTr="008B46DF">
        <w:tc>
          <w:tcPr>
            <w:tcW w:w="3472" w:type="dxa"/>
            <w:tcBorders>
              <w:top w:val="nil"/>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Taxes on property</w:t>
            </w:r>
          </w:p>
        </w:tc>
        <w:tc>
          <w:tcPr>
            <w:tcW w:w="784" w:type="dxa"/>
            <w:gridSpan w:val="2"/>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840"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853" w:type="dxa"/>
            <w:gridSpan w:val="4"/>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854"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964"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r>
      <w:tr w:rsidR="00965D85" w:rsidRPr="00E22AD9" w:rsidTr="008B46DF">
        <w:tc>
          <w:tcPr>
            <w:tcW w:w="3472" w:type="dxa"/>
            <w:tcBorders>
              <w:top w:val="nil"/>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Taxes on immovable property</w:t>
            </w:r>
          </w:p>
        </w:tc>
        <w:tc>
          <w:tcPr>
            <w:tcW w:w="784" w:type="dxa"/>
            <w:gridSpan w:val="2"/>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840"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853" w:type="dxa"/>
            <w:gridSpan w:val="4"/>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854"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964"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r>
      <w:tr w:rsidR="00965D85" w:rsidRPr="00E22AD9" w:rsidTr="008B46DF">
        <w:tc>
          <w:tcPr>
            <w:tcW w:w="3472" w:type="dxa"/>
            <w:tcBorders>
              <w:top w:val="nil"/>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Land tax</w:t>
            </w:r>
          </w:p>
        </w:tc>
        <w:tc>
          <w:tcPr>
            <w:tcW w:w="784" w:type="dxa"/>
            <w:gridSpan w:val="2"/>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1 769.7</w:t>
            </w:r>
          </w:p>
        </w:tc>
        <w:tc>
          <w:tcPr>
            <w:tcW w:w="840"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1 740.6</w:t>
            </w:r>
          </w:p>
        </w:tc>
        <w:tc>
          <w:tcPr>
            <w:tcW w:w="853" w:type="dxa"/>
            <w:gridSpan w:val="4"/>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1 990.7</w:t>
            </w:r>
          </w:p>
        </w:tc>
        <w:tc>
          <w:tcPr>
            <w:tcW w:w="854"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1 941.0</w:t>
            </w:r>
          </w:p>
        </w:tc>
        <w:tc>
          <w:tcPr>
            <w:tcW w:w="964"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2 197.8</w:t>
            </w:r>
          </w:p>
        </w:tc>
      </w:tr>
      <w:tr w:rsidR="00965D85" w:rsidRPr="00E22AD9" w:rsidTr="008B46DF">
        <w:tc>
          <w:tcPr>
            <w:tcW w:w="3472" w:type="dxa"/>
            <w:tcBorders>
              <w:top w:val="nil"/>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Fire Services Property Levy</w:t>
            </w:r>
          </w:p>
        </w:tc>
        <w:tc>
          <w:tcPr>
            <w:tcW w:w="784" w:type="dxa"/>
            <w:gridSpan w:val="2"/>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627.9</w:t>
            </w:r>
          </w:p>
        </w:tc>
        <w:tc>
          <w:tcPr>
            <w:tcW w:w="840"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649.7</w:t>
            </w:r>
          </w:p>
        </w:tc>
        <w:tc>
          <w:tcPr>
            <w:tcW w:w="853" w:type="dxa"/>
            <w:gridSpan w:val="4"/>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631.8</w:t>
            </w:r>
          </w:p>
        </w:tc>
        <w:tc>
          <w:tcPr>
            <w:tcW w:w="854"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644.7</w:t>
            </w:r>
          </w:p>
        </w:tc>
        <w:tc>
          <w:tcPr>
            <w:tcW w:w="964"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662.3</w:t>
            </w:r>
          </w:p>
        </w:tc>
      </w:tr>
      <w:tr w:rsidR="00965D85" w:rsidRPr="00E22AD9" w:rsidTr="008B46DF">
        <w:tc>
          <w:tcPr>
            <w:tcW w:w="3472" w:type="dxa"/>
            <w:tcBorders>
              <w:top w:val="nil"/>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Congestion levy</w:t>
            </w:r>
          </w:p>
        </w:tc>
        <w:tc>
          <w:tcPr>
            <w:tcW w:w="784" w:type="dxa"/>
            <w:gridSpan w:val="2"/>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120.2</w:t>
            </w:r>
          </w:p>
        </w:tc>
        <w:tc>
          <w:tcPr>
            <w:tcW w:w="840"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112.0</w:t>
            </w:r>
          </w:p>
        </w:tc>
        <w:tc>
          <w:tcPr>
            <w:tcW w:w="853" w:type="dxa"/>
            <w:gridSpan w:val="4"/>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115.6</w:t>
            </w:r>
          </w:p>
        </w:tc>
        <w:tc>
          <w:tcPr>
            <w:tcW w:w="854"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118.5</w:t>
            </w:r>
          </w:p>
        </w:tc>
        <w:tc>
          <w:tcPr>
            <w:tcW w:w="964"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121.8</w:t>
            </w:r>
          </w:p>
        </w:tc>
      </w:tr>
      <w:tr w:rsidR="00965D85" w:rsidRPr="00E22AD9" w:rsidTr="008B46DF">
        <w:tc>
          <w:tcPr>
            <w:tcW w:w="3472"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Metropolitan improvement levy</w:t>
            </w:r>
          </w:p>
        </w:tc>
        <w:tc>
          <w:tcPr>
            <w:tcW w:w="784" w:type="dxa"/>
            <w:gridSpan w:val="2"/>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150.8</w:t>
            </w:r>
          </w:p>
        </w:tc>
        <w:tc>
          <w:tcPr>
            <w:tcW w:w="840"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150.8</w:t>
            </w:r>
          </w:p>
        </w:tc>
        <w:tc>
          <w:tcPr>
            <w:tcW w:w="853" w:type="dxa"/>
            <w:gridSpan w:val="4"/>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157.4</w:t>
            </w:r>
          </w:p>
        </w:tc>
        <w:tc>
          <w:tcPr>
            <w:tcW w:w="854"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158.0</w:t>
            </w:r>
          </w:p>
        </w:tc>
        <w:tc>
          <w:tcPr>
            <w:tcW w:w="964"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158.0</w:t>
            </w:r>
          </w:p>
        </w:tc>
      </w:tr>
      <w:tr w:rsidR="00965D85" w:rsidRPr="00E22AD9" w:rsidTr="008B46DF">
        <w:tc>
          <w:tcPr>
            <w:tcW w:w="3472" w:type="dxa"/>
            <w:tcBorders>
              <w:top w:val="single" w:sz="6" w:space="0" w:color="000000"/>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Total taxes on immovable property</w:t>
            </w:r>
          </w:p>
        </w:tc>
        <w:tc>
          <w:tcPr>
            <w:tcW w:w="784" w:type="dxa"/>
            <w:gridSpan w:val="2"/>
            <w:tcBorders>
              <w:top w:val="single" w:sz="6" w:space="0" w:color="000000"/>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2 668.7</w:t>
            </w:r>
          </w:p>
        </w:tc>
        <w:tc>
          <w:tcPr>
            <w:tcW w:w="840" w:type="dxa"/>
            <w:tcBorders>
              <w:top w:val="single" w:sz="6" w:space="0" w:color="000000"/>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2 653.2</w:t>
            </w:r>
          </w:p>
        </w:tc>
        <w:tc>
          <w:tcPr>
            <w:tcW w:w="853" w:type="dxa"/>
            <w:gridSpan w:val="4"/>
            <w:tcBorders>
              <w:top w:val="single" w:sz="6" w:space="0" w:color="000000"/>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2 895.4</w:t>
            </w:r>
          </w:p>
        </w:tc>
        <w:tc>
          <w:tcPr>
            <w:tcW w:w="854" w:type="dxa"/>
            <w:tcBorders>
              <w:top w:val="single" w:sz="6" w:space="0" w:color="000000"/>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2 862.2</w:t>
            </w:r>
          </w:p>
        </w:tc>
        <w:tc>
          <w:tcPr>
            <w:tcW w:w="964" w:type="dxa"/>
            <w:tcBorders>
              <w:top w:val="single" w:sz="6" w:space="0" w:color="000000"/>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3 139.8</w:t>
            </w:r>
          </w:p>
        </w:tc>
      </w:tr>
      <w:tr w:rsidR="00965D85" w:rsidRPr="00E22AD9" w:rsidTr="008B46DF">
        <w:tc>
          <w:tcPr>
            <w:tcW w:w="3472" w:type="dxa"/>
            <w:tcBorders>
              <w:top w:val="nil"/>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Financial and capital transactions</w:t>
            </w:r>
          </w:p>
        </w:tc>
        <w:tc>
          <w:tcPr>
            <w:tcW w:w="784" w:type="dxa"/>
            <w:gridSpan w:val="2"/>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840"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853" w:type="dxa"/>
            <w:gridSpan w:val="4"/>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854"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964"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r>
      <w:tr w:rsidR="00965D85" w:rsidRPr="00E22AD9" w:rsidTr="008B46DF">
        <w:tc>
          <w:tcPr>
            <w:tcW w:w="3472" w:type="dxa"/>
            <w:tcBorders>
              <w:top w:val="nil"/>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Land transfer duty</w:t>
            </w:r>
          </w:p>
        </w:tc>
        <w:tc>
          <w:tcPr>
            <w:tcW w:w="784" w:type="dxa"/>
            <w:gridSpan w:val="2"/>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5 028.1</w:t>
            </w:r>
          </w:p>
        </w:tc>
        <w:tc>
          <w:tcPr>
            <w:tcW w:w="840"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5 418.0</w:t>
            </w:r>
          </w:p>
        </w:tc>
        <w:tc>
          <w:tcPr>
            <w:tcW w:w="853" w:type="dxa"/>
            <w:gridSpan w:val="4"/>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5 327.3</w:t>
            </w:r>
          </w:p>
        </w:tc>
        <w:tc>
          <w:tcPr>
            <w:tcW w:w="854"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5 324.6</w:t>
            </w:r>
          </w:p>
        </w:tc>
        <w:tc>
          <w:tcPr>
            <w:tcW w:w="964"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5 325.3</w:t>
            </w:r>
          </w:p>
        </w:tc>
      </w:tr>
      <w:tr w:rsidR="00965D85" w:rsidRPr="00E22AD9" w:rsidTr="008B46DF">
        <w:tc>
          <w:tcPr>
            <w:tcW w:w="3472" w:type="dxa"/>
            <w:tcBorders>
              <w:top w:val="nil"/>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Other property duties</w:t>
            </w:r>
          </w:p>
        </w:tc>
        <w:tc>
          <w:tcPr>
            <w:tcW w:w="784" w:type="dxa"/>
            <w:gridSpan w:val="2"/>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1.9</w:t>
            </w:r>
          </w:p>
        </w:tc>
        <w:tc>
          <w:tcPr>
            <w:tcW w:w="840"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2.4</w:t>
            </w:r>
          </w:p>
        </w:tc>
        <w:tc>
          <w:tcPr>
            <w:tcW w:w="853" w:type="dxa"/>
            <w:gridSpan w:val="4"/>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2.5</w:t>
            </w:r>
          </w:p>
        </w:tc>
        <w:tc>
          <w:tcPr>
            <w:tcW w:w="854"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2.6</w:t>
            </w:r>
          </w:p>
        </w:tc>
        <w:tc>
          <w:tcPr>
            <w:tcW w:w="964"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2.6</w:t>
            </w:r>
          </w:p>
        </w:tc>
      </w:tr>
      <w:tr w:rsidR="00965D85" w:rsidRPr="00E22AD9" w:rsidTr="008B46DF">
        <w:tc>
          <w:tcPr>
            <w:tcW w:w="3472" w:type="dxa"/>
            <w:tcBorders>
              <w:top w:val="nil"/>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Metropolitan Planning Levy</w:t>
            </w:r>
          </w:p>
        </w:tc>
        <w:tc>
          <w:tcPr>
            <w:tcW w:w="784" w:type="dxa"/>
            <w:gridSpan w:val="2"/>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17.1</w:t>
            </w:r>
          </w:p>
        </w:tc>
        <w:tc>
          <w:tcPr>
            <w:tcW w:w="840"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17.1</w:t>
            </w:r>
          </w:p>
        </w:tc>
        <w:tc>
          <w:tcPr>
            <w:tcW w:w="853" w:type="dxa"/>
            <w:gridSpan w:val="4"/>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17.1</w:t>
            </w:r>
          </w:p>
        </w:tc>
        <w:tc>
          <w:tcPr>
            <w:tcW w:w="854"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17.1</w:t>
            </w:r>
          </w:p>
        </w:tc>
        <w:tc>
          <w:tcPr>
            <w:tcW w:w="964"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17.1</w:t>
            </w:r>
          </w:p>
        </w:tc>
      </w:tr>
      <w:tr w:rsidR="00965D85" w:rsidRPr="00E22AD9" w:rsidTr="008B46DF">
        <w:tc>
          <w:tcPr>
            <w:tcW w:w="3472" w:type="dxa"/>
            <w:tcBorders>
              <w:top w:val="nil"/>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Financial accommodation levy</w:t>
            </w:r>
          </w:p>
        </w:tc>
        <w:tc>
          <w:tcPr>
            <w:tcW w:w="784" w:type="dxa"/>
            <w:gridSpan w:val="2"/>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151.4</w:t>
            </w:r>
          </w:p>
        </w:tc>
        <w:tc>
          <w:tcPr>
            <w:tcW w:w="840"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138.0</w:t>
            </w:r>
          </w:p>
        </w:tc>
        <w:tc>
          <w:tcPr>
            <w:tcW w:w="853" w:type="dxa"/>
            <w:gridSpan w:val="4"/>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152.0</w:t>
            </w:r>
          </w:p>
        </w:tc>
        <w:tc>
          <w:tcPr>
            <w:tcW w:w="854"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166.0</w:t>
            </w:r>
          </w:p>
        </w:tc>
        <w:tc>
          <w:tcPr>
            <w:tcW w:w="964"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180.0</w:t>
            </w:r>
          </w:p>
        </w:tc>
      </w:tr>
      <w:tr w:rsidR="00965D85" w:rsidRPr="00E22AD9" w:rsidTr="008B46DF">
        <w:tc>
          <w:tcPr>
            <w:tcW w:w="3472"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Growth areas infrastructure contributions</w:t>
            </w:r>
          </w:p>
        </w:tc>
        <w:tc>
          <w:tcPr>
            <w:tcW w:w="784" w:type="dxa"/>
            <w:gridSpan w:val="2"/>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108.3</w:t>
            </w:r>
          </w:p>
        </w:tc>
        <w:tc>
          <w:tcPr>
            <w:tcW w:w="840"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148.9</w:t>
            </w:r>
          </w:p>
        </w:tc>
        <w:tc>
          <w:tcPr>
            <w:tcW w:w="853" w:type="dxa"/>
            <w:gridSpan w:val="4"/>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157.0</w:t>
            </w:r>
          </w:p>
        </w:tc>
        <w:tc>
          <w:tcPr>
            <w:tcW w:w="854"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165.7</w:t>
            </w:r>
          </w:p>
        </w:tc>
        <w:tc>
          <w:tcPr>
            <w:tcW w:w="964"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174.8</w:t>
            </w:r>
          </w:p>
        </w:tc>
      </w:tr>
      <w:tr w:rsidR="00965D85" w:rsidRPr="00E22AD9" w:rsidTr="008B46DF">
        <w:tc>
          <w:tcPr>
            <w:tcW w:w="3472" w:type="dxa"/>
            <w:tcBorders>
              <w:top w:val="single" w:sz="6" w:space="0" w:color="000000"/>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Total financial and capital transactions</w:t>
            </w:r>
          </w:p>
        </w:tc>
        <w:tc>
          <w:tcPr>
            <w:tcW w:w="784" w:type="dxa"/>
            <w:gridSpan w:val="2"/>
            <w:tcBorders>
              <w:top w:val="single" w:sz="6" w:space="0" w:color="000000"/>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5 306.7</w:t>
            </w:r>
          </w:p>
        </w:tc>
        <w:tc>
          <w:tcPr>
            <w:tcW w:w="840" w:type="dxa"/>
            <w:tcBorders>
              <w:top w:val="single" w:sz="6" w:space="0" w:color="000000"/>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5 724.4</w:t>
            </w:r>
          </w:p>
        </w:tc>
        <w:tc>
          <w:tcPr>
            <w:tcW w:w="853" w:type="dxa"/>
            <w:gridSpan w:val="4"/>
            <w:tcBorders>
              <w:top w:val="single" w:sz="6" w:space="0" w:color="000000"/>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5 655.9</w:t>
            </w:r>
          </w:p>
        </w:tc>
        <w:tc>
          <w:tcPr>
            <w:tcW w:w="854" w:type="dxa"/>
            <w:tcBorders>
              <w:top w:val="single" w:sz="6" w:space="0" w:color="000000"/>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5 675.9</w:t>
            </w:r>
          </w:p>
        </w:tc>
        <w:tc>
          <w:tcPr>
            <w:tcW w:w="964" w:type="dxa"/>
            <w:tcBorders>
              <w:top w:val="single" w:sz="6" w:space="0" w:color="000000"/>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5 699.8</w:t>
            </w:r>
          </w:p>
        </w:tc>
      </w:tr>
      <w:tr w:rsidR="00965D85" w:rsidRPr="00E22AD9" w:rsidTr="008B46DF">
        <w:tc>
          <w:tcPr>
            <w:tcW w:w="3472" w:type="dxa"/>
            <w:tcBorders>
              <w:top w:val="single" w:sz="6" w:space="0" w:color="000000"/>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Total taxes on property</w:t>
            </w:r>
          </w:p>
        </w:tc>
        <w:tc>
          <w:tcPr>
            <w:tcW w:w="784" w:type="dxa"/>
            <w:gridSpan w:val="2"/>
            <w:tcBorders>
              <w:top w:val="single" w:sz="6" w:space="0" w:color="000000"/>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7 975.4</w:t>
            </w:r>
          </w:p>
        </w:tc>
        <w:tc>
          <w:tcPr>
            <w:tcW w:w="840" w:type="dxa"/>
            <w:tcBorders>
              <w:top w:val="single" w:sz="6" w:space="0" w:color="000000"/>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8 377.5</w:t>
            </w:r>
          </w:p>
        </w:tc>
        <w:tc>
          <w:tcPr>
            <w:tcW w:w="853" w:type="dxa"/>
            <w:gridSpan w:val="4"/>
            <w:tcBorders>
              <w:top w:val="single" w:sz="6" w:space="0" w:color="000000"/>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8 551.3</w:t>
            </w:r>
          </w:p>
        </w:tc>
        <w:tc>
          <w:tcPr>
            <w:tcW w:w="854" w:type="dxa"/>
            <w:tcBorders>
              <w:top w:val="single" w:sz="6" w:space="0" w:color="000000"/>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8 538.1</w:t>
            </w:r>
          </w:p>
        </w:tc>
        <w:tc>
          <w:tcPr>
            <w:tcW w:w="964" w:type="dxa"/>
            <w:tcBorders>
              <w:top w:val="single" w:sz="6" w:space="0" w:color="000000"/>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8 839.6</w:t>
            </w:r>
          </w:p>
        </w:tc>
      </w:tr>
      <w:tr w:rsidR="00965D85" w:rsidRPr="00E22AD9" w:rsidTr="008B46DF">
        <w:tc>
          <w:tcPr>
            <w:tcW w:w="3969" w:type="dxa"/>
            <w:gridSpan w:val="2"/>
            <w:tcBorders>
              <w:top w:val="single" w:sz="6" w:space="0" w:color="000000"/>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Taxes on the provision of goods and services</w:t>
            </w:r>
          </w:p>
        </w:tc>
        <w:tc>
          <w:tcPr>
            <w:tcW w:w="287" w:type="dxa"/>
            <w:tcBorders>
              <w:top w:val="single" w:sz="6" w:space="0" w:color="000000"/>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840" w:type="dxa"/>
            <w:tcBorders>
              <w:top w:val="single" w:sz="6" w:space="0" w:color="000000"/>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853" w:type="dxa"/>
            <w:gridSpan w:val="4"/>
            <w:tcBorders>
              <w:top w:val="single" w:sz="6" w:space="0" w:color="000000"/>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854" w:type="dxa"/>
            <w:tcBorders>
              <w:top w:val="single" w:sz="6" w:space="0" w:color="000000"/>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964" w:type="dxa"/>
            <w:tcBorders>
              <w:top w:val="single" w:sz="6" w:space="0" w:color="000000"/>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r>
      <w:tr w:rsidR="00965D85" w:rsidRPr="00E22AD9" w:rsidTr="008B46DF">
        <w:tc>
          <w:tcPr>
            <w:tcW w:w="3472" w:type="dxa"/>
            <w:tcBorders>
              <w:top w:val="nil"/>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Gambling taxes</w:t>
            </w:r>
          </w:p>
        </w:tc>
        <w:tc>
          <w:tcPr>
            <w:tcW w:w="784" w:type="dxa"/>
            <w:gridSpan w:val="2"/>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840"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853" w:type="dxa"/>
            <w:gridSpan w:val="4"/>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854"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964"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r>
      <w:tr w:rsidR="00965D85" w:rsidRPr="00E22AD9" w:rsidTr="008B46DF">
        <w:tc>
          <w:tcPr>
            <w:tcW w:w="3472" w:type="dxa"/>
            <w:tcBorders>
              <w:top w:val="nil"/>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Public lotteries</w:t>
            </w:r>
          </w:p>
        </w:tc>
        <w:tc>
          <w:tcPr>
            <w:tcW w:w="784" w:type="dxa"/>
            <w:gridSpan w:val="2"/>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420.7</w:t>
            </w:r>
          </w:p>
        </w:tc>
        <w:tc>
          <w:tcPr>
            <w:tcW w:w="840"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428.0</w:t>
            </w:r>
          </w:p>
        </w:tc>
        <w:tc>
          <w:tcPr>
            <w:tcW w:w="853" w:type="dxa"/>
            <w:gridSpan w:val="4"/>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447.6</w:t>
            </w:r>
          </w:p>
        </w:tc>
        <w:tc>
          <w:tcPr>
            <w:tcW w:w="854"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467.1</w:t>
            </w:r>
          </w:p>
        </w:tc>
        <w:tc>
          <w:tcPr>
            <w:tcW w:w="964"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488.3</w:t>
            </w:r>
          </w:p>
        </w:tc>
      </w:tr>
      <w:tr w:rsidR="00965D85" w:rsidRPr="00E22AD9" w:rsidTr="008B46DF">
        <w:tc>
          <w:tcPr>
            <w:tcW w:w="3472" w:type="dxa"/>
            <w:tcBorders>
              <w:top w:val="nil"/>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Electronic gaming machines</w:t>
            </w:r>
          </w:p>
        </w:tc>
        <w:tc>
          <w:tcPr>
            <w:tcW w:w="784" w:type="dxa"/>
            <w:gridSpan w:val="2"/>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1 087.7</w:t>
            </w:r>
          </w:p>
        </w:tc>
        <w:tc>
          <w:tcPr>
            <w:tcW w:w="840"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1 084.3</w:t>
            </w:r>
          </w:p>
        </w:tc>
        <w:tc>
          <w:tcPr>
            <w:tcW w:w="853" w:type="dxa"/>
            <w:gridSpan w:val="4"/>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1 106.2</w:t>
            </w:r>
          </w:p>
        </w:tc>
        <w:tc>
          <w:tcPr>
            <w:tcW w:w="854"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1 133.8</w:t>
            </w:r>
          </w:p>
        </w:tc>
        <w:tc>
          <w:tcPr>
            <w:tcW w:w="964"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1 162.5</w:t>
            </w:r>
          </w:p>
        </w:tc>
      </w:tr>
      <w:tr w:rsidR="00965D85" w:rsidRPr="00E22AD9" w:rsidTr="008B46DF">
        <w:tc>
          <w:tcPr>
            <w:tcW w:w="3472" w:type="dxa"/>
            <w:tcBorders>
              <w:top w:val="nil"/>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Casino</w:t>
            </w:r>
          </w:p>
        </w:tc>
        <w:tc>
          <w:tcPr>
            <w:tcW w:w="784" w:type="dxa"/>
            <w:gridSpan w:val="2"/>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240.3</w:t>
            </w:r>
          </w:p>
        </w:tc>
        <w:tc>
          <w:tcPr>
            <w:tcW w:w="840"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241.2</w:t>
            </w:r>
          </w:p>
        </w:tc>
        <w:tc>
          <w:tcPr>
            <w:tcW w:w="853" w:type="dxa"/>
            <w:gridSpan w:val="4"/>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247.2</w:t>
            </w:r>
          </w:p>
        </w:tc>
        <w:tc>
          <w:tcPr>
            <w:tcW w:w="854"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255.7</w:t>
            </w:r>
          </w:p>
        </w:tc>
        <w:tc>
          <w:tcPr>
            <w:tcW w:w="964"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265.7</w:t>
            </w:r>
          </w:p>
        </w:tc>
      </w:tr>
      <w:tr w:rsidR="00965D85" w:rsidRPr="00E22AD9" w:rsidTr="008B46DF">
        <w:tc>
          <w:tcPr>
            <w:tcW w:w="3472" w:type="dxa"/>
            <w:tcBorders>
              <w:top w:val="nil"/>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Racing</w:t>
            </w:r>
          </w:p>
        </w:tc>
        <w:tc>
          <w:tcPr>
            <w:tcW w:w="784" w:type="dxa"/>
            <w:gridSpan w:val="2"/>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82.8</w:t>
            </w:r>
          </w:p>
        </w:tc>
        <w:tc>
          <w:tcPr>
            <w:tcW w:w="840"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81.8</w:t>
            </w:r>
          </w:p>
        </w:tc>
        <w:tc>
          <w:tcPr>
            <w:tcW w:w="853" w:type="dxa"/>
            <w:gridSpan w:val="4"/>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80.7</w:t>
            </w:r>
          </w:p>
        </w:tc>
        <w:tc>
          <w:tcPr>
            <w:tcW w:w="854"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79.5</w:t>
            </w:r>
          </w:p>
        </w:tc>
        <w:tc>
          <w:tcPr>
            <w:tcW w:w="964"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78.0</w:t>
            </w:r>
          </w:p>
        </w:tc>
      </w:tr>
      <w:tr w:rsidR="00965D85" w:rsidRPr="00E22AD9" w:rsidTr="008B46DF">
        <w:tc>
          <w:tcPr>
            <w:tcW w:w="3472"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Other</w:t>
            </w:r>
          </w:p>
        </w:tc>
        <w:tc>
          <w:tcPr>
            <w:tcW w:w="784" w:type="dxa"/>
            <w:gridSpan w:val="2"/>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29.9</w:t>
            </w:r>
          </w:p>
        </w:tc>
        <w:tc>
          <w:tcPr>
            <w:tcW w:w="840"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29.0</w:t>
            </w:r>
          </w:p>
        </w:tc>
        <w:tc>
          <w:tcPr>
            <w:tcW w:w="853" w:type="dxa"/>
            <w:gridSpan w:val="4"/>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36.9</w:t>
            </w:r>
          </w:p>
        </w:tc>
        <w:tc>
          <w:tcPr>
            <w:tcW w:w="854"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47.1</w:t>
            </w:r>
          </w:p>
        </w:tc>
        <w:tc>
          <w:tcPr>
            <w:tcW w:w="964"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59.9</w:t>
            </w:r>
          </w:p>
        </w:tc>
      </w:tr>
      <w:tr w:rsidR="00965D85" w:rsidRPr="00E22AD9" w:rsidTr="008B46DF">
        <w:tc>
          <w:tcPr>
            <w:tcW w:w="3472" w:type="dxa"/>
            <w:tcBorders>
              <w:top w:val="single" w:sz="6" w:space="0" w:color="000000"/>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Total gambling taxes</w:t>
            </w:r>
          </w:p>
        </w:tc>
        <w:tc>
          <w:tcPr>
            <w:tcW w:w="784" w:type="dxa"/>
            <w:gridSpan w:val="2"/>
            <w:tcBorders>
              <w:top w:val="single" w:sz="6" w:space="0" w:color="000000"/>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1 861.3</w:t>
            </w:r>
          </w:p>
        </w:tc>
        <w:tc>
          <w:tcPr>
            <w:tcW w:w="840" w:type="dxa"/>
            <w:tcBorders>
              <w:top w:val="single" w:sz="6" w:space="0" w:color="000000"/>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1 864.3</w:t>
            </w:r>
          </w:p>
        </w:tc>
        <w:tc>
          <w:tcPr>
            <w:tcW w:w="853" w:type="dxa"/>
            <w:gridSpan w:val="4"/>
            <w:tcBorders>
              <w:top w:val="single" w:sz="6" w:space="0" w:color="000000"/>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1 918.6</w:t>
            </w:r>
          </w:p>
        </w:tc>
        <w:tc>
          <w:tcPr>
            <w:tcW w:w="854" w:type="dxa"/>
            <w:tcBorders>
              <w:top w:val="single" w:sz="6" w:space="0" w:color="000000"/>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1 983.2</w:t>
            </w:r>
          </w:p>
        </w:tc>
        <w:tc>
          <w:tcPr>
            <w:tcW w:w="964" w:type="dxa"/>
            <w:tcBorders>
              <w:top w:val="single" w:sz="6" w:space="0" w:color="000000"/>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2 054.4</w:t>
            </w:r>
          </w:p>
        </w:tc>
      </w:tr>
      <w:tr w:rsidR="00965D85" w:rsidRPr="00E22AD9" w:rsidTr="008B46DF">
        <w:tc>
          <w:tcPr>
            <w:tcW w:w="3472" w:type="dxa"/>
            <w:tcBorders>
              <w:top w:val="nil"/>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b/>
                <w:bCs/>
                <w:color w:val="000000"/>
                <w:sz w:val="20"/>
                <w:vertAlign w:val="superscript"/>
                <w:lang w:eastAsia="en-AU"/>
              </w:rPr>
            </w:pPr>
            <w:r w:rsidRPr="00E22AD9">
              <w:rPr>
                <w:rFonts w:ascii="Calibri" w:eastAsiaTheme="minorEastAsia" w:hAnsi="Calibri" w:cs="Calibri"/>
                <w:b/>
                <w:bCs/>
                <w:color w:val="000000"/>
                <w:sz w:val="20"/>
                <w:lang w:eastAsia="en-AU"/>
              </w:rPr>
              <w:t>Levies on statutory corporations</w:t>
            </w:r>
            <w:r w:rsidRPr="00E22AD9">
              <w:rPr>
                <w:rFonts w:ascii="Calibri" w:eastAsiaTheme="minorEastAsia" w:hAnsi="Calibri" w:cs="Calibri"/>
                <w:b/>
                <w:bCs/>
                <w:color w:val="000000"/>
                <w:sz w:val="20"/>
                <w:vertAlign w:val="superscript"/>
                <w:lang w:eastAsia="en-AU"/>
              </w:rPr>
              <w:t xml:space="preserve"> (a)</w:t>
            </w:r>
          </w:p>
        </w:tc>
        <w:tc>
          <w:tcPr>
            <w:tcW w:w="784" w:type="dxa"/>
            <w:gridSpan w:val="2"/>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20"/>
                <w:lang w:eastAsia="en-AU"/>
              </w:rPr>
              <w:t>112.0</w:t>
            </w:r>
          </w:p>
        </w:tc>
        <w:tc>
          <w:tcPr>
            <w:tcW w:w="840"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20"/>
                <w:lang w:eastAsia="en-AU"/>
              </w:rPr>
              <w:t>112.0</w:t>
            </w:r>
          </w:p>
        </w:tc>
        <w:tc>
          <w:tcPr>
            <w:tcW w:w="853" w:type="dxa"/>
            <w:gridSpan w:val="4"/>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w:t>
            </w:r>
          </w:p>
        </w:tc>
        <w:tc>
          <w:tcPr>
            <w:tcW w:w="854"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w:t>
            </w:r>
          </w:p>
        </w:tc>
        <w:tc>
          <w:tcPr>
            <w:tcW w:w="964"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w:t>
            </w:r>
          </w:p>
        </w:tc>
      </w:tr>
      <w:tr w:rsidR="00965D85" w:rsidRPr="00E22AD9" w:rsidTr="008B46DF">
        <w:tc>
          <w:tcPr>
            <w:tcW w:w="3472"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Taxes on insurance</w:t>
            </w:r>
          </w:p>
        </w:tc>
        <w:tc>
          <w:tcPr>
            <w:tcW w:w="784" w:type="dxa"/>
            <w:gridSpan w:val="2"/>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1 156.2</w:t>
            </w:r>
          </w:p>
        </w:tc>
        <w:tc>
          <w:tcPr>
            <w:tcW w:w="840"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1 149.1</w:t>
            </w:r>
          </w:p>
        </w:tc>
        <w:tc>
          <w:tcPr>
            <w:tcW w:w="853" w:type="dxa"/>
            <w:gridSpan w:val="4"/>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1 234.6</w:t>
            </w:r>
          </w:p>
        </w:tc>
        <w:tc>
          <w:tcPr>
            <w:tcW w:w="854"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1 318.2</w:t>
            </w:r>
          </w:p>
        </w:tc>
        <w:tc>
          <w:tcPr>
            <w:tcW w:w="964"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1 408.9</w:t>
            </w:r>
          </w:p>
        </w:tc>
      </w:tr>
      <w:tr w:rsidR="00965D85" w:rsidRPr="00E22AD9" w:rsidTr="008B46DF">
        <w:tc>
          <w:tcPr>
            <w:tcW w:w="3472" w:type="dxa"/>
            <w:tcBorders>
              <w:top w:val="single" w:sz="6" w:space="0" w:color="000000"/>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Total taxes on the provision of goods and services</w:t>
            </w:r>
          </w:p>
        </w:tc>
        <w:tc>
          <w:tcPr>
            <w:tcW w:w="784" w:type="dxa"/>
            <w:gridSpan w:val="2"/>
            <w:tcBorders>
              <w:top w:val="single" w:sz="6" w:space="0" w:color="000000"/>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3 129.5</w:t>
            </w:r>
          </w:p>
        </w:tc>
        <w:tc>
          <w:tcPr>
            <w:tcW w:w="840" w:type="dxa"/>
            <w:tcBorders>
              <w:top w:val="single" w:sz="6" w:space="0" w:color="000000"/>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3 125.4</w:t>
            </w:r>
          </w:p>
        </w:tc>
        <w:tc>
          <w:tcPr>
            <w:tcW w:w="853" w:type="dxa"/>
            <w:gridSpan w:val="4"/>
            <w:tcBorders>
              <w:top w:val="single" w:sz="6" w:space="0" w:color="000000"/>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3 153.2</w:t>
            </w:r>
          </w:p>
        </w:tc>
        <w:tc>
          <w:tcPr>
            <w:tcW w:w="854" w:type="dxa"/>
            <w:tcBorders>
              <w:top w:val="single" w:sz="6" w:space="0" w:color="000000"/>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3 301.3</w:t>
            </w:r>
          </w:p>
        </w:tc>
        <w:tc>
          <w:tcPr>
            <w:tcW w:w="964" w:type="dxa"/>
            <w:tcBorders>
              <w:top w:val="single" w:sz="6" w:space="0" w:color="000000"/>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3 463.3</w:t>
            </w:r>
          </w:p>
        </w:tc>
      </w:tr>
      <w:tr w:rsidR="00965D85" w:rsidRPr="00E22AD9" w:rsidTr="008B46DF">
        <w:tc>
          <w:tcPr>
            <w:tcW w:w="5103" w:type="dxa"/>
            <w:gridSpan w:val="5"/>
            <w:tcBorders>
              <w:top w:val="single" w:sz="6" w:space="0" w:color="000000"/>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Taxes on the use of goods and performance of activities</w:t>
            </w:r>
          </w:p>
        </w:tc>
        <w:tc>
          <w:tcPr>
            <w:tcW w:w="284" w:type="dxa"/>
            <w:tcBorders>
              <w:top w:val="single" w:sz="6" w:space="0" w:color="000000"/>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283" w:type="dxa"/>
            <w:tcBorders>
              <w:top w:val="single" w:sz="6" w:space="0" w:color="000000"/>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279" w:type="dxa"/>
            <w:tcBorders>
              <w:top w:val="single" w:sz="6" w:space="0" w:color="000000"/>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854" w:type="dxa"/>
            <w:tcBorders>
              <w:top w:val="single" w:sz="6" w:space="0" w:color="000000"/>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964" w:type="dxa"/>
            <w:tcBorders>
              <w:top w:val="single" w:sz="6" w:space="0" w:color="000000"/>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r>
      <w:tr w:rsidR="00965D85" w:rsidRPr="00E22AD9" w:rsidTr="008B46DF">
        <w:tc>
          <w:tcPr>
            <w:tcW w:w="3472" w:type="dxa"/>
            <w:tcBorders>
              <w:top w:val="nil"/>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Motor vehicle taxes</w:t>
            </w:r>
          </w:p>
        </w:tc>
        <w:tc>
          <w:tcPr>
            <w:tcW w:w="784" w:type="dxa"/>
            <w:gridSpan w:val="2"/>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840"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853" w:type="dxa"/>
            <w:gridSpan w:val="4"/>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854"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964"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r>
      <w:tr w:rsidR="00965D85" w:rsidRPr="00E22AD9" w:rsidTr="008B46DF">
        <w:tc>
          <w:tcPr>
            <w:tcW w:w="3472" w:type="dxa"/>
            <w:tcBorders>
              <w:top w:val="nil"/>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Vehicle registration fees</w:t>
            </w:r>
          </w:p>
        </w:tc>
        <w:tc>
          <w:tcPr>
            <w:tcW w:w="784" w:type="dxa"/>
            <w:gridSpan w:val="2"/>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1 458.9</w:t>
            </w:r>
          </w:p>
        </w:tc>
        <w:tc>
          <w:tcPr>
            <w:tcW w:w="840"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1 465.6</w:t>
            </w:r>
          </w:p>
        </w:tc>
        <w:tc>
          <w:tcPr>
            <w:tcW w:w="853" w:type="dxa"/>
            <w:gridSpan w:val="4"/>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1 552.4</w:t>
            </w:r>
          </w:p>
        </w:tc>
        <w:tc>
          <w:tcPr>
            <w:tcW w:w="854"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1 614.5</w:t>
            </w:r>
          </w:p>
        </w:tc>
        <w:tc>
          <w:tcPr>
            <w:tcW w:w="964"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1 680.0</w:t>
            </w:r>
          </w:p>
        </w:tc>
      </w:tr>
      <w:tr w:rsidR="00965D85" w:rsidRPr="00E22AD9" w:rsidTr="008B46DF">
        <w:tc>
          <w:tcPr>
            <w:tcW w:w="3472"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Duty on vehicle registrations and transfers</w:t>
            </w:r>
          </w:p>
        </w:tc>
        <w:tc>
          <w:tcPr>
            <w:tcW w:w="784" w:type="dxa"/>
            <w:gridSpan w:val="2"/>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743.3</w:t>
            </w:r>
          </w:p>
        </w:tc>
        <w:tc>
          <w:tcPr>
            <w:tcW w:w="840"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746.1</w:t>
            </w:r>
          </w:p>
        </w:tc>
        <w:tc>
          <w:tcPr>
            <w:tcW w:w="853" w:type="dxa"/>
            <w:gridSpan w:val="4"/>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769.0</w:t>
            </w:r>
          </w:p>
        </w:tc>
        <w:tc>
          <w:tcPr>
            <w:tcW w:w="854"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792.0</w:t>
            </w:r>
          </w:p>
        </w:tc>
        <w:tc>
          <w:tcPr>
            <w:tcW w:w="964"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815.8</w:t>
            </w:r>
          </w:p>
        </w:tc>
      </w:tr>
      <w:tr w:rsidR="00965D85" w:rsidRPr="00E22AD9" w:rsidTr="008B46DF">
        <w:tc>
          <w:tcPr>
            <w:tcW w:w="3472" w:type="dxa"/>
            <w:tcBorders>
              <w:top w:val="single" w:sz="6" w:space="0" w:color="000000"/>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Total motor vehicle taxes</w:t>
            </w:r>
          </w:p>
        </w:tc>
        <w:tc>
          <w:tcPr>
            <w:tcW w:w="784" w:type="dxa"/>
            <w:gridSpan w:val="2"/>
            <w:tcBorders>
              <w:top w:val="single" w:sz="6" w:space="0" w:color="000000"/>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2 202.2</w:t>
            </w:r>
          </w:p>
        </w:tc>
        <w:tc>
          <w:tcPr>
            <w:tcW w:w="840" w:type="dxa"/>
            <w:tcBorders>
              <w:top w:val="single" w:sz="6" w:space="0" w:color="000000"/>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2 211.7</w:t>
            </w:r>
          </w:p>
        </w:tc>
        <w:tc>
          <w:tcPr>
            <w:tcW w:w="853" w:type="dxa"/>
            <w:gridSpan w:val="4"/>
            <w:tcBorders>
              <w:top w:val="single" w:sz="6" w:space="0" w:color="000000"/>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2 321.4</w:t>
            </w:r>
          </w:p>
        </w:tc>
        <w:tc>
          <w:tcPr>
            <w:tcW w:w="854" w:type="dxa"/>
            <w:tcBorders>
              <w:top w:val="single" w:sz="6" w:space="0" w:color="000000"/>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2 406.5</w:t>
            </w:r>
          </w:p>
        </w:tc>
        <w:tc>
          <w:tcPr>
            <w:tcW w:w="964" w:type="dxa"/>
            <w:tcBorders>
              <w:top w:val="single" w:sz="6" w:space="0" w:color="000000"/>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2 495.8</w:t>
            </w:r>
          </w:p>
        </w:tc>
      </w:tr>
      <w:tr w:rsidR="00965D85" w:rsidRPr="00E22AD9" w:rsidTr="008B46DF">
        <w:tc>
          <w:tcPr>
            <w:tcW w:w="3472" w:type="dxa"/>
            <w:tcBorders>
              <w:top w:val="nil"/>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Liquor licence fees</w:t>
            </w:r>
          </w:p>
        </w:tc>
        <w:tc>
          <w:tcPr>
            <w:tcW w:w="784" w:type="dxa"/>
            <w:gridSpan w:val="2"/>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20"/>
                <w:lang w:eastAsia="en-AU"/>
              </w:rPr>
              <w:t>21.9</w:t>
            </w:r>
          </w:p>
        </w:tc>
        <w:tc>
          <w:tcPr>
            <w:tcW w:w="840"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20"/>
                <w:lang w:eastAsia="en-AU"/>
              </w:rPr>
              <w:t>21.9</w:t>
            </w:r>
          </w:p>
        </w:tc>
        <w:tc>
          <w:tcPr>
            <w:tcW w:w="853" w:type="dxa"/>
            <w:gridSpan w:val="4"/>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20"/>
                <w:lang w:eastAsia="en-AU"/>
              </w:rPr>
              <w:t>22.5</w:t>
            </w:r>
          </w:p>
        </w:tc>
        <w:tc>
          <w:tcPr>
            <w:tcW w:w="854"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20"/>
                <w:lang w:eastAsia="en-AU"/>
              </w:rPr>
              <w:t>23.2</w:t>
            </w:r>
          </w:p>
        </w:tc>
        <w:tc>
          <w:tcPr>
            <w:tcW w:w="964"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20"/>
                <w:lang w:eastAsia="en-AU"/>
              </w:rPr>
              <w:t>23.8</w:t>
            </w:r>
          </w:p>
        </w:tc>
      </w:tr>
      <w:tr w:rsidR="00965D85" w:rsidRPr="00E22AD9" w:rsidTr="008B46DF">
        <w:tc>
          <w:tcPr>
            <w:tcW w:w="3472"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Other</w:t>
            </w:r>
          </w:p>
        </w:tc>
        <w:tc>
          <w:tcPr>
            <w:tcW w:w="784" w:type="dxa"/>
            <w:gridSpan w:val="2"/>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20"/>
                <w:lang w:eastAsia="en-AU"/>
              </w:rPr>
              <w:t>288.0</w:t>
            </w:r>
          </w:p>
        </w:tc>
        <w:tc>
          <w:tcPr>
            <w:tcW w:w="840"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20"/>
                <w:lang w:eastAsia="en-AU"/>
              </w:rPr>
              <w:t>304.9</w:t>
            </w:r>
          </w:p>
        </w:tc>
        <w:tc>
          <w:tcPr>
            <w:tcW w:w="853" w:type="dxa"/>
            <w:gridSpan w:val="4"/>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20"/>
                <w:lang w:eastAsia="en-AU"/>
              </w:rPr>
              <w:t>234.4</w:t>
            </w:r>
          </w:p>
        </w:tc>
        <w:tc>
          <w:tcPr>
            <w:tcW w:w="854"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20"/>
                <w:lang w:eastAsia="en-AU"/>
              </w:rPr>
              <w:t>210.0</w:t>
            </w:r>
          </w:p>
        </w:tc>
        <w:tc>
          <w:tcPr>
            <w:tcW w:w="964"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20"/>
                <w:lang w:eastAsia="en-AU"/>
              </w:rPr>
              <w:t>212.1</w:t>
            </w:r>
          </w:p>
        </w:tc>
      </w:tr>
      <w:tr w:rsidR="00965D85" w:rsidRPr="00E22AD9" w:rsidTr="008B46DF">
        <w:tc>
          <w:tcPr>
            <w:tcW w:w="3472" w:type="dxa"/>
            <w:tcBorders>
              <w:top w:val="single" w:sz="6" w:space="0" w:color="000000"/>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Total taxes on the use of goods and performance of activities</w:t>
            </w:r>
          </w:p>
        </w:tc>
        <w:tc>
          <w:tcPr>
            <w:tcW w:w="784" w:type="dxa"/>
            <w:gridSpan w:val="2"/>
            <w:tcBorders>
              <w:top w:val="single" w:sz="6" w:space="0" w:color="000000"/>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2 512.1</w:t>
            </w:r>
          </w:p>
        </w:tc>
        <w:tc>
          <w:tcPr>
            <w:tcW w:w="840" w:type="dxa"/>
            <w:tcBorders>
              <w:top w:val="single" w:sz="6" w:space="0" w:color="000000"/>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2 538.5</w:t>
            </w:r>
          </w:p>
        </w:tc>
        <w:tc>
          <w:tcPr>
            <w:tcW w:w="853" w:type="dxa"/>
            <w:gridSpan w:val="4"/>
            <w:tcBorders>
              <w:top w:val="single" w:sz="6" w:space="0" w:color="000000"/>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2 578.3</w:t>
            </w:r>
          </w:p>
        </w:tc>
        <w:tc>
          <w:tcPr>
            <w:tcW w:w="854" w:type="dxa"/>
            <w:tcBorders>
              <w:top w:val="single" w:sz="6" w:space="0" w:color="000000"/>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2 639.7</w:t>
            </w:r>
          </w:p>
        </w:tc>
        <w:tc>
          <w:tcPr>
            <w:tcW w:w="964" w:type="dxa"/>
            <w:tcBorders>
              <w:top w:val="single" w:sz="6" w:space="0" w:color="000000"/>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2 731.7</w:t>
            </w:r>
          </w:p>
        </w:tc>
      </w:tr>
      <w:tr w:rsidR="00965D85" w:rsidRPr="00E22AD9" w:rsidTr="008B46DF">
        <w:tc>
          <w:tcPr>
            <w:tcW w:w="3472" w:type="dxa"/>
            <w:tcBorders>
              <w:top w:val="single" w:sz="6" w:space="0" w:color="000000"/>
              <w:left w:val="nil"/>
              <w:bottom w:val="single" w:sz="12" w:space="0" w:color="000000"/>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Total taxation revenue</w:t>
            </w:r>
          </w:p>
        </w:tc>
        <w:tc>
          <w:tcPr>
            <w:tcW w:w="784" w:type="dxa"/>
            <w:gridSpan w:val="2"/>
            <w:tcBorders>
              <w:top w:val="single" w:sz="6" w:space="0" w:color="000000"/>
              <w:left w:val="nil"/>
              <w:bottom w:val="single" w:sz="12"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19 024.5</w:t>
            </w:r>
          </w:p>
        </w:tc>
        <w:tc>
          <w:tcPr>
            <w:tcW w:w="840" w:type="dxa"/>
            <w:tcBorders>
              <w:top w:val="single" w:sz="6" w:space="0" w:color="000000"/>
              <w:left w:val="nil"/>
              <w:bottom w:val="single" w:sz="12"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19 435.6</w:t>
            </w:r>
          </w:p>
        </w:tc>
        <w:tc>
          <w:tcPr>
            <w:tcW w:w="853" w:type="dxa"/>
            <w:gridSpan w:val="4"/>
            <w:tcBorders>
              <w:top w:val="single" w:sz="6" w:space="0" w:color="000000"/>
              <w:left w:val="nil"/>
              <w:bottom w:val="single" w:sz="12"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20 025.4</w:t>
            </w:r>
          </w:p>
        </w:tc>
        <w:tc>
          <w:tcPr>
            <w:tcW w:w="854" w:type="dxa"/>
            <w:tcBorders>
              <w:top w:val="single" w:sz="6" w:space="0" w:color="000000"/>
              <w:left w:val="nil"/>
              <w:bottom w:val="single" w:sz="12"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20 547.0</w:t>
            </w:r>
          </w:p>
        </w:tc>
        <w:tc>
          <w:tcPr>
            <w:tcW w:w="964" w:type="dxa"/>
            <w:tcBorders>
              <w:top w:val="single" w:sz="6" w:space="0" w:color="000000"/>
              <w:left w:val="nil"/>
              <w:bottom w:val="single" w:sz="12"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21 442.2</w:t>
            </w:r>
          </w:p>
        </w:tc>
      </w:tr>
    </w:tbl>
    <w:p w:rsidR="00965D85" w:rsidRDefault="00965D85" w:rsidP="008B46DF">
      <w:pPr>
        <w:pStyle w:val="Notes"/>
        <w:rPr>
          <w:lang w:eastAsia="en-AU"/>
        </w:rPr>
      </w:pPr>
      <w:r>
        <w:rPr>
          <w:lang w:eastAsia="en-AU"/>
        </w:rPr>
        <w:t>Note:</w:t>
      </w:r>
    </w:p>
    <w:p w:rsidR="00965D85" w:rsidRDefault="00965D85" w:rsidP="008B46DF">
      <w:pPr>
        <w:pStyle w:val="Notes"/>
        <w:rPr>
          <w:lang w:eastAsia="en-AU"/>
        </w:rPr>
      </w:pPr>
      <w:r>
        <w:rPr>
          <w:lang w:eastAsia="en-AU"/>
        </w:rPr>
        <w:t>(a)</w:t>
      </w:r>
      <w:r>
        <w:rPr>
          <w:lang w:eastAsia="en-AU"/>
        </w:rPr>
        <w:tab/>
        <w:t>A decision has been made to extend the existing environmental levy payable by water authorities for four years from 2016</w:t>
      </w:r>
      <w:r>
        <w:rPr>
          <w:lang w:eastAsia="en-AU"/>
        </w:rPr>
        <w:noBreakHyphen/>
        <w:t>17, with the relevant rates to be levied subject to further government consideration.</w:t>
      </w:r>
    </w:p>
    <w:p w:rsidR="00965D85" w:rsidRDefault="00965D85" w:rsidP="008B46DF">
      <w:pPr>
        <w:pStyle w:val="Heading2Notes"/>
        <w:rPr>
          <w:lang w:eastAsia="en-AU"/>
        </w:rPr>
      </w:pPr>
      <w:bookmarkStart w:id="51" w:name="_Toc436138909"/>
      <w:r w:rsidRPr="003878BE">
        <w:rPr>
          <w:lang w:eastAsia="en-AU"/>
        </w:rPr>
        <w:lastRenderedPageBreak/>
        <w:t xml:space="preserve">Note 3: </w:t>
      </w:r>
      <w:r w:rsidRPr="003878BE">
        <w:rPr>
          <w:lang w:eastAsia="en-AU"/>
        </w:rPr>
        <w:tab/>
        <w:t>Dividends and income tax equivalent and rate equivalent revenue</w:t>
      </w:r>
      <w:bookmarkEnd w:id="51"/>
    </w:p>
    <w:p w:rsidR="00965D85" w:rsidRPr="00E22AD9" w:rsidRDefault="00965D85" w:rsidP="008B46DF">
      <w:pPr>
        <w:pStyle w:val="Heading5"/>
        <w:rPr>
          <w:rFonts w:ascii="Times New Roman" w:hAnsi="Times New Roman"/>
          <w:sz w:val="20"/>
          <w:lang w:eastAsia="en-AU"/>
        </w:rPr>
      </w:pPr>
      <w:r w:rsidRPr="009A374F">
        <w:rPr>
          <w:lang w:eastAsia="en-AU"/>
        </w:rPr>
        <w:t>(a)</w:t>
      </w:r>
      <w:r w:rsidRPr="009A374F">
        <w:rPr>
          <w:lang w:eastAsia="en-AU"/>
        </w:rPr>
        <w:tab/>
        <w:t>Dividends and income tax equivalent and rate equivalent revenue</w:t>
      </w:r>
    </w:p>
    <w:tbl>
      <w:tblPr>
        <w:tblW w:w="7767" w:type="dxa"/>
        <w:tblInd w:w="28" w:type="dxa"/>
        <w:tblLayout w:type="fixed"/>
        <w:tblCellMar>
          <w:left w:w="28" w:type="dxa"/>
          <w:right w:w="28" w:type="dxa"/>
        </w:tblCellMar>
        <w:tblLook w:val="0000" w:firstRow="0" w:lastRow="0" w:firstColumn="0" w:lastColumn="0" w:noHBand="0" w:noVBand="0"/>
      </w:tblPr>
      <w:tblGrid>
        <w:gridCol w:w="3828"/>
        <w:gridCol w:w="787"/>
        <w:gridCol w:w="788"/>
        <w:gridCol w:w="788"/>
        <w:gridCol w:w="788"/>
        <w:gridCol w:w="788"/>
      </w:tblGrid>
      <w:tr w:rsidR="00965D85" w:rsidRPr="00E22AD9" w:rsidTr="008B46DF">
        <w:trPr>
          <w:tblHeader/>
        </w:trPr>
        <w:tc>
          <w:tcPr>
            <w:tcW w:w="7767" w:type="dxa"/>
            <w:gridSpan w:val="6"/>
            <w:tcBorders>
              <w:top w:val="nil"/>
              <w:left w:val="nil"/>
              <w:bottom w:val="nil"/>
              <w:right w:val="nil"/>
            </w:tcBorders>
          </w:tcPr>
          <w:p w:rsidR="00965D85" w:rsidRPr="00E22AD9" w:rsidRDefault="00965D85" w:rsidP="008B46DF">
            <w:pPr>
              <w:pStyle w:val="million"/>
              <w:rPr>
                <w:rFonts w:eastAsiaTheme="minorEastAsia" w:cs="Calibri"/>
                <w:iCs/>
                <w:color w:val="000000"/>
                <w:sz w:val="20"/>
                <w:lang w:eastAsia="en-AU"/>
              </w:rPr>
            </w:pPr>
            <w:r w:rsidRPr="00E22AD9">
              <w:rPr>
                <w:rFonts w:eastAsiaTheme="minorEastAsia"/>
                <w:lang w:eastAsia="en-AU"/>
              </w:rPr>
              <w:t>($ million)</w:t>
            </w:r>
          </w:p>
        </w:tc>
      </w:tr>
      <w:tr w:rsidR="00965D85" w:rsidRPr="00E22AD9" w:rsidTr="008B46DF">
        <w:trPr>
          <w:trHeight w:val="488"/>
          <w:tblHeader/>
        </w:trPr>
        <w:tc>
          <w:tcPr>
            <w:tcW w:w="3828" w:type="dxa"/>
            <w:tcBorders>
              <w:top w:val="nil"/>
              <w:left w:val="nil"/>
              <w:right w:val="nil"/>
            </w:tcBorders>
            <w:shd w:val="solid" w:color="000000" w:fill="auto"/>
          </w:tcPr>
          <w:p w:rsidR="00965D85" w:rsidRPr="00E22AD9" w:rsidRDefault="00965D85" w:rsidP="008B46DF">
            <w:pPr>
              <w:autoSpaceDE w:val="0"/>
              <w:autoSpaceDN w:val="0"/>
              <w:adjustRightInd w:val="0"/>
              <w:spacing w:after="0"/>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 xml:space="preserve"> </w:t>
            </w:r>
          </w:p>
          <w:p w:rsidR="00965D85" w:rsidRPr="00E22AD9" w:rsidRDefault="00965D85" w:rsidP="008B46DF">
            <w:pPr>
              <w:autoSpaceDE w:val="0"/>
              <w:autoSpaceDN w:val="0"/>
              <w:adjustRightInd w:val="0"/>
              <w:spacing w:after="0"/>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 xml:space="preserve"> </w:t>
            </w:r>
          </w:p>
        </w:tc>
        <w:tc>
          <w:tcPr>
            <w:tcW w:w="787" w:type="dxa"/>
            <w:tcBorders>
              <w:top w:val="nil"/>
              <w:left w:val="nil"/>
              <w:right w:val="nil"/>
            </w:tcBorders>
            <w:shd w:val="solid" w:color="000000" w:fill="auto"/>
          </w:tcPr>
          <w:p w:rsidR="00965D85" w:rsidRPr="00E22AD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E22AD9">
              <w:rPr>
                <w:rFonts w:ascii="Calibri" w:eastAsiaTheme="minorEastAsia" w:hAnsi="Calibri" w:cs="Calibri"/>
                <w:i/>
                <w:iCs/>
                <w:color w:val="FFFFFF"/>
                <w:sz w:val="20"/>
                <w:lang w:eastAsia="en-AU"/>
              </w:rPr>
              <w:t>2015</w:t>
            </w:r>
            <w:r>
              <w:rPr>
                <w:rFonts w:ascii="Calibri" w:eastAsiaTheme="minorEastAsia" w:hAnsi="Calibri" w:cs="Calibri"/>
                <w:i/>
                <w:iCs/>
                <w:color w:val="FFFFFF"/>
                <w:sz w:val="20"/>
                <w:lang w:eastAsia="en-AU"/>
              </w:rPr>
              <w:noBreakHyphen/>
            </w:r>
            <w:r w:rsidRPr="00E22AD9">
              <w:rPr>
                <w:rFonts w:ascii="Calibri" w:eastAsiaTheme="minorEastAsia" w:hAnsi="Calibri" w:cs="Calibri"/>
                <w:i/>
                <w:iCs/>
                <w:color w:val="FFFFFF"/>
                <w:sz w:val="20"/>
                <w:lang w:eastAsia="en-AU"/>
              </w:rPr>
              <w:t>16</w:t>
            </w:r>
          </w:p>
          <w:p w:rsidR="00965D85" w:rsidRPr="00E22AD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E22AD9">
              <w:rPr>
                <w:rFonts w:ascii="Calibri" w:eastAsiaTheme="minorEastAsia" w:hAnsi="Calibri" w:cs="Calibri"/>
                <w:i/>
                <w:iCs/>
                <w:color w:val="FFFFFF"/>
                <w:sz w:val="20"/>
                <w:lang w:eastAsia="en-AU"/>
              </w:rPr>
              <w:t>budget</w:t>
            </w:r>
          </w:p>
        </w:tc>
        <w:tc>
          <w:tcPr>
            <w:tcW w:w="788" w:type="dxa"/>
            <w:tcBorders>
              <w:top w:val="nil"/>
              <w:left w:val="nil"/>
              <w:right w:val="nil"/>
            </w:tcBorders>
            <w:shd w:val="solid" w:color="000000" w:fill="auto"/>
          </w:tcPr>
          <w:p w:rsidR="00965D85" w:rsidRPr="00E22AD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E22AD9">
              <w:rPr>
                <w:rFonts w:ascii="Calibri" w:eastAsiaTheme="minorEastAsia" w:hAnsi="Calibri" w:cs="Calibri"/>
                <w:i/>
                <w:iCs/>
                <w:color w:val="FFFFFF"/>
                <w:sz w:val="20"/>
                <w:lang w:eastAsia="en-AU"/>
              </w:rPr>
              <w:t>2015</w:t>
            </w:r>
            <w:r>
              <w:rPr>
                <w:rFonts w:ascii="Calibri" w:eastAsiaTheme="minorEastAsia" w:hAnsi="Calibri" w:cs="Calibri"/>
                <w:i/>
                <w:iCs/>
                <w:color w:val="FFFFFF"/>
                <w:sz w:val="20"/>
                <w:lang w:eastAsia="en-AU"/>
              </w:rPr>
              <w:noBreakHyphen/>
            </w:r>
            <w:r w:rsidRPr="00E22AD9">
              <w:rPr>
                <w:rFonts w:ascii="Calibri" w:eastAsiaTheme="minorEastAsia" w:hAnsi="Calibri" w:cs="Calibri"/>
                <w:i/>
                <w:iCs/>
                <w:color w:val="FFFFFF"/>
                <w:sz w:val="20"/>
                <w:lang w:eastAsia="en-AU"/>
              </w:rPr>
              <w:t>16</w:t>
            </w:r>
          </w:p>
          <w:p w:rsidR="00965D85" w:rsidRPr="00E22AD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E22AD9">
              <w:rPr>
                <w:rFonts w:ascii="Calibri" w:eastAsiaTheme="minorEastAsia" w:hAnsi="Calibri" w:cs="Calibri"/>
                <w:i/>
                <w:iCs/>
                <w:color w:val="FFFFFF"/>
                <w:sz w:val="20"/>
                <w:lang w:eastAsia="en-AU"/>
              </w:rPr>
              <w:t>revised</w:t>
            </w:r>
          </w:p>
        </w:tc>
        <w:tc>
          <w:tcPr>
            <w:tcW w:w="788" w:type="dxa"/>
            <w:tcBorders>
              <w:top w:val="nil"/>
              <w:left w:val="nil"/>
              <w:right w:val="nil"/>
            </w:tcBorders>
            <w:shd w:val="solid" w:color="000000" w:fill="auto"/>
          </w:tcPr>
          <w:p w:rsidR="00965D85" w:rsidRPr="00E22AD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E22AD9">
              <w:rPr>
                <w:rFonts w:ascii="Calibri" w:eastAsiaTheme="minorEastAsia" w:hAnsi="Calibri" w:cs="Calibri"/>
                <w:i/>
                <w:iCs/>
                <w:color w:val="FFFFFF"/>
                <w:sz w:val="20"/>
                <w:lang w:eastAsia="en-AU"/>
              </w:rPr>
              <w:t>2016</w:t>
            </w:r>
            <w:r>
              <w:rPr>
                <w:rFonts w:ascii="Calibri" w:eastAsiaTheme="minorEastAsia" w:hAnsi="Calibri" w:cs="Calibri"/>
                <w:i/>
                <w:iCs/>
                <w:color w:val="FFFFFF"/>
                <w:sz w:val="20"/>
                <w:lang w:eastAsia="en-AU"/>
              </w:rPr>
              <w:noBreakHyphen/>
            </w:r>
            <w:r w:rsidRPr="00E22AD9">
              <w:rPr>
                <w:rFonts w:ascii="Calibri" w:eastAsiaTheme="minorEastAsia" w:hAnsi="Calibri" w:cs="Calibri"/>
                <w:i/>
                <w:iCs/>
                <w:color w:val="FFFFFF"/>
                <w:sz w:val="20"/>
                <w:lang w:eastAsia="en-AU"/>
              </w:rPr>
              <w:t>17</w:t>
            </w:r>
          </w:p>
          <w:p w:rsidR="00965D85" w:rsidRPr="00E22AD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E22AD9">
              <w:rPr>
                <w:rFonts w:ascii="Calibri" w:eastAsiaTheme="minorEastAsia" w:hAnsi="Calibri" w:cs="Calibri"/>
                <w:i/>
                <w:iCs/>
                <w:color w:val="FFFFFF"/>
                <w:sz w:val="20"/>
                <w:lang w:eastAsia="en-AU"/>
              </w:rPr>
              <w:t>estimate</w:t>
            </w:r>
          </w:p>
        </w:tc>
        <w:tc>
          <w:tcPr>
            <w:tcW w:w="788" w:type="dxa"/>
            <w:tcBorders>
              <w:top w:val="nil"/>
              <w:left w:val="nil"/>
              <w:right w:val="nil"/>
            </w:tcBorders>
            <w:shd w:val="solid" w:color="000000" w:fill="auto"/>
          </w:tcPr>
          <w:p w:rsidR="00965D85" w:rsidRPr="00E22AD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E22AD9">
              <w:rPr>
                <w:rFonts w:ascii="Calibri" w:eastAsiaTheme="minorEastAsia" w:hAnsi="Calibri" w:cs="Calibri"/>
                <w:i/>
                <w:iCs/>
                <w:color w:val="FFFFFF"/>
                <w:sz w:val="20"/>
                <w:lang w:eastAsia="en-AU"/>
              </w:rPr>
              <w:t>2017</w:t>
            </w:r>
            <w:r>
              <w:rPr>
                <w:rFonts w:ascii="Calibri" w:eastAsiaTheme="minorEastAsia" w:hAnsi="Calibri" w:cs="Calibri"/>
                <w:i/>
                <w:iCs/>
                <w:color w:val="FFFFFF"/>
                <w:sz w:val="20"/>
                <w:lang w:eastAsia="en-AU"/>
              </w:rPr>
              <w:noBreakHyphen/>
            </w:r>
            <w:r w:rsidRPr="00E22AD9">
              <w:rPr>
                <w:rFonts w:ascii="Calibri" w:eastAsiaTheme="minorEastAsia" w:hAnsi="Calibri" w:cs="Calibri"/>
                <w:i/>
                <w:iCs/>
                <w:color w:val="FFFFFF"/>
                <w:sz w:val="20"/>
                <w:lang w:eastAsia="en-AU"/>
              </w:rPr>
              <w:t>18</w:t>
            </w:r>
          </w:p>
          <w:p w:rsidR="00965D85" w:rsidRPr="00E22AD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E22AD9">
              <w:rPr>
                <w:rFonts w:ascii="Calibri" w:eastAsiaTheme="minorEastAsia" w:hAnsi="Calibri" w:cs="Calibri"/>
                <w:i/>
                <w:iCs/>
                <w:color w:val="FFFFFF"/>
                <w:sz w:val="20"/>
                <w:lang w:eastAsia="en-AU"/>
              </w:rPr>
              <w:t>estimate</w:t>
            </w:r>
          </w:p>
        </w:tc>
        <w:tc>
          <w:tcPr>
            <w:tcW w:w="788" w:type="dxa"/>
            <w:tcBorders>
              <w:top w:val="nil"/>
              <w:left w:val="nil"/>
              <w:right w:val="nil"/>
            </w:tcBorders>
            <w:shd w:val="solid" w:color="000000" w:fill="auto"/>
          </w:tcPr>
          <w:p w:rsidR="00965D85" w:rsidRPr="00E22AD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E22AD9">
              <w:rPr>
                <w:rFonts w:ascii="Calibri" w:eastAsiaTheme="minorEastAsia" w:hAnsi="Calibri" w:cs="Calibri"/>
                <w:i/>
                <w:iCs/>
                <w:color w:val="FFFFFF"/>
                <w:sz w:val="20"/>
                <w:lang w:eastAsia="en-AU"/>
              </w:rPr>
              <w:t>2018</w:t>
            </w:r>
            <w:r>
              <w:rPr>
                <w:rFonts w:ascii="Calibri" w:eastAsiaTheme="minorEastAsia" w:hAnsi="Calibri" w:cs="Calibri"/>
                <w:i/>
                <w:iCs/>
                <w:color w:val="FFFFFF"/>
                <w:sz w:val="20"/>
                <w:lang w:eastAsia="en-AU"/>
              </w:rPr>
              <w:noBreakHyphen/>
            </w:r>
            <w:r w:rsidRPr="00E22AD9">
              <w:rPr>
                <w:rFonts w:ascii="Calibri" w:eastAsiaTheme="minorEastAsia" w:hAnsi="Calibri" w:cs="Calibri"/>
                <w:i/>
                <w:iCs/>
                <w:color w:val="FFFFFF"/>
                <w:sz w:val="20"/>
                <w:lang w:eastAsia="en-AU"/>
              </w:rPr>
              <w:t>19</w:t>
            </w:r>
          </w:p>
          <w:p w:rsidR="00965D85" w:rsidRPr="00E22AD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E22AD9">
              <w:rPr>
                <w:rFonts w:ascii="Calibri" w:eastAsiaTheme="minorEastAsia" w:hAnsi="Calibri" w:cs="Calibri"/>
                <w:i/>
                <w:iCs/>
                <w:color w:val="FFFFFF"/>
                <w:sz w:val="20"/>
                <w:lang w:eastAsia="en-AU"/>
              </w:rPr>
              <w:t>estimate</w:t>
            </w:r>
          </w:p>
        </w:tc>
      </w:tr>
      <w:tr w:rsidR="00965D85" w:rsidRPr="00E22AD9" w:rsidTr="008B46DF">
        <w:tc>
          <w:tcPr>
            <w:tcW w:w="3828" w:type="dxa"/>
            <w:tcBorders>
              <w:top w:val="nil"/>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Dividends from PFC sector</w:t>
            </w:r>
          </w:p>
        </w:tc>
        <w:tc>
          <w:tcPr>
            <w:tcW w:w="787"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619.5</w:t>
            </w:r>
          </w:p>
        </w:tc>
        <w:tc>
          <w:tcPr>
            <w:tcW w:w="788"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613.6</w:t>
            </w:r>
          </w:p>
        </w:tc>
        <w:tc>
          <w:tcPr>
            <w:tcW w:w="788"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514.7</w:t>
            </w:r>
          </w:p>
        </w:tc>
        <w:tc>
          <w:tcPr>
            <w:tcW w:w="788"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526.5</w:t>
            </w:r>
          </w:p>
        </w:tc>
        <w:tc>
          <w:tcPr>
            <w:tcW w:w="788"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336.0</w:t>
            </w:r>
          </w:p>
        </w:tc>
      </w:tr>
      <w:tr w:rsidR="00965D85" w:rsidRPr="00E22AD9" w:rsidTr="008B46DF">
        <w:tc>
          <w:tcPr>
            <w:tcW w:w="3828" w:type="dxa"/>
            <w:tcBorders>
              <w:top w:val="nil"/>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Dividends from PNFC sector</w:t>
            </w:r>
          </w:p>
        </w:tc>
        <w:tc>
          <w:tcPr>
            <w:tcW w:w="787"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215.6</w:t>
            </w:r>
          </w:p>
        </w:tc>
        <w:tc>
          <w:tcPr>
            <w:tcW w:w="788"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229.7</w:t>
            </w:r>
          </w:p>
        </w:tc>
        <w:tc>
          <w:tcPr>
            <w:tcW w:w="788"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219.1</w:t>
            </w:r>
          </w:p>
        </w:tc>
        <w:tc>
          <w:tcPr>
            <w:tcW w:w="788"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175.3</w:t>
            </w:r>
          </w:p>
        </w:tc>
        <w:tc>
          <w:tcPr>
            <w:tcW w:w="788"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212.6</w:t>
            </w:r>
          </w:p>
        </w:tc>
      </w:tr>
      <w:tr w:rsidR="00965D85" w:rsidRPr="00E22AD9" w:rsidTr="008B46DF">
        <w:tc>
          <w:tcPr>
            <w:tcW w:w="3828"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Dividends from non</w:t>
            </w:r>
            <w:r>
              <w:rPr>
                <w:rFonts w:ascii="Calibri" w:eastAsiaTheme="minorEastAsia" w:hAnsi="Calibri" w:cs="Calibri"/>
                <w:color w:val="000000"/>
                <w:sz w:val="20"/>
                <w:lang w:eastAsia="en-AU"/>
              </w:rPr>
              <w:noBreakHyphen/>
            </w:r>
            <w:r w:rsidRPr="00E22AD9">
              <w:rPr>
                <w:rFonts w:ascii="Calibri" w:eastAsiaTheme="minorEastAsia" w:hAnsi="Calibri" w:cs="Calibri"/>
                <w:color w:val="000000"/>
                <w:sz w:val="20"/>
                <w:lang w:eastAsia="en-AU"/>
              </w:rPr>
              <w:t>public sector</w:t>
            </w:r>
          </w:p>
        </w:tc>
        <w:tc>
          <w:tcPr>
            <w:tcW w:w="787"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14.5</w:t>
            </w:r>
          </w:p>
        </w:tc>
        <w:tc>
          <w:tcPr>
            <w:tcW w:w="788"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21.2</w:t>
            </w:r>
          </w:p>
        </w:tc>
        <w:tc>
          <w:tcPr>
            <w:tcW w:w="788"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21.4</w:t>
            </w:r>
          </w:p>
        </w:tc>
        <w:tc>
          <w:tcPr>
            <w:tcW w:w="788"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23.9</w:t>
            </w:r>
          </w:p>
        </w:tc>
        <w:tc>
          <w:tcPr>
            <w:tcW w:w="788"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24.1</w:t>
            </w:r>
          </w:p>
        </w:tc>
      </w:tr>
      <w:tr w:rsidR="00965D85" w:rsidRPr="00E22AD9" w:rsidTr="008B46DF">
        <w:tc>
          <w:tcPr>
            <w:tcW w:w="3828" w:type="dxa"/>
            <w:tcBorders>
              <w:top w:val="single" w:sz="6" w:space="0" w:color="000000"/>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Dividends</w:t>
            </w:r>
          </w:p>
        </w:tc>
        <w:tc>
          <w:tcPr>
            <w:tcW w:w="787" w:type="dxa"/>
            <w:tcBorders>
              <w:top w:val="single" w:sz="6" w:space="0" w:color="000000"/>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20"/>
                <w:lang w:eastAsia="en-AU"/>
              </w:rPr>
              <w:t>849.6</w:t>
            </w:r>
          </w:p>
        </w:tc>
        <w:tc>
          <w:tcPr>
            <w:tcW w:w="788" w:type="dxa"/>
            <w:tcBorders>
              <w:top w:val="single" w:sz="6" w:space="0" w:color="000000"/>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20"/>
                <w:lang w:eastAsia="en-AU"/>
              </w:rPr>
              <w:t>864.4</w:t>
            </w:r>
          </w:p>
        </w:tc>
        <w:tc>
          <w:tcPr>
            <w:tcW w:w="788" w:type="dxa"/>
            <w:tcBorders>
              <w:top w:val="single" w:sz="6" w:space="0" w:color="000000"/>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20"/>
                <w:lang w:eastAsia="en-AU"/>
              </w:rPr>
              <w:t>755.2</w:t>
            </w:r>
          </w:p>
        </w:tc>
        <w:tc>
          <w:tcPr>
            <w:tcW w:w="788" w:type="dxa"/>
            <w:tcBorders>
              <w:top w:val="single" w:sz="6" w:space="0" w:color="000000"/>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20"/>
                <w:lang w:eastAsia="en-AU"/>
              </w:rPr>
              <w:t>725.8</w:t>
            </w:r>
          </w:p>
        </w:tc>
        <w:tc>
          <w:tcPr>
            <w:tcW w:w="788" w:type="dxa"/>
            <w:tcBorders>
              <w:top w:val="single" w:sz="6" w:space="0" w:color="000000"/>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20"/>
                <w:lang w:eastAsia="en-AU"/>
              </w:rPr>
              <w:t>572.7</w:t>
            </w:r>
          </w:p>
        </w:tc>
      </w:tr>
      <w:tr w:rsidR="00965D85" w:rsidRPr="00E22AD9" w:rsidTr="008B46DF">
        <w:tc>
          <w:tcPr>
            <w:tcW w:w="3828" w:type="dxa"/>
            <w:tcBorders>
              <w:top w:val="nil"/>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Income tax equivalent revenue from PFC sector</w:t>
            </w:r>
          </w:p>
        </w:tc>
        <w:tc>
          <w:tcPr>
            <w:tcW w:w="787"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124.2</w:t>
            </w:r>
          </w:p>
        </w:tc>
        <w:tc>
          <w:tcPr>
            <w:tcW w:w="788"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7.5</w:t>
            </w:r>
          </w:p>
        </w:tc>
        <w:tc>
          <w:tcPr>
            <w:tcW w:w="788"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74.7</w:t>
            </w:r>
          </w:p>
        </w:tc>
        <w:tc>
          <w:tcPr>
            <w:tcW w:w="788"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91.8</w:t>
            </w:r>
          </w:p>
        </w:tc>
        <w:tc>
          <w:tcPr>
            <w:tcW w:w="788"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132.8</w:t>
            </w:r>
          </w:p>
        </w:tc>
      </w:tr>
      <w:tr w:rsidR="00965D85" w:rsidRPr="00E22AD9" w:rsidTr="008B46DF">
        <w:tc>
          <w:tcPr>
            <w:tcW w:w="3828"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Income tax equivalent revenue from PNFC sector</w:t>
            </w:r>
          </w:p>
        </w:tc>
        <w:tc>
          <w:tcPr>
            <w:tcW w:w="787"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162.9</w:t>
            </w:r>
          </w:p>
        </w:tc>
        <w:tc>
          <w:tcPr>
            <w:tcW w:w="788"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238.0</w:t>
            </w:r>
          </w:p>
        </w:tc>
        <w:tc>
          <w:tcPr>
            <w:tcW w:w="788"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128.4</w:t>
            </w:r>
          </w:p>
        </w:tc>
        <w:tc>
          <w:tcPr>
            <w:tcW w:w="788"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151.1</w:t>
            </w:r>
          </w:p>
        </w:tc>
        <w:tc>
          <w:tcPr>
            <w:tcW w:w="788"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169.3</w:t>
            </w:r>
          </w:p>
        </w:tc>
      </w:tr>
      <w:tr w:rsidR="00965D85" w:rsidRPr="00E22AD9" w:rsidTr="008B46DF">
        <w:tc>
          <w:tcPr>
            <w:tcW w:w="3828" w:type="dxa"/>
            <w:tcBorders>
              <w:top w:val="single" w:sz="6" w:space="0" w:color="000000"/>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Income tax equivalent revenue</w:t>
            </w:r>
          </w:p>
        </w:tc>
        <w:tc>
          <w:tcPr>
            <w:tcW w:w="787" w:type="dxa"/>
            <w:tcBorders>
              <w:top w:val="single" w:sz="6" w:space="0" w:color="000000"/>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20"/>
                <w:lang w:eastAsia="en-AU"/>
              </w:rPr>
              <w:t>287.1</w:t>
            </w:r>
          </w:p>
        </w:tc>
        <w:tc>
          <w:tcPr>
            <w:tcW w:w="788" w:type="dxa"/>
            <w:tcBorders>
              <w:top w:val="single" w:sz="6" w:space="0" w:color="000000"/>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20"/>
                <w:lang w:eastAsia="en-AU"/>
              </w:rPr>
              <w:t>245.5</w:t>
            </w:r>
          </w:p>
        </w:tc>
        <w:tc>
          <w:tcPr>
            <w:tcW w:w="788" w:type="dxa"/>
            <w:tcBorders>
              <w:top w:val="single" w:sz="6" w:space="0" w:color="000000"/>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20"/>
                <w:lang w:eastAsia="en-AU"/>
              </w:rPr>
              <w:t>203.1</w:t>
            </w:r>
          </w:p>
        </w:tc>
        <w:tc>
          <w:tcPr>
            <w:tcW w:w="788" w:type="dxa"/>
            <w:tcBorders>
              <w:top w:val="single" w:sz="6" w:space="0" w:color="000000"/>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20"/>
                <w:lang w:eastAsia="en-AU"/>
              </w:rPr>
              <w:t>242.9</w:t>
            </w:r>
          </w:p>
        </w:tc>
        <w:tc>
          <w:tcPr>
            <w:tcW w:w="788" w:type="dxa"/>
            <w:tcBorders>
              <w:top w:val="single" w:sz="6" w:space="0" w:color="000000"/>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20"/>
                <w:lang w:eastAsia="en-AU"/>
              </w:rPr>
              <w:t>302.1</w:t>
            </w:r>
          </w:p>
        </w:tc>
      </w:tr>
      <w:tr w:rsidR="00965D85" w:rsidRPr="00E22AD9" w:rsidTr="008B46DF">
        <w:tc>
          <w:tcPr>
            <w:tcW w:w="3828"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Local government rate equivalent revenue</w:t>
            </w:r>
          </w:p>
        </w:tc>
        <w:tc>
          <w:tcPr>
            <w:tcW w:w="787"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7.5</w:t>
            </w:r>
          </w:p>
        </w:tc>
        <w:tc>
          <w:tcPr>
            <w:tcW w:w="788"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10.8</w:t>
            </w:r>
          </w:p>
        </w:tc>
        <w:tc>
          <w:tcPr>
            <w:tcW w:w="788"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11.1</w:t>
            </w:r>
          </w:p>
        </w:tc>
        <w:tc>
          <w:tcPr>
            <w:tcW w:w="788"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11.3</w:t>
            </w:r>
          </w:p>
        </w:tc>
        <w:tc>
          <w:tcPr>
            <w:tcW w:w="788"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11.7</w:t>
            </w:r>
          </w:p>
        </w:tc>
      </w:tr>
      <w:tr w:rsidR="00965D85" w:rsidRPr="00E22AD9" w:rsidTr="008B46DF">
        <w:tc>
          <w:tcPr>
            <w:tcW w:w="3828" w:type="dxa"/>
            <w:tcBorders>
              <w:top w:val="single" w:sz="6" w:space="0" w:color="000000"/>
              <w:left w:val="nil"/>
              <w:bottom w:val="single" w:sz="12" w:space="0" w:color="000000"/>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Total dividends and income tax equivalent and rate equivalent revenue</w:t>
            </w:r>
          </w:p>
        </w:tc>
        <w:tc>
          <w:tcPr>
            <w:tcW w:w="787" w:type="dxa"/>
            <w:tcBorders>
              <w:top w:val="single" w:sz="6" w:space="0" w:color="000000"/>
              <w:left w:val="nil"/>
              <w:bottom w:val="single" w:sz="12"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1 144.3</w:t>
            </w:r>
          </w:p>
        </w:tc>
        <w:tc>
          <w:tcPr>
            <w:tcW w:w="788" w:type="dxa"/>
            <w:tcBorders>
              <w:top w:val="single" w:sz="6" w:space="0" w:color="000000"/>
              <w:left w:val="nil"/>
              <w:bottom w:val="single" w:sz="12"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1 120.8</w:t>
            </w:r>
          </w:p>
        </w:tc>
        <w:tc>
          <w:tcPr>
            <w:tcW w:w="788" w:type="dxa"/>
            <w:tcBorders>
              <w:top w:val="single" w:sz="6" w:space="0" w:color="000000"/>
              <w:left w:val="nil"/>
              <w:bottom w:val="single" w:sz="12"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20"/>
                <w:lang w:eastAsia="en-AU"/>
              </w:rPr>
              <w:t>969.4</w:t>
            </w:r>
          </w:p>
        </w:tc>
        <w:tc>
          <w:tcPr>
            <w:tcW w:w="788" w:type="dxa"/>
            <w:tcBorders>
              <w:top w:val="single" w:sz="6" w:space="0" w:color="000000"/>
              <w:left w:val="nil"/>
              <w:bottom w:val="single" w:sz="12"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20"/>
                <w:lang w:eastAsia="en-AU"/>
              </w:rPr>
              <w:t>979.9</w:t>
            </w:r>
          </w:p>
        </w:tc>
        <w:tc>
          <w:tcPr>
            <w:tcW w:w="788" w:type="dxa"/>
            <w:tcBorders>
              <w:top w:val="single" w:sz="6" w:space="0" w:color="000000"/>
              <w:left w:val="nil"/>
              <w:bottom w:val="single" w:sz="12"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20"/>
                <w:lang w:eastAsia="en-AU"/>
              </w:rPr>
              <w:t>886.5</w:t>
            </w:r>
          </w:p>
        </w:tc>
      </w:tr>
    </w:tbl>
    <w:p w:rsidR="00965D85" w:rsidRDefault="00965D85" w:rsidP="008B46DF">
      <w:pPr>
        <w:rPr>
          <w:lang w:eastAsia="en-AU"/>
        </w:rPr>
      </w:pPr>
    </w:p>
    <w:p w:rsidR="00965D85" w:rsidRPr="00A7130C" w:rsidRDefault="00965D85" w:rsidP="008B46DF">
      <w:pPr>
        <w:rPr>
          <w:lang w:eastAsia="en-AU"/>
        </w:rPr>
      </w:pPr>
    </w:p>
    <w:p w:rsidR="00965D85" w:rsidRPr="00E22AD9" w:rsidRDefault="00965D85" w:rsidP="008B46DF">
      <w:pPr>
        <w:pStyle w:val="Heading5"/>
        <w:rPr>
          <w:rFonts w:ascii="Times New Roman" w:hAnsi="Times New Roman"/>
          <w:b w:val="0"/>
          <w:sz w:val="20"/>
          <w:lang w:eastAsia="en-AU"/>
        </w:rPr>
      </w:pPr>
      <w:r w:rsidRPr="009A374F">
        <w:rPr>
          <w:lang w:eastAsia="en-AU"/>
        </w:rPr>
        <w:t xml:space="preserve">(b) </w:t>
      </w:r>
      <w:r w:rsidRPr="009A374F">
        <w:rPr>
          <w:lang w:eastAsia="en-AU"/>
        </w:rPr>
        <w:tab/>
        <w:t>Dividends by entity</w:t>
      </w:r>
    </w:p>
    <w:tbl>
      <w:tblPr>
        <w:tblW w:w="7767" w:type="dxa"/>
        <w:tblInd w:w="28" w:type="dxa"/>
        <w:tblLayout w:type="fixed"/>
        <w:tblCellMar>
          <w:left w:w="28" w:type="dxa"/>
          <w:right w:w="28" w:type="dxa"/>
        </w:tblCellMar>
        <w:tblLook w:val="0000" w:firstRow="0" w:lastRow="0" w:firstColumn="0" w:lastColumn="0" w:noHBand="0" w:noVBand="0"/>
      </w:tblPr>
      <w:tblGrid>
        <w:gridCol w:w="3828"/>
        <w:gridCol w:w="787"/>
        <w:gridCol w:w="788"/>
        <w:gridCol w:w="788"/>
        <w:gridCol w:w="788"/>
        <w:gridCol w:w="788"/>
      </w:tblGrid>
      <w:tr w:rsidR="00965D85" w:rsidRPr="00E22AD9" w:rsidTr="008B46DF">
        <w:trPr>
          <w:tblHeader/>
        </w:trPr>
        <w:tc>
          <w:tcPr>
            <w:tcW w:w="7767" w:type="dxa"/>
            <w:gridSpan w:val="6"/>
            <w:tcBorders>
              <w:top w:val="nil"/>
              <w:left w:val="nil"/>
              <w:bottom w:val="nil"/>
              <w:right w:val="nil"/>
            </w:tcBorders>
          </w:tcPr>
          <w:p w:rsidR="00965D85" w:rsidRPr="00E22AD9" w:rsidRDefault="00965D85" w:rsidP="008B46DF">
            <w:pPr>
              <w:pStyle w:val="million"/>
              <w:rPr>
                <w:rFonts w:eastAsiaTheme="minorEastAsia" w:cs="Calibri"/>
                <w:iCs/>
                <w:color w:val="000000"/>
                <w:sz w:val="20"/>
                <w:lang w:eastAsia="en-AU"/>
              </w:rPr>
            </w:pPr>
            <w:r w:rsidRPr="00E22AD9">
              <w:rPr>
                <w:rFonts w:eastAsiaTheme="minorEastAsia"/>
                <w:lang w:eastAsia="en-AU"/>
              </w:rPr>
              <w:t>($ million)</w:t>
            </w:r>
          </w:p>
        </w:tc>
      </w:tr>
      <w:tr w:rsidR="00965D85" w:rsidRPr="00E22AD9" w:rsidTr="008B46DF">
        <w:trPr>
          <w:trHeight w:val="488"/>
          <w:tblHeader/>
        </w:trPr>
        <w:tc>
          <w:tcPr>
            <w:tcW w:w="3828" w:type="dxa"/>
            <w:tcBorders>
              <w:top w:val="nil"/>
              <w:left w:val="nil"/>
              <w:right w:val="nil"/>
            </w:tcBorders>
            <w:shd w:val="solid" w:color="000000" w:fill="auto"/>
          </w:tcPr>
          <w:p w:rsidR="00965D85" w:rsidRPr="00E22AD9" w:rsidRDefault="00965D85" w:rsidP="008B46DF">
            <w:pPr>
              <w:autoSpaceDE w:val="0"/>
              <w:autoSpaceDN w:val="0"/>
              <w:adjustRightInd w:val="0"/>
              <w:spacing w:after="0"/>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 xml:space="preserve"> </w:t>
            </w:r>
          </w:p>
          <w:p w:rsidR="00965D85" w:rsidRPr="00E22AD9" w:rsidRDefault="00965D85" w:rsidP="008B46DF">
            <w:pPr>
              <w:autoSpaceDE w:val="0"/>
              <w:autoSpaceDN w:val="0"/>
              <w:adjustRightInd w:val="0"/>
              <w:spacing w:after="0"/>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 xml:space="preserve"> </w:t>
            </w:r>
          </w:p>
        </w:tc>
        <w:tc>
          <w:tcPr>
            <w:tcW w:w="787" w:type="dxa"/>
            <w:tcBorders>
              <w:top w:val="nil"/>
              <w:left w:val="nil"/>
              <w:right w:val="nil"/>
            </w:tcBorders>
            <w:shd w:val="solid" w:color="000000" w:fill="auto"/>
          </w:tcPr>
          <w:p w:rsidR="00965D85" w:rsidRPr="00E22AD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E22AD9">
              <w:rPr>
                <w:rFonts w:ascii="Calibri" w:eastAsiaTheme="minorEastAsia" w:hAnsi="Calibri" w:cs="Calibri"/>
                <w:i/>
                <w:iCs/>
                <w:color w:val="FFFFFF"/>
                <w:sz w:val="20"/>
                <w:lang w:eastAsia="en-AU"/>
              </w:rPr>
              <w:t>2015</w:t>
            </w:r>
            <w:r>
              <w:rPr>
                <w:rFonts w:ascii="Calibri" w:eastAsiaTheme="minorEastAsia" w:hAnsi="Calibri" w:cs="Calibri"/>
                <w:i/>
                <w:iCs/>
                <w:color w:val="FFFFFF"/>
                <w:sz w:val="20"/>
                <w:lang w:eastAsia="en-AU"/>
              </w:rPr>
              <w:noBreakHyphen/>
            </w:r>
            <w:r w:rsidRPr="00E22AD9">
              <w:rPr>
                <w:rFonts w:ascii="Calibri" w:eastAsiaTheme="minorEastAsia" w:hAnsi="Calibri" w:cs="Calibri"/>
                <w:i/>
                <w:iCs/>
                <w:color w:val="FFFFFF"/>
                <w:sz w:val="20"/>
                <w:lang w:eastAsia="en-AU"/>
              </w:rPr>
              <w:t>16</w:t>
            </w:r>
          </w:p>
          <w:p w:rsidR="00965D85" w:rsidRPr="00E22AD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E22AD9">
              <w:rPr>
                <w:rFonts w:ascii="Calibri" w:eastAsiaTheme="minorEastAsia" w:hAnsi="Calibri" w:cs="Calibri"/>
                <w:i/>
                <w:iCs/>
                <w:color w:val="FFFFFF"/>
                <w:sz w:val="20"/>
                <w:lang w:eastAsia="en-AU"/>
              </w:rPr>
              <w:t>budget</w:t>
            </w:r>
          </w:p>
        </w:tc>
        <w:tc>
          <w:tcPr>
            <w:tcW w:w="788" w:type="dxa"/>
            <w:tcBorders>
              <w:top w:val="nil"/>
              <w:left w:val="nil"/>
              <w:right w:val="nil"/>
            </w:tcBorders>
            <w:shd w:val="solid" w:color="000000" w:fill="auto"/>
          </w:tcPr>
          <w:p w:rsidR="00965D85" w:rsidRPr="00E22AD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E22AD9">
              <w:rPr>
                <w:rFonts w:ascii="Calibri" w:eastAsiaTheme="minorEastAsia" w:hAnsi="Calibri" w:cs="Calibri"/>
                <w:i/>
                <w:iCs/>
                <w:color w:val="FFFFFF"/>
                <w:sz w:val="20"/>
                <w:lang w:eastAsia="en-AU"/>
              </w:rPr>
              <w:t>2015</w:t>
            </w:r>
            <w:r>
              <w:rPr>
                <w:rFonts w:ascii="Calibri" w:eastAsiaTheme="minorEastAsia" w:hAnsi="Calibri" w:cs="Calibri"/>
                <w:i/>
                <w:iCs/>
                <w:color w:val="FFFFFF"/>
                <w:sz w:val="20"/>
                <w:lang w:eastAsia="en-AU"/>
              </w:rPr>
              <w:noBreakHyphen/>
            </w:r>
            <w:r w:rsidRPr="00E22AD9">
              <w:rPr>
                <w:rFonts w:ascii="Calibri" w:eastAsiaTheme="minorEastAsia" w:hAnsi="Calibri" w:cs="Calibri"/>
                <w:i/>
                <w:iCs/>
                <w:color w:val="FFFFFF"/>
                <w:sz w:val="20"/>
                <w:lang w:eastAsia="en-AU"/>
              </w:rPr>
              <w:t>16</w:t>
            </w:r>
          </w:p>
          <w:p w:rsidR="00965D85" w:rsidRPr="00E22AD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E22AD9">
              <w:rPr>
                <w:rFonts w:ascii="Calibri" w:eastAsiaTheme="minorEastAsia" w:hAnsi="Calibri" w:cs="Calibri"/>
                <w:i/>
                <w:iCs/>
                <w:color w:val="FFFFFF"/>
                <w:sz w:val="20"/>
                <w:lang w:eastAsia="en-AU"/>
              </w:rPr>
              <w:t>revised</w:t>
            </w:r>
          </w:p>
        </w:tc>
        <w:tc>
          <w:tcPr>
            <w:tcW w:w="788" w:type="dxa"/>
            <w:tcBorders>
              <w:top w:val="nil"/>
              <w:left w:val="nil"/>
              <w:right w:val="nil"/>
            </w:tcBorders>
            <w:shd w:val="solid" w:color="000000" w:fill="auto"/>
          </w:tcPr>
          <w:p w:rsidR="00965D85" w:rsidRPr="00E22AD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E22AD9">
              <w:rPr>
                <w:rFonts w:ascii="Calibri" w:eastAsiaTheme="minorEastAsia" w:hAnsi="Calibri" w:cs="Calibri"/>
                <w:i/>
                <w:iCs/>
                <w:color w:val="FFFFFF"/>
                <w:sz w:val="20"/>
                <w:lang w:eastAsia="en-AU"/>
              </w:rPr>
              <w:t>2016</w:t>
            </w:r>
            <w:r>
              <w:rPr>
                <w:rFonts w:ascii="Calibri" w:eastAsiaTheme="minorEastAsia" w:hAnsi="Calibri" w:cs="Calibri"/>
                <w:i/>
                <w:iCs/>
                <w:color w:val="FFFFFF"/>
                <w:sz w:val="20"/>
                <w:lang w:eastAsia="en-AU"/>
              </w:rPr>
              <w:noBreakHyphen/>
            </w:r>
            <w:r w:rsidRPr="00E22AD9">
              <w:rPr>
                <w:rFonts w:ascii="Calibri" w:eastAsiaTheme="minorEastAsia" w:hAnsi="Calibri" w:cs="Calibri"/>
                <w:i/>
                <w:iCs/>
                <w:color w:val="FFFFFF"/>
                <w:sz w:val="20"/>
                <w:lang w:eastAsia="en-AU"/>
              </w:rPr>
              <w:t>17</w:t>
            </w:r>
          </w:p>
          <w:p w:rsidR="00965D85" w:rsidRPr="00E22AD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E22AD9">
              <w:rPr>
                <w:rFonts w:ascii="Calibri" w:eastAsiaTheme="minorEastAsia" w:hAnsi="Calibri" w:cs="Calibri"/>
                <w:i/>
                <w:iCs/>
                <w:color w:val="FFFFFF"/>
                <w:sz w:val="20"/>
                <w:lang w:eastAsia="en-AU"/>
              </w:rPr>
              <w:t>estimate</w:t>
            </w:r>
          </w:p>
        </w:tc>
        <w:tc>
          <w:tcPr>
            <w:tcW w:w="788" w:type="dxa"/>
            <w:tcBorders>
              <w:top w:val="nil"/>
              <w:left w:val="nil"/>
              <w:right w:val="nil"/>
            </w:tcBorders>
            <w:shd w:val="solid" w:color="000000" w:fill="auto"/>
          </w:tcPr>
          <w:p w:rsidR="00965D85" w:rsidRPr="00E22AD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E22AD9">
              <w:rPr>
                <w:rFonts w:ascii="Calibri" w:eastAsiaTheme="minorEastAsia" w:hAnsi="Calibri" w:cs="Calibri"/>
                <w:i/>
                <w:iCs/>
                <w:color w:val="FFFFFF"/>
                <w:sz w:val="20"/>
                <w:lang w:eastAsia="en-AU"/>
              </w:rPr>
              <w:t>2017</w:t>
            </w:r>
            <w:r>
              <w:rPr>
                <w:rFonts w:ascii="Calibri" w:eastAsiaTheme="minorEastAsia" w:hAnsi="Calibri" w:cs="Calibri"/>
                <w:i/>
                <w:iCs/>
                <w:color w:val="FFFFFF"/>
                <w:sz w:val="20"/>
                <w:lang w:eastAsia="en-AU"/>
              </w:rPr>
              <w:noBreakHyphen/>
            </w:r>
            <w:r w:rsidRPr="00E22AD9">
              <w:rPr>
                <w:rFonts w:ascii="Calibri" w:eastAsiaTheme="minorEastAsia" w:hAnsi="Calibri" w:cs="Calibri"/>
                <w:i/>
                <w:iCs/>
                <w:color w:val="FFFFFF"/>
                <w:sz w:val="20"/>
                <w:lang w:eastAsia="en-AU"/>
              </w:rPr>
              <w:t>18</w:t>
            </w:r>
          </w:p>
          <w:p w:rsidR="00965D85" w:rsidRPr="00E22AD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E22AD9">
              <w:rPr>
                <w:rFonts w:ascii="Calibri" w:eastAsiaTheme="minorEastAsia" w:hAnsi="Calibri" w:cs="Calibri"/>
                <w:i/>
                <w:iCs/>
                <w:color w:val="FFFFFF"/>
                <w:sz w:val="20"/>
                <w:lang w:eastAsia="en-AU"/>
              </w:rPr>
              <w:t>estimate</w:t>
            </w:r>
          </w:p>
        </w:tc>
        <w:tc>
          <w:tcPr>
            <w:tcW w:w="788" w:type="dxa"/>
            <w:tcBorders>
              <w:top w:val="nil"/>
              <w:left w:val="nil"/>
              <w:right w:val="nil"/>
            </w:tcBorders>
            <w:shd w:val="solid" w:color="000000" w:fill="auto"/>
          </w:tcPr>
          <w:p w:rsidR="00965D85" w:rsidRPr="00E22AD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E22AD9">
              <w:rPr>
                <w:rFonts w:ascii="Calibri" w:eastAsiaTheme="minorEastAsia" w:hAnsi="Calibri" w:cs="Calibri"/>
                <w:i/>
                <w:iCs/>
                <w:color w:val="FFFFFF"/>
                <w:sz w:val="20"/>
                <w:lang w:eastAsia="en-AU"/>
              </w:rPr>
              <w:t>2018</w:t>
            </w:r>
            <w:r>
              <w:rPr>
                <w:rFonts w:ascii="Calibri" w:eastAsiaTheme="minorEastAsia" w:hAnsi="Calibri" w:cs="Calibri"/>
                <w:i/>
                <w:iCs/>
                <w:color w:val="FFFFFF"/>
                <w:sz w:val="20"/>
                <w:lang w:eastAsia="en-AU"/>
              </w:rPr>
              <w:noBreakHyphen/>
            </w:r>
            <w:r w:rsidRPr="00E22AD9">
              <w:rPr>
                <w:rFonts w:ascii="Calibri" w:eastAsiaTheme="minorEastAsia" w:hAnsi="Calibri" w:cs="Calibri"/>
                <w:i/>
                <w:iCs/>
                <w:color w:val="FFFFFF"/>
                <w:sz w:val="20"/>
                <w:lang w:eastAsia="en-AU"/>
              </w:rPr>
              <w:t>19</w:t>
            </w:r>
          </w:p>
          <w:p w:rsidR="00965D85" w:rsidRPr="00E22AD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E22AD9">
              <w:rPr>
                <w:rFonts w:ascii="Calibri" w:eastAsiaTheme="minorEastAsia" w:hAnsi="Calibri" w:cs="Calibri"/>
                <w:i/>
                <w:iCs/>
                <w:color w:val="FFFFFF"/>
                <w:sz w:val="20"/>
                <w:lang w:eastAsia="en-AU"/>
              </w:rPr>
              <w:t>estimate</w:t>
            </w:r>
          </w:p>
        </w:tc>
      </w:tr>
      <w:tr w:rsidR="00965D85" w:rsidRPr="00E22AD9" w:rsidTr="008B46DF">
        <w:tc>
          <w:tcPr>
            <w:tcW w:w="3828" w:type="dxa"/>
            <w:tcBorders>
              <w:top w:val="nil"/>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Public financial corporations</w:t>
            </w:r>
          </w:p>
        </w:tc>
        <w:tc>
          <w:tcPr>
            <w:tcW w:w="787"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788"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788"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788"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788"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r>
      <w:tr w:rsidR="00965D85" w:rsidRPr="00E22AD9" w:rsidTr="008B46DF">
        <w:tc>
          <w:tcPr>
            <w:tcW w:w="3828" w:type="dxa"/>
            <w:tcBorders>
              <w:top w:val="nil"/>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20"/>
                <w:vertAlign w:val="superscript"/>
                <w:lang w:eastAsia="en-AU"/>
              </w:rPr>
            </w:pPr>
            <w:r w:rsidRPr="00E22AD9">
              <w:rPr>
                <w:rFonts w:ascii="Calibri" w:eastAsiaTheme="minorEastAsia" w:hAnsi="Calibri" w:cs="Calibri"/>
                <w:color w:val="000000"/>
                <w:sz w:val="20"/>
                <w:lang w:eastAsia="en-AU"/>
              </w:rPr>
              <w:t>WorkSafe Victoria</w:t>
            </w:r>
            <w:r w:rsidRPr="00E22AD9">
              <w:rPr>
                <w:rFonts w:ascii="Calibri" w:eastAsiaTheme="minorEastAsia" w:hAnsi="Calibri" w:cs="Calibri"/>
                <w:color w:val="000000"/>
                <w:sz w:val="20"/>
                <w:vertAlign w:val="superscript"/>
                <w:lang w:eastAsia="en-AU"/>
              </w:rPr>
              <w:t xml:space="preserve"> (a)</w:t>
            </w:r>
          </w:p>
        </w:tc>
        <w:tc>
          <w:tcPr>
            <w:tcW w:w="787"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w:t>
            </w:r>
          </w:p>
        </w:tc>
        <w:tc>
          <w:tcPr>
            <w:tcW w:w="788"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w:t>
            </w:r>
          </w:p>
        </w:tc>
        <w:tc>
          <w:tcPr>
            <w:tcW w:w="788"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w:t>
            </w:r>
          </w:p>
        </w:tc>
        <w:tc>
          <w:tcPr>
            <w:tcW w:w="788"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w:t>
            </w:r>
          </w:p>
        </w:tc>
        <w:tc>
          <w:tcPr>
            <w:tcW w:w="788"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w:t>
            </w:r>
          </w:p>
        </w:tc>
      </w:tr>
      <w:tr w:rsidR="00965D85" w:rsidRPr="00E22AD9" w:rsidTr="008B46DF">
        <w:tc>
          <w:tcPr>
            <w:tcW w:w="3828" w:type="dxa"/>
            <w:tcBorders>
              <w:top w:val="nil"/>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Victorian Managed Insurance Authority</w:t>
            </w:r>
          </w:p>
        </w:tc>
        <w:tc>
          <w:tcPr>
            <w:tcW w:w="787"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145.0</w:t>
            </w:r>
          </w:p>
        </w:tc>
        <w:tc>
          <w:tcPr>
            <w:tcW w:w="788"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145.0</w:t>
            </w:r>
          </w:p>
        </w:tc>
        <w:tc>
          <w:tcPr>
            <w:tcW w:w="788"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145.0</w:t>
            </w:r>
          </w:p>
        </w:tc>
        <w:tc>
          <w:tcPr>
            <w:tcW w:w="788"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87.0</w:t>
            </w:r>
          </w:p>
        </w:tc>
        <w:tc>
          <w:tcPr>
            <w:tcW w:w="788"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43.0</w:t>
            </w:r>
          </w:p>
        </w:tc>
      </w:tr>
      <w:tr w:rsidR="00965D85" w:rsidRPr="00E22AD9" w:rsidTr="008B46DF">
        <w:tc>
          <w:tcPr>
            <w:tcW w:w="3828" w:type="dxa"/>
            <w:tcBorders>
              <w:top w:val="nil"/>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Transport Accident Commission</w:t>
            </w:r>
          </w:p>
        </w:tc>
        <w:tc>
          <w:tcPr>
            <w:tcW w:w="787"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433.6</w:t>
            </w:r>
          </w:p>
        </w:tc>
        <w:tc>
          <w:tcPr>
            <w:tcW w:w="788"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433.6</w:t>
            </w:r>
          </w:p>
        </w:tc>
        <w:tc>
          <w:tcPr>
            <w:tcW w:w="788"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341.9</w:t>
            </w:r>
          </w:p>
        </w:tc>
        <w:tc>
          <w:tcPr>
            <w:tcW w:w="788"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405.0</w:t>
            </w:r>
          </w:p>
        </w:tc>
        <w:tc>
          <w:tcPr>
            <w:tcW w:w="788"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257.8</w:t>
            </w:r>
          </w:p>
        </w:tc>
      </w:tr>
      <w:tr w:rsidR="00965D85" w:rsidRPr="00E22AD9" w:rsidTr="008B46DF">
        <w:tc>
          <w:tcPr>
            <w:tcW w:w="3828" w:type="dxa"/>
            <w:tcBorders>
              <w:top w:val="nil"/>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Treasury Corporation of Victoria</w:t>
            </w:r>
          </w:p>
        </w:tc>
        <w:tc>
          <w:tcPr>
            <w:tcW w:w="787"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38.2</w:t>
            </w:r>
          </w:p>
        </w:tc>
        <w:tc>
          <w:tcPr>
            <w:tcW w:w="788"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31.7</w:t>
            </w:r>
          </w:p>
        </w:tc>
        <w:tc>
          <w:tcPr>
            <w:tcW w:w="788"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24.7</w:t>
            </w:r>
          </w:p>
        </w:tc>
        <w:tc>
          <w:tcPr>
            <w:tcW w:w="788"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31.3</w:t>
            </w:r>
          </w:p>
        </w:tc>
        <w:tc>
          <w:tcPr>
            <w:tcW w:w="788"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31.9</w:t>
            </w:r>
          </w:p>
        </w:tc>
      </w:tr>
      <w:tr w:rsidR="00965D85" w:rsidRPr="00E22AD9" w:rsidTr="008B46DF">
        <w:tc>
          <w:tcPr>
            <w:tcW w:w="3828" w:type="dxa"/>
            <w:tcBorders>
              <w:top w:val="nil"/>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State Trustees Ltd</w:t>
            </w:r>
          </w:p>
        </w:tc>
        <w:tc>
          <w:tcPr>
            <w:tcW w:w="787"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1.0</w:t>
            </w:r>
          </w:p>
        </w:tc>
        <w:tc>
          <w:tcPr>
            <w:tcW w:w="788"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1.5</w:t>
            </w:r>
          </w:p>
        </w:tc>
        <w:tc>
          <w:tcPr>
            <w:tcW w:w="788"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1.3</w:t>
            </w:r>
          </w:p>
        </w:tc>
        <w:tc>
          <w:tcPr>
            <w:tcW w:w="788"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1.5</w:t>
            </w:r>
          </w:p>
        </w:tc>
        <w:tc>
          <w:tcPr>
            <w:tcW w:w="788"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1.5</w:t>
            </w:r>
          </w:p>
        </w:tc>
      </w:tr>
      <w:tr w:rsidR="00965D85" w:rsidRPr="00E22AD9" w:rsidTr="008B46DF">
        <w:tc>
          <w:tcPr>
            <w:tcW w:w="3828"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Victorian Funds Management Corporation</w:t>
            </w:r>
          </w:p>
        </w:tc>
        <w:tc>
          <w:tcPr>
            <w:tcW w:w="787"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1.8</w:t>
            </w:r>
          </w:p>
        </w:tc>
        <w:tc>
          <w:tcPr>
            <w:tcW w:w="788"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1.7</w:t>
            </w:r>
          </w:p>
        </w:tc>
        <w:tc>
          <w:tcPr>
            <w:tcW w:w="788"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1.8</w:t>
            </w:r>
          </w:p>
        </w:tc>
        <w:tc>
          <w:tcPr>
            <w:tcW w:w="788"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1.8</w:t>
            </w:r>
          </w:p>
        </w:tc>
        <w:tc>
          <w:tcPr>
            <w:tcW w:w="788"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1.8</w:t>
            </w:r>
          </w:p>
        </w:tc>
      </w:tr>
      <w:tr w:rsidR="00965D85" w:rsidRPr="00E22AD9" w:rsidTr="008B46DF">
        <w:tc>
          <w:tcPr>
            <w:tcW w:w="3828" w:type="dxa"/>
            <w:tcBorders>
              <w:top w:val="single" w:sz="6" w:space="0" w:color="000000"/>
              <w:left w:val="nil"/>
              <w:bottom w:val="single" w:sz="12" w:space="0" w:color="000000"/>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Dividends from PFC sector</w:t>
            </w:r>
          </w:p>
        </w:tc>
        <w:tc>
          <w:tcPr>
            <w:tcW w:w="787" w:type="dxa"/>
            <w:tcBorders>
              <w:top w:val="single" w:sz="6" w:space="0" w:color="000000"/>
              <w:left w:val="nil"/>
              <w:bottom w:val="single" w:sz="12"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20"/>
                <w:lang w:eastAsia="en-AU"/>
              </w:rPr>
              <w:t>619.5</w:t>
            </w:r>
          </w:p>
        </w:tc>
        <w:tc>
          <w:tcPr>
            <w:tcW w:w="788" w:type="dxa"/>
            <w:tcBorders>
              <w:top w:val="single" w:sz="6" w:space="0" w:color="000000"/>
              <w:left w:val="nil"/>
              <w:bottom w:val="single" w:sz="12"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20"/>
                <w:lang w:eastAsia="en-AU"/>
              </w:rPr>
              <w:t>613.6</w:t>
            </w:r>
          </w:p>
        </w:tc>
        <w:tc>
          <w:tcPr>
            <w:tcW w:w="788" w:type="dxa"/>
            <w:tcBorders>
              <w:top w:val="single" w:sz="6" w:space="0" w:color="000000"/>
              <w:left w:val="nil"/>
              <w:bottom w:val="single" w:sz="12"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20"/>
                <w:lang w:eastAsia="en-AU"/>
              </w:rPr>
              <w:t>514.7</w:t>
            </w:r>
          </w:p>
        </w:tc>
        <w:tc>
          <w:tcPr>
            <w:tcW w:w="788" w:type="dxa"/>
            <w:tcBorders>
              <w:top w:val="single" w:sz="6" w:space="0" w:color="000000"/>
              <w:left w:val="nil"/>
              <w:bottom w:val="single" w:sz="12"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20"/>
                <w:lang w:eastAsia="en-AU"/>
              </w:rPr>
              <w:t>526.5</w:t>
            </w:r>
          </w:p>
        </w:tc>
        <w:tc>
          <w:tcPr>
            <w:tcW w:w="788" w:type="dxa"/>
            <w:tcBorders>
              <w:top w:val="single" w:sz="6" w:space="0" w:color="000000"/>
              <w:left w:val="nil"/>
              <w:bottom w:val="single" w:sz="12"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20"/>
                <w:lang w:eastAsia="en-AU"/>
              </w:rPr>
              <w:t>336.0</w:t>
            </w:r>
          </w:p>
        </w:tc>
      </w:tr>
      <w:tr w:rsidR="00965D85" w:rsidRPr="00E22AD9" w:rsidTr="008B46DF">
        <w:tc>
          <w:tcPr>
            <w:tcW w:w="3828" w:type="dxa"/>
            <w:tcBorders>
              <w:top w:val="single" w:sz="12" w:space="0" w:color="000000"/>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Public non</w:t>
            </w:r>
            <w:r>
              <w:rPr>
                <w:rFonts w:ascii="Calibri" w:eastAsiaTheme="minorEastAsia" w:hAnsi="Calibri" w:cs="Calibri"/>
                <w:b/>
                <w:bCs/>
                <w:color w:val="000000"/>
                <w:sz w:val="20"/>
                <w:lang w:eastAsia="en-AU"/>
              </w:rPr>
              <w:noBreakHyphen/>
            </w:r>
            <w:r w:rsidRPr="00E22AD9">
              <w:rPr>
                <w:rFonts w:ascii="Calibri" w:eastAsiaTheme="minorEastAsia" w:hAnsi="Calibri" w:cs="Calibri"/>
                <w:b/>
                <w:bCs/>
                <w:color w:val="000000"/>
                <w:sz w:val="20"/>
                <w:lang w:eastAsia="en-AU"/>
              </w:rPr>
              <w:t>financial corporations</w:t>
            </w:r>
          </w:p>
        </w:tc>
        <w:tc>
          <w:tcPr>
            <w:tcW w:w="787" w:type="dxa"/>
            <w:tcBorders>
              <w:top w:val="single" w:sz="12" w:space="0" w:color="000000"/>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788" w:type="dxa"/>
            <w:tcBorders>
              <w:top w:val="single" w:sz="12" w:space="0" w:color="000000"/>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788" w:type="dxa"/>
            <w:tcBorders>
              <w:top w:val="single" w:sz="12" w:space="0" w:color="000000"/>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788" w:type="dxa"/>
            <w:tcBorders>
              <w:top w:val="single" w:sz="12" w:space="0" w:color="000000"/>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788" w:type="dxa"/>
            <w:tcBorders>
              <w:top w:val="single" w:sz="12" w:space="0" w:color="000000"/>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r>
      <w:tr w:rsidR="00965D85" w:rsidRPr="00E22AD9" w:rsidTr="008B46DF">
        <w:tc>
          <w:tcPr>
            <w:tcW w:w="3828" w:type="dxa"/>
            <w:tcBorders>
              <w:top w:val="nil"/>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Melbourne Water Corporation</w:t>
            </w:r>
          </w:p>
        </w:tc>
        <w:tc>
          <w:tcPr>
            <w:tcW w:w="787"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17.1</w:t>
            </w:r>
          </w:p>
        </w:tc>
        <w:tc>
          <w:tcPr>
            <w:tcW w:w="788"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2.9</w:t>
            </w:r>
          </w:p>
        </w:tc>
        <w:tc>
          <w:tcPr>
            <w:tcW w:w="788"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45.9</w:t>
            </w:r>
          </w:p>
        </w:tc>
        <w:tc>
          <w:tcPr>
            <w:tcW w:w="788"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40.0</w:t>
            </w:r>
          </w:p>
        </w:tc>
        <w:tc>
          <w:tcPr>
            <w:tcW w:w="788"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43.0</w:t>
            </w:r>
          </w:p>
        </w:tc>
      </w:tr>
      <w:tr w:rsidR="00965D85" w:rsidRPr="00E22AD9" w:rsidTr="008B46DF">
        <w:tc>
          <w:tcPr>
            <w:tcW w:w="3828" w:type="dxa"/>
            <w:tcBorders>
              <w:top w:val="nil"/>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City West Water Corporation</w:t>
            </w:r>
          </w:p>
        </w:tc>
        <w:tc>
          <w:tcPr>
            <w:tcW w:w="787"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14.1</w:t>
            </w:r>
          </w:p>
        </w:tc>
        <w:tc>
          <w:tcPr>
            <w:tcW w:w="788"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16.3</w:t>
            </w:r>
          </w:p>
        </w:tc>
        <w:tc>
          <w:tcPr>
            <w:tcW w:w="788"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15.2</w:t>
            </w:r>
          </w:p>
        </w:tc>
        <w:tc>
          <w:tcPr>
            <w:tcW w:w="788"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18.5</w:t>
            </w:r>
          </w:p>
        </w:tc>
        <w:tc>
          <w:tcPr>
            <w:tcW w:w="788"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20.5</w:t>
            </w:r>
          </w:p>
        </w:tc>
      </w:tr>
      <w:tr w:rsidR="00965D85" w:rsidRPr="00E22AD9" w:rsidTr="008B46DF">
        <w:tc>
          <w:tcPr>
            <w:tcW w:w="3828" w:type="dxa"/>
            <w:tcBorders>
              <w:top w:val="nil"/>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South East Water Corporation</w:t>
            </w:r>
          </w:p>
        </w:tc>
        <w:tc>
          <w:tcPr>
            <w:tcW w:w="787"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32.5</w:t>
            </w:r>
          </w:p>
        </w:tc>
        <w:tc>
          <w:tcPr>
            <w:tcW w:w="788"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35.5</w:t>
            </w:r>
          </w:p>
        </w:tc>
        <w:tc>
          <w:tcPr>
            <w:tcW w:w="788"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22.1</w:t>
            </w:r>
          </w:p>
        </w:tc>
        <w:tc>
          <w:tcPr>
            <w:tcW w:w="788"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28.2</w:t>
            </w:r>
          </w:p>
        </w:tc>
        <w:tc>
          <w:tcPr>
            <w:tcW w:w="788"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34.2</w:t>
            </w:r>
          </w:p>
        </w:tc>
      </w:tr>
      <w:tr w:rsidR="00965D85" w:rsidRPr="00E22AD9" w:rsidTr="008B46DF">
        <w:tc>
          <w:tcPr>
            <w:tcW w:w="3828" w:type="dxa"/>
            <w:tcBorders>
              <w:top w:val="nil"/>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Yarra Valley Water Corporation</w:t>
            </w:r>
          </w:p>
        </w:tc>
        <w:tc>
          <w:tcPr>
            <w:tcW w:w="787"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15.1</w:t>
            </w:r>
          </w:p>
        </w:tc>
        <w:tc>
          <w:tcPr>
            <w:tcW w:w="788"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32.0</w:t>
            </w:r>
          </w:p>
        </w:tc>
        <w:tc>
          <w:tcPr>
            <w:tcW w:w="788"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14.7</w:t>
            </w:r>
          </w:p>
        </w:tc>
        <w:tc>
          <w:tcPr>
            <w:tcW w:w="788"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14.6</w:t>
            </w:r>
          </w:p>
        </w:tc>
        <w:tc>
          <w:tcPr>
            <w:tcW w:w="788"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21.3</w:t>
            </w:r>
          </w:p>
        </w:tc>
      </w:tr>
      <w:tr w:rsidR="00965D85" w:rsidRPr="00E22AD9" w:rsidTr="008B46DF">
        <w:tc>
          <w:tcPr>
            <w:tcW w:w="3828" w:type="dxa"/>
            <w:tcBorders>
              <w:top w:val="nil"/>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 xml:space="preserve">State Electricity Commission of Victoria (Shell) </w:t>
            </w:r>
          </w:p>
        </w:tc>
        <w:tc>
          <w:tcPr>
            <w:tcW w:w="787"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100.0</w:t>
            </w:r>
          </w:p>
        </w:tc>
        <w:tc>
          <w:tcPr>
            <w:tcW w:w="788"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100.0</w:t>
            </w:r>
          </w:p>
        </w:tc>
        <w:tc>
          <w:tcPr>
            <w:tcW w:w="788"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100.0</w:t>
            </w:r>
          </w:p>
        </w:tc>
        <w:tc>
          <w:tcPr>
            <w:tcW w:w="788"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70.0</w:t>
            </w:r>
          </w:p>
        </w:tc>
        <w:tc>
          <w:tcPr>
            <w:tcW w:w="788"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80.0</w:t>
            </w:r>
          </w:p>
        </w:tc>
      </w:tr>
      <w:tr w:rsidR="00965D85" w:rsidRPr="00E22AD9" w:rsidTr="008B46DF">
        <w:tc>
          <w:tcPr>
            <w:tcW w:w="3828" w:type="dxa"/>
            <w:tcBorders>
              <w:top w:val="nil"/>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Victorian Regional Channels Authority</w:t>
            </w:r>
          </w:p>
        </w:tc>
        <w:tc>
          <w:tcPr>
            <w:tcW w:w="787"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1.3</w:t>
            </w:r>
          </w:p>
        </w:tc>
        <w:tc>
          <w:tcPr>
            <w:tcW w:w="788"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0.6</w:t>
            </w:r>
          </w:p>
        </w:tc>
        <w:tc>
          <w:tcPr>
            <w:tcW w:w="788"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1.4</w:t>
            </w:r>
          </w:p>
        </w:tc>
        <w:tc>
          <w:tcPr>
            <w:tcW w:w="788"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1.5</w:t>
            </w:r>
          </w:p>
        </w:tc>
        <w:tc>
          <w:tcPr>
            <w:tcW w:w="788"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1.5</w:t>
            </w:r>
          </w:p>
        </w:tc>
      </w:tr>
      <w:tr w:rsidR="00965D85" w:rsidRPr="00E22AD9" w:rsidTr="008B46DF">
        <w:tc>
          <w:tcPr>
            <w:tcW w:w="3828" w:type="dxa"/>
            <w:tcBorders>
              <w:top w:val="nil"/>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Port of Melbourne Corporation</w:t>
            </w:r>
          </w:p>
        </w:tc>
        <w:tc>
          <w:tcPr>
            <w:tcW w:w="787"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27.6</w:t>
            </w:r>
          </w:p>
        </w:tc>
        <w:tc>
          <w:tcPr>
            <w:tcW w:w="788"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23.4</w:t>
            </w:r>
          </w:p>
        </w:tc>
        <w:tc>
          <w:tcPr>
            <w:tcW w:w="788"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15.7</w:t>
            </w:r>
          </w:p>
        </w:tc>
        <w:tc>
          <w:tcPr>
            <w:tcW w:w="788"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w:t>
            </w:r>
          </w:p>
        </w:tc>
        <w:tc>
          <w:tcPr>
            <w:tcW w:w="788"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w:t>
            </w:r>
          </w:p>
        </w:tc>
      </w:tr>
      <w:tr w:rsidR="00965D85" w:rsidRPr="00E22AD9" w:rsidTr="008B46DF">
        <w:tc>
          <w:tcPr>
            <w:tcW w:w="3828"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Others</w:t>
            </w:r>
          </w:p>
        </w:tc>
        <w:tc>
          <w:tcPr>
            <w:tcW w:w="787"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8.0</w:t>
            </w:r>
          </w:p>
        </w:tc>
        <w:tc>
          <w:tcPr>
            <w:tcW w:w="788"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18.9</w:t>
            </w:r>
          </w:p>
        </w:tc>
        <w:tc>
          <w:tcPr>
            <w:tcW w:w="788"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4.2</w:t>
            </w:r>
          </w:p>
        </w:tc>
        <w:tc>
          <w:tcPr>
            <w:tcW w:w="788"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2.5</w:t>
            </w:r>
          </w:p>
        </w:tc>
        <w:tc>
          <w:tcPr>
            <w:tcW w:w="788"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12.1</w:t>
            </w:r>
          </w:p>
        </w:tc>
      </w:tr>
      <w:tr w:rsidR="00965D85" w:rsidRPr="00E22AD9" w:rsidTr="008B46DF">
        <w:tc>
          <w:tcPr>
            <w:tcW w:w="3828" w:type="dxa"/>
            <w:tcBorders>
              <w:top w:val="single" w:sz="6" w:space="0" w:color="000000"/>
              <w:left w:val="nil"/>
              <w:bottom w:val="single" w:sz="12" w:space="0" w:color="000000"/>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Dividends from PNFC sector</w:t>
            </w:r>
          </w:p>
        </w:tc>
        <w:tc>
          <w:tcPr>
            <w:tcW w:w="787" w:type="dxa"/>
            <w:tcBorders>
              <w:top w:val="single" w:sz="6" w:space="0" w:color="000000"/>
              <w:left w:val="nil"/>
              <w:bottom w:val="single" w:sz="12"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20"/>
                <w:lang w:eastAsia="en-AU"/>
              </w:rPr>
              <w:t>215.6</w:t>
            </w:r>
          </w:p>
        </w:tc>
        <w:tc>
          <w:tcPr>
            <w:tcW w:w="788" w:type="dxa"/>
            <w:tcBorders>
              <w:top w:val="single" w:sz="6" w:space="0" w:color="000000"/>
              <w:left w:val="nil"/>
              <w:bottom w:val="single" w:sz="12"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20"/>
                <w:lang w:eastAsia="en-AU"/>
              </w:rPr>
              <w:t>229.7</w:t>
            </w:r>
          </w:p>
        </w:tc>
        <w:tc>
          <w:tcPr>
            <w:tcW w:w="788" w:type="dxa"/>
            <w:tcBorders>
              <w:top w:val="single" w:sz="6" w:space="0" w:color="000000"/>
              <w:left w:val="nil"/>
              <w:bottom w:val="single" w:sz="12"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20"/>
                <w:lang w:eastAsia="en-AU"/>
              </w:rPr>
              <w:t>219.1</w:t>
            </w:r>
          </w:p>
        </w:tc>
        <w:tc>
          <w:tcPr>
            <w:tcW w:w="788" w:type="dxa"/>
            <w:tcBorders>
              <w:top w:val="single" w:sz="6" w:space="0" w:color="000000"/>
              <w:left w:val="nil"/>
              <w:bottom w:val="single" w:sz="12"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20"/>
                <w:lang w:eastAsia="en-AU"/>
              </w:rPr>
              <w:t>175.3</w:t>
            </w:r>
          </w:p>
        </w:tc>
        <w:tc>
          <w:tcPr>
            <w:tcW w:w="788" w:type="dxa"/>
            <w:tcBorders>
              <w:top w:val="single" w:sz="6" w:space="0" w:color="000000"/>
              <w:left w:val="nil"/>
              <w:bottom w:val="single" w:sz="12"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20"/>
                <w:lang w:eastAsia="en-AU"/>
              </w:rPr>
              <w:t>212.6</w:t>
            </w:r>
          </w:p>
        </w:tc>
      </w:tr>
    </w:tbl>
    <w:p w:rsidR="00965D85" w:rsidRDefault="00965D85" w:rsidP="008B46DF">
      <w:pPr>
        <w:pStyle w:val="Notes"/>
        <w:rPr>
          <w:lang w:eastAsia="en-AU"/>
        </w:rPr>
      </w:pPr>
      <w:r>
        <w:rPr>
          <w:lang w:eastAsia="en-AU"/>
        </w:rPr>
        <w:t>Note:</w:t>
      </w:r>
    </w:p>
    <w:p w:rsidR="00965D85" w:rsidRDefault="00965D85" w:rsidP="008B46DF">
      <w:pPr>
        <w:pStyle w:val="Notes"/>
        <w:rPr>
          <w:lang w:eastAsia="en-AU"/>
        </w:rPr>
      </w:pPr>
      <w:r>
        <w:rPr>
          <w:lang w:eastAsia="en-AU"/>
        </w:rPr>
        <w:t>(a)</w:t>
      </w:r>
      <w:r>
        <w:rPr>
          <w:lang w:eastAsia="en-AU"/>
        </w:rPr>
        <w:tab/>
        <w:t>Consistent with the Government’s pre</w:t>
      </w:r>
      <w:r>
        <w:rPr>
          <w:lang w:eastAsia="en-AU"/>
        </w:rPr>
        <w:noBreakHyphen/>
        <w:t>election commitment, there will be no dividends extracted from WorkSafe Victoria in this budget update. The Government expects monies will be returned to the State in future years for a re</w:t>
      </w:r>
      <w:r>
        <w:rPr>
          <w:lang w:eastAsia="en-AU"/>
        </w:rPr>
        <w:noBreakHyphen/>
        <w:t>established and expanded WorkHealth scheme and other purposes in line with its pre</w:t>
      </w:r>
      <w:r>
        <w:rPr>
          <w:lang w:eastAsia="en-AU"/>
        </w:rPr>
        <w:noBreakHyphen/>
        <w:t xml:space="preserve">election commitment. </w:t>
      </w:r>
    </w:p>
    <w:p w:rsidR="00965D85" w:rsidRDefault="00965D85" w:rsidP="008B46DF">
      <w:pPr>
        <w:pStyle w:val="Heading2Notes"/>
        <w:rPr>
          <w:rFonts w:ascii="Times New Roman" w:hAnsi="Times New Roman"/>
          <w:sz w:val="20"/>
          <w:lang w:eastAsia="en-AU"/>
        </w:rPr>
      </w:pPr>
      <w:bookmarkStart w:id="52" w:name="_Toc436138910"/>
      <w:r w:rsidRPr="003878BE">
        <w:rPr>
          <w:lang w:eastAsia="en-AU"/>
        </w:rPr>
        <w:lastRenderedPageBreak/>
        <w:t xml:space="preserve">Note 4: </w:t>
      </w:r>
      <w:r w:rsidRPr="003878BE">
        <w:rPr>
          <w:lang w:eastAsia="en-AU"/>
        </w:rPr>
        <w:tab/>
        <w:t>Sales of goods and services</w:t>
      </w:r>
      <w:bookmarkEnd w:id="52"/>
    </w:p>
    <w:tbl>
      <w:tblPr>
        <w:tblW w:w="7767" w:type="dxa"/>
        <w:tblInd w:w="28" w:type="dxa"/>
        <w:tblLayout w:type="fixed"/>
        <w:tblCellMar>
          <w:left w:w="28" w:type="dxa"/>
          <w:right w:w="28" w:type="dxa"/>
        </w:tblCellMar>
        <w:tblLook w:val="0000" w:firstRow="0" w:lastRow="0" w:firstColumn="0" w:lastColumn="0" w:noHBand="0" w:noVBand="0"/>
      </w:tblPr>
      <w:tblGrid>
        <w:gridCol w:w="3402"/>
        <w:gridCol w:w="873"/>
        <w:gridCol w:w="873"/>
        <w:gridCol w:w="873"/>
        <w:gridCol w:w="873"/>
        <w:gridCol w:w="873"/>
      </w:tblGrid>
      <w:tr w:rsidR="00965D85" w:rsidRPr="00E22AD9" w:rsidTr="008B46DF">
        <w:trPr>
          <w:tblHeader/>
        </w:trPr>
        <w:tc>
          <w:tcPr>
            <w:tcW w:w="7767" w:type="dxa"/>
            <w:gridSpan w:val="6"/>
            <w:tcBorders>
              <w:top w:val="nil"/>
              <w:left w:val="nil"/>
              <w:bottom w:val="nil"/>
              <w:right w:val="nil"/>
            </w:tcBorders>
          </w:tcPr>
          <w:p w:rsidR="00965D85" w:rsidRPr="00E22AD9" w:rsidRDefault="00965D85" w:rsidP="008B46DF">
            <w:pPr>
              <w:pStyle w:val="million"/>
              <w:rPr>
                <w:rFonts w:eastAsiaTheme="minorEastAsia" w:cs="Calibri"/>
                <w:iCs/>
                <w:color w:val="000000"/>
                <w:sz w:val="20"/>
                <w:lang w:eastAsia="en-AU"/>
              </w:rPr>
            </w:pPr>
            <w:r w:rsidRPr="00E22AD9">
              <w:rPr>
                <w:rFonts w:eastAsiaTheme="minorEastAsia"/>
                <w:lang w:eastAsia="en-AU"/>
              </w:rPr>
              <w:t>($ million)</w:t>
            </w:r>
          </w:p>
        </w:tc>
      </w:tr>
      <w:tr w:rsidR="00965D85" w:rsidRPr="00E22AD9" w:rsidTr="008B46DF">
        <w:trPr>
          <w:trHeight w:val="488"/>
          <w:tblHeader/>
        </w:trPr>
        <w:tc>
          <w:tcPr>
            <w:tcW w:w="3402" w:type="dxa"/>
            <w:tcBorders>
              <w:top w:val="nil"/>
              <w:left w:val="nil"/>
              <w:right w:val="nil"/>
            </w:tcBorders>
            <w:shd w:val="solid" w:color="000000" w:fill="auto"/>
          </w:tcPr>
          <w:p w:rsidR="00965D85" w:rsidRPr="00E22AD9" w:rsidRDefault="00965D85" w:rsidP="008B46DF">
            <w:pPr>
              <w:autoSpaceDE w:val="0"/>
              <w:autoSpaceDN w:val="0"/>
              <w:adjustRightInd w:val="0"/>
              <w:spacing w:after="0"/>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 xml:space="preserve"> </w:t>
            </w:r>
          </w:p>
          <w:p w:rsidR="00965D85" w:rsidRPr="00E22AD9" w:rsidRDefault="00965D85" w:rsidP="008B46DF">
            <w:pPr>
              <w:autoSpaceDE w:val="0"/>
              <w:autoSpaceDN w:val="0"/>
              <w:adjustRightInd w:val="0"/>
              <w:spacing w:after="0"/>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 xml:space="preserve"> </w:t>
            </w:r>
          </w:p>
        </w:tc>
        <w:tc>
          <w:tcPr>
            <w:tcW w:w="873" w:type="dxa"/>
            <w:tcBorders>
              <w:top w:val="nil"/>
              <w:left w:val="nil"/>
              <w:right w:val="nil"/>
            </w:tcBorders>
            <w:shd w:val="solid" w:color="000000" w:fill="auto"/>
          </w:tcPr>
          <w:p w:rsidR="00965D85" w:rsidRPr="00E22AD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E22AD9">
              <w:rPr>
                <w:rFonts w:ascii="Calibri" w:eastAsiaTheme="minorEastAsia" w:hAnsi="Calibri" w:cs="Calibri"/>
                <w:i/>
                <w:iCs/>
                <w:color w:val="FFFFFF"/>
                <w:sz w:val="20"/>
                <w:lang w:eastAsia="en-AU"/>
              </w:rPr>
              <w:t>2015</w:t>
            </w:r>
            <w:r>
              <w:rPr>
                <w:rFonts w:ascii="Calibri" w:eastAsiaTheme="minorEastAsia" w:hAnsi="Calibri" w:cs="Calibri"/>
                <w:i/>
                <w:iCs/>
                <w:color w:val="FFFFFF"/>
                <w:sz w:val="20"/>
                <w:lang w:eastAsia="en-AU"/>
              </w:rPr>
              <w:noBreakHyphen/>
            </w:r>
            <w:r w:rsidRPr="00E22AD9">
              <w:rPr>
                <w:rFonts w:ascii="Calibri" w:eastAsiaTheme="minorEastAsia" w:hAnsi="Calibri" w:cs="Calibri"/>
                <w:i/>
                <w:iCs/>
                <w:color w:val="FFFFFF"/>
                <w:sz w:val="20"/>
                <w:lang w:eastAsia="en-AU"/>
              </w:rPr>
              <w:t>16</w:t>
            </w:r>
          </w:p>
          <w:p w:rsidR="00965D85" w:rsidRPr="00E22AD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E22AD9">
              <w:rPr>
                <w:rFonts w:ascii="Calibri" w:eastAsiaTheme="minorEastAsia" w:hAnsi="Calibri" w:cs="Calibri"/>
                <w:i/>
                <w:iCs/>
                <w:color w:val="FFFFFF"/>
                <w:sz w:val="20"/>
                <w:lang w:eastAsia="en-AU"/>
              </w:rPr>
              <w:t>budget</w:t>
            </w:r>
          </w:p>
        </w:tc>
        <w:tc>
          <w:tcPr>
            <w:tcW w:w="873" w:type="dxa"/>
            <w:tcBorders>
              <w:top w:val="nil"/>
              <w:left w:val="nil"/>
              <w:right w:val="nil"/>
            </w:tcBorders>
            <w:shd w:val="solid" w:color="000000" w:fill="auto"/>
          </w:tcPr>
          <w:p w:rsidR="00965D85" w:rsidRPr="00E22AD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E22AD9">
              <w:rPr>
                <w:rFonts w:ascii="Calibri" w:eastAsiaTheme="minorEastAsia" w:hAnsi="Calibri" w:cs="Calibri"/>
                <w:i/>
                <w:iCs/>
                <w:color w:val="FFFFFF"/>
                <w:sz w:val="20"/>
                <w:lang w:eastAsia="en-AU"/>
              </w:rPr>
              <w:t>2015</w:t>
            </w:r>
            <w:r>
              <w:rPr>
                <w:rFonts w:ascii="Calibri" w:eastAsiaTheme="minorEastAsia" w:hAnsi="Calibri" w:cs="Calibri"/>
                <w:i/>
                <w:iCs/>
                <w:color w:val="FFFFFF"/>
                <w:sz w:val="20"/>
                <w:lang w:eastAsia="en-AU"/>
              </w:rPr>
              <w:noBreakHyphen/>
            </w:r>
            <w:r w:rsidRPr="00E22AD9">
              <w:rPr>
                <w:rFonts w:ascii="Calibri" w:eastAsiaTheme="minorEastAsia" w:hAnsi="Calibri" w:cs="Calibri"/>
                <w:i/>
                <w:iCs/>
                <w:color w:val="FFFFFF"/>
                <w:sz w:val="20"/>
                <w:lang w:eastAsia="en-AU"/>
              </w:rPr>
              <w:t>16</w:t>
            </w:r>
          </w:p>
          <w:p w:rsidR="00965D85" w:rsidRPr="00E22AD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E22AD9">
              <w:rPr>
                <w:rFonts w:ascii="Calibri" w:eastAsiaTheme="minorEastAsia" w:hAnsi="Calibri" w:cs="Calibri"/>
                <w:i/>
                <w:iCs/>
                <w:color w:val="FFFFFF"/>
                <w:sz w:val="20"/>
                <w:lang w:eastAsia="en-AU"/>
              </w:rPr>
              <w:t>revised</w:t>
            </w:r>
          </w:p>
        </w:tc>
        <w:tc>
          <w:tcPr>
            <w:tcW w:w="873" w:type="dxa"/>
            <w:tcBorders>
              <w:top w:val="nil"/>
              <w:left w:val="nil"/>
              <w:right w:val="nil"/>
            </w:tcBorders>
            <w:shd w:val="solid" w:color="000000" w:fill="auto"/>
          </w:tcPr>
          <w:p w:rsidR="00965D85" w:rsidRPr="00E22AD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E22AD9">
              <w:rPr>
                <w:rFonts w:ascii="Calibri" w:eastAsiaTheme="minorEastAsia" w:hAnsi="Calibri" w:cs="Calibri"/>
                <w:i/>
                <w:iCs/>
                <w:color w:val="FFFFFF"/>
                <w:sz w:val="20"/>
                <w:lang w:eastAsia="en-AU"/>
              </w:rPr>
              <w:t>2016</w:t>
            </w:r>
            <w:r>
              <w:rPr>
                <w:rFonts w:ascii="Calibri" w:eastAsiaTheme="minorEastAsia" w:hAnsi="Calibri" w:cs="Calibri"/>
                <w:i/>
                <w:iCs/>
                <w:color w:val="FFFFFF"/>
                <w:sz w:val="20"/>
                <w:lang w:eastAsia="en-AU"/>
              </w:rPr>
              <w:noBreakHyphen/>
            </w:r>
            <w:r w:rsidRPr="00E22AD9">
              <w:rPr>
                <w:rFonts w:ascii="Calibri" w:eastAsiaTheme="minorEastAsia" w:hAnsi="Calibri" w:cs="Calibri"/>
                <w:i/>
                <w:iCs/>
                <w:color w:val="FFFFFF"/>
                <w:sz w:val="20"/>
                <w:lang w:eastAsia="en-AU"/>
              </w:rPr>
              <w:t>17</w:t>
            </w:r>
          </w:p>
          <w:p w:rsidR="00965D85" w:rsidRPr="00E22AD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E22AD9">
              <w:rPr>
                <w:rFonts w:ascii="Calibri" w:eastAsiaTheme="minorEastAsia" w:hAnsi="Calibri" w:cs="Calibri"/>
                <w:i/>
                <w:iCs/>
                <w:color w:val="FFFFFF"/>
                <w:sz w:val="20"/>
                <w:lang w:eastAsia="en-AU"/>
              </w:rPr>
              <w:t>estimate</w:t>
            </w:r>
          </w:p>
        </w:tc>
        <w:tc>
          <w:tcPr>
            <w:tcW w:w="873" w:type="dxa"/>
            <w:tcBorders>
              <w:top w:val="nil"/>
              <w:left w:val="nil"/>
              <w:right w:val="nil"/>
            </w:tcBorders>
            <w:shd w:val="solid" w:color="000000" w:fill="auto"/>
          </w:tcPr>
          <w:p w:rsidR="00965D85" w:rsidRPr="00E22AD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E22AD9">
              <w:rPr>
                <w:rFonts w:ascii="Calibri" w:eastAsiaTheme="minorEastAsia" w:hAnsi="Calibri" w:cs="Calibri"/>
                <w:i/>
                <w:iCs/>
                <w:color w:val="FFFFFF"/>
                <w:sz w:val="20"/>
                <w:lang w:eastAsia="en-AU"/>
              </w:rPr>
              <w:t>2017</w:t>
            </w:r>
            <w:r>
              <w:rPr>
                <w:rFonts w:ascii="Calibri" w:eastAsiaTheme="minorEastAsia" w:hAnsi="Calibri" w:cs="Calibri"/>
                <w:i/>
                <w:iCs/>
                <w:color w:val="FFFFFF"/>
                <w:sz w:val="20"/>
                <w:lang w:eastAsia="en-AU"/>
              </w:rPr>
              <w:noBreakHyphen/>
            </w:r>
            <w:r w:rsidRPr="00E22AD9">
              <w:rPr>
                <w:rFonts w:ascii="Calibri" w:eastAsiaTheme="minorEastAsia" w:hAnsi="Calibri" w:cs="Calibri"/>
                <w:i/>
                <w:iCs/>
                <w:color w:val="FFFFFF"/>
                <w:sz w:val="20"/>
                <w:lang w:eastAsia="en-AU"/>
              </w:rPr>
              <w:t>18</w:t>
            </w:r>
          </w:p>
          <w:p w:rsidR="00965D85" w:rsidRPr="00E22AD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E22AD9">
              <w:rPr>
                <w:rFonts w:ascii="Calibri" w:eastAsiaTheme="minorEastAsia" w:hAnsi="Calibri" w:cs="Calibri"/>
                <w:i/>
                <w:iCs/>
                <w:color w:val="FFFFFF"/>
                <w:sz w:val="20"/>
                <w:lang w:eastAsia="en-AU"/>
              </w:rPr>
              <w:t>estimate</w:t>
            </w:r>
          </w:p>
        </w:tc>
        <w:tc>
          <w:tcPr>
            <w:tcW w:w="873" w:type="dxa"/>
            <w:tcBorders>
              <w:top w:val="nil"/>
              <w:left w:val="nil"/>
              <w:right w:val="nil"/>
            </w:tcBorders>
            <w:shd w:val="solid" w:color="000000" w:fill="auto"/>
          </w:tcPr>
          <w:p w:rsidR="00965D85" w:rsidRPr="00E22AD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E22AD9">
              <w:rPr>
                <w:rFonts w:ascii="Calibri" w:eastAsiaTheme="minorEastAsia" w:hAnsi="Calibri" w:cs="Calibri"/>
                <w:i/>
                <w:iCs/>
                <w:color w:val="FFFFFF"/>
                <w:sz w:val="20"/>
                <w:lang w:eastAsia="en-AU"/>
              </w:rPr>
              <w:t>2018</w:t>
            </w:r>
            <w:r>
              <w:rPr>
                <w:rFonts w:ascii="Calibri" w:eastAsiaTheme="minorEastAsia" w:hAnsi="Calibri" w:cs="Calibri"/>
                <w:i/>
                <w:iCs/>
                <w:color w:val="FFFFFF"/>
                <w:sz w:val="20"/>
                <w:lang w:eastAsia="en-AU"/>
              </w:rPr>
              <w:noBreakHyphen/>
            </w:r>
            <w:r w:rsidRPr="00E22AD9">
              <w:rPr>
                <w:rFonts w:ascii="Calibri" w:eastAsiaTheme="minorEastAsia" w:hAnsi="Calibri" w:cs="Calibri"/>
                <w:i/>
                <w:iCs/>
                <w:color w:val="FFFFFF"/>
                <w:sz w:val="20"/>
                <w:lang w:eastAsia="en-AU"/>
              </w:rPr>
              <w:t>19</w:t>
            </w:r>
          </w:p>
          <w:p w:rsidR="00965D85" w:rsidRPr="00E22AD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E22AD9">
              <w:rPr>
                <w:rFonts w:ascii="Calibri" w:eastAsiaTheme="minorEastAsia" w:hAnsi="Calibri" w:cs="Calibri"/>
                <w:i/>
                <w:iCs/>
                <w:color w:val="FFFFFF"/>
                <w:sz w:val="20"/>
                <w:lang w:eastAsia="en-AU"/>
              </w:rPr>
              <w:t>estimate</w:t>
            </w:r>
          </w:p>
        </w:tc>
      </w:tr>
      <w:tr w:rsidR="00965D85" w:rsidRPr="00E22AD9" w:rsidTr="008B46DF">
        <w:tc>
          <w:tcPr>
            <w:tcW w:w="3402" w:type="dxa"/>
            <w:tcBorders>
              <w:top w:val="nil"/>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Motor vehicle regulatory fees</w:t>
            </w:r>
          </w:p>
        </w:tc>
        <w:tc>
          <w:tcPr>
            <w:tcW w:w="873"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228.6</w:t>
            </w:r>
          </w:p>
        </w:tc>
        <w:tc>
          <w:tcPr>
            <w:tcW w:w="873"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237.7</w:t>
            </w:r>
          </w:p>
        </w:tc>
        <w:tc>
          <w:tcPr>
            <w:tcW w:w="873"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212.1</w:t>
            </w:r>
          </w:p>
        </w:tc>
        <w:tc>
          <w:tcPr>
            <w:tcW w:w="873"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187.9</w:t>
            </w:r>
          </w:p>
        </w:tc>
        <w:tc>
          <w:tcPr>
            <w:tcW w:w="873"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199.5</w:t>
            </w:r>
          </w:p>
        </w:tc>
      </w:tr>
      <w:tr w:rsidR="00965D85" w:rsidRPr="00E22AD9" w:rsidTr="008B46DF">
        <w:tc>
          <w:tcPr>
            <w:tcW w:w="3402" w:type="dxa"/>
            <w:tcBorders>
              <w:top w:val="nil"/>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Other regulatory fees</w:t>
            </w:r>
          </w:p>
        </w:tc>
        <w:tc>
          <w:tcPr>
            <w:tcW w:w="873"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501.1</w:t>
            </w:r>
          </w:p>
        </w:tc>
        <w:tc>
          <w:tcPr>
            <w:tcW w:w="873"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505.9</w:t>
            </w:r>
          </w:p>
        </w:tc>
        <w:tc>
          <w:tcPr>
            <w:tcW w:w="873"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514.4</w:t>
            </w:r>
          </w:p>
        </w:tc>
        <w:tc>
          <w:tcPr>
            <w:tcW w:w="873"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526.0</w:t>
            </w:r>
          </w:p>
        </w:tc>
        <w:tc>
          <w:tcPr>
            <w:tcW w:w="873"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531.2</w:t>
            </w:r>
          </w:p>
        </w:tc>
      </w:tr>
      <w:tr w:rsidR="00965D85" w:rsidRPr="00E22AD9" w:rsidTr="008B46DF">
        <w:tc>
          <w:tcPr>
            <w:tcW w:w="3402" w:type="dxa"/>
            <w:tcBorders>
              <w:top w:val="nil"/>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Sale of goods</w:t>
            </w:r>
          </w:p>
        </w:tc>
        <w:tc>
          <w:tcPr>
            <w:tcW w:w="873"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68.6</w:t>
            </w:r>
          </w:p>
        </w:tc>
        <w:tc>
          <w:tcPr>
            <w:tcW w:w="873"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68.6</w:t>
            </w:r>
          </w:p>
        </w:tc>
        <w:tc>
          <w:tcPr>
            <w:tcW w:w="873"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67.9</w:t>
            </w:r>
          </w:p>
        </w:tc>
        <w:tc>
          <w:tcPr>
            <w:tcW w:w="873"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68.7</w:t>
            </w:r>
          </w:p>
        </w:tc>
        <w:tc>
          <w:tcPr>
            <w:tcW w:w="873"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69.4</w:t>
            </w:r>
          </w:p>
        </w:tc>
      </w:tr>
      <w:tr w:rsidR="00965D85" w:rsidRPr="00E22AD9" w:rsidTr="008B46DF">
        <w:tc>
          <w:tcPr>
            <w:tcW w:w="3402" w:type="dxa"/>
            <w:tcBorders>
              <w:top w:val="nil"/>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Provision of services</w:t>
            </w:r>
          </w:p>
        </w:tc>
        <w:tc>
          <w:tcPr>
            <w:tcW w:w="873"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4 114.0</w:t>
            </w:r>
          </w:p>
        </w:tc>
        <w:tc>
          <w:tcPr>
            <w:tcW w:w="873"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4 138.3</w:t>
            </w:r>
          </w:p>
        </w:tc>
        <w:tc>
          <w:tcPr>
            <w:tcW w:w="873"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4 087.2</w:t>
            </w:r>
          </w:p>
        </w:tc>
        <w:tc>
          <w:tcPr>
            <w:tcW w:w="873"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4 122.0</w:t>
            </w:r>
          </w:p>
        </w:tc>
        <w:tc>
          <w:tcPr>
            <w:tcW w:w="873"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4 133.9</w:t>
            </w:r>
          </w:p>
        </w:tc>
      </w:tr>
      <w:tr w:rsidR="00965D85" w:rsidRPr="00E22AD9" w:rsidTr="008B46DF">
        <w:tc>
          <w:tcPr>
            <w:tcW w:w="3402" w:type="dxa"/>
            <w:tcBorders>
              <w:top w:val="nil"/>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Rental</w:t>
            </w:r>
          </w:p>
        </w:tc>
        <w:tc>
          <w:tcPr>
            <w:tcW w:w="873"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59.4</w:t>
            </w:r>
          </w:p>
        </w:tc>
        <w:tc>
          <w:tcPr>
            <w:tcW w:w="873"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59.7</w:t>
            </w:r>
          </w:p>
        </w:tc>
        <w:tc>
          <w:tcPr>
            <w:tcW w:w="873"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59.7</w:t>
            </w:r>
          </w:p>
        </w:tc>
        <w:tc>
          <w:tcPr>
            <w:tcW w:w="873"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59.7</w:t>
            </w:r>
          </w:p>
        </w:tc>
        <w:tc>
          <w:tcPr>
            <w:tcW w:w="873"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59.7</w:t>
            </w:r>
          </w:p>
        </w:tc>
      </w:tr>
      <w:tr w:rsidR="00965D85" w:rsidRPr="00E22AD9" w:rsidTr="008B46DF">
        <w:tc>
          <w:tcPr>
            <w:tcW w:w="3402" w:type="dxa"/>
            <w:tcBorders>
              <w:top w:val="nil"/>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Refunds and reimbursements</w:t>
            </w:r>
          </w:p>
        </w:tc>
        <w:tc>
          <w:tcPr>
            <w:tcW w:w="873"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55.5</w:t>
            </w:r>
          </w:p>
        </w:tc>
        <w:tc>
          <w:tcPr>
            <w:tcW w:w="873"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55.5</w:t>
            </w:r>
          </w:p>
        </w:tc>
        <w:tc>
          <w:tcPr>
            <w:tcW w:w="873"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55.5</w:t>
            </w:r>
          </w:p>
        </w:tc>
        <w:tc>
          <w:tcPr>
            <w:tcW w:w="873"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55.5</w:t>
            </w:r>
          </w:p>
        </w:tc>
        <w:tc>
          <w:tcPr>
            <w:tcW w:w="873"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55.5</w:t>
            </w:r>
          </w:p>
        </w:tc>
      </w:tr>
      <w:tr w:rsidR="00965D85" w:rsidRPr="00E22AD9" w:rsidTr="008B46DF">
        <w:tc>
          <w:tcPr>
            <w:tcW w:w="3402"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Inter</w:t>
            </w:r>
            <w:r>
              <w:rPr>
                <w:rFonts w:ascii="Calibri" w:eastAsiaTheme="minorEastAsia" w:hAnsi="Calibri" w:cs="Calibri"/>
                <w:color w:val="000000"/>
                <w:sz w:val="20"/>
                <w:lang w:eastAsia="en-AU"/>
              </w:rPr>
              <w:noBreakHyphen/>
            </w:r>
            <w:r w:rsidRPr="00E22AD9">
              <w:rPr>
                <w:rFonts w:ascii="Calibri" w:eastAsiaTheme="minorEastAsia" w:hAnsi="Calibri" w:cs="Calibri"/>
                <w:color w:val="000000"/>
                <w:sz w:val="20"/>
                <w:lang w:eastAsia="en-AU"/>
              </w:rPr>
              <w:t>sector capital asset charge</w:t>
            </w:r>
          </w:p>
        </w:tc>
        <w:tc>
          <w:tcPr>
            <w:tcW w:w="873"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1 751.8</w:t>
            </w:r>
          </w:p>
        </w:tc>
        <w:tc>
          <w:tcPr>
            <w:tcW w:w="873"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1 743.5</w:t>
            </w:r>
          </w:p>
        </w:tc>
        <w:tc>
          <w:tcPr>
            <w:tcW w:w="873"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1 900.2</w:t>
            </w:r>
          </w:p>
        </w:tc>
        <w:tc>
          <w:tcPr>
            <w:tcW w:w="873"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1 949.6</w:t>
            </w:r>
          </w:p>
        </w:tc>
        <w:tc>
          <w:tcPr>
            <w:tcW w:w="873"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1 971.6</w:t>
            </w:r>
          </w:p>
        </w:tc>
      </w:tr>
      <w:tr w:rsidR="00965D85" w:rsidRPr="00E22AD9" w:rsidTr="008B46DF">
        <w:tc>
          <w:tcPr>
            <w:tcW w:w="3402" w:type="dxa"/>
            <w:tcBorders>
              <w:top w:val="single" w:sz="6" w:space="0" w:color="000000"/>
              <w:left w:val="nil"/>
              <w:bottom w:val="single" w:sz="12" w:space="0" w:color="000000"/>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Total sales of goods and services</w:t>
            </w:r>
          </w:p>
        </w:tc>
        <w:tc>
          <w:tcPr>
            <w:tcW w:w="873" w:type="dxa"/>
            <w:tcBorders>
              <w:top w:val="single" w:sz="6" w:space="0" w:color="000000"/>
              <w:left w:val="nil"/>
              <w:bottom w:val="single" w:sz="12"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6 779.1</w:t>
            </w:r>
          </w:p>
        </w:tc>
        <w:tc>
          <w:tcPr>
            <w:tcW w:w="873" w:type="dxa"/>
            <w:tcBorders>
              <w:top w:val="single" w:sz="6" w:space="0" w:color="000000"/>
              <w:left w:val="nil"/>
              <w:bottom w:val="single" w:sz="12"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6 809.1</w:t>
            </w:r>
          </w:p>
        </w:tc>
        <w:tc>
          <w:tcPr>
            <w:tcW w:w="873" w:type="dxa"/>
            <w:tcBorders>
              <w:top w:val="single" w:sz="6" w:space="0" w:color="000000"/>
              <w:left w:val="nil"/>
              <w:bottom w:val="single" w:sz="12"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6 897.1</w:t>
            </w:r>
          </w:p>
        </w:tc>
        <w:tc>
          <w:tcPr>
            <w:tcW w:w="873" w:type="dxa"/>
            <w:tcBorders>
              <w:top w:val="single" w:sz="6" w:space="0" w:color="000000"/>
              <w:left w:val="nil"/>
              <w:bottom w:val="single" w:sz="12"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6 969.4</w:t>
            </w:r>
          </w:p>
        </w:tc>
        <w:tc>
          <w:tcPr>
            <w:tcW w:w="873" w:type="dxa"/>
            <w:tcBorders>
              <w:top w:val="single" w:sz="6" w:space="0" w:color="000000"/>
              <w:left w:val="nil"/>
              <w:bottom w:val="single" w:sz="12"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7 020.9</w:t>
            </w:r>
          </w:p>
        </w:tc>
      </w:tr>
    </w:tbl>
    <w:p w:rsidR="00965D85" w:rsidRDefault="00965D85" w:rsidP="008B46DF">
      <w:pPr>
        <w:rPr>
          <w:lang w:eastAsia="en-AU"/>
        </w:rPr>
      </w:pPr>
    </w:p>
    <w:p w:rsidR="00965D85" w:rsidRDefault="00965D85" w:rsidP="008B46DF">
      <w:pPr>
        <w:rPr>
          <w:lang w:eastAsia="en-AU"/>
        </w:rPr>
      </w:pPr>
    </w:p>
    <w:p w:rsidR="00965D85" w:rsidRDefault="00965D85" w:rsidP="008B46DF">
      <w:pPr>
        <w:pStyle w:val="Heading2Notes"/>
        <w:rPr>
          <w:rFonts w:ascii="Times New Roman" w:hAnsi="Times New Roman"/>
          <w:sz w:val="20"/>
          <w:lang w:eastAsia="en-AU"/>
        </w:rPr>
      </w:pPr>
      <w:bookmarkStart w:id="53" w:name="_Toc436138911"/>
      <w:r w:rsidRPr="003878BE">
        <w:rPr>
          <w:lang w:eastAsia="en-AU"/>
        </w:rPr>
        <w:t xml:space="preserve">Note 5: </w:t>
      </w:r>
      <w:r w:rsidRPr="003878BE">
        <w:rPr>
          <w:lang w:eastAsia="en-AU"/>
        </w:rPr>
        <w:tab/>
        <w:t>Grant revenue</w:t>
      </w:r>
      <w:bookmarkEnd w:id="53"/>
    </w:p>
    <w:tbl>
      <w:tblPr>
        <w:tblW w:w="7767" w:type="dxa"/>
        <w:tblInd w:w="28" w:type="dxa"/>
        <w:tblLayout w:type="fixed"/>
        <w:tblCellMar>
          <w:left w:w="28" w:type="dxa"/>
          <w:right w:w="28" w:type="dxa"/>
        </w:tblCellMar>
        <w:tblLook w:val="0000" w:firstRow="0" w:lastRow="0" w:firstColumn="0" w:lastColumn="0" w:noHBand="0" w:noVBand="0"/>
      </w:tblPr>
      <w:tblGrid>
        <w:gridCol w:w="3402"/>
        <w:gridCol w:w="873"/>
        <w:gridCol w:w="873"/>
        <w:gridCol w:w="873"/>
        <w:gridCol w:w="873"/>
        <w:gridCol w:w="873"/>
      </w:tblGrid>
      <w:tr w:rsidR="00965D85" w:rsidRPr="00E22AD9" w:rsidTr="008B46DF">
        <w:trPr>
          <w:tblHeader/>
        </w:trPr>
        <w:tc>
          <w:tcPr>
            <w:tcW w:w="7767" w:type="dxa"/>
            <w:gridSpan w:val="6"/>
            <w:tcBorders>
              <w:top w:val="nil"/>
              <w:left w:val="nil"/>
              <w:bottom w:val="nil"/>
              <w:right w:val="nil"/>
            </w:tcBorders>
          </w:tcPr>
          <w:p w:rsidR="00965D85" w:rsidRPr="00E22AD9" w:rsidRDefault="00965D85" w:rsidP="008B46DF">
            <w:pPr>
              <w:pStyle w:val="million"/>
              <w:rPr>
                <w:rFonts w:eastAsiaTheme="minorEastAsia" w:cs="Calibri"/>
                <w:iCs/>
                <w:color w:val="000000"/>
                <w:sz w:val="20"/>
                <w:lang w:eastAsia="en-AU"/>
              </w:rPr>
            </w:pPr>
            <w:r w:rsidRPr="00E22AD9">
              <w:rPr>
                <w:rFonts w:eastAsiaTheme="minorEastAsia"/>
                <w:lang w:eastAsia="en-AU"/>
              </w:rPr>
              <w:t>($ million)</w:t>
            </w:r>
          </w:p>
        </w:tc>
      </w:tr>
      <w:tr w:rsidR="00965D85" w:rsidRPr="00E22AD9" w:rsidTr="008B46DF">
        <w:trPr>
          <w:trHeight w:val="488"/>
          <w:tblHeader/>
        </w:trPr>
        <w:tc>
          <w:tcPr>
            <w:tcW w:w="3402" w:type="dxa"/>
            <w:tcBorders>
              <w:top w:val="nil"/>
              <w:left w:val="nil"/>
              <w:right w:val="nil"/>
            </w:tcBorders>
            <w:shd w:val="solid" w:color="000000" w:fill="auto"/>
          </w:tcPr>
          <w:p w:rsidR="00965D85" w:rsidRPr="00E22AD9" w:rsidRDefault="00965D85" w:rsidP="008B46DF">
            <w:pPr>
              <w:autoSpaceDE w:val="0"/>
              <w:autoSpaceDN w:val="0"/>
              <w:adjustRightInd w:val="0"/>
              <w:spacing w:after="0"/>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 xml:space="preserve"> </w:t>
            </w:r>
          </w:p>
          <w:p w:rsidR="00965D85" w:rsidRPr="00E22AD9" w:rsidRDefault="00965D85" w:rsidP="008B46DF">
            <w:pPr>
              <w:autoSpaceDE w:val="0"/>
              <w:autoSpaceDN w:val="0"/>
              <w:adjustRightInd w:val="0"/>
              <w:spacing w:after="0"/>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 xml:space="preserve"> </w:t>
            </w:r>
          </w:p>
        </w:tc>
        <w:tc>
          <w:tcPr>
            <w:tcW w:w="873" w:type="dxa"/>
            <w:tcBorders>
              <w:top w:val="nil"/>
              <w:left w:val="nil"/>
              <w:right w:val="nil"/>
            </w:tcBorders>
            <w:shd w:val="solid" w:color="000000" w:fill="auto"/>
          </w:tcPr>
          <w:p w:rsidR="00965D85" w:rsidRPr="00E22AD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E22AD9">
              <w:rPr>
                <w:rFonts w:ascii="Calibri" w:eastAsiaTheme="minorEastAsia" w:hAnsi="Calibri" w:cs="Calibri"/>
                <w:i/>
                <w:iCs/>
                <w:color w:val="FFFFFF"/>
                <w:sz w:val="20"/>
                <w:lang w:eastAsia="en-AU"/>
              </w:rPr>
              <w:t>2015</w:t>
            </w:r>
            <w:r>
              <w:rPr>
                <w:rFonts w:ascii="Calibri" w:eastAsiaTheme="minorEastAsia" w:hAnsi="Calibri" w:cs="Calibri"/>
                <w:i/>
                <w:iCs/>
                <w:color w:val="FFFFFF"/>
                <w:sz w:val="20"/>
                <w:lang w:eastAsia="en-AU"/>
              </w:rPr>
              <w:noBreakHyphen/>
            </w:r>
            <w:r w:rsidRPr="00E22AD9">
              <w:rPr>
                <w:rFonts w:ascii="Calibri" w:eastAsiaTheme="minorEastAsia" w:hAnsi="Calibri" w:cs="Calibri"/>
                <w:i/>
                <w:iCs/>
                <w:color w:val="FFFFFF"/>
                <w:sz w:val="20"/>
                <w:lang w:eastAsia="en-AU"/>
              </w:rPr>
              <w:t>16</w:t>
            </w:r>
          </w:p>
          <w:p w:rsidR="00965D85" w:rsidRPr="00E22AD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E22AD9">
              <w:rPr>
                <w:rFonts w:ascii="Calibri" w:eastAsiaTheme="minorEastAsia" w:hAnsi="Calibri" w:cs="Calibri"/>
                <w:i/>
                <w:iCs/>
                <w:color w:val="FFFFFF"/>
                <w:sz w:val="20"/>
                <w:lang w:eastAsia="en-AU"/>
              </w:rPr>
              <w:t>budget</w:t>
            </w:r>
          </w:p>
        </w:tc>
        <w:tc>
          <w:tcPr>
            <w:tcW w:w="873" w:type="dxa"/>
            <w:tcBorders>
              <w:top w:val="nil"/>
              <w:left w:val="nil"/>
              <w:right w:val="nil"/>
            </w:tcBorders>
            <w:shd w:val="solid" w:color="000000" w:fill="auto"/>
          </w:tcPr>
          <w:p w:rsidR="00965D85" w:rsidRPr="00E22AD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E22AD9">
              <w:rPr>
                <w:rFonts w:ascii="Calibri" w:eastAsiaTheme="minorEastAsia" w:hAnsi="Calibri" w:cs="Calibri"/>
                <w:i/>
                <w:iCs/>
                <w:color w:val="FFFFFF"/>
                <w:sz w:val="20"/>
                <w:lang w:eastAsia="en-AU"/>
              </w:rPr>
              <w:t>2015</w:t>
            </w:r>
            <w:r>
              <w:rPr>
                <w:rFonts w:ascii="Calibri" w:eastAsiaTheme="minorEastAsia" w:hAnsi="Calibri" w:cs="Calibri"/>
                <w:i/>
                <w:iCs/>
                <w:color w:val="FFFFFF"/>
                <w:sz w:val="20"/>
                <w:lang w:eastAsia="en-AU"/>
              </w:rPr>
              <w:noBreakHyphen/>
            </w:r>
            <w:r w:rsidRPr="00E22AD9">
              <w:rPr>
                <w:rFonts w:ascii="Calibri" w:eastAsiaTheme="minorEastAsia" w:hAnsi="Calibri" w:cs="Calibri"/>
                <w:i/>
                <w:iCs/>
                <w:color w:val="FFFFFF"/>
                <w:sz w:val="20"/>
                <w:lang w:eastAsia="en-AU"/>
              </w:rPr>
              <w:t>16</w:t>
            </w:r>
          </w:p>
          <w:p w:rsidR="00965D85" w:rsidRPr="00E22AD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E22AD9">
              <w:rPr>
                <w:rFonts w:ascii="Calibri" w:eastAsiaTheme="minorEastAsia" w:hAnsi="Calibri" w:cs="Calibri"/>
                <w:i/>
                <w:iCs/>
                <w:color w:val="FFFFFF"/>
                <w:sz w:val="20"/>
                <w:lang w:eastAsia="en-AU"/>
              </w:rPr>
              <w:t>revised</w:t>
            </w:r>
          </w:p>
        </w:tc>
        <w:tc>
          <w:tcPr>
            <w:tcW w:w="873" w:type="dxa"/>
            <w:tcBorders>
              <w:top w:val="nil"/>
              <w:left w:val="nil"/>
              <w:right w:val="nil"/>
            </w:tcBorders>
            <w:shd w:val="solid" w:color="000000" w:fill="auto"/>
          </w:tcPr>
          <w:p w:rsidR="00965D85" w:rsidRPr="00E22AD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E22AD9">
              <w:rPr>
                <w:rFonts w:ascii="Calibri" w:eastAsiaTheme="minorEastAsia" w:hAnsi="Calibri" w:cs="Calibri"/>
                <w:i/>
                <w:iCs/>
                <w:color w:val="FFFFFF"/>
                <w:sz w:val="20"/>
                <w:lang w:eastAsia="en-AU"/>
              </w:rPr>
              <w:t>2016</w:t>
            </w:r>
            <w:r>
              <w:rPr>
                <w:rFonts w:ascii="Calibri" w:eastAsiaTheme="minorEastAsia" w:hAnsi="Calibri" w:cs="Calibri"/>
                <w:i/>
                <w:iCs/>
                <w:color w:val="FFFFFF"/>
                <w:sz w:val="20"/>
                <w:lang w:eastAsia="en-AU"/>
              </w:rPr>
              <w:noBreakHyphen/>
            </w:r>
            <w:r w:rsidRPr="00E22AD9">
              <w:rPr>
                <w:rFonts w:ascii="Calibri" w:eastAsiaTheme="minorEastAsia" w:hAnsi="Calibri" w:cs="Calibri"/>
                <w:i/>
                <w:iCs/>
                <w:color w:val="FFFFFF"/>
                <w:sz w:val="20"/>
                <w:lang w:eastAsia="en-AU"/>
              </w:rPr>
              <w:t>17</w:t>
            </w:r>
          </w:p>
          <w:p w:rsidR="00965D85" w:rsidRPr="00E22AD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E22AD9">
              <w:rPr>
                <w:rFonts w:ascii="Calibri" w:eastAsiaTheme="minorEastAsia" w:hAnsi="Calibri" w:cs="Calibri"/>
                <w:i/>
                <w:iCs/>
                <w:color w:val="FFFFFF"/>
                <w:sz w:val="20"/>
                <w:lang w:eastAsia="en-AU"/>
              </w:rPr>
              <w:t>estimate</w:t>
            </w:r>
          </w:p>
        </w:tc>
        <w:tc>
          <w:tcPr>
            <w:tcW w:w="873" w:type="dxa"/>
            <w:tcBorders>
              <w:top w:val="nil"/>
              <w:left w:val="nil"/>
              <w:right w:val="nil"/>
            </w:tcBorders>
            <w:shd w:val="solid" w:color="000000" w:fill="auto"/>
          </w:tcPr>
          <w:p w:rsidR="00965D85" w:rsidRPr="00E22AD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E22AD9">
              <w:rPr>
                <w:rFonts w:ascii="Calibri" w:eastAsiaTheme="minorEastAsia" w:hAnsi="Calibri" w:cs="Calibri"/>
                <w:i/>
                <w:iCs/>
                <w:color w:val="FFFFFF"/>
                <w:sz w:val="20"/>
                <w:lang w:eastAsia="en-AU"/>
              </w:rPr>
              <w:t>2017</w:t>
            </w:r>
            <w:r>
              <w:rPr>
                <w:rFonts w:ascii="Calibri" w:eastAsiaTheme="minorEastAsia" w:hAnsi="Calibri" w:cs="Calibri"/>
                <w:i/>
                <w:iCs/>
                <w:color w:val="FFFFFF"/>
                <w:sz w:val="20"/>
                <w:lang w:eastAsia="en-AU"/>
              </w:rPr>
              <w:noBreakHyphen/>
            </w:r>
            <w:r w:rsidRPr="00E22AD9">
              <w:rPr>
                <w:rFonts w:ascii="Calibri" w:eastAsiaTheme="minorEastAsia" w:hAnsi="Calibri" w:cs="Calibri"/>
                <w:i/>
                <w:iCs/>
                <w:color w:val="FFFFFF"/>
                <w:sz w:val="20"/>
                <w:lang w:eastAsia="en-AU"/>
              </w:rPr>
              <w:t>18</w:t>
            </w:r>
          </w:p>
          <w:p w:rsidR="00965D85" w:rsidRPr="00E22AD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E22AD9">
              <w:rPr>
                <w:rFonts w:ascii="Calibri" w:eastAsiaTheme="minorEastAsia" w:hAnsi="Calibri" w:cs="Calibri"/>
                <w:i/>
                <w:iCs/>
                <w:color w:val="FFFFFF"/>
                <w:sz w:val="20"/>
                <w:lang w:eastAsia="en-AU"/>
              </w:rPr>
              <w:t>estimate</w:t>
            </w:r>
          </w:p>
        </w:tc>
        <w:tc>
          <w:tcPr>
            <w:tcW w:w="873" w:type="dxa"/>
            <w:tcBorders>
              <w:top w:val="nil"/>
              <w:left w:val="nil"/>
              <w:right w:val="nil"/>
            </w:tcBorders>
            <w:shd w:val="solid" w:color="000000" w:fill="auto"/>
          </w:tcPr>
          <w:p w:rsidR="00965D85" w:rsidRPr="00E22AD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E22AD9">
              <w:rPr>
                <w:rFonts w:ascii="Calibri" w:eastAsiaTheme="minorEastAsia" w:hAnsi="Calibri" w:cs="Calibri"/>
                <w:i/>
                <w:iCs/>
                <w:color w:val="FFFFFF"/>
                <w:sz w:val="20"/>
                <w:lang w:eastAsia="en-AU"/>
              </w:rPr>
              <w:t>2018</w:t>
            </w:r>
            <w:r>
              <w:rPr>
                <w:rFonts w:ascii="Calibri" w:eastAsiaTheme="minorEastAsia" w:hAnsi="Calibri" w:cs="Calibri"/>
                <w:i/>
                <w:iCs/>
                <w:color w:val="FFFFFF"/>
                <w:sz w:val="20"/>
                <w:lang w:eastAsia="en-AU"/>
              </w:rPr>
              <w:noBreakHyphen/>
            </w:r>
            <w:r w:rsidRPr="00E22AD9">
              <w:rPr>
                <w:rFonts w:ascii="Calibri" w:eastAsiaTheme="minorEastAsia" w:hAnsi="Calibri" w:cs="Calibri"/>
                <w:i/>
                <w:iCs/>
                <w:color w:val="FFFFFF"/>
                <w:sz w:val="20"/>
                <w:lang w:eastAsia="en-AU"/>
              </w:rPr>
              <w:t>19</w:t>
            </w:r>
          </w:p>
          <w:p w:rsidR="00965D85" w:rsidRPr="00E22AD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E22AD9">
              <w:rPr>
                <w:rFonts w:ascii="Calibri" w:eastAsiaTheme="minorEastAsia" w:hAnsi="Calibri" w:cs="Calibri"/>
                <w:i/>
                <w:iCs/>
                <w:color w:val="FFFFFF"/>
                <w:sz w:val="20"/>
                <w:lang w:eastAsia="en-AU"/>
              </w:rPr>
              <w:t>estimate</w:t>
            </w:r>
          </w:p>
        </w:tc>
      </w:tr>
      <w:tr w:rsidR="00965D85" w:rsidRPr="00E22AD9" w:rsidTr="008B46DF">
        <w:tc>
          <w:tcPr>
            <w:tcW w:w="3402" w:type="dxa"/>
            <w:tcBorders>
              <w:top w:val="nil"/>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General purpose grants</w:t>
            </w:r>
          </w:p>
        </w:tc>
        <w:tc>
          <w:tcPr>
            <w:tcW w:w="873"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12 769.9</w:t>
            </w:r>
          </w:p>
        </w:tc>
        <w:tc>
          <w:tcPr>
            <w:tcW w:w="873"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13 013.3</w:t>
            </w:r>
          </w:p>
        </w:tc>
        <w:tc>
          <w:tcPr>
            <w:tcW w:w="873"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13 659.8</w:t>
            </w:r>
          </w:p>
        </w:tc>
        <w:tc>
          <w:tcPr>
            <w:tcW w:w="873"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14 509.1</w:t>
            </w:r>
          </w:p>
        </w:tc>
        <w:tc>
          <w:tcPr>
            <w:tcW w:w="873"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15 901.3</w:t>
            </w:r>
          </w:p>
        </w:tc>
      </w:tr>
      <w:tr w:rsidR="00965D85" w:rsidRPr="00E22AD9" w:rsidTr="008B46DF">
        <w:tc>
          <w:tcPr>
            <w:tcW w:w="3402" w:type="dxa"/>
            <w:tcBorders>
              <w:top w:val="nil"/>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Specific purpose grants for on</w:t>
            </w:r>
            <w:r>
              <w:rPr>
                <w:rFonts w:ascii="Calibri" w:eastAsiaTheme="minorEastAsia" w:hAnsi="Calibri" w:cs="Calibri"/>
                <w:color w:val="000000"/>
                <w:sz w:val="20"/>
                <w:lang w:eastAsia="en-AU"/>
              </w:rPr>
              <w:noBreakHyphen/>
            </w:r>
            <w:r w:rsidRPr="00E22AD9">
              <w:rPr>
                <w:rFonts w:ascii="Calibri" w:eastAsiaTheme="minorEastAsia" w:hAnsi="Calibri" w:cs="Calibri"/>
                <w:color w:val="000000"/>
                <w:sz w:val="20"/>
                <w:lang w:eastAsia="en-AU"/>
              </w:rPr>
              <w:t>passing</w:t>
            </w:r>
          </w:p>
        </w:tc>
        <w:tc>
          <w:tcPr>
            <w:tcW w:w="873"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3 388.7</w:t>
            </w:r>
          </w:p>
        </w:tc>
        <w:tc>
          <w:tcPr>
            <w:tcW w:w="873"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3 111.0</w:t>
            </w:r>
          </w:p>
        </w:tc>
        <w:tc>
          <w:tcPr>
            <w:tcW w:w="873"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3 584.1</w:t>
            </w:r>
          </w:p>
        </w:tc>
        <w:tc>
          <w:tcPr>
            <w:tcW w:w="873"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3 775.5</w:t>
            </w:r>
          </w:p>
        </w:tc>
        <w:tc>
          <w:tcPr>
            <w:tcW w:w="873"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3 944.5</w:t>
            </w:r>
          </w:p>
        </w:tc>
      </w:tr>
      <w:tr w:rsidR="00965D85" w:rsidRPr="00E22AD9" w:rsidTr="008B46DF">
        <w:tc>
          <w:tcPr>
            <w:tcW w:w="3402"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Grants for specific purposes</w:t>
            </w:r>
          </w:p>
        </w:tc>
        <w:tc>
          <w:tcPr>
            <w:tcW w:w="873"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9 269.5</w:t>
            </w:r>
          </w:p>
        </w:tc>
        <w:tc>
          <w:tcPr>
            <w:tcW w:w="873"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9 188.9</w:t>
            </w:r>
          </w:p>
        </w:tc>
        <w:tc>
          <w:tcPr>
            <w:tcW w:w="873"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8 621.8</w:t>
            </w:r>
          </w:p>
        </w:tc>
        <w:tc>
          <w:tcPr>
            <w:tcW w:w="873"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9 406.9</w:t>
            </w:r>
          </w:p>
        </w:tc>
        <w:tc>
          <w:tcPr>
            <w:tcW w:w="873"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8 390.9</w:t>
            </w:r>
          </w:p>
        </w:tc>
      </w:tr>
      <w:tr w:rsidR="00965D85" w:rsidRPr="00E22AD9" w:rsidTr="008B46DF">
        <w:tc>
          <w:tcPr>
            <w:tcW w:w="3402" w:type="dxa"/>
            <w:tcBorders>
              <w:top w:val="single" w:sz="6" w:space="0" w:color="000000"/>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Total</w:t>
            </w:r>
          </w:p>
        </w:tc>
        <w:tc>
          <w:tcPr>
            <w:tcW w:w="873" w:type="dxa"/>
            <w:tcBorders>
              <w:top w:val="single" w:sz="6" w:space="0" w:color="000000"/>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25 428.1</w:t>
            </w:r>
          </w:p>
        </w:tc>
        <w:tc>
          <w:tcPr>
            <w:tcW w:w="873" w:type="dxa"/>
            <w:tcBorders>
              <w:top w:val="single" w:sz="6" w:space="0" w:color="000000"/>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25 313.3</w:t>
            </w:r>
          </w:p>
        </w:tc>
        <w:tc>
          <w:tcPr>
            <w:tcW w:w="873" w:type="dxa"/>
            <w:tcBorders>
              <w:top w:val="single" w:sz="6" w:space="0" w:color="000000"/>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25 865.7</w:t>
            </w:r>
          </w:p>
        </w:tc>
        <w:tc>
          <w:tcPr>
            <w:tcW w:w="873" w:type="dxa"/>
            <w:tcBorders>
              <w:top w:val="single" w:sz="6" w:space="0" w:color="000000"/>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27 691.5</w:t>
            </w:r>
          </w:p>
        </w:tc>
        <w:tc>
          <w:tcPr>
            <w:tcW w:w="873" w:type="dxa"/>
            <w:tcBorders>
              <w:top w:val="single" w:sz="6" w:space="0" w:color="000000"/>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28 236.7</w:t>
            </w:r>
          </w:p>
        </w:tc>
      </w:tr>
      <w:tr w:rsidR="00965D85" w:rsidRPr="00E22AD9" w:rsidTr="008B46DF">
        <w:tc>
          <w:tcPr>
            <w:tcW w:w="3402"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Other contributions and grants</w:t>
            </w:r>
          </w:p>
        </w:tc>
        <w:tc>
          <w:tcPr>
            <w:tcW w:w="873"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151.4</w:t>
            </w:r>
          </w:p>
        </w:tc>
        <w:tc>
          <w:tcPr>
            <w:tcW w:w="873"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141.3</w:t>
            </w:r>
          </w:p>
        </w:tc>
        <w:tc>
          <w:tcPr>
            <w:tcW w:w="873"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144.0</w:t>
            </w:r>
          </w:p>
        </w:tc>
        <w:tc>
          <w:tcPr>
            <w:tcW w:w="873"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130.2</w:t>
            </w:r>
          </w:p>
        </w:tc>
        <w:tc>
          <w:tcPr>
            <w:tcW w:w="873"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121.5</w:t>
            </w:r>
          </w:p>
        </w:tc>
      </w:tr>
      <w:tr w:rsidR="00965D85" w:rsidRPr="00E22AD9" w:rsidTr="008B46DF">
        <w:tc>
          <w:tcPr>
            <w:tcW w:w="3402" w:type="dxa"/>
            <w:tcBorders>
              <w:top w:val="single" w:sz="6" w:space="0" w:color="000000"/>
              <w:left w:val="nil"/>
              <w:bottom w:val="single" w:sz="12" w:space="0" w:color="000000"/>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Total grant revenue</w:t>
            </w:r>
          </w:p>
        </w:tc>
        <w:tc>
          <w:tcPr>
            <w:tcW w:w="873" w:type="dxa"/>
            <w:tcBorders>
              <w:top w:val="single" w:sz="6" w:space="0" w:color="000000"/>
              <w:left w:val="nil"/>
              <w:bottom w:val="single" w:sz="12"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25 579.5</w:t>
            </w:r>
          </w:p>
        </w:tc>
        <w:tc>
          <w:tcPr>
            <w:tcW w:w="873" w:type="dxa"/>
            <w:tcBorders>
              <w:top w:val="single" w:sz="6" w:space="0" w:color="000000"/>
              <w:left w:val="nil"/>
              <w:bottom w:val="single" w:sz="12"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25 454.6</w:t>
            </w:r>
          </w:p>
        </w:tc>
        <w:tc>
          <w:tcPr>
            <w:tcW w:w="873" w:type="dxa"/>
            <w:tcBorders>
              <w:top w:val="single" w:sz="6" w:space="0" w:color="000000"/>
              <w:left w:val="nil"/>
              <w:bottom w:val="single" w:sz="12"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26 009.6</w:t>
            </w:r>
          </w:p>
        </w:tc>
        <w:tc>
          <w:tcPr>
            <w:tcW w:w="873" w:type="dxa"/>
            <w:tcBorders>
              <w:top w:val="single" w:sz="6" w:space="0" w:color="000000"/>
              <w:left w:val="nil"/>
              <w:bottom w:val="single" w:sz="12"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27 821.7</w:t>
            </w:r>
          </w:p>
        </w:tc>
        <w:tc>
          <w:tcPr>
            <w:tcW w:w="873" w:type="dxa"/>
            <w:tcBorders>
              <w:top w:val="single" w:sz="6" w:space="0" w:color="000000"/>
              <w:left w:val="nil"/>
              <w:bottom w:val="single" w:sz="12"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28 358.3</w:t>
            </w:r>
          </w:p>
        </w:tc>
      </w:tr>
    </w:tbl>
    <w:p w:rsidR="00965D85" w:rsidRDefault="00965D85" w:rsidP="008B46DF">
      <w:pPr>
        <w:rPr>
          <w:lang w:eastAsia="en-AU"/>
        </w:rPr>
      </w:pPr>
    </w:p>
    <w:p w:rsidR="00965D85" w:rsidRDefault="00965D85" w:rsidP="008B46DF">
      <w:pPr>
        <w:rPr>
          <w:lang w:eastAsia="en-AU"/>
        </w:rPr>
      </w:pPr>
    </w:p>
    <w:p w:rsidR="00965D85" w:rsidRDefault="00965D85" w:rsidP="008B46DF">
      <w:pPr>
        <w:pStyle w:val="Heading2Notes"/>
        <w:rPr>
          <w:rFonts w:ascii="Times New Roman" w:hAnsi="Times New Roman"/>
          <w:sz w:val="20"/>
          <w:lang w:eastAsia="en-AU"/>
        </w:rPr>
      </w:pPr>
      <w:bookmarkStart w:id="54" w:name="_Toc436138912"/>
      <w:r w:rsidRPr="003878BE">
        <w:rPr>
          <w:lang w:eastAsia="en-AU"/>
        </w:rPr>
        <w:t xml:space="preserve">Note 6: </w:t>
      </w:r>
      <w:r w:rsidRPr="003878BE">
        <w:rPr>
          <w:lang w:eastAsia="en-AU"/>
        </w:rPr>
        <w:tab/>
        <w:t>Other revenue</w:t>
      </w:r>
      <w:bookmarkEnd w:id="54"/>
    </w:p>
    <w:tbl>
      <w:tblPr>
        <w:tblW w:w="7767" w:type="dxa"/>
        <w:tblInd w:w="28" w:type="dxa"/>
        <w:tblLayout w:type="fixed"/>
        <w:tblCellMar>
          <w:left w:w="28" w:type="dxa"/>
          <w:right w:w="28" w:type="dxa"/>
        </w:tblCellMar>
        <w:tblLook w:val="0000" w:firstRow="0" w:lastRow="0" w:firstColumn="0" w:lastColumn="0" w:noHBand="0" w:noVBand="0"/>
      </w:tblPr>
      <w:tblGrid>
        <w:gridCol w:w="3402"/>
        <w:gridCol w:w="873"/>
        <w:gridCol w:w="873"/>
        <w:gridCol w:w="873"/>
        <w:gridCol w:w="873"/>
        <w:gridCol w:w="873"/>
      </w:tblGrid>
      <w:tr w:rsidR="00965D85" w:rsidRPr="00E22AD9" w:rsidTr="008B46DF">
        <w:trPr>
          <w:tblHeader/>
        </w:trPr>
        <w:tc>
          <w:tcPr>
            <w:tcW w:w="7767" w:type="dxa"/>
            <w:gridSpan w:val="6"/>
            <w:tcBorders>
              <w:top w:val="nil"/>
              <w:left w:val="nil"/>
              <w:bottom w:val="nil"/>
              <w:right w:val="nil"/>
            </w:tcBorders>
          </w:tcPr>
          <w:p w:rsidR="00965D85" w:rsidRPr="00E22AD9" w:rsidRDefault="00965D85" w:rsidP="008B46DF">
            <w:pPr>
              <w:pStyle w:val="million"/>
              <w:rPr>
                <w:rFonts w:eastAsiaTheme="minorEastAsia" w:cs="Calibri"/>
                <w:iCs/>
                <w:color w:val="000000"/>
                <w:sz w:val="20"/>
                <w:lang w:eastAsia="en-AU"/>
              </w:rPr>
            </w:pPr>
            <w:r w:rsidRPr="00E22AD9">
              <w:rPr>
                <w:rFonts w:eastAsiaTheme="minorEastAsia"/>
                <w:lang w:eastAsia="en-AU"/>
              </w:rPr>
              <w:t>($ million)</w:t>
            </w:r>
          </w:p>
        </w:tc>
      </w:tr>
      <w:tr w:rsidR="00965D85" w:rsidRPr="00E22AD9" w:rsidTr="008B46DF">
        <w:trPr>
          <w:trHeight w:val="488"/>
          <w:tblHeader/>
        </w:trPr>
        <w:tc>
          <w:tcPr>
            <w:tcW w:w="3402" w:type="dxa"/>
            <w:tcBorders>
              <w:top w:val="nil"/>
              <w:left w:val="nil"/>
              <w:right w:val="nil"/>
            </w:tcBorders>
            <w:shd w:val="solid" w:color="000000" w:fill="auto"/>
          </w:tcPr>
          <w:p w:rsidR="00965D85" w:rsidRPr="00E22AD9" w:rsidRDefault="00965D85" w:rsidP="008B46DF">
            <w:pPr>
              <w:autoSpaceDE w:val="0"/>
              <w:autoSpaceDN w:val="0"/>
              <w:adjustRightInd w:val="0"/>
              <w:spacing w:after="0"/>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 xml:space="preserve"> </w:t>
            </w:r>
          </w:p>
          <w:p w:rsidR="00965D85" w:rsidRPr="00E22AD9" w:rsidRDefault="00965D85" w:rsidP="008B46DF">
            <w:pPr>
              <w:autoSpaceDE w:val="0"/>
              <w:autoSpaceDN w:val="0"/>
              <w:adjustRightInd w:val="0"/>
              <w:spacing w:after="0"/>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 xml:space="preserve"> </w:t>
            </w:r>
          </w:p>
        </w:tc>
        <w:tc>
          <w:tcPr>
            <w:tcW w:w="873" w:type="dxa"/>
            <w:tcBorders>
              <w:top w:val="nil"/>
              <w:left w:val="nil"/>
              <w:right w:val="nil"/>
            </w:tcBorders>
            <w:shd w:val="solid" w:color="000000" w:fill="auto"/>
          </w:tcPr>
          <w:p w:rsidR="00965D85" w:rsidRPr="00E22AD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E22AD9">
              <w:rPr>
                <w:rFonts w:ascii="Calibri" w:eastAsiaTheme="minorEastAsia" w:hAnsi="Calibri" w:cs="Calibri"/>
                <w:i/>
                <w:iCs/>
                <w:color w:val="FFFFFF"/>
                <w:sz w:val="20"/>
                <w:lang w:eastAsia="en-AU"/>
              </w:rPr>
              <w:t>2015</w:t>
            </w:r>
            <w:r>
              <w:rPr>
                <w:rFonts w:ascii="Calibri" w:eastAsiaTheme="minorEastAsia" w:hAnsi="Calibri" w:cs="Calibri"/>
                <w:i/>
                <w:iCs/>
                <w:color w:val="FFFFFF"/>
                <w:sz w:val="20"/>
                <w:lang w:eastAsia="en-AU"/>
              </w:rPr>
              <w:noBreakHyphen/>
            </w:r>
            <w:r w:rsidRPr="00E22AD9">
              <w:rPr>
                <w:rFonts w:ascii="Calibri" w:eastAsiaTheme="minorEastAsia" w:hAnsi="Calibri" w:cs="Calibri"/>
                <w:i/>
                <w:iCs/>
                <w:color w:val="FFFFFF"/>
                <w:sz w:val="20"/>
                <w:lang w:eastAsia="en-AU"/>
              </w:rPr>
              <w:t>16</w:t>
            </w:r>
          </w:p>
          <w:p w:rsidR="00965D85" w:rsidRPr="00E22AD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E22AD9">
              <w:rPr>
                <w:rFonts w:ascii="Calibri" w:eastAsiaTheme="minorEastAsia" w:hAnsi="Calibri" w:cs="Calibri"/>
                <w:i/>
                <w:iCs/>
                <w:color w:val="FFFFFF"/>
                <w:sz w:val="20"/>
                <w:lang w:eastAsia="en-AU"/>
              </w:rPr>
              <w:t>budget</w:t>
            </w:r>
          </w:p>
        </w:tc>
        <w:tc>
          <w:tcPr>
            <w:tcW w:w="873" w:type="dxa"/>
            <w:tcBorders>
              <w:top w:val="nil"/>
              <w:left w:val="nil"/>
              <w:right w:val="nil"/>
            </w:tcBorders>
            <w:shd w:val="solid" w:color="000000" w:fill="auto"/>
          </w:tcPr>
          <w:p w:rsidR="00965D85" w:rsidRPr="00E22AD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E22AD9">
              <w:rPr>
                <w:rFonts w:ascii="Calibri" w:eastAsiaTheme="minorEastAsia" w:hAnsi="Calibri" w:cs="Calibri"/>
                <w:i/>
                <w:iCs/>
                <w:color w:val="FFFFFF"/>
                <w:sz w:val="20"/>
                <w:lang w:eastAsia="en-AU"/>
              </w:rPr>
              <w:t>2015</w:t>
            </w:r>
            <w:r>
              <w:rPr>
                <w:rFonts w:ascii="Calibri" w:eastAsiaTheme="minorEastAsia" w:hAnsi="Calibri" w:cs="Calibri"/>
                <w:i/>
                <w:iCs/>
                <w:color w:val="FFFFFF"/>
                <w:sz w:val="20"/>
                <w:lang w:eastAsia="en-AU"/>
              </w:rPr>
              <w:noBreakHyphen/>
            </w:r>
            <w:r w:rsidRPr="00E22AD9">
              <w:rPr>
                <w:rFonts w:ascii="Calibri" w:eastAsiaTheme="minorEastAsia" w:hAnsi="Calibri" w:cs="Calibri"/>
                <w:i/>
                <w:iCs/>
                <w:color w:val="FFFFFF"/>
                <w:sz w:val="20"/>
                <w:lang w:eastAsia="en-AU"/>
              </w:rPr>
              <w:t>16</w:t>
            </w:r>
          </w:p>
          <w:p w:rsidR="00965D85" w:rsidRPr="00E22AD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E22AD9">
              <w:rPr>
                <w:rFonts w:ascii="Calibri" w:eastAsiaTheme="minorEastAsia" w:hAnsi="Calibri" w:cs="Calibri"/>
                <w:i/>
                <w:iCs/>
                <w:color w:val="FFFFFF"/>
                <w:sz w:val="20"/>
                <w:lang w:eastAsia="en-AU"/>
              </w:rPr>
              <w:t>revised</w:t>
            </w:r>
          </w:p>
        </w:tc>
        <w:tc>
          <w:tcPr>
            <w:tcW w:w="873" w:type="dxa"/>
            <w:tcBorders>
              <w:top w:val="nil"/>
              <w:left w:val="nil"/>
              <w:right w:val="nil"/>
            </w:tcBorders>
            <w:shd w:val="solid" w:color="000000" w:fill="auto"/>
          </w:tcPr>
          <w:p w:rsidR="00965D85" w:rsidRPr="00E22AD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E22AD9">
              <w:rPr>
                <w:rFonts w:ascii="Calibri" w:eastAsiaTheme="minorEastAsia" w:hAnsi="Calibri" w:cs="Calibri"/>
                <w:i/>
                <w:iCs/>
                <w:color w:val="FFFFFF"/>
                <w:sz w:val="20"/>
                <w:lang w:eastAsia="en-AU"/>
              </w:rPr>
              <w:t>2016</w:t>
            </w:r>
            <w:r>
              <w:rPr>
                <w:rFonts w:ascii="Calibri" w:eastAsiaTheme="minorEastAsia" w:hAnsi="Calibri" w:cs="Calibri"/>
                <w:i/>
                <w:iCs/>
                <w:color w:val="FFFFFF"/>
                <w:sz w:val="20"/>
                <w:lang w:eastAsia="en-AU"/>
              </w:rPr>
              <w:noBreakHyphen/>
            </w:r>
            <w:r w:rsidRPr="00E22AD9">
              <w:rPr>
                <w:rFonts w:ascii="Calibri" w:eastAsiaTheme="minorEastAsia" w:hAnsi="Calibri" w:cs="Calibri"/>
                <w:i/>
                <w:iCs/>
                <w:color w:val="FFFFFF"/>
                <w:sz w:val="20"/>
                <w:lang w:eastAsia="en-AU"/>
              </w:rPr>
              <w:t>17</w:t>
            </w:r>
          </w:p>
          <w:p w:rsidR="00965D85" w:rsidRPr="00E22AD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E22AD9">
              <w:rPr>
                <w:rFonts w:ascii="Calibri" w:eastAsiaTheme="minorEastAsia" w:hAnsi="Calibri" w:cs="Calibri"/>
                <w:i/>
                <w:iCs/>
                <w:color w:val="FFFFFF"/>
                <w:sz w:val="20"/>
                <w:lang w:eastAsia="en-AU"/>
              </w:rPr>
              <w:t>estimate</w:t>
            </w:r>
          </w:p>
        </w:tc>
        <w:tc>
          <w:tcPr>
            <w:tcW w:w="873" w:type="dxa"/>
            <w:tcBorders>
              <w:top w:val="nil"/>
              <w:left w:val="nil"/>
              <w:right w:val="nil"/>
            </w:tcBorders>
            <w:shd w:val="solid" w:color="000000" w:fill="auto"/>
          </w:tcPr>
          <w:p w:rsidR="00965D85" w:rsidRPr="00E22AD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E22AD9">
              <w:rPr>
                <w:rFonts w:ascii="Calibri" w:eastAsiaTheme="minorEastAsia" w:hAnsi="Calibri" w:cs="Calibri"/>
                <w:i/>
                <w:iCs/>
                <w:color w:val="FFFFFF"/>
                <w:sz w:val="20"/>
                <w:lang w:eastAsia="en-AU"/>
              </w:rPr>
              <w:t>2017</w:t>
            </w:r>
            <w:r>
              <w:rPr>
                <w:rFonts w:ascii="Calibri" w:eastAsiaTheme="minorEastAsia" w:hAnsi="Calibri" w:cs="Calibri"/>
                <w:i/>
                <w:iCs/>
                <w:color w:val="FFFFFF"/>
                <w:sz w:val="20"/>
                <w:lang w:eastAsia="en-AU"/>
              </w:rPr>
              <w:noBreakHyphen/>
            </w:r>
            <w:r w:rsidRPr="00E22AD9">
              <w:rPr>
                <w:rFonts w:ascii="Calibri" w:eastAsiaTheme="minorEastAsia" w:hAnsi="Calibri" w:cs="Calibri"/>
                <w:i/>
                <w:iCs/>
                <w:color w:val="FFFFFF"/>
                <w:sz w:val="20"/>
                <w:lang w:eastAsia="en-AU"/>
              </w:rPr>
              <w:t>18</w:t>
            </w:r>
          </w:p>
          <w:p w:rsidR="00965D85" w:rsidRPr="00E22AD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E22AD9">
              <w:rPr>
                <w:rFonts w:ascii="Calibri" w:eastAsiaTheme="minorEastAsia" w:hAnsi="Calibri" w:cs="Calibri"/>
                <w:i/>
                <w:iCs/>
                <w:color w:val="FFFFFF"/>
                <w:sz w:val="20"/>
                <w:lang w:eastAsia="en-AU"/>
              </w:rPr>
              <w:t>estimate</w:t>
            </w:r>
          </w:p>
        </w:tc>
        <w:tc>
          <w:tcPr>
            <w:tcW w:w="873" w:type="dxa"/>
            <w:tcBorders>
              <w:top w:val="nil"/>
              <w:left w:val="nil"/>
              <w:right w:val="nil"/>
            </w:tcBorders>
            <w:shd w:val="solid" w:color="000000" w:fill="auto"/>
          </w:tcPr>
          <w:p w:rsidR="00965D85" w:rsidRPr="00E22AD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E22AD9">
              <w:rPr>
                <w:rFonts w:ascii="Calibri" w:eastAsiaTheme="minorEastAsia" w:hAnsi="Calibri" w:cs="Calibri"/>
                <w:i/>
                <w:iCs/>
                <w:color w:val="FFFFFF"/>
                <w:sz w:val="20"/>
                <w:lang w:eastAsia="en-AU"/>
              </w:rPr>
              <w:t>2018</w:t>
            </w:r>
            <w:r>
              <w:rPr>
                <w:rFonts w:ascii="Calibri" w:eastAsiaTheme="minorEastAsia" w:hAnsi="Calibri" w:cs="Calibri"/>
                <w:i/>
                <w:iCs/>
                <w:color w:val="FFFFFF"/>
                <w:sz w:val="20"/>
                <w:lang w:eastAsia="en-AU"/>
              </w:rPr>
              <w:noBreakHyphen/>
            </w:r>
            <w:r w:rsidRPr="00E22AD9">
              <w:rPr>
                <w:rFonts w:ascii="Calibri" w:eastAsiaTheme="minorEastAsia" w:hAnsi="Calibri" w:cs="Calibri"/>
                <w:i/>
                <w:iCs/>
                <w:color w:val="FFFFFF"/>
                <w:sz w:val="20"/>
                <w:lang w:eastAsia="en-AU"/>
              </w:rPr>
              <w:t>19</w:t>
            </w:r>
          </w:p>
          <w:p w:rsidR="00965D85" w:rsidRPr="00E22AD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E22AD9">
              <w:rPr>
                <w:rFonts w:ascii="Calibri" w:eastAsiaTheme="minorEastAsia" w:hAnsi="Calibri" w:cs="Calibri"/>
                <w:i/>
                <w:iCs/>
                <w:color w:val="FFFFFF"/>
                <w:sz w:val="20"/>
                <w:lang w:eastAsia="en-AU"/>
              </w:rPr>
              <w:t>estimate</w:t>
            </w:r>
          </w:p>
        </w:tc>
      </w:tr>
      <w:tr w:rsidR="00965D85" w:rsidRPr="00E22AD9" w:rsidTr="008B46DF">
        <w:tc>
          <w:tcPr>
            <w:tcW w:w="3402" w:type="dxa"/>
            <w:tcBorders>
              <w:top w:val="nil"/>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Fair value of assets received free of charge or for nominal consideration</w:t>
            </w:r>
          </w:p>
        </w:tc>
        <w:tc>
          <w:tcPr>
            <w:tcW w:w="873"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61.6</w:t>
            </w:r>
          </w:p>
        </w:tc>
        <w:tc>
          <w:tcPr>
            <w:tcW w:w="873"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66.0</w:t>
            </w:r>
          </w:p>
        </w:tc>
        <w:tc>
          <w:tcPr>
            <w:tcW w:w="873"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61.8</w:t>
            </w:r>
          </w:p>
        </w:tc>
        <w:tc>
          <w:tcPr>
            <w:tcW w:w="873"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61.5</w:t>
            </w:r>
          </w:p>
        </w:tc>
        <w:tc>
          <w:tcPr>
            <w:tcW w:w="873"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59.5</w:t>
            </w:r>
          </w:p>
        </w:tc>
      </w:tr>
      <w:tr w:rsidR="00965D85" w:rsidRPr="00E22AD9" w:rsidTr="008B46DF">
        <w:tc>
          <w:tcPr>
            <w:tcW w:w="3402" w:type="dxa"/>
            <w:tcBorders>
              <w:top w:val="nil"/>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Fines</w:t>
            </w:r>
          </w:p>
        </w:tc>
        <w:tc>
          <w:tcPr>
            <w:tcW w:w="873"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777.3</w:t>
            </w:r>
          </w:p>
        </w:tc>
        <w:tc>
          <w:tcPr>
            <w:tcW w:w="873"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792.0</w:t>
            </w:r>
          </w:p>
        </w:tc>
        <w:tc>
          <w:tcPr>
            <w:tcW w:w="873"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814.3</w:t>
            </w:r>
          </w:p>
        </w:tc>
        <w:tc>
          <w:tcPr>
            <w:tcW w:w="873"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831.7</w:t>
            </w:r>
          </w:p>
        </w:tc>
        <w:tc>
          <w:tcPr>
            <w:tcW w:w="873"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847.4</w:t>
            </w:r>
          </w:p>
        </w:tc>
      </w:tr>
      <w:tr w:rsidR="00965D85" w:rsidRPr="00E22AD9" w:rsidTr="008B46DF">
        <w:tc>
          <w:tcPr>
            <w:tcW w:w="3402" w:type="dxa"/>
            <w:tcBorders>
              <w:top w:val="nil"/>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Royalties</w:t>
            </w:r>
          </w:p>
        </w:tc>
        <w:tc>
          <w:tcPr>
            <w:tcW w:w="873"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51.2</w:t>
            </w:r>
          </w:p>
        </w:tc>
        <w:tc>
          <w:tcPr>
            <w:tcW w:w="873"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51.2</w:t>
            </w:r>
          </w:p>
        </w:tc>
        <w:tc>
          <w:tcPr>
            <w:tcW w:w="873"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51.1</w:t>
            </w:r>
          </w:p>
        </w:tc>
        <w:tc>
          <w:tcPr>
            <w:tcW w:w="873"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51.1</w:t>
            </w:r>
          </w:p>
        </w:tc>
        <w:tc>
          <w:tcPr>
            <w:tcW w:w="873"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51.1</w:t>
            </w:r>
          </w:p>
        </w:tc>
      </w:tr>
      <w:tr w:rsidR="00965D85" w:rsidRPr="00E22AD9" w:rsidTr="008B46DF">
        <w:tc>
          <w:tcPr>
            <w:tcW w:w="3402" w:type="dxa"/>
            <w:tcBorders>
              <w:top w:val="nil"/>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Donations and gifts</w:t>
            </w:r>
          </w:p>
        </w:tc>
        <w:tc>
          <w:tcPr>
            <w:tcW w:w="873"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304.2</w:t>
            </w:r>
          </w:p>
        </w:tc>
        <w:tc>
          <w:tcPr>
            <w:tcW w:w="873"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306.9</w:t>
            </w:r>
          </w:p>
        </w:tc>
        <w:tc>
          <w:tcPr>
            <w:tcW w:w="873"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345.9</w:t>
            </w:r>
          </w:p>
        </w:tc>
        <w:tc>
          <w:tcPr>
            <w:tcW w:w="873"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299.6</w:t>
            </w:r>
          </w:p>
        </w:tc>
        <w:tc>
          <w:tcPr>
            <w:tcW w:w="873"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301.8</w:t>
            </w:r>
          </w:p>
        </w:tc>
      </w:tr>
      <w:tr w:rsidR="00965D85" w:rsidRPr="00E22AD9" w:rsidTr="008B46DF">
        <w:tc>
          <w:tcPr>
            <w:tcW w:w="3402" w:type="dxa"/>
            <w:tcBorders>
              <w:top w:val="nil"/>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Other non</w:t>
            </w:r>
            <w:r>
              <w:rPr>
                <w:rFonts w:ascii="Calibri" w:eastAsiaTheme="minorEastAsia" w:hAnsi="Calibri" w:cs="Calibri"/>
                <w:color w:val="000000"/>
                <w:sz w:val="20"/>
                <w:lang w:eastAsia="en-AU"/>
              </w:rPr>
              <w:noBreakHyphen/>
            </w:r>
            <w:r w:rsidRPr="00E22AD9">
              <w:rPr>
                <w:rFonts w:ascii="Calibri" w:eastAsiaTheme="minorEastAsia" w:hAnsi="Calibri" w:cs="Calibri"/>
                <w:color w:val="000000"/>
                <w:sz w:val="20"/>
                <w:lang w:eastAsia="en-AU"/>
              </w:rPr>
              <w:t>property rental</w:t>
            </w:r>
          </w:p>
        </w:tc>
        <w:tc>
          <w:tcPr>
            <w:tcW w:w="873"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20.3</w:t>
            </w:r>
          </w:p>
        </w:tc>
        <w:tc>
          <w:tcPr>
            <w:tcW w:w="873"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21.4</w:t>
            </w:r>
          </w:p>
        </w:tc>
        <w:tc>
          <w:tcPr>
            <w:tcW w:w="873"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21.5</w:t>
            </w:r>
          </w:p>
        </w:tc>
        <w:tc>
          <w:tcPr>
            <w:tcW w:w="873"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21.5</w:t>
            </w:r>
          </w:p>
        </w:tc>
        <w:tc>
          <w:tcPr>
            <w:tcW w:w="873"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21.5</w:t>
            </w:r>
          </w:p>
        </w:tc>
      </w:tr>
      <w:tr w:rsidR="00965D85" w:rsidRPr="00E22AD9" w:rsidTr="008B46DF">
        <w:tc>
          <w:tcPr>
            <w:tcW w:w="3402"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Other miscellaneous revenue</w:t>
            </w:r>
          </w:p>
        </w:tc>
        <w:tc>
          <w:tcPr>
            <w:tcW w:w="873"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956.0</w:t>
            </w:r>
          </w:p>
        </w:tc>
        <w:tc>
          <w:tcPr>
            <w:tcW w:w="873"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1 202.6</w:t>
            </w:r>
          </w:p>
        </w:tc>
        <w:tc>
          <w:tcPr>
            <w:tcW w:w="873"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1 227.0</w:t>
            </w:r>
          </w:p>
        </w:tc>
        <w:tc>
          <w:tcPr>
            <w:tcW w:w="873"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1 196.2</w:t>
            </w:r>
          </w:p>
        </w:tc>
        <w:tc>
          <w:tcPr>
            <w:tcW w:w="873"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1 184.2</w:t>
            </w:r>
          </w:p>
        </w:tc>
      </w:tr>
      <w:tr w:rsidR="00965D85" w:rsidRPr="00E22AD9" w:rsidTr="008B46DF">
        <w:tc>
          <w:tcPr>
            <w:tcW w:w="3402" w:type="dxa"/>
            <w:tcBorders>
              <w:top w:val="single" w:sz="6" w:space="0" w:color="000000"/>
              <w:left w:val="nil"/>
              <w:bottom w:val="single" w:sz="12" w:space="0" w:color="000000"/>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Total other revenue</w:t>
            </w:r>
          </w:p>
        </w:tc>
        <w:tc>
          <w:tcPr>
            <w:tcW w:w="873" w:type="dxa"/>
            <w:tcBorders>
              <w:top w:val="single" w:sz="6" w:space="0" w:color="000000"/>
              <w:left w:val="nil"/>
              <w:bottom w:val="single" w:sz="12"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2 170.6</w:t>
            </w:r>
          </w:p>
        </w:tc>
        <w:tc>
          <w:tcPr>
            <w:tcW w:w="873" w:type="dxa"/>
            <w:tcBorders>
              <w:top w:val="single" w:sz="6" w:space="0" w:color="000000"/>
              <w:left w:val="nil"/>
              <w:bottom w:val="single" w:sz="12"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2 440.0</w:t>
            </w:r>
          </w:p>
        </w:tc>
        <w:tc>
          <w:tcPr>
            <w:tcW w:w="873" w:type="dxa"/>
            <w:tcBorders>
              <w:top w:val="single" w:sz="6" w:space="0" w:color="000000"/>
              <w:left w:val="nil"/>
              <w:bottom w:val="single" w:sz="12"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2 521.6</w:t>
            </w:r>
          </w:p>
        </w:tc>
        <w:tc>
          <w:tcPr>
            <w:tcW w:w="873" w:type="dxa"/>
            <w:tcBorders>
              <w:top w:val="single" w:sz="6" w:space="0" w:color="000000"/>
              <w:left w:val="nil"/>
              <w:bottom w:val="single" w:sz="12"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2 461.6</w:t>
            </w:r>
          </w:p>
        </w:tc>
        <w:tc>
          <w:tcPr>
            <w:tcW w:w="873" w:type="dxa"/>
            <w:tcBorders>
              <w:top w:val="single" w:sz="6" w:space="0" w:color="000000"/>
              <w:left w:val="nil"/>
              <w:bottom w:val="single" w:sz="12"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2 465.5</w:t>
            </w:r>
          </w:p>
        </w:tc>
      </w:tr>
    </w:tbl>
    <w:p w:rsidR="00965D85" w:rsidRDefault="00965D85" w:rsidP="008B46DF">
      <w:pPr>
        <w:rPr>
          <w:lang w:eastAsia="en-AU"/>
        </w:rPr>
      </w:pPr>
    </w:p>
    <w:p w:rsidR="00965D85" w:rsidRDefault="00965D85" w:rsidP="008B46DF">
      <w:pPr>
        <w:rPr>
          <w:lang w:eastAsia="en-AU"/>
        </w:rPr>
      </w:pPr>
    </w:p>
    <w:p w:rsidR="00965D85" w:rsidRDefault="00965D85">
      <w:pPr>
        <w:spacing w:after="0"/>
        <w:rPr>
          <w:rFonts w:ascii="Calibri" w:eastAsiaTheme="minorEastAsia" w:hAnsi="Calibri"/>
          <w:b/>
          <w:kern w:val="28"/>
          <w:sz w:val="26"/>
          <w:szCs w:val="22"/>
          <w:lang w:eastAsia="en-AU"/>
        </w:rPr>
      </w:pPr>
      <w:r>
        <w:rPr>
          <w:rFonts w:eastAsiaTheme="minorEastAsia"/>
          <w:lang w:eastAsia="en-AU"/>
        </w:rPr>
        <w:br w:type="page"/>
      </w:r>
    </w:p>
    <w:p w:rsidR="00965D85" w:rsidRPr="004B6339" w:rsidRDefault="00965D85" w:rsidP="008B46DF">
      <w:pPr>
        <w:pStyle w:val="Heading2Notes"/>
        <w:rPr>
          <w:rFonts w:eastAsiaTheme="minorEastAsia"/>
          <w:lang w:eastAsia="en-AU"/>
        </w:rPr>
      </w:pPr>
      <w:bookmarkStart w:id="55" w:name="_Toc436138913"/>
      <w:r>
        <w:rPr>
          <w:rFonts w:eastAsiaTheme="minorEastAsia"/>
          <w:lang w:eastAsia="en-AU"/>
        </w:rPr>
        <w:lastRenderedPageBreak/>
        <w:t>Note 7:</w:t>
      </w:r>
      <w:r>
        <w:rPr>
          <w:rFonts w:eastAsiaTheme="minorEastAsia"/>
          <w:lang w:eastAsia="en-AU"/>
        </w:rPr>
        <w:tab/>
        <w:t>Superannuation</w:t>
      </w:r>
      <w:bookmarkEnd w:id="55"/>
    </w:p>
    <w:p w:rsidR="00965D85" w:rsidRDefault="00965D85" w:rsidP="008B46DF">
      <w:pPr>
        <w:pStyle w:val="BulletText"/>
        <w:numPr>
          <w:ilvl w:val="0"/>
          <w:numId w:val="0"/>
        </w:numPr>
      </w:pPr>
      <w:r>
        <w:t xml:space="preserve">Note 8 in Chapter 4 of the </w:t>
      </w:r>
      <w:r>
        <w:rPr>
          <w:i/>
        </w:rPr>
        <w:t>2014</w:t>
      </w:r>
      <w:r>
        <w:rPr>
          <w:i/>
        </w:rPr>
        <w:noBreakHyphen/>
        <w:t>15 Financial Report</w:t>
      </w:r>
      <w:r>
        <w:t xml:space="preserve"> for the State of Victoria contains a comprehensive disclosure of the State’s superannuation schemes, the associated funding arrangements and the sensitivity of the liability to movements in the key valuation assumptions. </w:t>
      </w:r>
    </w:p>
    <w:p w:rsidR="00965D85" w:rsidRDefault="00965D85" w:rsidP="008B46DF">
      <w:pPr>
        <w:pStyle w:val="Heading5"/>
        <w:rPr>
          <w:rFonts w:ascii="Times New Roman" w:hAnsi="Times New Roman"/>
          <w:sz w:val="20"/>
          <w:lang w:eastAsia="en-AU"/>
        </w:rPr>
      </w:pPr>
      <w:r w:rsidRPr="009A374F">
        <w:t xml:space="preserve">(a) </w:t>
      </w:r>
      <w:r w:rsidRPr="009A374F">
        <w:tab/>
        <w:t>Superannuation costs recognised in the operating statement</w:t>
      </w:r>
    </w:p>
    <w:tbl>
      <w:tblPr>
        <w:tblW w:w="7797" w:type="dxa"/>
        <w:tblInd w:w="28" w:type="dxa"/>
        <w:tblLayout w:type="fixed"/>
        <w:tblCellMar>
          <w:left w:w="28" w:type="dxa"/>
          <w:right w:w="28" w:type="dxa"/>
        </w:tblCellMar>
        <w:tblLook w:val="0000" w:firstRow="0" w:lastRow="0" w:firstColumn="0" w:lastColumn="0" w:noHBand="0" w:noVBand="0"/>
      </w:tblPr>
      <w:tblGrid>
        <w:gridCol w:w="3686"/>
        <w:gridCol w:w="822"/>
        <w:gridCol w:w="822"/>
        <w:gridCol w:w="822"/>
        <w:gridCol w:w="822"/>
        <w:gridCol w:w="823"/>
      </w:tblGrid>
      <w:tr w:rsidR="00965D85" w:rsidRPr="00E22AD9" w:rsidTr="008B46DF">
        <w:trPr>
          <w:tblHeader/>
        </w:trPr>
        <w:tc>
          <w:tcPr>
            <w:tcW w:w="7797" w:type="dxa"/>
            <w:gridSpan w:val="6"/>
            <w:tcBorders>
              <w:top w:val="nil"/>
              <w:left w:val="nil"/>
              <w:bottom w:val="nil"/>
              <w:right w:val="nil"/>
            </w:tcBorders>
          </w:tcPr>
          <w:p w:rsidR="00965D85" w:rsidRPr="00E22AD9" w:rsidRDefault="00965D85" w:rsidP="008B46DF">
            <w:pPr>
              <w:pStyle w:val="million"/>
              <w:rPr>
                <w:rFonts w:eastAsiaTheme="minorEastAsia" w:cs="Calibri"/>
                <w:iCs/>
                <w:color w:val="000000"/>
                <w:sz w:val="20"/>
                <w:lang w:eastAsia="en-AU"/>
              </w:rPr>
            </w:pPr>
            <w:r w:rsidRPr="00E22AD9">
              <w:rPr>
                <w:rFonts w:eastAsiaTheme="minorEastAsia"/>
                <w:lang w:eastAsia="en-AU"/>
              </w:rPr>
              <w:t>($ million)</w:t>
            </w:r>
          </w:p>
        </w:tc>
      </w:tr>
      <w:tr w:rsidR="00965D85" w:rsidRPr="00E22AD9" w:rsidTr="008B46DF">
        <w:trPr>
          <w:trHeight w:val="488"/>
          <w:tblHeader/>
        </w:trPr>
        <w:tc>
          <w:tcPr>
            <w:tcW w:w="3686" w:type="dxa"/>
            <w:tcBorders>
              <w:top w:val="nil"/>
              <w:left w:val="nil"/>
              <w:right w:val="nil"/>
            </w:tcBorders>
            <w:shd w:val="solid" w:color="000000" w:fill="auto"/>
          </w:tcPr>
          <w:p w:rsidR="00965D85" w:rsidRPr="00E22AD9" w:rsidRDefault="00965D85" w:rsidP="008B46DF">
            <w:pPr>
              <w:autoSpaceDE w:val="0"/>
              <w:autoSpaceDN w:val="0"/>
              <w:adjustRightInd w:val="0"/>
              <w:spacing w:after="0"/>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 xml:space="preserve"> </w:t>
            </w:r>
          </w:p>
          <w:p w:rsidR="00965D85" w:rsidRPr="00E22AD9" w:rsidRDefault="00965D85" w:rsidP="008B46DF">
            <w:pPr>
              <w:autoSpaceDE w:val="0"/>
              <w:autoSpaceDN w:val="0"/>
              <w:adjustRightInd w:val="0"/>
              <w:spacing w:after="0"/>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 xml:space="preserve"> </w:t>
            </w:r>
          </w:p>
        </w:tc>
        <w:tc>
          <w:tcPr>
            <w:tcW w:w="822" w:type="dxa"/>
            <w:tcBorders>
              <w:top w:val="nil"/>
              <w:left w:val="nil"/>
              <w:right w:val="nil"/>
            </w:tcBorders>
            <w:shd w:val="solid" w:color="000000" w:fill="auto"/>
          </w:tcPr>
          <w:p w:rsidR="00965D85" w:rsidRPr="00E22AD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E22AD9">
              <w:rPr>
                <w:rFonts w:ascii="Calibri" w:eastAsiaTheme="minorEastAsia" w:hAnsi="Calibri" w:cs="Calibri"/>
                <w:i/>
                <w:iCs/>
                <w:color w:val="FFFFFF"/>
                <w:sz w:val="20"/>
                <w:lang w:eastAsia="en-AU"/>
              </w:rPr>
              <w:t>2015</w:t>
            </w:r>
            <w:r>
              <w:rPr>
                <w:rFonts w:ascii="Calibri" w:eastAsiaTheme="minorEastAsia" w:hAnsi="Calibri" w:cs="Calibri"/>
                <w:i/>
                <w:iCs/>
                <w:color w:val="FFFFFF"/>
                <w:sz w:val="20"/>
                <w:lang w:eastAsia="en-AU"/>
              </w:rPr>
              <w:noBreakHyphen/>
            </w:r>
            <w:r w:rsidRPr="00E22AD9">
              <w:rPr>
                <w:rFonts w:ascii="Calibri" w:eastAsiaTheme="minorEastAsia" w:hAnsi="Calibri" w:cs="Calibri"/>
                <w:i/>
                <w:iCs/>
                <w:color w:val="FFFFFF"/>
                <w:sz w:val="20"/>
                <w:lang w:eastAsia="en-AU"/>
              </w:rPr>
              <w:t>16</w:t>
            </w:r>
          </w:p>
          <w:p w:rsidR="00965D85" w:rsidRPr="00E22AD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E22AD9">
              <w:rPr>
                <w:rFonts w:ascii="Calibri" w:eastAsiaTheme="minorEastAsia" w:hAnsi="Calibri" w:cs="Calibri"/>
                <w:i/>
                <w:iCs/>
                <w:color w:val="FFFFFF"/>
                <w:sz w:val="20"/>
                <w:lang w:eastAsia="en-AU"/>
              </w:rPr>
              <w:t>budget</w:t>
            </w:r>
          </w:p>
        </w:tc>
        <w:tc>
          <w:tcPr>
            <w:tcW w:w="822" w:type="dxa"/>
            <w:tcBorders>
              <w:top w:val="nil"/>
              <w:left w:val="nil"/>
              <w:right w:val="nil"/>
            </w:tcBorders>
            <w:shd w:val="solid" w:color="000000" w:fill="auto"/>
          </w:tcPr>
          <w:p w:rsidR="00965D85" w:rsidRPr="00E22AD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E22AD9">
              <w:rPr>
                <w:rFonts w:ascii="Calibri" w:eastAsiaTheme="minorEastAsia" w:hAnsi="Calibri" w:cs="Calibri"/>
                <w:i/>
                <w:iCs/>
                <w:color w:val="FFFFFF"/>
                <w:sz w:val="20"/>
                <w:lang w:eastAsia="en-AU"/>
              </w:rPr>
              <w:t>2015</w:t>
            </w:r>
            <w:r>
              <w:rPr>
                <w:rFonts w:ascii="Calibri" w:eastAsiaTheme="minorEastAsia" w:hAnsi="Calibri" w:cs="Calibri"/>
                <w:i/>
                <w:iCs/>
                <w:color w:val="FFFFFF"/>
                <w:sz w:val="20"/>
                <w:lang w:eastAsia="en-AU"/>
              </w:rPr>
              <w:noBreakHyphen/>
            </w:r>
            <w:r w:rsidRPr="00E22AD9">
              <w:rPr>
                <w:rFonts w:ascii="Calibri" w:eastAsiaTheme="minorEastAsia" w:hAnsi="Calibri" w:cs="Calibri"/>
                <w:i/>
                <w:iCs/>
                <w:color w:val="FFFFFF"/>
                <w:sz w:val="20"/>
                <w:lang w:eastAsia="en-AU"/>
              </w:rPr>
              <w:t>16</w:t>
            </w:r>
          </w:p>
          <w:p w:rsidR="00965D85" w:rsidRPr="00E22AD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E22AD9">
              <w:rPr>
                <w:rFonts w:ascii="Calibri" w:eastAsiaTheme="minorEastAsia" w:hAnsi="Calibri" w:cs="Calibri"/>
                <w:i/>
                <w:iCs/>
                <w:color w:val="FFFFFF"/>
                <w:sz w:val="20"/>
                <w:lang w:eastAsia="en-AU"/>
              </w:rPr>
              <w:t>revised</w:t>
            </w:r>
          </w:p>
        </w:tc>
        <w:tc>
          <w:tcPr>
            <w:tcW w:w="822" w:type="dxa"/>
            <w:tcBorders>
              <w:top w:val="nil"/>
              <w:left w:val="nil"/>
              <w:right w:val="nil"/>
            </w:tcBorders>
            <w:shd w:val="solid" w:color="000000" w:fill="auto"/>
          </w:tcPr>
          <w:p w:rsidR="00965D85" w:rsidRPr="00E22AD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E22AD9">
              <w:rPr>
                <w:rFonts w:ascii="Calibri" w:eastAsiaTheme="minorEastAsia" w:hAnsi="Calibri" w:cs="Calibri"/>
                <w:i/>
                <w:iCs/>
                <w:color w:val="FFFFFF"/>
                <w:sz w:val="20"/>
                <w:lang w:eastAsia="en-AU"/>
              </w:rPr>
              <w:t>2016</w:t>
            </w:r>
            <w:r>
              <w:rPr>
                <w:rFonts w:ascii="Calibri" w:eastAsiaTheme="minorEastAsia" w:hAnsi="Calibri" w:cs="Calibri"/>
                <w:i/>
                <w:iCs/>
                <w:color w:val="FFFFFF"/>
                <w:sz w:val="20"/>
                <w:lang w:eastAsia="en-AU"/>
              </w:rPr>
              <w:noBreakHyphen/>
            </w:r>
            <w:r w:rsidRPr="00E22AD9">
              <w:rPr>
                <w:rFonts w:ascii="Calibri" w:eastAsiaTheme="minorEastAsia" w:hAnsi="Calibri" w:cs="Calibri"/>
                <w:i/>
                <w:iCs/>
                <w:color w:val="FFFFFF"/>
                <w:sz w:val="20"/>
                <w:lang w:eastAsia="en-AU"/>
              </w:rPr>
              <w:t>17</w:t>
            </w:r>
          </w:p>
          <w:p w:rsidR="00965D85" w:rsidRPr="00E22AD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E22AD9">
              <w:rPr>
                <w:rFonts w:ascii="Calibri" w:eastAsiaTheme="minorEastAsia" w:hAnsi="Calibri" w:cs="Calibri"/>
                <w:i/>
                <w:iCs/>
                <w:color w:val="FFFFFF"/>
                <w:sz w:val="20"/>
                <w:lang w:eastAsia="en-AU"/>
              </w:rPr>
              <w:t>estimate</w:t>
            </w:r>
          </w:p>
        </w:tc>
        <w:tc>
          <w:tcPr>
            <w:tcW w:w="822" w:type="dxa"/>
            <w:tcBorders>
              <w:top w:val="nil"/>
              <w:left w:val="nil"/>
              <w:right w:val="nil"/>
            </w:tcBorders>
            <w:shd w:val="solid" w:color="000000" w:fill="auto"/>
          </w:tcPr>
          <w:p w:rsidR="00965D85" w:rsidRPr="00E22AD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E22AD9">
              <w:rPr>
                <w:rFonts w:ascii="Calibri" w:eastAsiaTheme="minorEastAsia" w:hAnsi="Calibri" w:cs="Calibri"/>
                <w:i/>
                <w:iCs/>
                <w:color w:val="FFFFFF"/>
                <w:sz w:val="20"/>
                <w:lang w:eastAsia="en-AU"/>
              </w:rPr>
              <w:t>2017</w:t>
            </w:r>
            <w:r>
              <w:rPr>
                <w:rFonts w:ascii="Calibri" w:eastAsiaTheme="minorEastAsia" w:hAnsi="Calibri" w:cs="Calibri"/>
                <w:i/>
                <w:iCs/>
                <w:color w:val="FFFFFF"/>
                <w:sz w:val="20"/>
                <w:lang w:eastAsia="en-AU"/>
              </w:rPr>
              <w:noBreakHyphen/>
            </w:r>
            <w:r w:rsidRPr="00E22AD9">
              <w:rPr>
                <w:rFonts w:ascii="Calibri" w:eastAsiaTheme="minorEastAsia" w:hAnsi="Calibri" w:cs="Calibri"/>
                <w:i/>
                <w:iCs/>
                <w:color w:val="FFFFFF"/>
                <w:sz w:val="20"/>
                <w:lang w:eastAsia="en-AU"/>
              </w:rPr>
              <w:t>18</w:t>
            </w:r>
          </w:p>
          <w:p w:rsidR="00965D85" w:rsidRPr="00E22AD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E22AD9">
              <w:rPr>
                <w:rFonts w:ascii="Calibri" w:eastAsiaTheme="minorEastAsia" w:hAnsi="Calibri" w:cs="Calibri"/>
                <w:i/>
                <w:iCs/>
                <w:color w:val="FFFFFF"/>
                <w:sz w:val="20"/>
                <w:lang w:eastAsia="en-AU"/>
              </w:rPr>
              <w:t>estimate</w:t>
            </w:r>
          </w:p>
        </w:tc>
        <w:tc>
          <w:tcPr>
            <w:tcW w:w="823" w:type="dxa"/>
            <w:tcBorders>
              <w:top w:val="nil"/>
              <w:left w:val="nil"/>
              <w:right w:val="nil"/>
            </w:tcBorders>
            <w:shd w:val="solid" w:color="000000" w:fill="auto"/>
          </w:tcPr>
          <w:p w:rsidR="00965D85" w:rsidRPr="00E22AD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E22AD9">
              <w:rPr>
                <w:rFonts w:ascii="Calibri" w:eastAsiaTheme="minorEastAsia" w:hAnsi="Calibri" w:cs="Calibri"/>
                <w:i/>
                <w:iCs/>
                <w:color w:val="FFFFFF"/>
                <w:sz w:val="20"/>
                <w:lang w:eastAsia="en-AU"/>
              </w:rPr>
              <w:t>2018</w:t>
            </w:r>
            <w:r>
              <w:rPr>
                <w:rFonts w:ascii="Calibri" w:eastAsiaTheme="minorEastAsia" w:hAnsi="Calibri" w:cs="Calibri"/>
                <w:i/>
                <w:iCs/>
                <w:color w:val="FFFFFF"/>
                <w:sz w:val="20"/>
                <w:lang w:eastAsia="en-AU"/>
              </w:rPr>
              <w:noBreakHyphen/>
            </w:r>
            <w:r w:rsidRPr="00E22AD9">
              <w:rPr>
                <w:rFonts w:ascii="Calibri" w:eastAsiaTheme="minorEastAsia" w:hAnsi="Calibri" w:cs="Calibri"/>
                <w:i/>
                <w:iCs/>
                <w:color w:val="FFFFFF"/>
                <w:sz w:val="20"/>
                <w:lang w:eastAsia="en-AU"/>
              </w:rPr>
              <w:t>19</w:t>
            </w:r>
          </w:p>
          <w:p w:rsidR="00965D85" w:rsidRPr="00E22AD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E22AD9">
              <w:rPr>
                <w:rFonts w:ascii="Calibri" w:eastAsiaTheme="minorEastAsia" w:hAnsi="Calibri" w:cs="Calibri"/>
                <w:i/>
                <w:iCs/>
                <w:color w:val="FFFFFF"/>
                <w:sz w:val="20"/>
                <w:lang w:eastAsia="en-AU"/>
              </w:rPr>
              <w:t>estimate</w:t>
            </w:r>
          </w:p>
        </w:tc>
      </w:tr>
      <w:tr w:rsidR="00965D85" w:rsidRPr="00E22AD9" w:rsidTr="008B46DF">
        <w:tc>
          <w:tcPr>
            <w:tcW w:w="3686" w:type="dxa"/>
            <w:tcBorders>
              <w:top w:val="nil"/>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Defined benefit plans</w:t>
            </w:r>
          </w:p>
        </w:tc>
        <w:tc>
          <w:tcPr>
            <w:tcW w:w="822"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822"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822"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822"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823"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r>
      <w:tr w:rsidR="00965D85" w:rsidRPr="00E22AD9" w:rsidTr="008B46DF">
        <w:tc>
          <w:tcPr>
            <w:tcW w:w="3686" w:type="dxa"/>
            <w:tcBorders>
              <w:top w:val="nil"/>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Net superannuation interest expense</w:t>
            </w:r>
          </w:p>
        </w:tc>
        <w:tc>
          <w:tcPr>
            <w:tcW w:w="822"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886.5</w:t>
            </w:r>
          </w:p>
        </w:tc>
        <w:tc>
          <w:tcPr>
            <w:tcW w:w="822"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878.0</w:t>
            </w:r>
          </w:p>
        </w:tc>
        <w:tc>
          <w:tcPr>
            <w:tcW w:w="822"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820.6</w:t>
            </w:r>
          </w:p>
        </w:tc>
        <w:tc>
          <w:tcPr>
            <w:tcW w:w="822"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803.2</w:t>
            </w:r>
          </w:p>
        </w:tc>
        <w:tc>
          <w:tcPr>
            <w:tcW w:w="823"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806.7</w:t>
            </w:r>
          </w:p>
        </w:tc>
      </w:tr>
      <w:tr w:rsidR="00965D85" w:rsidRPr="00E22AD9" w:rsidTr="008B46DF">
        <w:tc>
          <w:tcPr>
            <w:tcW w:w="3686" w:type="dxa"/>
            <w:tcBorders>
              <w:top w:val="nil"/>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 xml:space="preserve">Current service cost </w:t>
            </w:r>
          </w:p>
        </w:tc>
        <w:tc>
          <w:tcPr>
            <w:tcW w:w="822"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825.9</w:t>
            </w:r>
          </w:p>
        </w:tc>
        <w:tc>
          <w:tcPr>
            <w:tcW w:w="822"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772.5</w:t>
            </w:r>
          </w:p>
        </w:tc>
        <w:tc>
          <w:tcPr>
            <w:tcW w:w="822"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784.4</w:t>
            </w:r>
          </w:p>
        </w:tc>
        <w:tc>
          <w:tcPr>
            <w:tcW w:w="822"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772.0</w:t>
            </w:r>
          </w:p>
        </w:tc>
        <w:tc>
          <w:tcPr>
            <w:tcW w:w="823"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760.2</w:t>
            </w:r>
          </w:p>
        </w:tc>
      </w:tr>
      <w:tr w:rsidR="00965D85" w:rsidRPr="00E22AD9" w:rsidTr="008B46DF">
        <w:tc>
          <w:tcPr>
            <w:tcW w:w="3686" w:type="dxa"/>
            <w:tcBorders>
              <w:top w:val="nil"/>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Remeasurements:</w:t>
            </w:r>
          </w:p>
        </w:tc>
        <w:tc>
          <w:tcPr>
            <w:tcW w:w="822"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p>
        </w:tc>
        <w:tc>
          <w:tcPr>
            <w:tcW w:w="822"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p>
        </w:tc>
        <w:tc>
          <w:tcPr>
            <w:tcW w:w="822"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p>
        </w:tc>
        <w:tc>
          <w:tcPr>
            <w:tcW w:w="822"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p>
        </w:tc>
        <w:tc>
          <w:tcPr>
            <w:tcW w:w="823"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p>
        </w:tc>
      </w:tr>
      <w:tr w:rsidR="00965D85" w:rsidRPr="00E22AD9" w:rsidTr="008B46DF">
        <w:tc>
          <w:tcPr>
            <w:tcW w:w="3686" w:type="dxa"/>
            <w:tcBorders>
              <w:top w:val="nil"/>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Expected return on superannuation assets excluding interest income</w:t>
            </w:r>
          </w:p>
        </w:tc>
        <w:tc>
          <w:tcPr>
            <w:tcW w:w="822"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(962.4)</w:t>
            </w:r>
          </w:p>
        </w:tc>
        <w:tc>
          <w:tcPr>
            <w:tcW w:w="822"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(783.7)</w:t>
            </w:r>
          </w:p>
        </w:tc>
        <w:tc>
          <w:tcPr>
            <w:tcW w:w="822"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(847.1)</w:t>
            </w:r>
          </w:p>
        </w:tc>
        <w:tc>
          <w:tcPr>
            <w:tcW w:w="822"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(850.3)</w:t>
            </w:r>
          </w:p>
        </w:tc>
        <w:tc>
          <w:tcPr>
            <w:tcW w:w="823"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(836.1)</w:t>
            </w:r>
          </w:p>
        </w:tc>
      </w:tr>
      <w:tr w:rsidR="00965D85" w:rsidRPr="00E22AD9" w:rsidTr="008B46DF">
        <w:tc>
          <w:tcPr>
            <w:tcW w:w="3686" w:type="dxa"/>
            <w:tcBorders>
              <w:top w:val="nil"/>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Other actuarial (gain)/loss on superannuation assets</w:t>
            </w:r>
          </w:p>
        </w:tc>
        <w:tc>
          <w:tcPr>
            <w:tcW w:w="822"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w:t>
            </w:r>
          </w:p>
        </w:tc>
        <w:tc>
          <w:tcPr>
            <w:tcW w:w="822"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690.7</w:t>
            </w:r>
          </w:p>
        </w:tc>
        <w:tc>
          <w:tcPr>
            <w:tcW w:w="822"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w:t>
            </w:r>
          </w:p>
        </w:tc>
        <w:tc>
          <w:tcPr>
            <w:tcW w:w="822"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w:t>
            </w:r>
          </w:p>
        </w:tc>
        <w:tc>
          <w:tcPr>
            <w:tcW w:w="823"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w:t>
            </w:r>
          </w:p>
        </w:tc>
      </w:tr>
      <w:tr w:rsidR="00965D85" w:rsidRPr="00E22AD9" w:rsidTr="008B46DF">
        <w:tc>
          <w:tcPr>
            <w:tcW w:w="3686"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Actuarial and other adjustments to unfunded superannuation liability</w:t>
            </w:r>
          </w:p>
        </w:tc>
        <w:tc>
          <w:tcPr>
            <w:tcW w:w="822"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w:t>
            </w:r>
          </w:p>
        </w:tc>
        <w:tc>
          <w:tcPr>
            <w:tcW w:w="822"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1 485.9</w:t>
            </w:r>
          </w:p>
        </w:tc>
        <w:tc>
          <w:tcPr>
            <w:tcW w:w="822"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w:t>
            </w:r>
          </w:p>
        </w:tc>
        <w:tc>
          <w:tcPr>
            <w:tcW w:w="822"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w:t>
            </w:r>
          </w:p>
        </w:tc>
        <w:tc>
          <w:tcPr>
            <w:tcW w:w="823"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w:t>
            </w:r>
          </w:p>
        </w:tc>
      </w:tr>
      <w:tr w:rsidR="00965D85" w:rsidRPr="00E22AD9" w:rsidTr="008B46DF">
        <w:tc>
          <w:tcPr>
            <w:tcW w:w="3686" w:type="dxa"/>
            <w:tcBorders>
              <w:top w:val="single" w:sz="6" w:space="0" w:color="000000"/>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Total expense recognised in respect of defined benefit plans</w:t>
            </w:r>
          </w:p>
        </w:tc>
        <w:tc>
          <w:tcPr>
            <w:tcW w:w="822" w:type="dxa"/>
            <w:tcBorders>
              <w:top w:val="single" w:sz="6" w:space="0" w:color="000000"/>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20"/>
                <w:lang w:eastAsia="en-AU"/>
              </w:rPr>
              <w:t>749.9</w:t>
            </w:r>
          </w:p>
        </w:tc>
        <w:tc>
          <w:tcPr>
            <w:tcW w:w="822" w:type="dxa"/>
            <w:tcBorders>
              <w:top w:val="single" w:sz="6" w:space="0" w:color="000000"/>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3 043.4</w:t>
            </w:r>
          </w:p>
        </w:tc>
        <w:tc>
          <w:tcPr>
            <w:tcW w:w="822" w:type="dxa"/>
            <w:tcBorders>
              <w:top w:val="single" w:sz="6" w:space="0" w:color="000000"/>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20"/>
                <w:lang w:eastAsia="en-AU"/>
              </w:rPr>
              <w:t>757.9</w:t>
            </w:r>
          </w:p>
        </w:tc>
        <w:tc>
          <w:tcPr>
            <w:tcW w:w="822" w:type="dxa"/>
            <w:tcBorders>
              <w:top w:val="single" w:sz="6" w:space="0" w:color="000000"/>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20"/>
                <w:lang w:eastAsia="en-AU"/>
              </w:rPr>
              <w:t>724.8</w:t>
            </w:r>
          </w:p>
        </w:tc>
        <w:tc>
          <w:tcPr>
            <w:tcW w:w="823" w:type="dxa"/>
            <w:tcBorders>
              <w:top w:val="single" w:sz="6" w:space="0" w:color="000000"/>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20"/>
                <w:lang w:eastAsia="en-AU"/>
              </w:rPr>
              <w:t>730.8</w:t>
            </w:r>
          </w:p>
        </w:tc>
      </w:tr>
      <w:tr w:rsidR="00965D85" w:rsidRPr="00E22AD9" w:rsidTr="008B46DF">
        <w:tc>
          <w:tcPr>
            <w:tcW w:w="3686" w:type="dxa"/>
            <w:tcBorders>
              <w:top w:val="nil"/>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Defined contribution plans</w:t>
            </w:r>
          </w:p>
        </w:tc>
        <w:tc>
          <w:tcPr>
            <w:tcW w:w="822"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822"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822"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822"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823"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r>
      <w:tr w:rsidR="00965D85" w:rsidRPr="00E22AD9" w:rsidTr="008B46DF">
        <w:tc>
          <w:tcPr>
            <w:tcW w:w="3686" w:type="dxa"/>
            <w:tcBorders>
              <w:top w:val="nil"/>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 xml:space="preserve">Employer contributions to defined contribution plans </w:t>
            </w:r>
          </w:p>
        </w:tc>
        <w:tc>
          <w:tcPr>
            <w:tcW w:w="822"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1 214.1</w:t>
            </w:r>
          </w:p>
        </w:tc>
        <w:tc>
          <w:tcPr>
            <w:tcW w:w="822"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1 214.5</w:t>
            </w:r>
          </w:p>
        </w:tc>
        <w:tc>
          <w:tcPr>
            <w:tcW w:w="822"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1 241.5</w:t>
            </w:r>
          </w:p>
        </w:tc>
        <w:tc>
          <w:tcPr>
            <w:tcW w:w="822"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1 271.3</w:t>
            </w:r>
          </w:p>
        </w:tc>
        <w:tc>
          <w:tcPr>
            <w:tcW w:w="823"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1 312.0</w:t>
            </w:r>
          </w:p>
        </w:tc>
      </w:tr>
      <w:tr w:rsidR="00965D85" w:rsidRPr="00E22AD9" w:rsidTr="008B46DF">
        <w:tc>
          <w:tcPr>
            <w:tcW w:w="3686"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Other (including pensions)</w:t>
            </w:r>
          </w:p>
        </w:tc>
        <w:tc>
          <w:tcPr>
            <w:tcW w:w="822"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61.6</w:t>
            </w:r>
          </w:p>
        </w:tc>
        <w:tc>
          <w:tcPr>
            <w:tcW w:w="822"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61.6</w:t>
            </w:r>
          </w:p>
        </w:tc>
        <w:tc>
          <w:tcPr>
            <w:tcW w:w="822"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62.3</w:t>
            </w:r>
          </w:p>
        </w:tc>
        <w:tc>
          <w:tcPr>
            <w:tcW w:w="822"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62.9</w:t>
            </w:r>
          </w:p>
        </w:tc>
        <w:tc>
          <w:tcPr>
            <w:tcW w:w="823"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63.5</w:t>
            </w:r>
          </w:p>
        </w:tc>
      </w:tr>
      <w:tr w:rsidR="00965D85" w:rsidRPr="00E22AD9" w:rsidTr="008B46DF">
        <w:tc>
          <w:tcPr>
            <w:tcW w:w="3686" w:type="dxa"/>
            <w:tcBorders>
              <w:top w:val="single" w:sz="6" w:space="0" w:color="000000"/>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Total expense recognised in respect of defined contribution plans</w:t>
            </w:r>
          </w:p>
        </w:tc>
        <w:tc>
          <w:tcPr>
            <w:tcW w:w="822" w:type="dxa"/>
            <w:tcBorders>
              <w:top w:val="single" w:sz="6" w:space="0" w:color="000000"/>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1 275.7</w:t>
            </w:r>
          </w:p>
        </w:tc>
        <w:tc>
          <w:tcPr>
            <w:tcW w:w="822" w:type="dxa"/>
            <w:tcBorders>
              <w:top w:val="single" w:sz="6" w:space="0" w:color="000000"/>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1 276.2</w:t>
            </w:r>
          </w:p>
        </w:tc>
        <w:tc>
          <w:tcPr>
            <w:tcW w:w="822" w:type="dxa"/>
            <w:tcBorders>
              <w:top w:val="single" w:sz="6" w:space="0" w:color="000000"/>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1 303.8</w:t>
            </w:r>
          </w:p>
        </w:tc>
        <w:tc>
          <w:tcPr>
            <w:tcW w:w="822" w:type="dxa"/>
            <w:tcBorders>
              <w:top w:val="single" w:sz="6" w:space="0" w:color="000000"/>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1 334.2</w:t>
            </w:r>
          </w:p>
        </w:tc>
        <w:tc>
          <w:tcPr>
            <w:tcW w:w="823" w:type="dxa"/>
            <w:tcBorders>
              <w:top w:val="single" w:sz="6" w:space="0" w:color="000000"/>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1 375.6</w:t>
            </w:r>
          </w:p>
        </w:tc>
      </w:tr>
      <w:tr w:rsidR="00965D85" w:rsidRPr="00E22AD9" w:rsidTr="008B46DF">
        <w:tc>
          <w:tcPr>
            <w:tcW w:w="3686" w:type="dxa"/>
            <w:tcBorders>
              <w:top w:val="single" w:sz="6" w:space="0" w:color="000000"/>
              <w:left w:val="nil"/>
              <w:bottom w:val="single" w:sz="12" w:space="0" w:color="000000"/>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Total superannuation (gain)/expense recognised in operating statement</w:t>
            </w:r>
          </w:p>
        </w:tc>
        <w:tc>
          <w:tcPr>
            <w:tcW w:w="822" w:type="dxa"/>
            <w:tcBorders>
              <w:top w:val="single" w:sz="6" w:space="0" w:color="000000"/>
              <w:left w:val="nil"/>
              <w:bottom w:val="single" w:sz="12"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2 025.7</w:t>
            </w:r>
          </w:p>
        </w:tc>
        <w:tc>
          <w:tcPr>
            <w:tcW w:w="822" w:type="dxa"/>
            <w:tcBorders>
              <w:top w:val="single" w:sz="6" w:space="0" w:color="000000"/>
              <w:left w:val="nil"/>
              <w:bottom w:val="single" w:sz="12"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4 319.6</w:t>
            </w:r>
          </w:p>
        </w:tc>
        <w:tc>
          <w:tcPr>
            <w:tcW w:w="822" w:type="dxa"/>
            <w:tcBorders>
              <w:top w:val="single" w:sz="6" w:space="0" w:color="000000"/>
              <w:left w:val="nil"/>
              <w:bottom w:val="single" w:sz="12"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2 061.6</w:t>
            </w:r>
          </w:p>
        </w:tc>
        <w:tc>
          <w:tcPr>
            <w:tcW w:w="822" w:type="dxa"/>
            <w:tcBorders>
              <w:top w:val="single" w:sz="6" w:space="0" w:color="000000"/>
              <w:left w:val="nil"/>
              <w:bottom w:val="single" w:sz="12"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2 059.0</w:t>
            </w:r>
          </w:p>
        </w:tc>
        <w:tc>
          <w:tcPr>
            <w:tcW w:w="823" w:type="dxa"/>
            <w:tcBorders>
              <w:top w:val="single" w:sz="6" w:space="0" w:color="000000"/>
              <w:left w:val="nil"/>
              <w:bottom w:val="single" w:sz="12"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2 106.4</w:t>
            </w:r>
          </w:p>
        </w:tc>
      </w:tr>
      <w:tr w:rsidR="00965D85" w:rsidRPr="00E22AD9" w:rsidTr="008B46DF">
        <w:tc>
          <w:tcPr>
            <w:tcW w:w="3686" w:type="dxa"/>
            <w:tcBorders>
              <w:top w:val="single" w:sz="12" w:space="0" w:color="000000"/>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Represented by:</w:t>
            </w:r>
          </w:p>
        </w:tc>
        <w:tc>
          <w:tcPr>
            <w:tcW w:w="822" w:type="dxa"/>
            <w:tcBorders>
              <w:top w:val="single" w:sz="12" w:space="0" w:color="000000"/>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822" w:type="dxa"/>
            <w:tcBorders>
              <w:top w:val="single" w:sz="12" w:space="0" w:color="000000"/>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822" w:type="dxa"/>
            <w:tcBorders>
              <w:top w:val="single" w:sz="12" w:space="0" w:color="000000"/>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822" w:type="dxa"/>
            <w:tcBorders>
              <w:top w:val="single" w:sz="12" w:space="0" w:color="000000"/>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823" w:type="dxa"/>
            <w:tcBorders>
              <w:top w:val="single" w:sz="12" w:space="0" w:color="000000"/>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r>
      <w:tr w:rsidR="00965D85" w:rsidRPr="00E22AD9" w:rsidTr="008B46DF">
        <w:tc>
          <w:tcPr>
            <w:tcW w:w="3686" w:type="dxa"/>
            <w:tcBorders>
              <w:top w:val="nil"/>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Net superannuation interest expense</w:t>
            </w:r>
          </w:p>
        </w:tc>
        <w:tc>
          <w:tcPr>
            <w:tcW w:w="822"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886.5</w:t>
            </w:r>
          </w:p>
        </w:tc>
        <w:tc>
          <w:tcPr>
            <w:tcW w:w="822"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878.0</w:t>
            </w:r>
          </w:p>
        </w:tc>
        <w:tc>
          <w:tcPr>
            <w:tcW w:w="822"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820.6</w:t>
            </w:r>
          </w:p>
        </w:tc>
        <w:tc>
          <w:tcPr>
            <w:tcW w:w="822"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803.2</w:t>
            </w:r>
          </w:p>
        </w:tc>
        <w:tc>
          <w:tcPr>
            <w:tcW w:w="823"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806.7</w:t>
            </w:r>
          </w:p>
        </w:tc>
      </w:tr>
      <w:tr w:rsidR="00965D85" w:rsidRPr="00E22AD9" w:rsidTr="008B46DF">
        <w:tc>
          <w:tcPr>
            <w:tcW w:w="3686" w:type="dxa"/>
            <w:tcBorders>
              <w:top w:val="nil"/>
              <w:left w:val="nil"/>
              <w:bottom w:val="single" w:sz="4" w:space="0" w:color="auto"/>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Other superannuation</w:t>
            </w:r>
          </w:p>
        </w:tc>
        <w:tc>
          <w:tcPr>
            <w:tcW w:w="822" w:type="dxa"/>
            <w:tcBorders>
              <w:top w:val="nil"/>
              <w:left w:val="nil"/>
              <w:bottom w:val="single" w:sz="4" w:space="0" w:color="auto"/>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2 101.7</w:t>
            </w:r>
          </w:p>
        </w:tc>
        <w:tc>
          <w:tcPr>
            <w:tcW w:w="822" w:type="dxa"/>
            <w:tcBorders>
              <w:top w:val="nil"/>
              <w:left w:val="nil"/>
              <w:bottom w:val="single" w:sz="4" w:space="0" w:color="auto"/>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2 048.6</w:t>
            </w:r>
          </w:p>
        </w:tc>
        <w:tc>
          <w:tcPr>
            <w:tcW w:w="822" w:type="dxa"/>
            <w:tcBorders>
              <w:top w:val="nil"/>
              <w:left w:val="nil"/>
              <w:bottom w:val="single" w:sz="4" w:space="0" w:color="auto"/>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2 088.2</w:t>
            </w:r>
          </w:p>
        </w:tc>
        <w:tc>
          <w:tcPr>
            <w:tcW w:w="822" w:type="dxa"/>
            <w:tcBorders>
              <w:top w:val="nil"/>
              <w:left w:val="nil"/>
              <w:bottom w:val="single" w:sz="4" w:space="0" w:color="auto"/>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2 106.1</w:t>
            </w:r>
          </w:p>
        </w:tc>
        <w:tc>
          <w:tcPr>
            <w:tcW w:w="823" w:type="dxa"/>
            <w:tcBorders>
              <w:top w:val="nil"/>
              <w:left w:val="nil"/>
              <w:bottom w:val="single" w:sz="4" w:space="0" w:color="auto"/>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2 135.8</w:t>
            </w:r>
          </w:p>
        </w:tc>
      </w:tr>
      <w:tr w:rsidR="00965D85" w:rsidRPr="00E22AD9" w:rsidTr="008B46DF">
        <w:tc>
          <w:tcPr>
            <w:tcW w:w="3686" w:type="dxa"/>
            <w:tcBorders>
              <w:top w:val="single" w:sz="4" w:space="0" w:color="auto"/>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Superannuation expense from transactions</w:t>
            </w:r>
          </w:p>
        </w:tc>
        <w:tc>
          <w:tcPr>
            <w:tcW w:w="822" w:type="dxa"/>
            <w:tcBorders>
              <w:top w:val="single" w:sz="4" w:space="0" w:color="auto"/>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2 988.1</w:t>
            </w:r>
          </w:p>
        </w:tc>
        <w:tc>
          <w:tcPr>
            <w:tcW w:w="822" w:type="dxa"/>
            <w:tcBorders>
              <w:top w:val="single" w:sz="4" w:space="0" w:color="auto"/>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2 926.6</w:t>
            </w:r>
          </w:p>
        </w:tc>
        <w:tc>
          <w:tcPr>
            <w:tcW w:w="822" w:type="dxa"/>
            <w:tcBorders>
              <w:top w:val="single" w:sz="4" w:space="0" w:color="auto"/>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2 908.8</w:t>
            </w:r>
          </w:p>
        </w:tc>
        <w:tc>
          <w:tcPr>
            <w:tcW w:w="822" w:type="dxa"/>
            <w:tcBorders>
              <w:top w:val="single" w:sz="4" w:space="0" w:color="auto"/>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2 909.3</w:t>
            </w:r>
          </w:p>
        </w:tc>
        <w:tc>
          <w:tcPr>
            <w:tcW w:w="823" w:type="dxa"/>
            <w:tcBorders>
              <w:top w:val="single" w:sz="4" w:space="0" w:color="auto"/>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2 942.5</w:t>
            </w:r>
          </w:p>
        </w:tc>
      </w:tr>
      <w:tr w:rsidR="00965D85" w:rsidRPr="00E22AD9" w:rsidTr="008B46DF">
        <w:tc>
          <w:tcPr>
            <w:tcW w:w="3686" w:type="dxa"/>
            <w:tcBorders>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Remeasurements recognised in other comprehensive income</w:t>
            </w:r>
          </w:p>
        </w:tc>
        <w:tc>
          <w:tcPr>
            <w:tcW w:w="822" w:type="dxa"/>
            <w:tcBorders>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20"/>
                <w:lang w:eastAsia="en-AU"/>
              </w:rPr>
              <w:t>(962.4)</w:t>
            </w:r>
          </w:p>
        </w:tc>
        <w:tc>
          <w:tcPr>
            <w:tcW w:w="822" w:type="dxa"/>
            <w:tcBorders>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1 392.9</w:t>
            </w:r>
          </w:p>
        </w:tc>
        <w:tc>
          <w:tcPr>
            <w:tcW w:w="822" w:type="dxa"/>
            <w:tcBorders>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20"/>
                <w:lang w:eastAsia="en-AU"/>
              </w:rPr>
              <w:t>(847.1)</w:t>
            </w:r>
          </w:p>
        </w:tc>
        <w:tc>
          <w:tcPr>
            <w:tcW w:w="822" w:type="dxa"/>
            <w:tcBorders>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20"/>
                <w:lang w:eastAsia="en-AU"/>
              </w:rPr>
              <w:t>(850.3)</w:t>
            </w:r>
          </w:p>
        </w:tc>
        <w:tc>
          <w:tcPr>
            <w:tcW w:w="823" w:type="dxa"/>
            <w:tcBorders>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20"/>
                <w:lang w:eastAsia="en-AU"/>
              </w:rPr>
              <w:t>(836.1)</w:t>
            </w:r>
          </w:p>
        </w:tc>
      </w:tr>
      <w:tr w:rsidR="00965D85" w:rsidRPr="00E22AD9" w:rsidTr="008B46DF">
        <w:tc>
          <w:tcPr>
            <w:tcW w:w="3686" w:type="dxa"/>
            <w:tcBorders>
              <w:top w:val="single" w:sz="6" w:space="0" w:color="000000"/>
              <w:left w:val="nil"/>
              <w:bottom w:val="single" w:sz="12" w:space="0" w:color="000000"/>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Total superannuation expense recognised in operating statement</w:t>
            </w:r>
          </w:p>
        </w:tc>
        <w:tc>
          <w:tcPr>
            <w:tcW w:w="822" w:type="dxa"/>
            <w:tcBorders>
              <w:top w:val="single" w:sz="6" w:space="0" w:color="000000"/>
              <w:left w:val="nil"/>
              <w:bottom w:val="single" w:sz="12"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2 025.7</w:t>
            </w:r>
          </w:p>
        </w:tc>
        <w:tc>
          <w:tcPr>
            <w:tcW w:w="822" w:type="dxa"/>
            <w:tcBorders>
              <w:top w:val="single" w:sz="6" w:space="0" w:color="000000"/>
              <w:left w:val="nil"/>
              <w:bottom w:val="single" w:sz="12"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4 319.6</w:t>
            </w:r>
          </w:p>
        </w:tc>
        <w:tc>
          <w:tcPr>
            <w:tcW w:w="822" w:type="dxa"/>
            <w:tcBorders>
              <w:top w:val="single" w:sz="6" w:space="0" w:color="000000"/>
              <w:left w:val="nil"/>
              <w:bottom w:val="single" w:sz="12"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2 061.6</w:t>
            </w:r>
          </w:p>
        </w:tc>
        <w:tc>
          <w:tcPr>
            <w:tcW w:w="822" w:type="dxa"/>
            <w:tcBorders>
              <w:top w:val="single" w:sz="6" w:space="0" w:color="000000"/>
              <w:left w:val="nil"/>
              <w:bottom w:val="single" w:sz="12"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2 059.0</w:t>
            </w:r>
          </w:p>
        </w:tc>
        <w:tc>
          <w:tcPr>
            <w:tcW w:w="823" w:type="dxa"/>
            <w:tcBorders>
              <w:top w:val="single" w:sz="6" w:space="0" w:color="000000"/>
              <w:left w:val="nil"/>
              <w:bottom w:val="single" w:sz="12"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2 106.4</w:t>
            </w:r>
          </w:p>
        </w:tc>
      </w:tr>
    </w:tbl>
    <w:p w:rsidR="00965D85" w:rsidRPr="003C7B22" w:rsidRDefault="00965D85" w:rsidP="008B46DF">
      <w:pPr>
        <w:rPr>
          <w:lang w:eastAsia="en-AU"/>
        </w:rPr>
      </w:pPr>
    </w:p>
    <w:p w:rsidR="00965D85" w:rsidRDefault="00965D85">
      <w:pPr>
        <w:spacing w:after="0"/>
        <w:rPr>
          <w:rFonts w:ascii="Calibri" w:eastAsiaTheme="minorEastAsia" w:hAnsi="Calibri"/>
          <w:b/>
          <w:kern w:val="28"/>
          <w:sz w:val="26"/>
          <w:szCs w:val="22"/>
        </w:rPr>
      </w:pPr>
      <w:r>
        <w:rPr>
          <w:rFonts w:eastAsiaTheme="minorEastAsia"/>
        </w:rPr>
        <w:br w:type="page"/>
      </w:r>
    </w:p>
    <w:p w:rsidR="00965D85" w:rsidRDefault="00965D85" w:rsidP="008B46DF">
      <w:pPr>
        <w:pStyle w:val="Heading2NotesContd"/>
        <w:rPr>
          <w:rFonts w:eastAsiaTheme="minorEastAsia"/>
          <w:i/>
          <w:lang w:eastAsia="en-AU"/>
        </w:rPr>
      </w:pPr>
      <w:r w:rsidRPr="00351274">
        <w:rPr>
          <w:rFonts w:eastAsiaTheme="minorEastAsia"/>
        </w:rPr>
        <w:lastRenderedPageBreak/>
        <w:t>Note</w:t>
      </w:r>
      <w:r>
        <w:rPr>
          <w:rFonts w:eastAsiaTheme="minorEastAsia"/>
          <w:lang w:eastAsia="en-AU"/>
        </w:rPr>
        <w:t xml:space="preserve"> 7:</w:t>
      </w:r>
      <w:r>
        <w:rPr>
          <w:rFonts w:eastAsiaTheme="minorEastAsia"/>
          <w:lang w:eastAsia="en-AU"/>
        </w:rPr>
        <w:tab/>
        <w:t xml:space="preserve">Superannuation </w:t>
      </w:r>
      <w:r w:rsidRPr="00EA2807">
        <w:rPr>
          <w:rFonts w:eastAsiaTheme="minorEastAsia"/>
          <w:i/>
          <w:lang w:eastAsia="en-AU"/>
        </w:rPr>
        <w:t>(continued)</w:t>
      </w:r>
    </w:p>
    <w:p w:rsidR="00965D85" w:rsidRPr="00E22AD9" w:rsidRDefault="00965D85" w:rsidP="008B46DF">
      <w:pPr>
        <w:pStyle w:val="Heading5"/>
        <w:rPr>
          <w:rFonts w:ascii="Times New Roman" w:hAnsi="Times New Roman"/>
          <w:b w:val="0"/>
          <w:sz w:val="20"/>
          <w:lang w:eastAsia="en-AU"/>
        </w:rPr>
      </w:pPr>
      <w:r w:rsidRPr="00CB141A">
        <w:rPr>
          <w:rFonts w:eastAsiaTheme="minorEastAsia"/>
          <w:lang w:eastAsia="en-AU"/>
        </w:rPr>
        <w:t>(b)</w:t>
      </w:r>
      <w:r w:rsidRPr="00CB141A">
        <w:rPr>
          <w:rFonts w:eastAsiaTheme="minorEastAsia"/>
          <w:lang w:eastAsia="en-AU"/>
        </w:rPr>
        <w:tab/>
        <w:t>Reconciliation of the present value of the defined benefit obligation</w:t>
      </w:r>
    </w:p>
    <w:tbl>
      <w:tblPr>
        <w:tblW w:w="7797" w:type="dxa"/>
        <w:tblInd w:w="28" w:type="dxa"/>
        <w:tblLayout w:type="fixed"/>
        <w:tblCellMar>
          <w:left w:w="28" w:type="dxa"/>
          <w:right w:w="28" w:type="dxa"/>
        </w:tblCellMar>
        <w:tblLook w:val="0000" w:firstRow="0" w:lastRow="0" w:firstColumn="0" w:lastColumn="0" w:noHBand="0" w:noVBand="0"/>
      </w:tblPr>
      <w:tblGrid>
        <w:gridCol w:w="3345"/>
        <w:gridCol w:w="890"/>
        <w:gridCol w:w="890"/>
        <w:gridCol w:w="891"/>
        <w:gridCol w:w="890"/>
        <w:gridCol w:w="891"/>
      </w:tblGrid>
      <w:tr w:rsidR="00965D85" w:rsidRPr="00E22AD9" w:rsidTr="008B46DF">
        <w:trPr>
          <w:tblHeader/>
        </w:trPr>
        <w:tc>
          <w:tcPr>
            <w:tcW w:w="7797" w:type="dxa"/>
            <w:gridSpan w:val="6"/>
            <w:tcBorders>
              <w:top w:val="nil"/>
              <w:left w:val="nil"/>
              <w:bottom w:val="single" w:sz="6" w:space="0" w:color="auto"/>
              <w:right w:val="nil"/>
            </w:tcBorders>
          </w:tcPr>
          <w:p w:rsidR="00965D85" w:rsidRPr="00E22AD9" w:rsidRDefault="00965D85" w:rsidP="008B46DF">
            <w:pPr>
              <w:pStyle w:val="million"/>
              <w:rPr>
                <w:rFonts w:eastAsiaTheme="minorEastAsia" w:cs="Calibri"/>
                <w:iCs/>
                <w:color w:val="000000"/>
                <w:sz w:val="20"/>
                <w:lang w:eastAsia="en-AU"/>
              </w:rPr>
            </w:pPr>
            <w:r w:rsidRPr="00E22AD9">
              <w:rPr>
                <w:rFonts w:eastAsiaTheme="minorEastAsia"/>
                <w:lang w:eastAsia="en-AU"/>
              </w:rPr>
              <w:t>($ million)</w:t>
            </w:r>
          </w:p>
        </w:tc>
      </w:tr>
      <w:tr w:rsidR="00965D85" w:rsidRPr="004E5DCF" w:rsidTr="008B46DF">
        <w:trPr>
          <w:trHeight w:val="482"/>
          <w:tblHeader/>
        </w:trPr>
        <w:tc>
          <w:tcPr>
            <w:tcW w:w="3345" w:type="dxa"/>
            <w:tcBorders>
              <w:top w:val="single" w:sz="6" w:space="0" w:color="auto"/>
              <w:left w:val="nil"/>
              <w:right w:val="nil"/>
            </w:tcBorders>
            <w:shd w:val="solid" w:color="000000" w:fill="auto"/>
          </w:tcPr>
          <w:p w:rsidR="00965D85" w:rsidRPr="004E5DCF" w:rsidRDefault="00965D85" w:rsidP="008B46DF">
            <w:pPr>
              <w:pStyle w:val="million"/>
              <w:rPr>
                <w:rFonts w:eastAsiaTheme="minorEastAsia"/>
                <w:sz w:val="20"/>
                <w:szCs w:val="20"/>
                <w:lang w:eastAsia="en-AU"/>
              </w:rPr>
            </w:pPr>
            <w:r w:rsidRPr="004E5DCF">
              <w:rPr>
                <w:rFonts w:eastAsiaTheme="minorEastAsia"/>
                <w:sz w:val="20"/>
                <w:szCs w:val="20"/>
                <w:lang w:eastAsia="en-AU"/>
              </w:rPr>
              <w:t xml:space="preserve"> </w:t>
            </w:r>
          </w:p>
          <w:p w:rsidR="00965D85" w:rsidRPr="004E5DCF" w:rsidRDefault="00965D85" w:rsidP="008B46DF">
            <w:pPr>
              <w:autoSpaceDE w:val="0"/>
              <w:autoSpaceDN w:val="0"/>
              <w:adjustRightInd w:val="0"/>
              <w:spacing w:after="0"/>
              <w:rPr>
                <w:rFonts w:eastAsiaTheme="minorEastAsia"/>
                <w:sz w:val="20"/>
                <w:lang w:eastAsia="en-AU"/>
              </w:rPr>
            </w:pPr>
            <w:r w:rsidRPr="004E5DCF">
              <w:rPr>
                <w:rFonts w:ascii="Calibri" w:eastAsiaTheme="minorEastAsia" w:hAnsi="Calibri" w:cs="Calibri"/>
                <w:color w:val="000000"/>
                <w:sz w:val="20"/>
                <w:lang w:eastAsia="en-AU"/>
              </w:rPr>
              <w:t xml:space="preserve"> </w:t>
            </w:r>
          </w:p>
        </w:tc>
        <w:tc>
          <w:tcPr>
            <w:tcW w:w="890" w:type="dxa"/>
            <w:tcBorders>
              <w:top w:val="single" w:sz="6" w:space="0" w:color="auto"/>
              <w:left w:val="nil"/>
              <w:right w:val="nil"/>
            </w:tcBorders>
            <w:shd w:val="solid" w:color="000000" w:fill="auto"/>
          </w:tcPr>
          <w:p w:rsidR="00965D85" w:rsidRPr="004E5DCF" w:rsidRDefault="00965D85" w:rsidP="008B46DF">
            <w:pPr>
              <w:pStyle w:val="million"/>
              <w:rPr>
                <w:rFonts w:eastAsiaTheme="minorEastAsia"/>
                <w:iCs/>
                <w:color w:val="FFFFFF"/>
                <w:sz w:val="20"/>
                <w:szCs w:val="20"/>
                <w:lang w:eastAsia="en-AU"/>
              </w:rPr>
            </w:pPr>
            <w:r w:rsidRPr="004E5DCF">
              <w:rPr>
                <w:rFonts w:eastAsiaTheme="minorEastAsia"/>
                <w:iCs/>
                <w:color w:val="FFFFFF"/>
                <w:sz w:val="20"/>
                <w:szCs w:val="20"/>
                <w:lang w:eastAsia="en-AU"/>
              </w:rPr>
              <w:t>2015</w:t>
            </w:r>
            <w:r w:rsidRPr="004E5DCF">
              <w:rPr>
                <w:rFonts w:eastAsiaTheme="minorEastAsia"/>
                <w:iCs/>
                <w:color w:val="FFFFFF"/>
                <w:sz w:val="20"/>
                <w:szCs w:val="20"/>
                <w:lang w:eastAsia="en-AU"/>
              </w:rPr>
              <w:noBreakHyphen/>
              <w:t>16</w:t>
            </w:r>
          </w:p>
          <w:p w:rsidR="00965D85" w:rsidRPr="004E5DCF" w:rsidRDefault="00965D85" w:rsidP="008B46DF">
            <w:pPr>
              <w:autoSpaceDE w:val="0"/>
              <w:autoSpaceDN w:val="0"/>
              <w:adjustRightInd w:val="0"/>
              <w:spacing w:after="0"/>
              <w:jc w:val="right"/>
              <w:rPr>
                <w:rFonts w:eastAsiaTheme="minorEastAsia"/>
                <w:iCs/>
                <w:color w:val="FFFFFF"/>
                <w:sz w:val="20"/>
                <w:lang w:eastAsia="en-AU"/>
              </w:rPr>
            </w:pPr>
            <w:r w:rsidRPr="004E5DCF">
              <w:rPr>
                <w:rFonts w:ascii="Calibri" w:eastAsiaTheme="minorEastAsia" w:hAnsi="Calibri" w:cs="Calibri"/>
                <w:i/>
                <w:iCs/>
                <w:color w:val="FFFFFF"/>
                <w:sz w:val="20"/>
                <w:lang w:eastAsia="en-AU"/>
              </w:rPr>
              <w:t>budget</w:t>
            </w:r>
          </w:p>
        </w:tc>
        <w:tc>
          <w:tcPr>
            <w:tcW w:w="890" w:type="dxa"/>
            <w:tcBorders>
              <w:top w:val="single" w:sz="6" w:space="0" w:color="auto"/>
              <w:left w:val="nil"/>
              <w:right w:val="nil"/>
            </w:tcBorders>
            <w:shd w:val="solid" w:color="000000" w:fill="auto"/>
          </w:tcPr>
          <w:p w:rsidR="00965D85" w:rsidRPr="004E5DCF" w:rsidRDefault="00965D85" w:rsidP="008B46DF">
            <w:pPr>
              <w:pStyle w:val="million"/>
              <w:rPr>
                <w:rFonts w:eastAsiaTheme="minorEastAsia"/>
                <w:iCs/>
                <w:color w:val="FFFFFF"/>
                <w:sz w:val="20"/>
                <w:szCs w:val="20"/>
                <w:lang w:eastAsia="en-AU"/>
              </w:rPr>
            </w:pPr>
            <w:r w:rsidRPr="004E5DCF">
              <w:rPr>
                <w:rFonts w:eastAsiaTheme="minorEastAsia"/>
                <w:iCs/>
                <w:color w:val="FFFFFF"/>
                <w:sz w:val="20"/>
                <w:szCs w:val="20"/>
                <w:lang w:eastAsia="en-AU"/>
              </w:rPr>
              <w:t>2015</w:t>
            </w:r>
            <w:r w:rsidRPr="004E5DCF">
              <w:rPr>
                <w:rFonts w:eastAsiaTheme="minorEastAsia"/>
                <w:iCs/>
                <w:color w:val="FFFFFF"/>
                <w:sz w:val="20"/>
                <w:szCs w:val="20"/>
                <w:lang w:eastAsia="en-AU"/>
              </w:rPr>
              <w:noBreakHyphen/>
              <w:t>16</w:t>
            </w:r>
          </w:p>
          <w:p w:rsidR="00965D85" w:rsidRPr="004E5DCF" w:rsidRDefault="00965D85" w:rsidP="008B46DF">
            <w:pPr>
              <w:autoSpaceDE w:val="0"/>
              <w:autoSpaceDN w:val="0"/>
              <w:adjustRightInd w:val="0"/>
              <w:spacing w:after="0"/>
              <w:jc w:val="right"/>
              <w:rPr>
                <w:rFonts w:eastAsiaTheme="minorEastAsia"/>
                <w:iCs/>
                <w:color w:val="FFFFFF"/>
                <w:sz w:val="20"/>
                <w:lang w:eastAsia="en-AU"/>
              </w:rPr>
            </w:pPr>
            <w:r w:rsidRPr="004E5DCF">
              <w:rPr>
                <w:rFonts w:ascii="Calibri" w:eastAsiaTheme="minorEastAsia" w:hAnsi="Calibri" w:cs="Calibri"/>
                <w:i/>
                <w:iCs/>
                <w:color w:val="FFFFFF"/>
                <w:sz w:val="20"/>
                <w:lang w:eastAsia="en-AU"/>
              </w:rPr>
              <w:t>revised</w:t>
            </w:r>
          </w:p>
        </w:tc>
        <w:tc>
          <w:tcPr>
            <w:tcW w:w="891" w:type="dxa"/>
            <w:tcBorders>
              <w:top w:val="single" w:sz="6" w:space="0" w:color="auto"/>
              <w:left w:val="nil"/>
              <w:right w:val="nil"/>
            </w:tcBorders>
            <w:shd w:val="solid" w:color="000000" w:fill="auto"/>
          </w:tcPr>
          <w:p w:rsidR="00965D85" w:rsidRPr="004E5DCF" w:rsidRDefault="00965D85" w:rsidP="008B46DF">
            <w:pPr>
              <w:pStyle w:val="million"/>
              <w:rPr>
                <w:rFonts w:eastAsiaTheme="minorEastAsia"/>
                <w:iCs/>
                <w:color w:val="FFFFFF"/>
                <w:sz w:val="20"/>
                <w:szCs w:val="20"/>
                <w:lang w:eastAsia="en-AU"/>
              </w:rPr>
            </w:pPr>
            <w:r w:rsidRPr="004E5DCF">
              <w:rPr>
                <w:rFonts w:eastAsiaTheme="minorEastAsia"/>
                <w:iCs/>
                <w:color w:val="FFFFFF"/>
                <w:sz w:val="20"/>
                <w:szCs w:val="20"/>
                <w:lang w:eastAsia="en-AU"/>
              </w:rPr>
              <w:t>2016</w:t>
            </w:r>
            <w:r w:rsidRPr="004E5DCF">
              <w:rPr>
                <w:rFonts w:eastAsiaTheme="minorEastAsia"/>
                <w:iCs/>
                <w:color w:val="FFFFFF"/>
                <w:sz w:val="20"/>
                <w:szCs w:val="20"/>
                <w:lang w:eastAsia="en-AU"/>
              </w:rPr>
              <w:noBreakHyphen/>
              <w:t>17</w:t>
            </w:r>
          </w:p>
          <w:p w:rsidR="00965D85" w:rsidRPr="004E5DCF" w:rsidRDefault="00965D85" w:rsidP="008B46DF">
            <w:pPr>
              <w:autoSpaceDE w:val="0"/>
              <w:autoSpaceDN w:val="0"/>
              <w:adjustRightInd w:val="0"/>
              <w:spacing w:after="0"/>
              <w:jc w:val="right"/>
              <w:rPr>
                <w:rFonts w:eastAsiaTheme="minorEastAsia"/>
                <w:iCs/>
                <w:color w:val="FFFFFF"/>
                <w:sz w:val="20"/>
                <w:lang w:eastAsia="en-AU"/>
              </w:rPr>
            </w:pPr>
            <w:r w:rsidRPr="004E5DCF">
              <w:rPr>
                <w:rFonts w:ascii="Calibri" w:eastAsiaTheme="minorEastAsia" w:hAnsi="Calibri" w:cs="Calibri"/>
                <w:i/>
                <w:iCs/>
                <w:color w:val="FFFFFF"/>
                <w:sz w:val="20"/>
                <w:lang w:eastAsia="en-AU"/>
              </w:rPr>
              <w:t>estimate</w:t>
            </w:r>
          </w:p>
        </w:tc>
        <w:tc>
          <w:tcPr>
            <w:tcW w:w="890" w:type="dxa"/>
            <w:tcBorders>
              <w:top w:val="single" w:sz="6" w:space="0" w:color="auto"/>
              <w:left w:val="nil"/>
              <w:right w:val="nil"/>
            </w:tcBorders>
            <w:shd w:val="solid" w:color="000000" w:fill="auto"/>
          </w:tcPr>
          <w:p w:rsidR="00965D85" w:rsidRPr="004E5DCF" w:rsidRDefault="00965D85" w:rsidP="008B46DF">
            <w:pPr>
              <w:pStyle w:val="million"/>
              <w:rPr>
                <w:rFonts w:eastAsiaTheme="minorEastAsia"/>
                <w:iCs/>
                <w:color w:val="FFFFFF"/>
                <w:sz w:val="20"/>
                <w:szCs w:val="20"/>
                <w:lang w:eastAsia="en-AU"/>
              </w:rPr>
            </w:pPr>
            <w:r w:rsidRPr="004E5DCF">
              <w:rPr>
                <w:rFonts w:eastAsiaTheme="minorEastAsia"/>
                <w:iCs/>
                <w:color w:val="FFFFFF"/>
                <w:sz w:val="20"/>
                <w:szCs w:val="20"/>
                <w:lang w:eastAsia="en-AU"/>
              </w:rPr>
              <w:t>2017</w:t>
            </w:r>
            <w:r w:rsidRPr="004E5DCF">
              <w:rPr>
                <w:rFonts w:eastAsiaTheme="minorEastAsia"/>
                <w:iCs/>
                <w:color w:val="FFFFFF"/>
                <w:sz w:val="20"/>
                <w:szCs w:val="20"/>
                <w:lang w:eastAsia="en-AU"/>
              </w:rPr>
              <w:noBreakHyphen/>
              <w:t>18</w:t>
            </w:r>
          </w:p>
          <w:p w:rsidR="00965D85" w:rsidRPr="004E5DCF" w:rsidRDefault="00965D85" w:rsidP="008B46DF">
            <w:pPr>
              <w:autoSpaceDE w:val="0"/>
              <w:autoSpaceDN w:val="0"/>
              <w:adjustRightInd w:val="0"/>
              <w:spacing w:after="0"/>
              <w:jc w:val="right"/>
              <w:rPr>
                <w:rFonts w:eastAsiaTheme="minorEastAsia"/>
                <w:iCs/>
                <w:color w:val="FFFFFF"/>
                <w:sz w:val="20"/>
                <w:lang w:eastAsia="en-AU"/>
              </w:rPr>
            </w:pPr>
            <w:r w:rsidRPr="004E5DCF">
              <w:rPr>
                <w:rFonts w:ascii="Calibri" w:eastAsiaTheme="minorEastAsia" w:hAnsi="Calibri" w:cs="Calibri"/>
                <w:i/>
                <w:iCs/>
                <w:color w:val="FFFFFF"/>
                <w:sz w:val="20"/>
                <w:lang w:eastAsia="en-AU"/>
              </w:rPr>
              <w:t>estimate</w:t>
            </w:r>
          </w:p>
        </w:tc>
        <w:tc>
          <w:tcPr>
            <w:tcW w:w="891" w:type="dxa"/>
            <w:tcBorders>
              <w:top w:val="single" w:sz="6" w:space="0" w:color="auto"/>
              <w:left w:val="nil"/>
              <w:right w:val="nil"/>
            </w:tcBorders>
            <w:shd w:val="solid" w:color="000000" w:fill="auto"/>
          </w:tcPr>
          <w:p w:rsidR="00965D85" w:rsidRPr="004E5DCF" w:rsidRDefault="00965D85" w:rsidP="008B46DF">
            <w:pPr>
              <w:pStyle w:val="million"/>
              <w:rPr>
                <w:rFonts w:eastAsiaTheme="minorEastAsia"/>
                <w:iCs/>
                <w:color w:val="FFFFFF"/>
                <w:sz w:val="20"/>
                <w:szCs w:val="20"/>
                <w:lang w:eastAsia="en-AU"/>
              </w:rPr>
            </w:pPr>
            <w:r w:rsidRPr="004E5DCF">
              <w:rPr>
                <w:rFonts w:eastAsiaTheme="minorEastAsia"/>
                <w:iCs/>
                <w:color w:val="FFFFFF"/>
                <w:sz w:val="20"/>
                <w:szCs w:val="20"/>
                <w:lang w:eastAsia="en-AU"/>
              </w:rPr>
              <w:t>2018</w:t>
            </w:r>
            <w:r w:rsidRPr="004E5DCF">
              <w:rPr>
                <w:rFonts w:eastAsiaTheme="minorEastAsia"/>
                <w:iCs/>
                <w:color w:val="FFFFFF"/>
                <w:sz w:val="20"/>
                <w:szCs w:val="20"/>
                <w:lang w:eastAsia="en-AU"/>
              </w:rPr>
              <w:noBreakHyphen/>
              <w:t>19</w:t>
            </w:r>
          </w:p>
          <w:p w:rsidR="00965D85" w:rsidRPr="004E5DCF" w:rsidRDefault="00965D85" w:rsidP="008B46DF">
            <w:pPr>
              <w:autoSpaceDE w:val="0"/>
              <w:autoSpaceDN w:val="0"/>
              <w:adjustRightInd w:val="0"/>
              <w:spacing w:after="0"/>
              <w:jc w:val="right"/>
              <w:rPr>
                <w:rFonts w:eastAsiaTheme="minorEastAsia"/>
                <w:iCs/>
                <w:color w:val="FFFFFF"/>
                <w:sz w:val="20"/>
                <w:lang w:eastAsia="en-AU"/>
              </w:rPr>
            </w:pPr>
            <w:r w:rsidRPr="004E5DCF">
              <w:rPr>
                <w:rFonts w:ascii="Calibri" w:eastAsiaTheme="minorEastAsia" w:hAnsi="Calibri" w:cs="Calibri"/>
                <w:i/>
                <w:iCs/>
                <w:color w:val="FFFFFF"/>
                <w:sz w:val="20"/>
                <w:lang w:eastAsia="en-AU"/>
              </w:rPr>
              <w:t>estimate</w:t>
            </w:r>
          </w:p>
        </w:tc>
      </w:tr>
      <w:tr w:rsidR="00965D85" w:rsidRPr="00E22AD9" w:rsidTr="008B46DF">
        <w:tc>
          <w:tcPr>
            <w:tcW w:w="3345" w:type="dxa"/>
            <w:tcBorders>
              <w:top w:val="single" w:sz="6" w:space="0" w:color="auto"/>
              <w:left w:val="nil"/>
              <w:right w:val="nil"/>
            </w:tcBorders>
            <w:shd w:val="solid" w:color="FFFFFF"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Opening balance of defined benefit obligation</w:t>
            </w:r>
          </w:p>
        </w:tc>
        <w:tc>
          <w:tcPr>
            <w:tcW w:w="890" w:type="dxa"/>
            <w:tcBorders>
              <w:top w:val="single" w:sz="6" w:space="0" w:color="auto"/>
              <w:left w:val="nil"/>
              <w:right w:val="nil"/>
            </w:tcBorders>
            <w:shd w:val="solid" w:color="FFFFFF"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45 990.4</w:t>
            </w:r>
          </w:p>
        </w:tc>
        <w:tc>
          <w:tcPr>
            <w:tcW w:w="890" w:type="dxa"/>
            <w:tcBorders>
              <w:top w:val="single" w:sz="6" w:space="0" w:color="auto"/>
              <w:left w:val="nil"/>
              <w:right w:val="nil"/>
            </w:tcBorders>
            <w:shd w:val="solid" w:color="FFFFFF"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45 990.4</w:t>
            </w:r>
          </w:p>
        </w:tc>
        <w:tc>
          <w:tcPr>
            <w:tcW w:w="891" w:type="dxa"/>
            <w:tcBorders>
              <w:top w:val="single" w:sz="6" w:space="0" w:color="auto"/>
              <w:left w:val="nil"/>
              <w:right w:val="nil"/>
            </w:tcBorders>
            <w:shd w:val="solid" w:color="FFFFFF"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47 264.0</w:t>
            </w:r>
          </w:p>
        </w:tc>
        <w:tc>
          <w:tcPr>
            <w:tcW w:w="890" w:type="dxa"/>
            <w:tcBorders>
              <w:top w:val="single" w:sz="6" w:space="0" w:color="auto"/>
              <w:left w:val="nil"/>
              <w:right w:val="nil"/>
            </w:tcBorders>
            <w:shd w:val="solid" w:color="FFFFFF"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46 837.7</w:t>
            </w:r>
          </w:p>
        </w:tc>
        <w:tc>
          <w:tcPr>
            <w:tcW w:w="891" w:type="dxa"/>
            <w:tcBorders>
              <w:top w:val="single" w:sz="6" w:space="0" w:color="auto"/>
              <w:left w:val="nil"/>
              <w:right w:val="nil"/>
            </w:tcBorders>
            <w:shd w:val="solid" w:color="FFFFFF"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46 420.1</w:t>
            </w:r>
          </w:p>
        </w:tc>
      </w:tr>
      <w:tr w:rsidR="00965D85" w:rsidRPr="00E22AD9" w:rsidTr="008B46DF">
        <w:tc>
          <w:tcPr>
            <w:tcW w:w="3345" w:type="dxa"/>
            <w:tcBorders>
              <w:top w:val="nil"/>
              <w:left w:val="nil"/>
              <w:right w:val="nil"/>
            </w:tcBorders>
            <w:shd w:val="solid" w:color="FFFFFF"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Current service cost</w:t>
            </w:r>
          </w:p>
        </w:tc>
        <w:tc>
          <w:tcPr>
            <w:tcW w:w="890" w:type="dxa"/>
            <w:tcBorders>
              <w:top w:val="nil"/>
              <w:left w:val="nil"/>
              <w:right w:val="nil"/>
            </w:tcBorders>
            <w:shd w:val="solid" w:color="FFFFFF"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825.9</w:t>
            </w:r>
          </w:p>
        </w:tc>
        <w:tc>
          <w:tcPr>
            <w:tcW w:w="890" w:type="dxa"/>
            <w:tcBorders>
              <w:top w:val="nil"/>
              <w:left w:val="nil"/>
              <w:right w:val="nil"/>
            </w:tcBorders>
            <w:shd w:val="solid" w:color="FFFFFF"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772.5</w:t>
            </w:r>
          </w:p>
        </w:tc>
        <w:tc>
          <w:tcPr>
            <w:tcW w:w="891" w:type="dxa"/>
            <w:tcBorders>
              <w:top w:val="nil"/>
              <w:left w:val="nil"/>
              <w:right w:val="nil"/>
            </w:tcBorders>
            <w:shd w:val="solid" w:color="FFFFFF"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784.4</w:t>
            </w:r>
          </w:p>
        </w:tc>
        <w:tc>
          <w:tcPr>
            <w:tcW w:w="890" w:type="dxa"/>
            <w:tcBorders>
              <w:top w:val="nil"/>
              <w:left w:val="nil"/>
              <w:right w:val="nil"/>
            </w:tcBorders>
            <w:shd w:val="solid" w:color="FFFFFF"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772.0</w:t>
            </w:r>
          </w:p>
        </w:tc>
        <w:tc>
          <w:tcPr>
            <w:tcW w:w="891" w:type="dxa"/>
            <w:tcBorders>
              <w:top w:val="nil"/>
              <w:left w:val="nil"/>
              <w:right w:val="nil"/>
            </w:tcBorders>
            <w:shd w:val="solid" w:color="FFFFFF"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760.2</w:t>
            </w:r>
          </w:p>
        </w:tc>
      </w:tr>
      <w:tr w:rsidR="00965D85" w:rsidRPr="00E22AD9" w:rsidTr="008B46DF">
        <w:tc>
          <w:tcPr>
            <w:tcW w:w="3345" w:type="dxa"/>
            <w:tcBorders>
              <w:top w:val="nil"/>
              <w:left w:val="nil"/>
              <w:right w:val="nil"/>
            </w:tcBorders>
            <w:shd w:val="solid" w:color="FFFFFF"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Interest expense</w:t>
            </w:r>
          </w:p>
        </w:tc>
        <w:tc>
          <w:tcPr>
            <w:tcW w:w="890" w:type="dxa"/>
            <w:tcBorders>
              <w:top w:val="nil"/>
              <w:left w:val="nil"/>
              <w:right w:val="nil"/>
            </w:tcBorders>
            <w:shd w:val="solid" w:color="FFFFFF"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1 429.6</w:t>
            </w:r>
          </w:p>
        </w:tc>
        <w:tc>
          <w:tcPr>
            <w:tcW w:w="890" w:type="dxa"/>
            <w:tcBorders>
              <w:top w:val="nil"/>
              <w:left w:val="nil"/>
              <w:right w:val="nil"/>
            </w:tcBorders>
            <w:shd w:val="solid" w:color="FFFFFF"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1 564.4</w:t>
            </w:r>
          </w:p>
        </w:tc>
        <w:tc>
          <w:tcPr>
            <w:tcW w:w="891" w:type="dxa"/>
            <w:tcBorders>
              <w:top w:val="nil"/>
              <w:left w:val="nil"/>
              <w:right w:val="nil"/>
            </w:tcBorders>
            <w:shd w:val="solid" w:color="FFFFFF"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1 412.9</w:t>
            </w:r>
          </w:p>
        </w:tc>
        <w:tc>
          <w:tcPr>
            <w:tcW w:w="890" w:type="dxa"/>
            <w:tcBorders>
              <w:top w:val="nil"/>
              <w:left w:val="nil"/>
              <w:right w:val="nil"/>
            </w:tcBorders>
            <w:shd w:val="solid" w:color="FFFFFF"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1 400.6</w:t>
            </w:r>
          </w:p>
        </w:tc>
        <w:tc>
          <w:tcPr>
            <w:tcW w:w="891" w:type="dxa"/>
            <w:tcBorders>
              <w:top w:val="nil"/>
              <w:left w:val="nil"/>
              <w:right w:val="nil"/>
            </w:tcBorders>
            <w:shd w:val="solid" w:color="FFFFFF"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1 386.8</w:t>
            </w:r>
          </w:p>
        </w:tc>
      </w:tr>
      <w:tr w:rsidR="00965D85" w:rsidRPr="00E22AD9" w:rsidTr="008B46DF">
        <w:tc>
          <w:tcPr>
            <w:tcW w:w="3345" w:type="dxa"/>
            <w:tcBorders>
              <w:top w:val="nil"/>
              <w:left w:val="nil"/>
              <w:right w:val="nil"/>
            </w:tcBorders>
            <w:shd w:val="solid" w:color="FFFFFF"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Contributions by plan participants</w:t>
            </w:r>
          </w:p>
        </w:tc>
        <w:tc>
          <w:tcPr>
            <w:tcW w:w="890" w:type="dxa"/>
            <w:tcBorders>
              <w:top w:val="nil"/>
              <w:left w:val="nil"/>
              <w:right w:val="nil"/>
            </w:tcBorders>
            <w:shd w:val="solid" w:color="FFFFFF"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188.3</w:t>
            </w:r>
          </w:p>
        </w:tc>
        <w:tc>
          <w:tcPr>
            <w:tcW w:w="890" w:type="dxa"/>
            <w:tcBorders>
              <w:top w:val="nil"/>
              <w:left w:val="nil"/>
              <w:right w:val="nil"/>
            </w:tcBorders>
            <w:shd w:val="solid" w:color="FFFFFF"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194.5</w:t>
            </w:r>
          </w:p>
        </w:tc>
        <w:tc>
          <w:tcPr>
            <w:tcW w:w="891" w:type="dxa"/>
            <w:tcBorders>
              <w:top w:val="nil"/>
              <w:left w:val="nil"/>
              <w:right w:val="nil"/>
            </w:tcBorders>
            <w:shd w:val="solid" w:color="FFFFFF"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188.7</w:t>
            </w:r>
          </w:p>
        </w:tc>
        <w:tc>
          <w:tcPr>
            <w:tcW w:w="890" w:type="dxa"/>
            <w:tcBorders>
              <w:top w:val="nil"/>
              <w:left w:val="nil"/>
              <w:right w:val="nil"/>
            </w:tcBorders>
            <w:shd w:val="solid" w:color="FFFFFF"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183.4</w:t>
            </w:r>
          </w:p>
        </w:tc>
        <w:tc>
          <w:tcPr>
            <w:tcW w:w="891" w:type="dxa"/>
            <w:tcBorders>
              <w:top w:val="nil"/>
              <w:left w:val="nil"/>
              <w:right w:val="nil"/>
            </w:tcBorders>
            <w:shd w:val="solid" w:color="FFFFFF"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178.2</w:t>
            </w:r>
          </w:p>
        </w:tc>
      </w:tr>
      <w:tr w:rsidR="00965D85" w:rsidRPr="00E22AD9" w:rsidTr="008B46DF">
        <w:tc>
          <w:tcPr>
            <w:tcW w:w="3345" w:type="dxa"/>
            <w:tcBorders>
              <w:top w:val="nil"/>
              <w:left w:val="nil"/>
              <w:right w:val="nil"/>
            </w:tcBorders>
            <w:shd w:val="solid" w:color="FFFFFF"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Changes in financial assumptions</w:t>
            </w:r>
          </w:p>
        </w:tc>
        <w:tc>
          <w:tcPr>
            <w:tcW w:w="890" w:type="dxa"/>
            <w:tcBorders>
              <w:top w:val="nil"/>
              <w:left w:val="nil"/>
              <w:right w:val="nil"/>
            </w:tcBorders>
            <w:shd w:val="solid" w:color="FFFFFF"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w:t>
            </w:r>
          </w:p>
        </w:tc>
        <w:tc>
          <w:tcPr>
            <w:tcW w:w="890" w:type="dxa"/>
            <w:tcBorders>
              <w:top w:val="nil"/>
              <w:left w:val="nil"/>
              <w:right w:val="nil"/>
            </w:tcBorders>
            <w:shd w:val="solid" w:color="FFFFFF"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1 485.9</w:t>
            </w:r>
          </w:p>
        </w:tc>
        <w:tc>
          <w:tcPr>
            <w:tcW w:w="891" w:type="dxa"/>
            <w:tcBorders>
              <w:top w:val="nil"/>
              <w:left w:val="nil"/>
              <w:right w:val="nil"/>
            </w:tcBorders>
            <w:shd w:val="solid" w:color="FFFFFF"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w:t>
            </w:r>
          </w:p>
        </w:tc>
        <w:tc>
          <w:tcPr>
            <w:tcW w:w="890" w:type="dxa"/>
            <w:tcBorders>
              <w:top w:val="nil"/>
              <w:left w:val="nil"/>
              <w:right w:val="nil"/>
            </w:tcBorders>
            <w:shd w:val="solid" w:color="FFFFFF"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w:t>
            </w:r>
          </w:p>
        </w:tc>
        <w:tc>
          <w:tcPr>
            <w:tcW w:w="891" w:type="dxa"/>
            <w:tcBorders>
              <w:top w:val="nil"/>
              <w:left w:val="nil"/>
              <w:right w:val="nil"/>
            </w:tcBorders>
            <w:shd w:val="solid" w:color="FFFFFF"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w:t>
            </w:r>
          </w:p>
        </w:tc>
      </w:tr>
      <w:tr w:rsidR="00965D85" w:rsidRPr="00E22AD9" w:rsidTr="008B46DF">
        <w:tc>
          <w:tcPr>
            <w:tcW w:w="3345" w:type="dxa"/>
            <w:tcBorders>
              <w:top w:val="nil"/>
              <w:left w:val="nil"/>
              <w:bottom w:val="single" w:sz="6" w:space="0" w:color="auto"/>
              <w:right w:val="nil"/>
            </w:tcBorders>
            <w:shd w:val="solid" w:color="FFFFFF"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Benefits paid</w:t>
            </w:r>
          </w:p>
        </w:tc>
        <w:tc>
          <w:tcPr>
            <w:tcW w:w="890" w:type="dxa"/>
            <w:tcBorders>
              <w:top w:val="nil"/>
              <w:left w:val="nil"/>
              <w:bottom w:val="single" w:sz="6" w:space="0" w:color="auto"/>
              <w:right w:val="nil"/>
            </w:tcBorders>
            <w:shd w:val="solid" w:color="FFFFFF"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(2 680.4)</w:t>
            </w:r>
          </w:p>
        </w:tc>
        <w:tc>
          <w:tcPr>
            <w:tcW w:w="890" w:type="dxa"/>
            <w:tcBorders>
              <w:top w:val="nil"/>
              <w:left w:val="nil"/>
              <w:bottom w:val="single" w:sz="6" w:space="0" w:color="auto"/>
              <w:right w:val="nil"/>
            </w:tcBorders>
            <w:shd w:val="solid" w:color="FFFFFF"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(2 743.6)</w:t>
            </w:r>
          </w:p>
        </w:tc>
        <w:tc>
          <w:tcPr>
            <w:tcW w:w="891" w:type="dxa"/>
            <w:tcBorders>
              <w:top w:val="nil"/>
              <w:left w:val="nil"/>
              <w:bottom w:val="single" w:sz="6" w:space="0" w:color="auto"/>
              <w:right w:val="nil"/>
            </w:tcBorders>
            <w:shd w:val="solid" w:color="FFFFFF"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(2 812.2)</w:t>
            </w:r>
          </w:p>
        </w:tc>
        <w:tc>
          <w:tcPr>
            <w:tcW w:w="890" w:type="dxa"/>
            <w:tcBorders>
              <w:top w:val="nil"/>
              <w:left w:val="nil"/>
              <w:bottom w:val="single" w:sz="6" w:space="0" w:color="auto"/>
              <w:right w:val="nil"/>
            </w:tcBorders>
            <w:shd w:val="solid" w:color="FFFFFF"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(2 773.6)</w:t>
            </w:r>
          </w:p>
        </w:tc>
        <w:tc>
          <w:tcPr>
            <w:tcW w:w="891" w:type="dxa"/>
            <w:tcBorders>
              <w:top w:val="nil"/>
              <w:left w:val="nil"/>
              <w:bottom w:val="single" w:sz="6" w:space="0" w:color="auto"/>
              <w:right w:val="nil"/>
            </w:tcBorders>
            <w:shd w:val="solid" w:color="FFFFFF"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(2 890.4)</w:t>
            </w:r>
          </w:p>
        </w:tc>
      </w:tr>
      <w:tr w:rsidR="00965D85" w:rsidRPr="00E22AD9" w:rsidTr="008B46DF">
        <w:tc>
          <w:tcPr>
            <w:tcW w:w="3345" w:type="dxa"/>
            <w:tcBorders>
              <w:top w:val="single" w:sz="6" w:space="0" w:color="auto"/>
              <w:left w:val="nil"/>
              <w:bottom w:val="single" w:sz="12" w:space="0" w:color="auto"/>
              <w:right w:val="nil"/>
            </w:tcBorders>
            <w:shd w:val="solid" w:color="FFFFFF"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Closing balance of defined benefit obligation</w:t>
            </w:r>
          </w:p>
        </w:tc>
        <w:tc>
          <w:tcPr>
            <w:tcW w:w="890" w:type="dxa"/>
            <w:tcBorders>
              <w:top w:val="single" w:sz="6" w:space="0" w:color="auto"/>
              <w:left w:val="nil"/>
              <w:bottom w:val="single" w:sz="12" w:space="0" w:color="auto"/>
              <w:right w:val="nil"/>
            </w:tcBorders>
            <w:shd w:val="solid" w:color="FFFFFF"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45 753.9</w:t>
            </w:r>
          </w:p>
        </w:tc>
        <w:tc>
          <w:tcPr>
            <w:tcW w:w="890" w:type="dxa"/>
            <w:tcBorders>
              <w:top w:val="single" w:sz="6" w:space="0" w:color="auto"/>
              <w:left w:val="nil"/>
              <w:bottom w:val="single" w:sz="12" w:space="0" w:color="auto"/>
              <w:right w:val="nil"/>
            </w:tcBorders>
            <w:shd w:val="solid" w:color="FFFFFF"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47 264.0</w:t>
            </w:r>
          </w:p>
        </w:tc>
        <w:tc>
          <w:tcPr>
            <w:tcW w:w="891" w:type="dxa"/>
            <w:tcBorders>
              <w:top w:val="single" w:sz="6" w:space="0" w:color="auto"/>
              <w:left w:val="nil"/>
              <w:bottom w:val="single" w:sz="12" w:space="0" w:color="auto"/>
              <w:right w:val="nil"/>
            </w:tcBorders>
            <w:shd w:val="solid" w:color="FFFFFF"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46 837.7</w:t>
            </w:r>
          </w:p>
        </w:tc>
        <w:tc>
          <w:tcPr>
            <w:tcW w:w="890" w:type="dxa"/>
            <w:tcBorders>
              <w:top w:val="single" w:sz="6" w:space="0" w:color="auto"/>
              <w:left w:val="nil"/>
              <w:bottom w:val="single" w:sz="12" w:space="0" w:color="auto"/>
              <w:right w:val="nil"/>
            </w:tcBorders>
            <w:shd w:val="solid" w:color="FFFFFF"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46 420.1</w:t>
            </w:r>
          </w:p>
        </w:tc>
        <w:tc>
          <w:tcPr>
            <w:tcW w:w="891" w:type="dxa"/>
            <w:tcBorders>
              <w:top w:val="single" w:sz="6" w:space="0" w:color="auto"/>
              <w:left w:val="nil"/>
              <w:bottom w:val="single" w:sz="12" w:space="0" w:color="auto"/>
              <w:right w:val="nil"/>
            </w:tcBorders>
            <w:shd w:val="solid" w:color="FFFFFF"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45 854.9</w:t>
            </w:r>
          </w:p>
        </w:tc>
      </w:tr>
    </w:tbl>
    <w:p w:rsidR="00965D85" w:rsidRDefault="00965D85" w:rsidP="008B46DF">
      <w:pPr>
        <w:rPr>
          <w:rFonts w:eastAsiaTheme="minorEastAsia"/>
          <w:lang w:eastAsia="en-AU"/>
        </w:rPr>
      </w:pPr>
    </w:p>
    <w:p w:rsidR="00965D85" w:rsidRDefault="00965D85" w:rsidP="008B46DF">
      <w:pPr>
        <w:rPr>
          <w:rFonts w:eastAsiaTheme="minorEastAsia"/>
          <w:lang w:eastAsia="en-AU"/>
        </w:rPr>
      </w:pPr>
    </w:p>
    <w:p w:rsidR="00965D85" w:rsidRDefault="00965D85" w:rsidP="008B46DF">
      <w:pPr>
        <w:pStyle w:val="Heading5"/>
        <w:rPr>
          <w:rFonts w:ascii="Times New Roman" w:hAnsi="Times New Roman"/>
          <w:sz w:val="20"/>
          <w:lang w:eastAsia="en-AU"/>
        </w:rPr>
      </w:pPr>
      <w:r w:rsidRPr="006748A0">
        <w:rPr>
          <w:rFonts w:eastAsiaTheme="minorEastAsia"/>
          <w:lang w:eastAsia="en-AU"/>
        </w:rPr>
        <w:t xml:space="preserve">(c) </w:t>
      </w:r>
      <w:r w:rsidRPr="006748A0">
        <w:rPr>
          <w:rFonts w:eastAsiaTheme="minorEastAsia"/>
          <w:lang w:eastAsia="en-AU"/>
        </w:rPr>
        <w:tab/>
        <w:t>Reconciliation of the fair value of superannuation plan assets</w:t>
      </w:r>
    </w:p>
    <w:tbl>
      <w:tblPr>
        <w:tblW w:w="7797" w:type="dxa"/>
        <w:tblInd w:w="28" w:type="dxa"/>
        <w:tblLayout w:type="fixed"/>
        <w:tblCellMar>
          <w:left w:w="28" w:type="dxa"/>
          <w:right w:w="28" w:type="dxa"/>
        </w:tblCellMar>
        <w:tblLook w:val="0000" w:firstRow="0" w:lastRow="0" w:firstColumn="0" w:lastColumn="0" w:noHBand="0" w:noVBand="0"/>
      </w:tblPr>
      <w:tblGrid>
        <w:gridCol w:w="3345"/>
        <w:gridCol w:w="890"/>
        <w:gridCol w:w="890"/>
        <w:gridCol w:w="891"/>
        <w:gridCol w:w="890"/>
        <w:gridCol w:w="891"/>
      </w:tblGrid>
      <w:tr w:rsidR="00965D85" w:rsidRPr="00E22AD9" w:rsidTr="008B46DF">
        <w:trPr>
          <w:tblHeader/>
        </w:trPr>
        <w:tc>
          <w:tcPr>
            <w:tcW w:w="7797" w:type="dxa"/>
            <w:gridSpan w:val="6"/>
            <w:tcBorders>
              <w:top w:val="nil"/>
              <w:left w:val="nil"/>
              <w:bottom w:val="single" w:sz="6" w:space="0" w:color="auto"/>
              <w:right w:val="nil"/>
            </w:tcBorders>
          </w:tcPr>
          <w:p w:rsidR="00965D85" w:rsidRPr="00E22AD9" w:rsidRDefault="00965D85" w:rsidP="008B46DF">
            <w:pPr>
              <w:pStyle w:val="million"/>
              <w:rPr>
                <w:rFonts w:eastAsiaTheme="minorEastAsia" w:cs="Calibri"/>
                <w:iCs/>
                <w:color w:val="000000"/>
                <w:sz w:val="20"/>
                <w:lang w:eastAsia="en-AU"/>
              </w:rPr>
            </w:pPr>
            <w:r w:rsidRPr="00E22AD9">
              <w:rPr>
                <w:rFonts w:eastAsiaTheme="minorEastAsia"/>
                <w:lang w:eastAsia="en-AU"/>
              </w:rPr>
              <w:t>($ million)</w:t>
            </w:r>
          </w:p>
        </w:tc>
      </w:tr>
      <w:tr w:rsidR="00965D85" w:rsidRPr="004E5DCF" w:rsidTr="008B46DF">
        <w:trPr>
          <w:trHeight w:val="482"/>
          <w:tblHeader/>
        </w:trPr>
        <w:tc>
          <w:tcPr>
            <w:tcW w:w="3345" w:type="dxa"/>
            <w:tcBorders>
              <w:top w:val="single" w:sz="6" w:space="0" w:color="auto"/>
              <w:left w:val="nil"/>
              <w:right w:val="nil"/>
            </w:tcBorders>
            <w:shd w:val="solid" w:color="000000" w:fill="auto"/>
          </w:tcPr>
          <w:p w:rsidR="00965D85" w:rsidRPr="004E5DCF" w:rsidRDefault="00965D85" w:rsidP="008B46DF">
            <w:pPr>
              <w:pStyle w:val="million"/>
              <w:rPr>
                <w:rFonts w:eastAsiaTheme="minorEastAsia"/>
                <w:sz w:val="20"/>
                <w:szCs w:val="20"/>
                <w:lang w:eastAsia="en-AU"/>
              </w:rPr>
            </w:pPr>
            <w:r w:rsidRPr="004E5DCF">
              <w:rPr>
                <w:rFonts w:eastAsiaTheme="minorEastAsia"/>
                <w:sz w:val="20"/>
                <w:szCs w:val="20"/>
                <w:lang w:eastAsia="en-AU"/>
              </w:rPr>
              <w:t xml:space="preserve"> </w:t>
            </w:r>
          </w:p>
          <w:p w:rsidR="00965D85" w:rsidRPr="004E5DCF" w:rsidRDefault="00965D85" w:rsidP="008B46DF">
            <w:pPr>
              <w:autoSpaceDE w:val="0"/>
              <w:autoSpaceDN w:val="0"/>
              <w:adjustRightInd w:val="0"/>
              <w:spacing w:after="0"/>
              <w:rPr>
                <w:rFonts w:eastAsiaTheme="minorEastAsia"/>
                <w:sz w:val="20"/>
                <w:lang w:eastAsia="en-AU"/>
              </w:rPr>
            </w:pPr>
            <w:r w:rsidRPr="004E5DCF">
              <w:rPr>
                <w:rFonts w:ascii="Calibri" w:eastAsiaTheme="minorEastAsia" w:hAnsi="Calibri" w:cs="Calibri"/>
                <w:color w:val="000000"/>
                <w:sz w:val="20"/>
                <w:lang w:eastAsia="en-AU"/>
              </w:rPr>
              <w:t xml:space="preserve"> </w:t>
            </w:r>
          </w:p>
        </w:tc>
        <w:tc>
          <w:tcPr>
            <w:tcW w:w="890" w:type="dxa"/>
            <w:tcBorders>
              <w:top w:val="single" w:sz="6" w:space="0" w:color="auto"/>
              <w:left w:val="nil"/>
              <w:right w:val="nil"/>
            </w:tcBorders>
            <w:shd w:val="solid" w:color="000000" w:fill="auto"/>
          </w:tcPr>
          <w:p w:rsidR="00965D85" w:rsidRPr="004E5DCF" w:rsidRDefault="00965D85" w:rsidP="008B46DF">
            <w:pPr>
              <w:pStyle w:val="million"/>
              <w:rPr>
                <w:rFonts w:eastAsiaTheme="minorEastAsia"/>
                <w:iCs/>
                <w:color w:val="FFFFFF"/>
                <w:sz w:val="20"/>
                <w:szCs w:val="20"/>
                <w:lang w:eastAsia="en-AU"/>
              </w:rPr>
            </w:pPr>
            <w:r w:rsidRPr="004E5DCF">
              <w:rPr>
                <w:rFonts w:eastAsiaTheme="minorEastAsia"/>
                <w:iCs/>
                <w:color w:val="FFFFFF"/>
                <w:sz w:val="20"/>
                <w:szCs w:val="20"/>
                <w:lang w:eastAsia="en-AU"/>
              </w:rPr>
              <w:t>2015</w:t>
            </w:r>
            <w:r w:rsidRPr="004E5DCF">
              <w:rPr>
                <w:rFonts w:eastAsiaTheme="minorEastAsia"/>
                <w:iCs/>
                <w:color w:val="FFFFFF"/>
                <w:sz w:val="20"/>
                <w:szCs w:val="20"/>
                <w:lang w:eastAsia="en-AU"/>
              </w:rPr>
              <w:noBreakHyphen/>
              <w:t>16</w:t>
            </w:r>
          </w:p>
          <w:p w:rsidR="00965D85" w:rsidRPr="004E5DCF" w:rsidRDefault="00965D85" w:rsidP="008B46DF">
            <w:pPr>
              <w:autoSpaceDE w:val="0"/>
              <w:autoSpaceDN w:val="0"/>
              <w:adjustRightInd w:val="0"/>
              <w:spacing w:after="0"/>
              <w:jc w:val="right"/>
              <w:rPr>
                <w:rFonts w:eastAsiaTheme="minorEastAsia"/>
                <w:iCs/>
                <w:color w:val="FFFFFF"/>
                <w:sz w:val="20"/>
                <w:lang w:eastAsia="en-AU"/>
              </w:rPr>
            </w:pPr>
            <w:r w:rsidRPr="004E5DCF">
              <w:rPr>
                <w:rFonts w:ascii="Calibri" w:eastAsiaTheme="minorEastAsia" w:hAnsi="Calibri" w:cs="Calibri"/>
                <w:i/>
                <w:iCs/>
                <w:color w:val="FFFFFF"/>
                <w:sz w:val="20"/>
                <w:lang w:eastAsia="en-AU"/>
              </w:rPr>
              <w:t>budget</w:t>
            </w:r>
          </w:p>
        </w:tc>
        <w:tc>
          <w:tcPr>
            <w:tcW w:w="890" w:type="dxa"/>
            <w:tcBorders>
              <w:top w:val="single" w:sz="6" w:space="0" w:color="auto"/>
              <w:left w:val="nil"/>
              <w:right w:val="nil"/>
            </w:tcBorders>
            <w:shd w:val="solid" w:color="000000" w:fill="auto"/>
          </w:tcPr>
          <w:p w:rsidR="00965D85" w:rsidRPr="004E5DCF" w:rsidRDefault="00965D85" w:rsidP="008B46DF">
            <w:pPr>
              <w:pStyle w:val="million"/>
              <w:rPr>
                <w:rFonts w:eastAsiaTheme="minorEastAsia"/>
                <w:iCs/>
                <w:color w:val="FFFFFF"/>
                <w:sz w:val="20"/>
                <w:szCs w:val="20"/>
                <w:lang w:eastAsia="en-AU"/>
              </w:rPr>
            </w:pPr>
            <w:r w:rsidRPr="004E5DCF">
              <w:rPr>
                <w:rFonts w:eastAsiaTheme="minorEastAsia"/>
                <w:iCs/>
                <w:color w:val="FFFFFF"/>
                <w:sz w:val="20"/>
                <w:szCs w:val="20"/>
                <w:lang w:eastAsia="en-AU"/>
              </w:rPr>
              <w:t>2015</w:t>
            </w:r>
            <w:r w:rsidRPr="004E5DCF">
              <w:rPr>
                <w:rFonts w:eastAsiaTheme="minorEastAsia"/>
                <w:iCs/>
                <w:color w:val="FFFFFF"/>
                <w:sz w:val="20"/>
                <w:szCs w:val="20"/>
                <w:lang w:eastAsia="en-AU"/>
              </w:rPr>
              <w:noBreakHyphen/>
              <w:t>16</w:t>
            </w:r>
          </w:p>
          <w:p w:rsidR="00965D85" w:rsidRPr="004E5DCF" w:rsidRDefault="00965D85" w:rsidP="008B46DF">
            <w:pPr>
              <w:autoSpaceDE w:val="0"/>
              <w:autoSpaceDN w:val="0"/>
              <w:adjustRightInd w:val="0"/>
              <w:spacing w:after="0"/>
              <w:jc w:val="right"/>
              <w:rPr>
                <w:rFonts w:eastAsiaTheme="minorEastAsia"/>
                <w:iCs/>
                <w:color w:val="FFFFFF"/>
                <w:sz w:val="20"/>
                <w:lang w:eastAsia="en-AU"/>
              </w:rPr>
            </w:pPr>
            <w:r w:rsidRPr="004E5DCF">
              <w:rPr>
                <w:rFonts w:ascii="Calibri" w:eastAsiaTheme="minorEastAsia" w:hAnsi="Calibri" w:cs="Calibri"/>
                <w:i/>
                <w:iCs/>
                <w:color w:val="FFFFFF"/>
                <w:sz w:val="20"/>
                <w:lang w:eastAsia="en-AU"/>
              </w:rPr>
              <w:t>revised</w:t>
            </w:r>
          </w:p>
        </w:tc>
        <w:tc>
          <w:tcPr>
            <w:tcW w:w="891" w:type="dxa"/>
            <w:tcBorders>
              <w:top w:val="single" w:sz="6" w:space="0" w:color="auto"/>
              <w:left w:val="nil"/>
              <w:right w:val="nil"/>
            </w:tcBorders>
            <w:shd w:val="solid" w:color="000000" w:fill="auto"/>
          </w:tcPr>
          <w:p w:rsidR="00965D85" w:rsidRPr="004E5DCF" w:rsidRDefault="00965D85" w:rsidP="008B46DF">
            <w:pPr>
              <w:pStyle w:val="million"/>
              <w:rPr>
                <w:rFonts w:eastAsiaTheme="minorEastAsia"/>
                <w:iCs/>
                <w:color w:val="FFFFFF"/>
                <w:sz w:val="20"/>
                <w:szCs w:val="20"/>
                <w:lang w:eastAsia="en-AU"/>
              </w:rPr>
            </w:pPr>
            <w:r w:rsidRPr="004E5DCF">
              <w:rPr>
                <w:rFonts w:eastAsiaTheme="minorEastAsia"/>
                <w:iCs/>
                <w:color w:val="FFFFFF"/>
                <w:sz w:val="20"/>
                <w:szCs w:val="20"/>
                <w:lang w:eastAsia="en-AU"/>
              </w:rPr>
              <w:t>2016</w:t>
            </w:r>
            <w:r w:rsidRPr="004E5DCF">
              <w:rPr>
                <w:rFonts w:eastAsiaTheme="minorEastAsia"/>
                <w:iCs/>
                <w:color w:val="FFFFFF"/>
                <w:sz w:val="20"/>
                <w:szCs w:val="20"/>
                <w:lang w:eastAsia="en-AU"/>
              </w:rPr>
              <w:noBreakHyphen/>
              <w:t>17</w:t>
            </w:r>
          </w:p>
          <w:p w:rsidR="00965D85" w:rsidRPr="004E5DCF" w:rsidRDefault="00965D85" w:rsidP="008B46DF">
            <w:pPr>
              <w:autoSpaceDE w:val="0"/>
              <w:autoSpaceDN w:val="0"/>
              <w:adjustRightInd w:val="0"/>
              <w:spacing w:after="0"/>
              <w:jc w:val="right"/>
              <w:rPr>
                <w:rFonts w:eastAsiaTheme="minorEastAsia"/>
                <w:iCs/>
                <w:color w:val="FFFFFF"/>
                <w:sz w:val="20"/>
                <w:lang w:eastAsia="en-AU"/>
              </w:rPr>
            </w:pPr>
            <w:r w:rsidRPr="004E5DCF">
              <w:rPr>
                <w:rFonts w:ascii="Calibri" w:eastAsiaTheme="minorEastAsia" w:hAnsi="Calibri" w:cs="Calibri"/>
                <w:i/>
                <w:iCs/>
                <w:color w:val="FFFFFF"/>
                <w:sz w:val="20"/>
                <w:lang w:eastAsia="en-AU"/>
              </w:rPr>
              <w:t>estimate</w:t>
            </w:r>
          </w:p>
        </w:tc>
        <w:tc>
          <w:tcPr>
            <w:tcW w:w="890" w:type="dxa"/>
            <w:tcBorders>
              <w:top w:val="single" w:sz="6" w:space="0" w:color="auto"/>
              <w:left w:val="nil"/>
              <w:right w:val="nil"/>
            </w:tcBorders>
            <w:shd w:val="solid" w:color="000000" w:fill="auto"/>
          </w:tcPr>
          <w:p w:rsidR="00965D85" w:rsidRPr="004E5DCF" w:rsidRDefault="00965D85" w:rsidP="008B46DF">
            <w:pPr>
              <w:pStyle w:val="million"/>
              <w:rPr>
                <w:rFonts w:eastAsiaTheme="minorEastAsia"/>
                <w:iCs/>
                <w:color w:val="FFFFFF"/>
                <w:sz w:val="20"/>
                <w:szCs w:val="20"/>
                <w:lang w:eastAsia="en-AU"/>
              </w:rPr>
            </w:pPr>
            <w:r w:rsidRPr="004E5DCF">
              <w:rPr>
                <w:rFonts w:eastAsiaTheme="minorEastAsia"/>
                <w:iCs/>
                <w:color w:val="FFFFFF"/>
                <w:sz w:val="20"/>
                <w:szCs w:val="20"/>
                <w:lang w:eastAsia="en-AU"/>
              </w:rPr>
              <w:t>2017</w:t>
            </w:r>
            <w:r w:rsidRPr="004E5DCF">
              <w:rPr>
                <w:rFonts w:eastAsiaTheme="minorEastAsia"/>
                <w:iCs/>
                <w:color w:val="FFFFFF"/>
                <w:sz w:val="20"/>
                <w:szCs w:val="20"/>
                <w:lang w:eastAsia="en-AU"/>
              </w:rPr>
              <w:noBreakHyphen/>
              <w:t>18</w:t>
            </w:r>
          </w:p>
          <w:p w:rsidR="00965D85" w:rsidRPr="004E5DCF" w:rsidRDefault="00965D85" w:rsidP="008B46DF">
            <w:pPr>
              <w:autoSpaceDE w:val="0"/>
              <w:autoSpaceDN w:val="0"/>
              <w:adjustRightInd w:val="0"/>
              <w:spacing w:after="0"/>
              <w:jc w:val="right"/>
              <w:rPr>
                <w:rFonts w:eastAsiaTheme="minorEastAsia"/>
                <w:iCs/>
                <w:color w:val="FFFFFF"/>
                <w:sz w:val="20"/>
                <w:lang w:eastAsia="en-AU"/>
              </w:rPr>
            </w:pPr>
            <w:r w:rsidRPr="004E5DCF">
              <w:rPr>
                <w:rFonts w:ascii="Calibri" w:eastAsiaTheme="minorEastAsia" w:hAnsi="Calibri" w:cs="Calibri"/>
                <w:i/>
                <w:iCs/>
                <w:color w:val="FFFFFF"/>
                <w:sz w:val="20"/>
                <w:lang w:eastAsia="en-AU"/>
              </w:rPr>
              <w:t>estimate</w:t>
            </w:r>
          </w:p>
        </w:tc>
        <w:tc>
          <w:tcPr>
            <w:tcW w:w="891" w:type="dxa"/>
            <w:tcBorders>
              <w:top w:val="single" w:sz="6" w:space="0" w:color="auto"/>
              <w:left w:val="nil"/>
              <w:right w:val="nil"/>
            </w:tcBorders>
            <w:shd w:val="solid" w:color="000000" w:fill="auto"/>
          </w:tcPr>
          <w:p w:rsidR="00965D85" w:rsidRPr="004E5DCF" w:rsidRDefault="00965D85" w:rsidP="008B46DF">
            <w:pPr>
              <w:pStyle w:val="million"/>
              <w:rPr>
                <w:rFonts w:eastAsiaTheme="minorEastAsia"/>
                <w:iCs/>
                <w:color w:val="FFFFFF"/>
                <w:sz w:val="20"/>
                <w:szCs w:val="20"/>
                <w:lang w:eastAsia="en-AU"/>
              </w:rPr>
            </w:pPr>
            <w:r w:rsidRPr="004E5DCF">
              <w:rPr>
                <w:rFonts w:eastAsiaTheme="minorEastAsia"/>
                <w:iCs/>
                <w:color w:val="FFFFFF"/>
                <w:sz w:val="20"/>
                <w:szCs w:val="20"/>
                <w:lang w:eastAsia="en-AU"/>
              </w:rPr>
              <w:t>2018</w:t>
            </w:r>
            <w:r w:rsidRPr="004E5DCF">
              <w:rPr>
                <w:rFonts w:eastAsiaTheme="minorEastAsia"/>
                <w:iCs/>
                <w:color w:val="FFFFFF"/>
                <w:sz w:val="20"/>
                <w:szCs w:val="20"/>
                <w:lang w:eastAsia="en-AU"/>
              </w:rPr>
              <w:noBreakHyphen/>
              <w:t>19</w:t>
            </w:r>
          </w:p>
          <w:p w:rsidR="00965D85" w:rsidRPr="004E5DCF" w:rsidRDefault="00965D85" w:rsidP="008B46DF">
            <w:pPr>
              <w:autoSpaceDE w:val="0"/>
              <w:autoSpaceDN w:val="0"/>
              <w:adjustRightInd w:val="0"/>
              <w:spacing w:after="0"/>
              <w:jc w:val="right"/>
              <w:rPr>
                <w:rFonts w:eastAsiaTheme="minorEastAsia"/>
                <w:iCs/>
                <w:color w:val="FFFFFF"/>
                <w:sz w:val="20"/>
                <w:lang w:eastAsia="en-AU"/>
              </w:rPr>
            </w:pPr>
            <w:r w:rsidRPr="004E5DCF">
              <w:rPr>
                <w:rFonts w:ascii="Calibri" w:eastAsiaTheme="minorEastAsia" w:hAnsi="Calibri" w:cs="Calibri"/>
                <w:i/>
                <w:iCs/>
                <w:color w:val="FFFFFF"/>
                <w:sz w:val="20"/>
                <w:lang w:eastAsia="en-AU"/>
              </w:rPr>
              <w:t>estimate</w:t>
            </w:r>
          </w:p>
        </w:tc>
      </w:tr>
      <w:tr w:rsidR="00965D85" w:rsidRPr="00E22AD9" w:rsidTr="008B46DF">
        <w:tc>
          <w:tcPr>
            <w:tcW w:w="3345" w:type="dxa"/>
            <w:tcBorders>
              <w:top w:val="single" w:sz="6" w:space="0" w:color="auto"/>
              <w:left w:val="nil"/>
              <w:right w:val="nil"/>
            </w:tcBorders>
            <w:shd w:val="solid" w:color="FFFFFF"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Opening balance of plan assets</w:t>
            </w:r>
          </w:p>
        </w:tc>
        <w:tc>
          <w:tcPr>
            <w:tcW w:w="890" w:type="dxa"/>
            <w:tcBorders>
              <w:top w:val="single" w:sz="6" w:space="0" w:color="auto"/>
              <w:left w:val="nil"/>
              <w:right w:val="nil"/>
            </w:tcBorders>
            <w:shd w:val="solid" w:color="FFFFFF"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20 043.8</w:t>
            </w:r>
          </w:p>
        </w:tc>
        <w:tc>
          <w:tcPr>
            <w:tcW w:w="890" w:type="dxa"/>
            <w:tcBorders>
              <w:top w:val="single" w:sz="6" w:space="0" w:color="auto"/>
              <w:left w:val="nil"/>
              <w:right w:val="nil"/>
            </w:tcBorders>
            <w:shd w:val="solid" w:color="FFFFFF"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20 043.8</w:t>
            </w:r>
          </w:p>
        </w:tc>
        <w:tc>
          <w:tcPr>
            <w:tcW w:w="891" w:type="dxa"/>
            <w:tcBorders>
              <w:top w:val="single" w:sz="6" w:space="0" w:color="auto"/>
              <w:left w:val="nil"/>
              <w:right w:val="nil"/>
            </w:tcBorders>
            <w:shd w:val="solid" w:color="FFFFFF"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19 781.4</w:t>
            </w:r>
          </w:p>
        </w:tc>
        <w:tc>
          <w:tcPr>
            <w:tcW w:w="890" w:type="dxa"/>
            <w:tcBorders>
              <w:top w:val="single" w:sz="6" w:space="0" w:color="auto"/>
              <w:left w:val="nil"/>
              <w:right w:val="nil"/>
            </w:tcBorders>
            <w:shd w:val="solid" w:color="FFFFFF"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20 129.7</w:t>
            </w:r>
          </w:p>
        </w:tc>
        <w:tc>
          <w:tcPr>
            <w:tcW w:w="891" w:type="dxa"/>
            <w:tcBorders>
              <w:top w:val="single" w:sz="6" w:space="0" w:color="auto"/>
              <w:left w:val="nil"/>
              <w:right w:val="nil"/>
            </w:tcBorders>
            <w:shd w:val="solid" w:color="FFFFFF"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20 516.2</w:t>
            </w:r>
          </w:p>
        </w:tc>
      </w:tr>
      <w:tr w:rsidR="00965D85" w:rsidRPr="00E22AD9" w:rsidTr="008B46DF">
        <w:tc>
          <w:tcPr>
            <w:tcW w:w="3345" w:type="dxa"/>
            <w:tcBorders>
              <w:top w:val="nil"/>
              <w:left w:val="nil"/>
              <w:right w:val="nil"/>
            </w:tcBorders>
            <w:shd w:val="solid" w:color="FFFFFF"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Interest income</w:t>
            </w:r>
          </w:p>
        </w:tc>
        <w:tc>
          <w:tcPr>
            <w:tcW w:w="890" w:type="dxa"/>
            <w:tcBorders>
              <w:top w:val="nil"/>
              <w:left w:val="nil"/>
              <w:right w:val="nil"/>
            </w:tcBorders>
            <w:shd w:val="solid" w:color="FFFFFF"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543.2</w:t>
            </w:r>
          </w:p>
        </w:tc>
        <w:tc>
          <w:tcPr>
            <w:tcW w:w="890" w:type="dxa"/>
            <w:tcBorders>
              <w:top w:val="nil"/>
              <w:left w:val="nil"/>
              <w:right w:val="nil"/>
            </w:tcBorders>
            <w:shd w:val="solid" w:color="FFFFFF"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686.4</w:t>
            </w:r>
          </w:p>
        </w:tc>
        <w:tc>
          <w:tcPr>
            <w:tcW w:w="891" w:type="dxa"/>
            <w:tcBorders>
              <w:top w:val="nil"/>
              <w:left w:val="nil"/>
              <w:right w:val="nil"/>
            </w:tcBorders>
            <w:shd w:val="solid" w:color="FFFFFF"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592.3</w:t>
            </w:r>
          </w:p>
        </w:tc>
        <w:tc>
          <w:tcPr>
            <w:tcW w:w="890" w:type="dxa"/>
            <w:tcBorders>
              <w:top w:val="nil"/>
              <w:left w:val="nil"/>
              <w:right w:val="nil"/>
            </w:tcBorders>
            <w:shd w:val="solid" w:color="FFFFFF"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597.4</w:t>
            </w:r>
          </w:p>
        </w:tc>
        <w:tc>
          <w:tcPr>
            <w:tcW w:w="891" w:type="dxa"/>
            <w:tcBorders>
              <w:top w:val="nil"/>
              <w:left w:val="nil"/>
              <w:right w:val="nil"/>
            </w:tcBorders>
            <w:shd w:val="solid" w:color="FFFFFF"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580.1</w:t>
            </w:r>
          </w:p>
        </w:tc>
      </w:tr>
      <w:tr w:rsidR="00965D85" w:rsidRPr="00E22AD9" w:rsidTr="008B46DF">
        <w:tc>
          <w:tcPr>
            <w:tcW w:w="3345" w:type="dxa"/>
            <w:tcBorders>
              <w:top w:val="nil"/>
              <w:left w:val="nil"/>
              <w:right w:val="nil"/>
            </w:tcBorders>
            <w:shd w:val="solid" w:color="FFFFFF"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Return on plan assets not included in interest income</w:t>
            </w:r>
          </w:p>
        </w:tc>
        <w:tc>
          <w:tcPr>
            <w:tcW w:w="890" w:type="dxa"/>
            <w:tcBorders>
              <w:top w:val="nil"/>
              <w:left w:val="nil"/>
              <w:right w:val="nil"/>
            </w:tcBorders>
            <w:shd w:val="solid" w:color="FFFFFF"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962.4</w:t>
            </w:r>
          </w:p>
        </w:tc>
        <w:tc>
          <w:tcPr>
            <w:tcW w:w="890" w:type="dxa"/>
            <w:tcBorders>
              <w:top w:val="nil"/>
              <w:left w:val="nil"/>
              <w:right w:val="nil"/>
            </w:tcBorders>
            <w:shd w:val="solid" w:color="FFFFFF"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92.9</w:t>
            </w:r>
          </w:p>
        </w:tc>
        <w:tc>
          <w:tcPr>
            <w:tcW w:w="891" w:type="dxa"/>
            <w:tcBorders>
              <w:top w:val="nil"/>
              <w:left w:val="nil"/>
              <w:right w:val="nil"/>
            </w:tcBorders>
            <w:shd w:val="solid" w:color="FFFFFF"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847.1</w:t>
            </w:r>
          </w:p>
        </w:tc>
        <w:tc>
          <w:tcPr>
            <w:tcW w:w="890" w:type="dxa"/>
            <w:tcBorders>
              <w:top w:val="nil"/>
              <w:left w:val="nil"/>
              <w:right w:val="nil"/>
            </w:tcBorders>
            <w:shd w:val="solid" w:color="FFFFFF"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850.3</w:t>
            </w:r>
          </w:p>
        </w:tc>
        <w:tc>
          <w:tcPr>
            <w:tcW w:w="891" w:type="dxa"/>
            <w:tcBorders>
              <w:top w:val="nil"/>
              <w:left w:val="nil"/>
              <w:right w:val="nil"/>
            </w:tcBorders>
            <w:shd w:val="solid" w:color="FFFFFF"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836.1</w:t>
            </w:r>
          </w:p>
        </w:tc>
      </w:tr>
      <w:tr w:rsidR="00965D85" w:rsidRPr="00E22AD9" w:rsidTr="008B46DF">
        <w:tc>
          <w:tcPr>
            <w:tcW w:w="3345" w:type="dxa"/>
            <w:tcBorders>
              <w:top w:val="nil"/>
              <w:left w:val="nil"/>
              <w:right w:val="nil"/>
            </w:tcBorders>
            <w:shd w:val="solid" w:color="FFFFFF"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Employer contributions</w:t>
            </w:r>
          </w:p>
        </w:tc>
        <w:tc>
          <w:tcPr>
            <w:tcW w:w="890" w:type="dxa"/>
            <w:tcBorders>
              <w:top w:val="nil"/>
              <w:left w:val="nil"/>
              <w:right w:val="nil"/>
            </w:tcBorders>
            <w:shd w:val="solid" w:color="FFFFFF"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1 693.3</w:t>
            </w:r>
          </w:p>
        </w:tc>
        <w:tc>
          <w:tcPr>
            <w:tcW w:w="890" w:type="dxa"/>
            <w:tcBorders>
              <w:top w:val="nil"/>
              <w:left w:val="nil"/>
              <w:right w:val="nil"/>
            </w:tcBorders>
            <w:shd w:val="solid" w:color="FFFFFF"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1 507.4</w:t>
            </w:r>
          </w:p>
        </w:tc>
        <w:tc>
          <w:tcPr>
            <w:tcW w:w="891" w:type="dxa"/>
            <w:tcBorders>
              <w:top w:val="nil"/>
              <w:left w:val="nil"/>
              <w:right w:val="nil"/>
            </w:tcBorders>
            <w:shd w:val="solid" w:color="FFFFFF"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1 532.4</w:t>
            </w:r>
          </w:p>
        </w:tc>
        <w:tc>
          <w:tcPr>
            <w:tcW w:w="890" w:type="dxa"/>
            <w:tcBorders>
              <w:top w:val="nil"/>
              <w:left w:val="nil"/>
              <w:right w:val="nil"/>
            </w:tcBorders>
            <w:shd w:val="solid" w:color="FFFFFF"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1 529.0</w:t>
            </w:r>
          </w:p>
        </w:tc>
        <w:tc>
          <w:tcPr>
            <w:tcW w:w="891" w:type="dxa"/>
            <w:tcBorders>
              <w:top w:val="nil"/>
              <w:left w:val="nil"/>
              <w:right w:val="nil"/>
            </w:tcBorders>
            <w:shd w:val="solid" w:color="FFFFFF"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1 565.4</w:t>
            </w:r>
          </w:p>
        </w:tc>
      </w:tr>
      <w:tr w:rsidR="00965D85" w:rsidRPr="00E22AD9" w:rsidTr="008B46DF">
        <w:tc>
          <w:tcPr>
            <w:tcW w:w="3345" w:type="dxa"/>
            <w:tcBorders>
              <w:top w:val="nil"/>
              <w:left w:val="nil"/>
              <w:right w:val="nil"/>
            </w:tcBorders>
            <w:shd w:val="solid" w:color="FFFFFF"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Contributions by plan participants</w:t>
            </w:r>
          </w:p>
        </w:tc>
        <w:tc>
          <w:tcPr>
            <w:tcW w:w="890" w:type="dxa"/>
            <w:tcBorders>
              <w:top w:val="nil"/>
              <w:left w:val="nil"/>
              <w:right w:val="nil"/>
            </w:tcBorders>
            <w:shd w:val="solid" w:color="FFFFFF"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188.3</w:t>
            </w:r>
          </w:p>
        </w:tc>
        <w:tc>
          <w:tcPr>
            <w:tcW w:w="890" w:type="dxa"/>
            <w:tcBorders>
              <w:top w:val="nil"/>
              <w:left w:val="nil"/>
              <w:right w:val="nil"/>
            </w:tcBorders>
            <w:shd w:val="solid" w:color="FFFFFF"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194.5</w:t>
            </w:r>
          </w:p>
        </w:tc>
        <w:tc>
          <w:tcPr>
            <w:tcW w:w="891" w:type="dxa"/>
            <w:tcBorders>
              <w:top w:val="nil"/>
              <w:left w:val="nil"/>
              <w:right w:val="nil"/>
            </w:tcBorders>
            <w:shd w:val="solid" w:color="FFFFFF"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188.7</w:t>
            </w:r>
          </w:p>
        </w:tc>
        <w:tc>
          <w:tcPr>
            <w:tcW w:w="890" w:type="dxa"/>
            <w:tcBorders>
              <w:top w:val="nil"/>
              <w:left w:val="nil"/>
              <w:right w:val="nil"/>
            </w:tcBorders>
            <w:shd w:val="solid" w:color="FFFFFF"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183.4</w:t>
            </w:r>
          </w:p>
        </w:tc>
        <w:tc>
          <w:tcPr>
            <w:tcW w:w="891" w:type="dxa"/>
            <w:tcBorders>
              <w:top w:val="nil"/>
              <w:left w:val="nil"/>
              <w:right w:val="nil"/>
            </w:tcBorders>
            <w:shd w:val="solid" w:color="FFFFFF"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178.2</w:t>
            </w:r>
          </w:p>
        </w:tc>
      </w:tr>
      <w:tr w:rsidR="00965D85" w:rsidRPr="00E22AD9" w:rsidTr="008B46DF">
        <w:tc>
          <w:tcPr>
            <w:tcW w:w="3345" w:type="dxa"/>
            <w:tcBorders>
              <w:top w:val="nil"/>
              <w:left w:val="nil"/>
              <w:bottom w:val="single" w:sz="6" w:space="0" w:color="auto"/>
              <w:right w:val="nil"/>
            </w:tcBorders>
            <w:shd w:val="solid" w:color="FFFFFF"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Benefits paid (including tax paid)</w:t>
            </w:r>
          </w:p>
        </w:tc>
        <w:tc>
          <w:tcPr>
            <w:tcW w:w="890" w:type="dxa"/>
            <w:tcBorders>
              <w:top w:val="nil"/>
              <w:left w:val="nil"/>
              <w:bottom w:val="single" w:sz="6" w:space="0" w:color="auto"/>
              <w:right w:val="nil"/>
            </w:tcBorders>
            <w:shd w:val="solid" w:color="FFFFFF"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(2 680.4)</w:t>
            </w:r>
          </w:p>
        </w:tc>
        <w:tc>
          <w:tcPr>
            <w:tcW w:w="890" w:type="dxa"/>
            <w:tcBorders>
              <w:top w:val="nil"/>
              <w:left w:val="nil"/>
              <w:bottom w:val="single" w:sz="6" w:space="0" w:color="auto"/>
              <w:right w:val="nil"/>
            </w:tcBorders>
            <w:shd w:val="solid" w:color="FFFFFF"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(2 743.6)</w:t>
            </w:r>
          </w:p>
        </w:tc>
        <w:tc>
          <w:tcPr>
            <w:tcW w:w="891" w:type="dxa"/>
            <w:tcBorders>
              <w:top w:val="nil"/>
              <w:left w:val="nil"/>
              <w:bottom w:val="single" w:sz="6" w:space="0" w:color="auto"/>
              <w:right w:val="nil"/>
            </w:tcBorders>
            <w:shd w:val="solid" w:color="FFFFFF"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(2 812.2)</w:t>
            </w:r>
          </w:p>
        </w:tc>
        <w:tc>
          <w:tcPr>
            <w:tcW w:w="890" w:type="dxa"/>
            <w:tcBorders>
              <w:top w:val="nil"/>
              <w:left w:val="nil"/>
              <w:bottom w:val="single" w:sz="6" w:space="0" w:color="auto"/>
              <w:right w:val="nil"/>
            </w:tcBorders>
            <w:shd w:val="solid" w:color="FFFFFF"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(2 773.6)</w:t>
            </w:r>
          </w:p>
        </w:tc>
        <w:tc>
          <w:tcPr>
            <w:tcW w:w="891" w:type="dxa"/>
            <w:tcBorders>
              <w:top w:val="nil"/>
              <w:left w:val="nil"/>
              <w:bottom w:val="single" w:sz="6" w:space="0" w:color="auto"/>
              <w:right w:val="nil"/>
            </w:tcBorders>
            <w:shd w:val="solid" w:color="FFFFFF"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(2 890.4)</w:t>
            </w:r>
          </w:p>
        </w:tc>
      </w:tr>
      <w:tr w:rsidR="00965D85" w:rsidRPr="00E22AD9" w:rsidTr="008B46DF">
        <w:tc>
          <w:tcPr>
            <w:tcW w:w="3345" w:type="dxa"/>
            <w:tcBorders>
              <w:top w:val="single" w:sz="6" w:space="0" w:color="auto"/>
              <w:left w:val="nil"/>
              <w:bottom w:val="single" w:sz="12" w:space="0" w:color="auto"/>
              <w:right w:val="nil"/>
            </w:tcBorders>
            <w:shd w:val="solid" w:color="FFFFFF"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Closing balance of plan assets</w:t>
            </w:r>
          </w:p>
        </w:tc>
        <w:tc>
          <w:tcPr>
            <w:tcW w:w="890" w:type="dxa"/>
            <w:tcBorders>
              <w:top w:val="single" w:sz="6" w:space="0" w:color="auto"/>
              <w:left w:val="nil"/>
              <w:bottom w:val="single" w:sz="12" w:space="0" w:color="auto"/>
              <w:right w:val="nil"/>
            </w:tcBorders>
            <w:shd w:val="solid" w:color="FFFFFF"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20 750.7</w:t>
            </w:r>
          </w:p>
        </w:tc>
        <w:tc>
          <w:tcPr>
            <w:tcW w:w="890" w:type="dxa"/>
            <w:tcBorders>
              <w:top w:val="single" w:sz="6" w:space="0" w:color="auto"/>
              <w:left w:val="nil"/>
              <w:bottom w:val="single" w:sz="12" w:space="0" w:color="auto"/>
              <w:right w:val="nil"/>
            </w:tcBorders>
            <w:shd w:val="solid" w:color="FFFFFF"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19 781.4</w:t>
            </w:r>
          </w:p>
        </w:tc>
        <w:tc>
          <w:tcPr>
            <w:tcW w:w="891" w:type="dxa"/>
            <w:tcBorders>
              <w:top w:val="single" w:sz="6" w:space="0" w:color="auto"/>
              <w:left w:val="nil"/>
              <w:bottom w:val="single" w:sz="12" w:space="0" w:color="auto"/>
              <w:right w:val="nil"/>
            </w:tcBorders>
            <w:shd w:val="solid" w:color="FFFFFF"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20 129.7</w:t>
            </w:r>
          </w:p>
        </w:tc>
        <w:tc>
          <w:tcPr>
            <w:tcW w:w="890" w:type="dxa"/>
            <w:tcBorders>
              <w:top w:val="single" w:sz="6" w:space="0" w:color="auto"/>
              <w:left w:val="nil"/>
              <w:bottom w:val="single" w:sz="12" w:space="0" w:color="auto"/>
              <w:right w:val="nil"/>
            </w:tcBorders>
            <w:shd w:val="solid" w:color="FFFFFF"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20 516.2</w:t>
            </w:r>
          </w:p>
        </w:tc>
        <w:tc>
          <w:tcPr>
            <w:tcW w:w="891" w:type="dxa"/>
            <w:tcBorders>
              <w:top w:val="single" w:sz="6" w:space="0" w:color="auto"/>
              <w:left w:val="nil"/>
              <w:bottom w:val="single" w:sz="12" w:space="0" w:color="auto"/>
              <w:right w:val="nil"/>
            </w:tcBorders>
            <w:shd w:val="solid" w:color="FFFFFF"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20 785.6</w:t>
            </w:r>
          </w:p>
        </w:tc>
      </w:tr>
    </w:tbl>
    <w:p w:rsidR="00965D85" w:rsidRDefault="00965D85" w:rsidP="008B46DF">
      <w:pPr>
        <w:rPr>
          <w:lang w:eastAsia="en-AU"/>
        </w:rPr>
      </w:pPr>
    </w:p>
    <w:p w:rsidR="00965D85" w:rsidRDefault="00965D85">
      <w:pPr>
        <w:spacing w:after="0"/>
        <w:rPr>
          <w:rFonts w:ascii="Calibri" w:eastAsiaTheme="minorEastAsia" w:hAnsi="Calibri"/>
          <w:b/>
          <w:kern w:val="28"/>
          <w:sz w:val="26"/>
          <w:szCs w:val="22"/>
          <w:lang w:eastAsia="en-AU"/>
        </w:rPr>
      </w:pPr>
      <w:r>
        <w:rPr>
          <w:rFonts w:eastAsiaTheme="minorEastAsia"/>
          <w:lang w:eastAsia="en-AU"/>
        </w:rPr>
        <w:br w:type="page"/>
      </w:r>
    </w:p>
    <w:p w:rsidR="00965D85" w:rsidRDefault="00965D85" w:rsidP="008B46DF">
      <w:pPr>
        <w:pStyle w:val="Heading2NotesContd"/>
        <w:rPr>
          <w:rFonts w:eastAsiaTheme="minorEastAsia"/>
          <w:i/>
          <w:lang w:eastAsia="en-AU"/>
        </w:rPr>
      </w:pPr>
      <w:r>
        <w:rPr>
          <w:rFonts w:eastAsiaTheme="minorEastAsia"/>
          <w:lang w:eastAsia="en-AU"/>
        </w:rPr>
        <w:lastRenderedPageBreak/>
        <w:t>Note 7:</w:t>
      </w:r>
      <w:r>
        <w:rPr>
          <w:rFonts w:eastAsiaTheme="minorEastAsia"/>
          <w:lang w:eastAsia="en-AU"/>
        </w:rPr>
        <w:tab/>
        <w:t xml:space="preserve">Superannuation </w:t>
      </w:r>
      <w:r w:rsidRPr="00EA2807">
        <w:rPr>
          <w:rFonts w:eastAsiaTheme="minorEastAsia"/>
          <w:i/>
          <w:lang w:eastAsia="en-AU"/>
        </w:rPr>
        <w:t>(continued)</w:t>
      </w:r>
    </w:p>
    <w:p w:rsidR="00965D85" w:rsidRDefault="00965D85" w:rsidP="008B46DF">
      <w:pPr>
        <w:pStyle w:val="Heading5"/>
        <w:rPr>
          <w:rFonts w:ascii="Times New Roman" w:hAnsi="Times New Roman"/>
          <w:i/>
          <w:sz w:val="20"/>
          <w:lang w:eastAsia="en-AU"/>
        </w:rPr>
      </w:pPr>
      <w:r w:rsidRPr="006748A0">
        <w:rPr>
          <w:lang w:eastAsia="en-AU"/>
        </w:rPr>
        <w:t xml:space="preserve">(d) </w:t>
      </w:r>
      <w:r w:rsidRPr="006748A0">
        <w:rPr>
          <w:lang w:eastAsia="en-AU"/>
        </w:rPr>
        <w:tab/>
        <w:t>Reconciliation of the superannuation liabilities</w:t>
      </w:r>
    </w:p>
    <w:tbl>
      <w:tblPr>
        <w:tblW w:w="7765" w:type="dxa"/>
        <w:tblInd w:w="28" w:type="dxa"/>
        <w:tblLayout w:type="fixed"/>
        <w:tblCellMar>
          <w:left w:w="28" w:type="dxa"/>
          <w:right w:w="28" w:type="dxa"/>
        </w:tblCellMar>
        <w:tblLook w:val="0000" w:firstRow="0" w:lastRow="0" w:firstColumn="0" w:lastColumn="0" w:noHBand="0" w:noVBand="0"/>
      </w:tblPr>
      <w:tblGrid>
        <w:gridCol w:w="2945"/>
        <w:gridCol w:w="964"/>
        <w:gridCol w:w="964"/>
        <w:gridCol w:w="964"/>
        <w:gridCol w:w="511"/>
        <w:gridCol w:w="283"/>
        <w:gridCol w:w="170"/>
        <w:gridCol w:w="113"/>
        <w:gridCol w:w="283"/>
        <w:gridCol w:w="283"/>
        <w:gridCol w:w="285"/>
      </w:tblGrid>
      <w:tr w:rsidR="00965D85" w:rsidRPr="00E22AD9" w:rsidTr="008B46DF">
        <w:trPr>
          <w:tblHeader/>
        </w:trPr>
        <w:tc>
          <w:tcPr>
            <w:tcW w:w="7765" w:type="dxa"/>
            <w:gridSpan w:val="11"/>
            <w:tcBorders>
              <w:top w:val="nil"/>
              <w:left w:val="nil"/>
              <w:bottom w:val="single" w:sz="6" w:space="0" w:color="auto"/>
              <w:right w:val="nil"/>
            </w:tcBorders>
          </w:tcPr>
          <w:p w:rsidR="00965D85" w:rsidRPr="00E22AD9" w:rsidRDefault="00965D85" w:rsidP="008B46DF">
            <w:pPr>
              <w:pStyle w:val="million"/>
              <w:rPr>
                <w:rFonts w:eastAsiaTheme="minorEastAsia" w:cs="Calibri"/>
                <w:iCs/>
                <w:color w:val="000000"/>
                <w:sz w:val="20"/>
                <w:lang w:eastAsia="en-AU"/>
              </w:rPr>
            </w:pPr>
            <w:r w:rsidRPr="00E22AD9">
              <w:rPr>
                <w:rFonts w:eastAsiaTheme="minorEastAsia"/>
                <w:lang w:eastAsia="en-AU"/>
              </w:rPr>
              <w:t>($ million)</w:t>
            </w:r>
          </w:p>
        </w:tc>
      </w:tr>
      <w:tr w:rsidR="00965D85" w:rsidRPr="004E5DCF" w:rsidTr="008B46DF">
        <w:trPr>
          <w:trHeight w:val="503"/>
          <w:tblHeader/>
        </w:trPr>
        <w:tc>
          <w:tcPr>
            <w:tcW w:w="2945" w:type="dxa"/>
            <w:tcBorders>
              <w:top w:val="single" w:sz="6" w:space="0" w:color="auto"/>
              <w:left w:val="nil"/>
              <w:right w:val="nil"/>
            </w:tcBorders>
            <w:shd w:val="solid" w:color="000000" w:fill="auto"/>
          </w:tcPr>
          <w:p w:rsidR="00965D85" w:rsidRPr="004E5DCF" w:rsidRDefault="00965D85" w:rsidP="008B46DF">
            <w:pPr>
              <w:autoSpaceDE w:val="0"/>
              <w:autoSpaceDN w:val="0"/>
              <w:adjustRightInd w:val="0"/>
              <w:spacing w:after="0"/>
              <w:rPr>
                <w:rFonts w:ascii="Calibri" w:eastAsiaTheme="minorEastAsia" w:hAnsi="Calibri" w:cs="Calibri"/>
                <w:color w:val="000000"/>
                <w:sz w:val="20"/>
                <w:lang w:eastAsia="en-AU"/>
              </w:rPr>
            </w:pPr>
            <w:r w:rsidRPr="004E5DCF">
              <w:rPr>
                <w:rFonts w:ascii="Calibri" w:eastAsiaTheme="minorEastAsia" w:hAnsi="Calibri" w:cs="Calibri"/>
                <w:color w:val="000000"/>
                <w:sz w:val="20"/>
                <w:lang w:eastAsia="en-AU"/>
              </w:rPr>
              <w:t xml:space="preserve"> </w:t>
            </w:r>
          </w:p>
          <w:p w:rsidR="00965D85" w:rsidRPr="004E5DCF" w:rsidRDefault="00965D85" w:rsidP="008B46DF">
            <w:pPr>
              <w:autoSpaceDE w:val="0"/>
              <w:autoSpaceDN w:val="0"/>
              <w:adjustRightInd w:val="0"/>
              <w:spacing w:after="0"/>
              <w:rPr>
                <w:rFonts w:ascii="Calibri" w:eastAsiaTheme="minorEastAsia" w:hAnsi="Calibri" w:cs="Calibri"/>
                <w:color w:val="000000"/>
                <w:sz w:val="20"/>
                <w:lang w:eastAsia="en-AU"/>
              </w:rPr>
            </w:pPr>
            <w:r w:rsidRPr="004E5DCF">
              <w:rPr>
                <w:rFonts w:ascii="Calibri" w:eastAsiaTheme="minorEastAsia" w:hAnsi="Calibri" w:cs="Calibri"/>
                <w:color w:val="000000"/>
                <w:sz w:val="20"/>
                <w:lang w:eastAsia="en-AU"/>
              </w:rPr>
              <w:t xml:space="preserve"> </w:t>
            </w:r>
          </w:p>
        </w:tc>
        <w:tc>
          <w:tcPr>
            <w:tcW w:w="964" w:type="dxa"/>
            <w:tcBorders>
              <w:top w:val="single" w:sz="6" w:space="0" w:color="auto"/>
              <w:left w:val="nil"/>
              <w:right w:val="nil"/>
            </w:tcBorders>
            <w:shd w:val="solid" w:color="000000" w:fill="auto"/>
          </w:tcPr>
          <w:p w:rsidR="00965D85" w:rsidRPr="004E5DCF"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4E5DCF">
              <w:rPr>
                <w:rFonts w:ascii="Calibri" w:eastAsiaTheme="minorEastAsia" w:hAnsi="Calibri" w:cs="Calibri"/>
                <w:i/>
                <w:iCs/>
                <w:color w:val="FFFFFF"/>
                <w:sz w:val="20"/>
                <w:lang w:eastAsia="en-AU"/>
              </w:rPr>
              <w:t>2015</w:t>
            </w:r>
            <w:r w:rsidRPr="004E5DCF">
              <w:rPr>
                <w:rFonts w:ascii="Calibri" w:eastAsiaTheme="minorEastAsia" w:hAnsi="Calibri" w:cs="Calibri"/>
                <w:i/>
                <w:iCs/>
                <w:color w:val="FFFFFF"/>
                <w:sz w:val="20"/>
                <w:lang w:eastAsia="en-AU"/>
              </w:rPr>
              <w:noBreakHyphen/>
              <w:t>16</w:t>
            </w:r>
          </w:p>
          <w:p w:rsidR="00965D85" w:rsidRPr="004E5DCF"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4E5DCF">
              <w:rPr>
                <w:rFonts w:ascii="Calibri" w:eastAsiaTheme="minorEastAsia" w:hAnsi="Calibri" w:cs="Calibri"/>
                <w:i/>
                <w:iCs/>
                <w:color w:val="FFFFFF"/>
                <w:sz w:val="20"/>
                <w:lang w:eastAsia="en-AU"/>
              </w:rPr>
              <w:t>budget</w:t>
            </w:r>
          </w:p>
        </w:tc>
        <w:tc>
          <w:tcPr>
            <w:tcW w:w="964" w:type="dxa"/>
            <w:tcBorders>
              <w:top w:val="single" w:sz="6" w:space="0" w:color="auto"/>
              <w:left w:val="nil"/>
              <w:right w:val="nil"/>
            </w:tcBorders>
            <w:shd w:val="solid" w:color="000000" w:fill="auto"/>
          </w:tcPr>
          <w:p w:rsidR="00965D85" w:rsidRPr="004E5DCF"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4E5DCF">
              <w:rPr>
                <w:rFonts w:ascii="Calibri" w:eastAsiaTheme="minorEastAsia" w:hAnsi="Calibri" w:cs="Calibri"/>
                <w:i/>
                <w:iCs/>
                <w:color w:val="FFFFFF"/>
                <w:sz w:val="20"/>
                <w:lang w:eastAsia="en-AU"/>
              </w:rPr>
              <w:t>2015</w:t>
            </w:r>
            <w:r w:rsidRPr="004E5DCF">
              <w:rPr>
                <w:rFonts w:ascii="Calibri" w:eastAsiaTheme="minorEastAsia" w:hAnsi="Calibri" w:cs="Calibri"/>
                <w:i/>
                <w:iCs/>
                <w:color w:val="FFFFFF"/>
                <w:sz w:val="20"/>
                <w:lang w:eastAsia="en-AU"/>
              </w:rPr>
              <w:noBreakHyphen/>
              <w:t>16</w:t>
            </w:r>
          </w:p>
          <w:p w:rsidR="00965D85" w:rsidRPr="004E5DCF"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4E5DCF">
              <w:rPr>
                <w:rFonts w:ascii="Calibri" w:eastAsiaTheme="minorEastAsia" w:hAnsi="Calibri" w:cs="Calibri"/>
                <w:i/>
                <w:iCs/>
                <w:color w:val="FFFFFF"/>
                <w:sz w:val="20"/>
                <w:lang w:eastAsia="en-AU"/>
              </w:rPr>
              <w:t>revised</w:t>
            </w:r>
          </w:p>
        </w:tc>
        <w:tc>
          <w:tcPr>
            <w:tcW w:w="964" w:type="dxa"/>
            <w:tcBorders>
              <w:top w:val="single" w:sz="6" w:space="0" w:color="auto"/>
              <w:left w:val="nil"/>
              <w:right w:val="nil"/>
            </w:tcBorders>
            <w:shd w:val="solid" w:color="000000" w:fill="auto"/>
          </w:tcPr>
          <w:p w:rsidR="00965D85" w:rsidRPr="004E5DCF"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4E5DCF">
              <w:rPr>
                <w:rFonts w:ascii="Calibri" w:eastAsiaTheme="minorEastAsia" w:hAnsi="Calibri" w:cs="Calibri"/>
                <w:i/>
                <w:iCs/>
                <w:color w:val="FFFFFF"/>
                <w:sz w:val="20"/>
                <w:lang w:eastAsia="en-AU"/>
              </w:rPr>
              <w:t>2016</w:t>
            </w:r>
            <w:r w:rsidRPr="004E5DCF">
              <w:rPr>
                <w:rFonts w:ascii="Calibri" w:eastAsiaTheme="minorEastAsia" w:hAnsi="Calibri" w:cs="Calibri"/>
                <w:i/>
                <w:iCs/>
                <w:color w:val="FFFFFF"/>
                <w:sz w:val="20"/>
                <w:lang w:eastAsia="en-AU"/>
              </w:rPr>
              <w:noBreakHyphen/>
              <w:t>17</w:t>
            </w:r>
          </w:p>
          <w:p w:rsidR="00965D85" w:rsidRPr="004E5DCF"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4E5DCF">
              <w:rPr>
                <w:rFonts w:ascii="Calibri" w:eastAsiaTheme="minorEastAsia" w:hAnsi="Calibri" w:cs="Calibri"/>
                <w:i/>
                <w:iCs/>
                <w:color w:val="FFFFFF"/>
                <w:sz w:val="20"/>
                <w:lang w:eastAsia="en-AU"/>
              </w:rPr>
              <w:t>estimate</w:t>
            </w:r>
          </w:p>
        </w:tc>
        <w:tc>
          <w:tcPr>
            <w:tcW w:w="964" w:type="dxa"/>
            <w:gridSpan w:val="3"/>
            <w:tcBorders>
              <w:top w:val="single" w:sz="6" w:space="0" w:color="auto"/>
              <w:left w:val="nil"/>
              <w:right w:val="nil"/>
            </w:tcBorders>
            <w:shd w:val="solid" w:color="000000" w:fill="auto"/>
          </w:tcPr>
          <w:p w:rsidR="00965D85" w:rsidRPr="004E5DCF"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4E5DCF">
              <w:rPr>
                <w:rFonts w:ascii="Calibri" w:eastAsiaTheme="minorEastAsia" w:hAnsi="Calibri" w:cs="Calibri"/>
                <w:i/>
                <w:iCs/>
                <w:color w:val="FFFFFF"/>
                <w:sz w:val="20"/>
                <w:lang w:eastAsia="en-AU"/>
              </w:rPr>
              <w:t>2017</w:t>
            </w:r>
            <w:r w:rsidRPr="004E5DCF">
              <w:rPr>
                <w:rFonts w:ascii="Calibri" w:eastAsiaTheme="minorEastAsia" w:hAnsi="Calibri" w:cs="Calibri"/>
                <w:i/>
                <w:iCs/>
                <w:color w:val="FFFFFF"/>
                <w:sz w:val="20"/>
                <w:lang w:eastAsia="en-AU"/>
              </w:rPr>
              <w:noBreakHyphen/>
              <w:t>18</w:t>
            </w:r>
          </w:p>
          <w:p w:rsidR="00965D85" w:rsidRPr="004E5DCF"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4E5DCF">
              <w:rPr>
                <w:rFonts w:ascii="Calibri" w:eastAsiaTheme="minorEastAsia" w:hAnsi="Calibri" w:cs="Calibri"/>
                <w:i/>
                <w:iCs/>
                <w:color w:val="FFFFFF"/>
                <w:sz w:val="20"/>
                <w:lang w:eastAsia="en-AU"/>
              </w:rPr>
              <w:t>estimate</w:t>
            </w:r>
          </w:p>
        </w:tc>
        <w:tc>
          <w:tcPr>
            <w:tcW w:w="964" w:type="dxa"/>
            <w:gridSpan w:val="4"/>
            <w:tcBorders>
              <w:top w:val="single" w:sz="6" w:space="0" w:color="auto"/>
              <w:left w:val="nil"/>
              <w:right w:val="nil"/>
            </w:tcBorders>
            <w:shd w:val="solid" w:color="000000" w:fill="auto"/>
          </w:tcPr>
          <w:p w:rsidR="00965D85" w:rsidRPr="004E5DCF"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4E5DCF">
              <w:rPr>
                <w:rFonts w:ascii="Calibri" w:eastAsiaTheme="minorEastAsia" w:hAnsi="Calibri" w:cs="Calibri"/>
                <w:i/>
                <w:iCs/>
                <w:color w:val="FFFFFF"/>
                <w:sz w:val="20"/>
                <w:lang w:eastAsia="en-AU"/>
              </w:rPr>
              <w:t>2018</w:t>
            </w:r>
            <w:r w:rsidRPr="004E5DCF">
              <w:rPr>
                <w:rFonts w:ascii="Calibri" w:eastAsiaTheme="minorEastAsia" w:hAnsi="Calibri" w:cs="Calibri"/>
                <w:i/>
                <w:iCs/>
                <w:color w:val="FFFFFF"/>
                <w:sz w:val="20"/>
                <w:lang w:eastAsia="en-AU"/>
              </w:rPr>
              <w:noBreakHyphen/>
              <w:t>19</w:t>
            </w:r>
          </w:p>
          <w:p w:rsidR="00965D85" w:rsidRPr="004E5DCF"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4E5DCF">
              <w:rPr>
                <w:rFonts w:ascii="Calibri" w:eastAsiaTheme="minorEastAsia" w:hAnsi="Calibri" w:cs="Calibri"/>
                <w:i/>
                <w:iCs/>
                <w:color w:val="FFFFFF"/>
                <w:sz w:val="20"/>
                <w:lang w:eastAsia="en-AU"/>
              </w:rPr>
              <w:t>estimate</w:t>
            </w:r>
          </w:p>
        </w:tc>
      </w:tr>
      <w:tr w:rsidR="00965D85" w:rsidRPr="00E22AD9" w:rsidTr="008B46DF">
        <w:tc>
          <w:tcPr>
            <w:tcW w:w="6348" w:type="dxa"/>
            <w:gridSpan w:val="5"/>
            <w:tcBorders>
              <w:top w:val="single" w:sz="6" w:space="0" w:color="auto"/>
              <w:left w:val="nil"/>
              <w:right w:val="nil"/>
            </w:tcBorders>
            <w:shd w:val="solid" w:color="FFFFFF"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Emergency Services and State Super</w:t>
            </w:r>
          </w:p>
        </w:tc>
        <w:tc>
          <w:tcPr>
            <w:tcW w:w="283" w:type="dxa"/>
            <w:tcBorders>
              <w:top w:val="single" w:sz="6" w:space="0" w:color="auto"/>
              <w:left w:val="nil"/>
              <w:right w:val="nil"/>
            </w:tcBorders>
            <w:shd w:val="solid" w:color="FFFFFF"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p>
        </w:tc>
        <w:tc>
          <w:tcPr>
            <w:tcW w:w="283" w:type="dxa"/>
            <w:gridSpan w:val="2"/>
            <w:tcBorders>
              <w:top w:val="single" w:sz="6" w:space="0" w:color="auto"/>
              <w:left w:val="nil"/>
              <w:right w:val="nil"/>
            </w:tcBorders>
            <w:shd w:val="solid" w:color="FFFFFF"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p>
        </w:tc>
        <w:tc>
          <w:tcPr>
            <w:tcW w:w="283" w:type="dxa"/>
            <w:tcBorders>
              <w:top w:val="single" w:sz="6" w:space="0" w:color="auto"/>
              <w:left w:val="nil"/>
              <w:right w:val="nil"/>
            </w:tcBorders>
            <w:shd w:val="solid" w:color="FFFFFF"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p>
        </w:tc>
        <w:tc>
          <w:tcPr>
            <w:tcW w:w="283" w:type="dxa"/>
            <w:tcBorders>
              <w:top w:val="single" w:sz="6" w:space="0" w:color="auto"/>
              <w:left w:val="nil"/>
              <w:right w:val="nil"/>
            </w:tcBorders>
            <w:shd w:val="solid" w:color="FFFFFF"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p>
        </w:tc>
        <w:tc>
          <w:tcPr>
            <w:tcW w:w="285" w:type="dxa"/>
            <w:tcBorders>
              <w:top w:val="single" w:sz="6" w:space="0" w:color="auto"/>
              <w:left w:val="nil"/>
              <w:right w:val="nil"/>
            </w:tcBorders>
            <w:shd w:val="solid" w:color="FFFFFF"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p>
        </w:tc>
      </w:tr>
      <w:tr w:rsidR="00965D85" w:rsidRPr="00E22AD9" w:rsidTr="008B46DF">
        <w:tc>
          <w:tcPr>
            <w:tcW w:w="2945" w:type="dxa"/>
            <w:tcBorders>
              <w:top w:val="nil"/>
              <w:left w:val="nil"/>
              <w:right w:val="nil"/>
            </w:tcBorders>
            <w:shd w:val="solid" w:color="FFFFFF"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Defined benefit obligation</w:t>
            </w:r>
          </w:p>
        </w:tc>
        <w:tc>
          <w:tcPr>
            <w:tcW w:w="964" w:type="dxa"/>
            <w:tcBorders>
              <w:top w:val="nil"/>
              <w:left w:val="nil"/>
              <w:right w:val="nil"/>
            </w:tcBorders>
            <w:shd w:val="solid" w:color="FFFFFF"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41 168.6</w:t>
            </w:r>
          </w:p>
        </w:tc>
        <w:tc>
          <w:tcPr>
            <w:tcW w:w="964" w:type="dxa"/>
            <w:tcBorders>
              <w:top w:val="nil"/>
              <w:left w:val="nil"/>
              <w:right w:val="nil"/>
            </w:tcBorders>
            <w:shd w:val="solid" w:color="FFFFFF"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42 638.5</w:t>
            </w:r>
          </w:p>
        </w:tc>
        <w:tc>
          <w:tcPr>
            <w:tcW w:w="964" w:type="dxa"/>
            <w:tcBorders>
              <w:top w:val="nil"/>
              <w:left w:val="nil"/>
              <w:right w:val="nil"/>
            </w:tcBorders>
            <w:shd w:val="solid" w:color="FFFFFF"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42 338.8</w:t>
            </w:r>
          </w:p>
        </w:tc>
        <w:tc>
          <w:tcPr>
            <w:tcW w:w="964" w:type="dxa"/>
            <w:gridSpan w:val="3"/>
            <w:tcBorders>
              <w:top w:val="nil"/>
              <w:left w:val="nil"/>
              <w:right w:val="nil"/>
            </w:tcBorders>
            <w:shd w:val="solid" w:color="FFFFFF"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41 959.4</w:t>
            </w:r>
          </w:p>
        </w:tc>
        <w:tc>
          <w:tcPr>
            <w:tcW w:w="964" w:type="dxa"/>
            <w:gridSpan w:val="4"/>
            <w:tcBorders>
              <w:top w:val="nil"/>
              <w:left w:val="nil"/>
              <w:right w:val="nil"/>
            </w:tcBorders>
            <w:shd w:val="solid" w:color="FFFFFF"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41 487.6</w:t>
            </w:r>
          </w:p>
        </w:tc>
      </w:tr>
      <w:tr w:rsidR="00965D85" w:rsidRPr="00E22AD9" w:rsidTr="008B46DF">
        <w:tc>
          <w:tcPr>
            <w:tcW w:w="2945" w:type="dxa"/>
            <w:tcBorders>
              <w:top w:val="nil"/>
              <w:left w:val="nil"/>
              <w:right w:val="nil"/>
            </w:tcBorders>
            <w:shd w:val="solid" w:color="FFFFFF"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20"/>
                <w:vertAlign w:val="superscript"/>
                <w:lang w:eastAsia="en-AU"/>
              </w:rPr>
            </w:pPr>
            <w:r w:rsidRPr="00E22AD9">
              <w:rPr>
                <w:rFonts w:ascii="Calibri" w:eastAsiaTheme="minorEastAsia" w:hAnsi="Calibri" w:cs="Calibri"/>
                <w:color w:val="000000"/>
                <w:sz w:val="20"/>
                <w:lang w:eastAsia="en-AU"/>
              </w:rPr>
              <w:t xml:space="preserve">Tax liability </w:t>
            </w:r>
            <w:r w:rsidRPr="00E22AD9">
              <w:rPr>
                <w:rFonts w:ascii="Calibri" w:eastAsiaTheme="minorEastAsia" w:hAnsi="Calibri" w:cs="Calibri"/>
                <w:color w:val="000000"/>
                <w:sz w:val="20"/>
                <w:vertAlign w:val="superscript"/>
                <w:lang w:eastAsia="en-AU"/>
              </w:rPr>
              <w:t>(a)</w:t>
            </w:r>
          </w:p>
        </w:tc>
        <w:tc>
          <w:tcPr>
            <w:tcW w:w="964" w:type="dxa"/>
            <w:tcBorders>
              <w:top w:val="nil"/>
              <w:left w:val="nil"/>
              <w:right w:val="nil"/>
            </w:tcBorders>
            <w:shd w:val="solid" w:color="FFFFFF"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2 835.8</w:t>
            </w:r>
          </w:p>
        </w:tc>
        <w:tc>
          <w:tcPr>
            <w:tcW w:w="964" w:type="dxa"/>
            <w:tcBorders>
              <w:top w:val="nil"/>
              <w:left w:val="nil"/>
              <w:right w:val="nil"/>
            </w:tcBorders>
            <w:shd w:val="solid" w:color="FFFFFF"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2 554.2</w:t>
            </w:r>
          </w:p>
        </w:tc>
        <w:tc>
          <w:tcPr>
            <w:tcW w:w="964" w:type="dxa"/>
            <w:tcBorders>
              <w:top w:val="nil"/>
              <w:left w:val="nil"/>
              <w:right w:val="nil"/>
            </w:tcBorders>
            <w:shd w:val="solid" w:color="FFFFFF"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2 425.1</w:t>
            </w:r>
          </w:p>
        </w:tc>
        <w:tc>
          <w:tcPr>
            <w:tcW w:w="964" w:type="dxa"/>
            <w:gridSpan w:val="3"/>
            <w:tcBorders>
              <w:top w:val="nil"/>
              <w:left w:val="nil"/>
              <w:right w:val="nil"/>
            </w:tcBorders>
            <w:shd w:val="solid" w:color="FFFFFF"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2 383.0</w:t>
            </w:r>
          </w:p>
        </w:tc>
        <w:tc>
          <w:tcPr>
            <w:tcW w:w="964" w:type="dxa"/>
            <w:gridSpan w:val="4"/>
            <w:tcBorders>
              <w:top w:val="nil"/>
              <w:left w:val="nil"/>
              <w:right w:val="nil"/>
            </w:tcBorders>
            <w:shd w:val="solid" w:color="FFFFFF"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2 287.3</w:t>
            </w:r>
          </w:p>
        </w:tc>
      </w:tr>
      <w:tr w:rsidR="00965D85" w:rsidRPr="00E22AD9" w:rsidTr="008B46DF">
        <w:tc>
          <w:tcPr>
            <w:tcW w:w="2945" w:type="dxa"/>
            <w:tcBorders>
              <w:top w:val="nil"/>
              <w:left w:val="nil"/>
              <w:bottom w:val="single" w:sz="6" w:space="0" w:color="auto"/>
              <w:right w:val="nil"/>
            </w:tcBorders>
            <w:shd w:val="solid" w:color="FFFFFF"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Plan assets</w:t>
            </w:r>
          </w:p>
        </w:tc>
        <w:tc>
          <w:tcPr>
            <w:tcW w:w="964" w:type="dxa"/>
            <w:tcBorders>
              <w:top w:val="nil"/>
              <w:left w:val="nil"/>
              <w:bottom w:val="single" w:sz="6" w:space="0" w:color="auto"/>
              <w:right w:val="nil"/>
            </w:tcBorders>
            <w:shd w:val="solid" w:color="FFFFFF"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(19 863.1)</w:t>
            </w:r>
          </w:p>
        </w:tc>
        <w:tc>
          <w:tcPr>
            <w:tcW w:w="964" w:type="dxa"/>
            <w:tcBorders>
              <w:top w:val="nil"/>
              <w:left w:val="nil"/>
              <w:bottom w:val="single" w:sz="6" w:space="0" w:color="auto"/>
              <w:right w:val="nil"/>
            </w:tcBorders>
            <w:shd w:val="solid" w:color="FFFFFF"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(18 777.4)</w:t>
            </w:r>
          </w:p>
        </w:tc>
        <w:tc>
          <w:tcPr>
            <w:tcW w:w="964" w:type="dxa"/>
            <w:tcBorders>
              <w:top w:val="nil"/>
              <w:left w:val="nil"/>
              <w:bottom w:val="single" w:sz="6" w:space="0" w:color="auto"/>
              <w:right w:val="nil"/>
            </w:tcBorders>
            <w:shd w:val="solid" w:color="FFFFFF"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(19 152.1)</w:t>
            </w:r>
          </w:p>
        </w:tc>
        <w:tc>
          <w:tcPr>
            <w:tcW w:w="964" w:type="dxa"/>
            <w:gridSpan w:val="3"/>
            <w:tcBorders>
              <w:top w:val="nil"/>
              <w:left w:val="nil"/>
              <w:bottom w:val="single" w:sz="6" w:space="0" w:color="auto"/>
              <w:right w:val="nil"/>
            </w:tcBorders>
            <w:shd w:val="solid" w:color="FFFFFF"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(19 564.6)</w:t>
            </w:r>
          </w:p>
        </w:tc>
        <w:tc>
          <w:tcPr>
            <w:tcW w:w="964" w:type="dxa"/>
            <w:gridSpan w:val="4"/>
            <w:tcBorders>
              <w:top w:val="nil"/>
              <w:left w:val="nil"/>
              <w:bottom w:val="single" w:sz="6" w:space="0" w:color="auto"/>
              <w:right w:val="nil"/>
            </w:tcBorders>
            <w:shd w:val="solid" w:color="FFFFFF"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(19 862.0)</w:t>
            </w:r>
          </w:p>
        </w:tc>
      </w:tr>
      <w:tr w:rsidR="00965D85" w:rsidRPr="00E22AD9" w:rsidTr="008B46DF">
        <w:tc>
          <w:tcPr>
            <w:tcW w:w="2945" w:type="dxa"/>
            <w:tcBorders>
              <w:top w:val="single" w:sz="6" w:space="0" w:color="auto"/>
              <w:left w:val="nil"/>
              <w:bottom w:val="single" w:sz="6" w:space="0" w:color="auto"/>
              <w:right w:val="nil"/>
            </w:tcBorders>
            <w:shd w:val="solid" w:color="FFFFFF"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Net liability/(asset)</w:t>
            </w:r>
          </w:p>
        </w:tc>
        <w:tc>
          <w:tcPr>
            <w:tcW w:w="964" w:type="dxa"/>
            <w:tcBorders>
              <w:top w:val="single" w:sz="6" w:space="0" w:color="auto"/>
              <w:left w:val="nil"/>
              <w:bottom w:val="single" w:sz="6" w:space="0" w:color="auto"/>
              <w:right w:val="nil"/>
            </w:tcBorders>
            <w:shd w:val="solid" w:color="FFFFFF"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24 141.3</w:t>
            </w:r>
          </w:p>
        </w:tc>
        <w:tc>
          <w:tcPr>
            <w:tcW w:w="964" w:type="dxa"/>
            <w:tcBorders>
              <w:top w:val="single" w:sz="6" w:space="0" w:color="auto"/>
              <w:left w:val="nil"/>
              <w:bottom w:val="single" w:sz="6" w:space="0" w:color="auto"/>
              <w:right w:val="nil"/>
            </w:tcBorders>
            <w:shd w:val="solid" w:color="FFFFFF"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26 415.3</w:t>
            </w:r>
          </w:p>
        </w:tc>
        <w:tc>
          <w:tcPr>
            <w:tcW w:w="964" w:type="dxa"/>
            <w:tcBorders>
              <w:top w:val="single" w:sz="6" w:space="0" w:color="auto"/>
              <w:left w:val="nil"/>
              <w:bottom w:val="single" w:sz="6" w:space="0" w:color="auto"/>
              <w:right w:val="nil"/>
            </w:tcBorders>
            <w:shd w:val="solid" w:color="FFFFFF"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25 611.8</w:t>
            </w:r>
          </w:p>
        </w:tc>
        <w:tc>
          <w:tcPr>
            <w:tcW w:w="964" w:type="dxa"/>
            <w:gridSpan w:val="3"/>
            <w:tcBorders>
              <w:top w:val="single" w:sz="6" w:space="0" w:color="auto"/>
              <w:left w:val="nil"/>
              <w:bottom w:val="single" w:sz="6" w:space="0" w:color="auto"/>
              <w:right w:val="nil"/>
            </w:tcBorders>
            <w:shd w:val="solid" w:color="FFFFFF"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24 777.9</w:t>
            </w:r>
          </w:p>
        </w:tc>
        <w:tc>
          <w:tcPr>
            <w:tcW w:w="964" w:type="dxa"/>
            <w:gridSpan w:val="4"/>
            <w:tcBorders>
              <w:top w:val="single" w:sz="6" w:space="0" w:color="auto"/>
              <w:left w:val="nil"/>
              <w:bottom w:val="single" w:sz="6" w:space="0" w:color="auto"/>
              <w:right w:val="nil"/>
            </w:tcBorders>
            <w:shd w:val="solid" w:color="FFFFFF"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23 912.9</w:t>
            </w:r>
          </w:p>
        </w:tc>
      </w:tr>
      <w:tr w:rsidR="00965D85" w:rsidRPr="00E22AD9" w:rsidTr="008B46DF">
        <w:tc>
          <w:tcPr>
            <w:tcW w:w="2945" w:type="dxa"/>
            <w:tcBorders>
              <w:top w:val="single" w:sz="6" w:space="0" w:color="auto"/>
              <w:left w:val="nil"/>
              <w:right w:val="nil"/>
            </w:tcBorders>
            <w:shd w:val="solid" w:color="FFFFFF"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b/>
                <w:bCs/>
                <w:color w:val="000000"/>
                <w:sz w:val="20"/>
                <w:vertAlign w:val="superscript"/>
                <w:lang w:eastAsia="en-AU"/>
              </w:rPr>
            </w:pPr>
            <w:r w:rsidRPr="00E22AD9">
              <w:rPr>
                <w:rFonts w:ascii="Calibri" w:eastAsiaTheme="minorEastAsia" w:hAnsi="Calibri" w:cs="Calibri"/>
                <w:b/>
                <w:bCs/>
                <w:color w:val="000000"/>
                <w:sz w:val="20"/>
                <w:lang w:eastAsia="en-AU"/>
              </w:rPr>
              <w:t xml:space="preserve">Other funds </w:t>
            </w:r>
            <w:r w:rsidRPr="00E22AD9">
              <w:rPr>
                <w:rFonts w:ascii="Calibri" w:eastAsiaTheme="minorEastAsia" w:hAnsi="Calibri" w:cs="Calibri"/>
                <w:b/>
                <w:bCs/>
                <w:color w:val="000000"/>
                <w:sz w:val="20"/>
                <w:vertAlign w:val="superscript"/>
                <w:lang w:eastAsia="en-AU"/>
              </w:rPr>
              <w:t>(b)</w:t>
            </w:r>
          </w:p>
        </w:tc>
        <w:tc>
          <w:tcPr>
            <w:tcW w:w="964" w:type="dxa"/>
            <w:tcBorders>
              <w:top w:val="single" w:sz="6" w:space="0" w:color="auto"/>
              <w:left w:val="nil"/>
              <w:right w:val="nil"/>
            </w:tcBorders>
            <w:shd w:val="solid" w:color="FFFFFF"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p>
        </w:tc>
        <w:tc>
          <w:tcPr>
            <w:tcW w:w="964" w:type="dxa"/>
            <w:tcBorders>
              <w:top w:val="single" w:sz="6" w:space="0" w:color="auto"/>
              <w:left w:val="nil"/>
              <w:right w:val="nil"/>
            </w:tcBorders>
            <w:shd w:val="solid" w:color="FFFFFF"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p>
        </w:tc>
        <w:tc>
          <w:tcPr>
            <w:tcW w:w="964" w:type="dxa"/>
            <w:tcBorders>
              <w:top w:val="single" w:sz="6" w:space="0" w:color="auto"/>
              <w:left w:val="nil"/>
              <w:right w:val="nil"/>
            </w:tcBorders>
            <w:shd w:val="solid" w:color="FFFFFF"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p>
        </w:tc>
        <w:tc>
          <w:tcPr>
            <w:tcW w:w="964" w:type="dxa"/>
            <w:gridSpan w:val="3"/>
            <w:tcBorders>
              <w:top w:val="single" w:sz="6" w:space="0" w:color="auto"/>
              <w:left w:val="nil"/>
              <w:right w:val="nil"/>
            </w:tcBorders>
            <w:shd w:val="solid" w:color="FFFFFF"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p>
        </w:tc>
        <w:tc>
          <w:tcPr>
            <w:tcW w:w="964" w:type="dxa"/>
            <w:gridSpan w:val="4"/>
            <w:tcBorders>
              <w:top w:val="single" w:sz="6" w:space="0" w:color="auto"/>
              <w:left w:val="nil"/>
              <w:right w:val="nil"/>
            </w:tcBorders>
            <w:shd w:val="solid" w:color="FFFFFF"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p>
        </w:tc>
      </w:tr>
      <w:tr w:rsidR="00965D85" w:rsidRPr="00E22AD9" w:rsidTr="008B46DF">
        <w:tc>
          <w:tcPr>
            <w:tcW w:w="2945" w:type="dxa"/>
            <w:tcBorders>
              <w:top w:val="nil"/>
              <w:left w:val="nil"/>
              <w:right w:val="nil"/>
            </w:tcBorders>
            <w:shd w:val="solid" w:color="FFFFFF"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Defined benefit obligation</w:t>
            </w:r>
          </w:p>
        </w:tc>
        <w:tc>
          <w:tcPr>
            <w:tcW w:w="964" w:type="dxa"/>
            <w:tcBorders>
              <w:top w:val="nil"/>
              <w:left w:val="nil"/>
              <w:right w:val="nil"/>
            </w:tcBorders>
            <w:shd w:val="solid" w:color="FFFFFF"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1 756.0</w:t>
            </w:r>
          </w:p>
        </w:tc>
        <w:tc>
          <w:tcPr>
            <w:tcW w:w="964" w:type="dxa"/>
            <w:tcBorders>
              <w:top w:val="nil"/>
              <w:left w:val="nil"/>
              <w:right w:val="nil"/>
            </w:tcBorders>
            <w:shd w:val="solid" w:color="FFFFFF"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2 071.2</w:t>
            </w:r>
          </w:p>
        </w:tc>
        <w:tc>
          <w:tcPr>
            <w:tcW w:w="964" w:type="dxa"/>
            <w:tcBorders>
              <w:top w:val="nil"/>
              <w:left w:val="nil"/>
              <w:right w:val="nil"/>
            </w:tcBorders>
            <w:shd w:val="solid" w:color="FFFFFF"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2 073.8</w:t>
            </w:r>
          </w:p>
        </w:tc>
        <w:tc>
          <w:tcPr>
            <w:tcW w:w="964" w:type="dxa"/>
            <w:gridSpan w:val="3"/>
            <w:tcBorders>
              <w:top w:val="nil"/>
              <w:left w:val="nil"/>
              <w:right w:val="nil"/>
            </w:tcBorders>
            <w:shd w:val="solid" w:color="FFFFFF"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2 077.6</w:t>
            </w:r>
          </w:p>
        </w:tc>
        <w:tc>
          <w:tcPr>
            <w:tcW w:w="964" w:type="dxa"/>
            <w:gridSpan w:val="4"/>
            <w:tcBorders>
              <w:top w:val="nil"/>
              <w:left w:val="nil"/>
              <w:right w:val="nil"/>
            </w:tcBorders>
            <w:shd w:val="solid" w:color="FFFFFF"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2 080.0</w:t>
            </w:r>
          </w:p>
        </w:tc>
      </w:tr>
      <w:tr w:rsidR="00965D85" w:rsidRPr="00E22AD9" w:rsidTr="008B46DF">
        <w:tc>
          <w:tcPr>
            <w:tcW w:w="2945" w:type="dxa"/>
            <w:tcBorders>
              <w:top w:val="nil"/>
              <w:left w:val="nil"/>
              <w:right w:val="nil"/>
            </w:tcBorders>
            <w:shd w:val="solid" w:color="FFFFFF"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20"/>
                <w:vertAlign w:val="superscript"/>
                <w:lang w:eastAsia="en-AU"/>
              </w:rPr>
            </w:pPr>
            <w:r w:rsidRPr="00E22AD9">
              <w:rPr>
                <w:rFonts w:ascii="Calibri" w:eastAsiaTheme="minorEastAsia" w:hAnsi="Calibri" w:cs="Calibri"/>
                <w:color w:val="000000"/>
                <w:sz w:val="20"/>
                <w:lang w:eastAsia="en-AU"/>
              </w:rPr>
              <w:t xml:space="preserve">Tax liability </w:t>
            </w:r>
            <w:r w:rsidRPr="00E22AD9">
              <w:rPr>
                <w:rFonts w:ascii="Calibri" w:eastAsiaTheme="minorEastAsia" w:hAnsi="Calibri" w:cs="Calibri"/>
                <w:color w:val="000000"/>
                <w:sz w:val="20"/>
                <w:vertAlign w:val="superscript"/>
                <w:lang w:eastAsia="en-AU"/>
              </w:rPr>
              <w:t>(a)</w:t>
            </w:r>
          </w:p>
        </w:tc>
        <w:tc>
          <w:tcPr>
            <w:tcW w:w="964" w:type="dxa"/>
            <w:tcBorders>
              <w:top w:val="nil"/>
              <w:left w:val="nil"/>
              <w:right w:val="nil"/>
            </w:tcBorders>
            <w:shd w:val="solid" w:color="FFFFFF"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(6.5)</w:t>
            </w:r>
          </w:p>
        </w:tc>
        <w:tc>
          <w:tcPr>
            <w:tcW w:w="964" w:type="dxa"/>
            <w:tcBorders>
              <w:top w:val="nil"/>
              <w:left w:val="nil"/>
              <w:right w:val="nil"/>
            </w:tcBorders>
            <w:shd w:val="solid" w:color="FFFFFF"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w:t>
            </w:r>
          </w:p>
        </w:tc>
        <w:tc>
          <w:tcPr>
            <w:tcW w:w="964" w:type="dxa"/>
            <w:tcBorders>
              <w:top w:val="nil"/>
              <w:left w:val="nil"/>
              <w:right w:val="nil"/>
            </w:tcBorders>
            <w:shd w:val="solid" w:color="FFFFFF"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w:t>
            </w:r>
          </w:p>
        </w:tc>
        <w:tc>
          <w:tcPr>
            <w:tcW w:w="964" w:type="dxa"/>
            <w:gridSpan w:val="3"/>
            <w:tcBorders>
              <w:top w:val="nil"/>
              <w:left w:val="nil"/>
              <w:right w:val="nil"/>
            </w:tcBorders>
            <w:shd w:val="solid" w:color="FFFFFF"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w:t>
            </w:r>
          </w:p>
        </w:tc>
        <w:tc>
          <w:tcPr>
            <w:tcW w:w="964" w:type="dxa"/>
            <w:gridSpan w:val="4"/>
            <w:tcBorders>
              <w:top w:val="nil"/>
              <w:left w:val="nil"/>
              <w:right w:val="nil"/>
            </w:tcBorders>
            <w:shd w:val="solid" w:color="FFFFFF"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w:t>
            </w:r>
          </w:p>
        </w:tc>
      </w:tr>
      <w:tr w:rsidR="00965D85" w:rsidRPr="00E22AD9" w:rsidTr="008B46DF">
        <w:tc>
          <w:tcPr>
            <w:tcW w:w="2945" w:type="dxa"/>
            <w:tcBorders>
              <w:top w:val="nil"/>
              <w:left w:val="nil"/>
              <w:bottom w:val="single" w:sz="6" w:space="0" w:color="auto"/>
              <w:right w:val="nil"/>
            </w:tcBorders>
            <w:shd w:val="solid" w:color="FFFFFF"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Plan assets</w:t>
            </w:r>
          </w:p>
        </w:tc>
        <w:tc>
          <w:tcPr>
            <w:tcW w:w="964" w:type="dxa"/>
            <w:tcBorders>
              <w:top w:val="nil"/>
              <w:left w:val="nil"/>
              <w:bottom w:val="single" w:sz="6" w:space="0" w:color="auto"/>
              <w:right w:val="nil"/>
            </w:tcBorders>
            <w:shd w:val="solid" w:color="FFFFFF"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(887.6)</w:t>
            </w:r>
          </w:p>
        </w:tc>
        <w:tc>
          <w:tcPr>
            <w:tcW w:w="964" w:type="dxa"/>
            <w:tcBorders>
              <w:top w:val="nil"/>
              <w:left w:val="nil"/>
              <w:bottom w:val="single" w:sz="6" w:space="0" w:color="auto"/>
              <w:right w:val="nil"/>
            </w:tcBorders>
            <w:shd w:val="solid" w:color="FFFFFF"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(1 004.0)</w:t>
            </w:r>
          </w:p>
        </w:tc>
        <w:tc>
          <w:tcPr>
            <w:tcW w:w="964" w:type="dxa"/>
            <w:tcBorders>
              <w:top w:val="nil"/>
              <w:left w:val="nil"/>
              <w:bottom w:val="single" w:sz="6" w:space="0" w:color="auto"/>
              <w:right w:val="nil"/>
            </w:tcBorders>
            <w:shd w:val="solid" w:color="FFFFFF"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(977.6)</w:t>
            </w:r>
          </w:p>
        </w:tc>
        <w:tc>
          <w:tcPr>
            <w:tcW w:w="964" w:type="dxa"/>
            <w:gridSpan w:val="3"/>
            <w:tcBorders>
              <w:top w:val="nil"/>
              <w:left w:val="nil"/>
              <w:bottom w:val="single" w:sz="6" w:space="0" w:color="auto"/>
              <w:right w:val="nil"/>
            </w:tcBorders>
            <w:shd w:val="solid" w:color="FFFFFF"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(951.6)</w:t>
            </w:r>
          </w:p>
        </w:tc>
        <w:tc>
          <w:tcPr>
            <w:tcW w:w="964" w:type="dxa"/>
            <w:gridSpan w:val="4"/>
            <w:tcBorders>
              <w:top w:val="nil"/>
              <w:left w:val="nil"/>
              <w:bottom w:val="single" w:sz="6" w:space="0" w:color="auto"/>
              <w:right w:val="nil"/>
            </w:tcBorders>
            <w:shd w:val="solid" w:color="FFFFFF"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(923.6)</w:t>
            </w:r>
          </w:p>
        </w:tc>
      </w:tr>
      <w:tr w:rsidR="00965D85" w:rsidRPr="00E22AD9" w:rsidTr="008B46DF">
        <w:tc>
          <w:tcPr>
            <w:tcW w:w="2945" w:type="dxa"/>
            <w:tcBorders>
              <w:top w:val="single" w:sz="6" w:space="0" w:color="auto"/>
              <w:left w:val="nil"/>
              <w:bottom w:val="single" w:sz="6" w:space="0" w:color="auto"/>
              <w:right w:val="nil"/>
            </w:tcBorders>
            <w:shd w:val="solid" w:color="FFFFFF"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Net liability/(asset)</w:t>
            </w:r>
          </w:p>
        </w:tc>
        <w:tc>
          <w:tcPr>
            <w:tcW w:w="964" w:type="dxa"/>
            <w:tcBorders>
              <w:top w:val="single" w:sz="6" w:space="0" w:color="auto"/>
              <w:left w:val="nil"/>
              <w:bottom w:val="single" w:sz="6" w:space="0" w:color="auto"/>
              <w:right w:val="nil"/>
            </w:tcBorders>
            <w:shd w:val="solid" w:color="FFFFFF"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20"/>
                <w:lang w:eastAsia="en-AU"/>
              </w:rPr>
              <w:t>861.9</w:t>
            </w:r>
          </w:p>
        </w:tc>
        <w:tc>
          <w:tcPr>
            <w:tcW w:w="964" w:type="dxa"/>
            <w:tcBorders>
              <w:top w:val="single" w:sz="6" w:space="0" w:color="auto"/>
              <w:left w:val="nil"/>
              <w:bottom w:val="single" w:sz="6" w:space="0" w:color="auto"/>
              <w:right w:val="nil"/>
            </w:tcBorders>
            <w:shd w:val="solid" w:color="FFFFFF"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1 067.2</w:t>
            </w:r>
          </w:p>
        </w:tc>
        <w:tc>
          <w:tcPr>
            <w:tcW w:w="964" w:type="dxa"/>
            <w:tcBorders>
              <w:top w:val="single" w:sz="6" w:space="0" w:color="auto"/>
              <w:left w:val="nil"/>
              <w:bottom w:val="single" w:sz="6" w:space="0" w:color="auto"/>
              <w:right w:val="nil"/>
            </w:tcBorders>
            <w:shd w:val="solid" w:color="FFFFFF"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1 096.2</w:t>
            </w:r>
          </w:p>
        </w:tc>
        <w:tc>
          <w:tcPr>
            <w:tcW w:w="964" w:type="dxa"/>
            <w:gridSpan w:val="3"/>
            <w:tcBorders>
              <w:top w:val="single" w:sz="6" w:space="0" w:color="auto"/>
              <w:left w:val="nil"/>
              <w:bottom w:val="single" w:sz="6" w:space="0" w:color="auto"/>
              <w:right w:val="nil"/>
            </w:tcBorders>
            <w:shd w:val="solid" w:color="FFFFFF"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1 126.0</w:t>
            </w:r>
          </w:p>
        </w:tc>
        <w:tc>
          <w:tcPr>
            <w:tcW w:w="964" w:type="dxa"/>
            <w:gridSpan w:val="4"/>
            <w:tcBorders>
              <w:top w:val="single" w:sz="6" w:space="0" w:color="auto"/>
              <w:left w:val="nil"/>
              <w:bottom w:val="single" w:sz="6" w:space="0" w:color="auto"/>
              <w:right w:val="nil"/>
            </w:tcBorders>
            <w:shd w:val="solid" w:color="FFFFFF"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1 156.4</w:t>
            </w:r>
          </w:p>
        </w:tc>
      </w:tr>
      <w:tr w:rsidR="00965D85" w:rsidRPr="00E22AD9" w:rsidTr="008B46DF">
        <w:tc>
          <w:tcPr>
            <w:tcW w:w="2945" w:type="dxa"/>
            <w:tcBorders>
              <w:top w:val="single" w:sz="6" w:space="0" w:color="auto"/>
              <w:left w:val="nil"/>
              <w:right w:val="nil"/>
            </w:tcBorders>
            <w:shd w:val="solid" w:color="FFFFFF"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Total superannuation</w:t>
            </w:r>
          </w:p>
        </w:tc>
        <w:tc>
          <w:tcPr>
            <w:tcW w:w="964" w:type="dxa"/>
            <w:tcBorders>
              <w:top w:val="single" w:sz="6" w:space="0" w:color="auto"/>
              <w:left w:val="nil"/>
              <w:right w:val="nil"/>
            </w:tcBorders>
            <w:shd w:val="solid" w:color="FFFFFF"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p>
        </w:tc>
        <w:tc>
          <w:tcPr>
            <w:tcW w:w="964" w:type="dxa"/>
            <w:tcBorders>
              <w:top w:val="single" w:sz="6" w:space="0" w:color="auto"/>
              <w:left w:val="nil"/>
              <w:right w:val="nil"/>
            </w:tcBorders>
            <w:shd w:val="solid" w:color="FFFFFF"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p>
        </w:tc>
        <w:tc>
          <w:tcPr>
            <w:tcW w:w="964" w:type="dxa"/>
            <w:tcBorders>
              <w:top w:val="single" w:sz="6" w:space="0" w:color="auto"/>
              <w:left w:val="nil"/>
              <w:right w:val="nil"/>
            </w:tcBorders>
            <w:shd w:val="solid" w:color="FFFFFF"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p>
        </w:tc>
        <w:tc>
          <w:tcPr>
            <w:tcW w:w="964" w:type="dxa"/>
            <w:gridSpan w:val="3"/>
            <w:tcBorders>
              <w:top w:val="single" w:sz="6" w:space="0" w:color="auto"/>
              <w:left w:val="nil"/>
              <w:right w:val="nil"/>
            </w:tcBorders>
            <w:shd w:val="solid" w:color="FFFFFF"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p>
        </w:tc>
        <w:tc>
          <w:tcPr>
            <w:tcW w:w="964" w:type="dxa"/>
            <w:gridSpan w:val="4"/>
            <w:tcBorders>
              <w:top w:val="single" w:sz="6" w:space="0" w:color="auto"/>
              <w:left w:val="nil"/>
              <w:right w:val="nil"/>
            </w:tcBorders>
            <w:shd w:val="solid" w:color="FFFFFF"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p>
        </w:tc>
      </w:tr>
      <w:tr w:rsidR="00965D85" w:rsidRPr="00E22AD9" w:rsidTr="008B46DF">
        <w:tc>
          <w:tcPr>
            <w:tcW w:w="2945" w:type="dxa"/>
            <w:tcBorders>
              <w:top w:val="nil"/>
              <w:left w:val="nil"/>
              <w:right w:val="nil"/>
            </w:tcBorders>
            <w:shd w:val="solid" w:color="FFFFFF"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Defined benefit obligation</w:t>
            </w:r>
          </w:p>
        </w:tc>
        <w:tc>
          <w:tcPr>
            <w:tcW w:w="964" w:type="dxa"/>
            <w:tcBorders>
              <w:top w:val="nil"/>
              <w:left w:val="nil"/>
              <w:right w:val="nil"/>
            </w:tcBorders>
            <w:shd w:val="solid" w:color="FFFFFF"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42 924.6</w:t>
            </w:r>
          </w:p>
        </w:tc>
        <w:tc>
          <w:tcPr>
            <w:tcW w:w="964" w:type="dxa"/>
            <w:tcBorders>
              <w:top w:val="nil"/>
              <w:left w:val="nil"/>
              <w:right w:val="nil"/>
            </w:tcBorders>
            <w:shd w:val="solid" w:color="FFFFFF"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44 709.7</w:t>
            </w:r>
          </w:p>
        </w:tc>
        <w:tc>
          <w:tcPr>
            <w:tcW w:w="964" w:type="dxa"/>
            <w:tcBorders>
              <w:top w:val="nil"/>
              <w:left w:val="nil"/>
              <w:right w:val="nil"/>
            </w:tcBorders>
            <w:shd w:val="solid" w:color="FFFFFF"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44 412.6</w:t>
            </w:r>
          </w:p>
        </w:tc>
        <w:tc>
          <w:tcPr>
            <w:tcW w:w="964" w:type="dxa"/>
            <w:gridSpan w:val="3"/>
            <w:tcBorders>
              <w:top w:val="nil"/>
              <w:left w:val="nil"/>
              <w:right w:val="nil"/>
            </w:tcBorders>
            <w:shd w:val="solid" w:color="FFFFFF"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44 037.0</w:t>
            </w:r>
          </w:p>
        </w:tc>
        <w:tc>
          <w:tcPr>
            <w:tcW w:w="964" w:type="dxa"/>
            <w:gridSpan w:val="4"/>
            <w:tcBorders>
              <w:top w:val="nil"/>
              <w:left w:val="nil"/>
              <w:right w:val="nil"/>
            </w:tcBorders>
            <w:shd w:val="solid" w:color="FFFFFF"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43 567.6</w:t>
            </w:r>
          </w:p>
        </w:tc>
      </w:tr>
      <w:tr w:rsidR="00965D85" w:rsidRPr="00E22AD9" w:rsidTr="008B46DF">
        <w:tc>
          <w:tcPr>
            <w:tcW w:w="2945" w:type="dxa"/>
            <w:tcBorders>
              <w:top w:val="nil"/>
              <w:left w:val="nil"/>
              <w:right w:val="nil"/>
            </w:tcBorders>
            <w:shd w:val="solid" w:color="FFFFFF"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20"/>
                <w:vertAlign w:val="superscript"/>
                <w:lang w:eastAsia="en-AU"/>
              </w:rPr>
            </w:pPr>
            <w:r w:rsidRPr="00E22AD9">
              <w:rPr>
                <w:rFonts w:ascii="Calibri" w:eastAsiaTheme="minorEastAsia" w:hAnsi="Calibri" w:cs="Calibri"/>
                <w:color w:val="000000"/>
                <w:sz w:val="20"/>
                <w:lang w:eastAsia="en-AU"/>
              </w:rPr>
              <w:t xml:space="preserve">Tax liability </w:t>
            </w:r>
            <w:r w:rsidRPr="00E22AD9">
              <w:rPr>
                <w:rFonts w:ascii="Calibri" w:eastAsiaTheme="minorEastAsia" w:hAnsi="Calibri" w:cs="Calibri"/>
                <w:color w:val="000000"/>
                <w:sz w:val="20"/>
                <w:vertAlign w:val="superscript"/>
                <w:lang w:eastAsia="en-AU"/>
              </w:rPr>
              <w:t>(a)</w:t>
            </w:r>
          </w:p>
        </w:tc>
        <w:tc>
          <w:tcPr>
            <w:tcW w:w="964" w:type="dxa"/>
            <w:tcBorders>
              <w:top w:val="nil"/>
              <w:left w:val="nil"/>
              <w:right w:val="nil"/>
            </w:tcBorders>
            <w:shd w:val="solid" w:color="FFFFFF"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2 829.3</w:t>
            </w:r>
          </w:p>
        </w:tc>
        <w:tc>
          <w:tcPr>
            <w:tcW w:w="964" w:type="dxa"/>
            <w:tcBorders>
              <w:top w:val="nil"/>
              <w:left w:val="nil"/>
              <w:right w:val="nil"/>
            </w:tcBorders>
            <w:shd w:val="solid" w:color="FFFFFF"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2 554.2</w:t>
            </w:r>
          </w:p>
        </w:tc>
        <w:tc>
          <w:tcPr>
            <w:tcW w:w="964" w:type="dxa"/>
            <w:tcBorders>
              <w:top w:val="nil"/>
              <w:left w:val="nil"/>
              <w:right w:val="nil"/>
            </w:tcBorders>
            <w:shd w:val="solid" w:color="FFFFFF"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2 425.1</w:t>
            </w:r>
          </w:p>
        </w:tc>
        <w:tc>
          <w:tcPr>
            <w:tcW w:w="964" w:type="dxa"/>
            <w:gridSpan w:val="3"/>
            <w:tcBorders>
              <w:top w:val="nil"/>
              <w:left w:val="nil"/>
              <w:right w:val="nil"/>
            </w:tcBorders>
            <w:shd w:val="solid" w:color="FFFFFF"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2 383.0</w:t>
            </w:r>
          </w:p>
        </w:tc>
        <w:tc>
          <w:tcPr>
            <w:tcW w:w="964" w:type="dxa"/>
            <w:gridSpan w:val="4"/>
            <w:tcBorders>
              <w:top w:val="nil"/>
              <w:left w:val="nil"/>
              <w:right w:val="nil"/>
            </w:tcBorders>
            <w:shd w:val="solid" w:color="FFFFFF"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2 287.3</w:t>
            </w:r>
          </w:p>
        </w:tc>
      </w:tr>
      <w:tr w:rsidR="00965D85" w:rsidRPr="00E22AD9" w:rsidTr="008B46DF">
        <w:tc>
          <w:tcPr>
            <w:tcW w:w="2945" w:type="dxa"/>
            <w:tcBorders>
              <w:top w:val="nil"/>
              <w:left w:val="nil"/>
              <w:bottom w:val="single" w:sz="6" w:space="0" w:color="auto"/>
              <w:right w:val="nil"/>
            </w:tcBorders>
            <w:shd w:val="solid" w:color="FFFFFF"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Plan assets</w:t>
            </w:r>
          </w:p>
        </w:tc>
        <w:tc>
          <w:tcPr>
            <w:tcW w:w="964" w:type="dxa"/>
            <w:tcBorders>
              <w:top w:val="nil"/>
              <w:left w:val="nil"/>
              <w:bottom w:val="single" w:sz="6" w:space="0" w:color="auto"/>
              <w:right w:val="nil"/>
            </w:tcBorders>
            <w:shd w:val="solid" w:color="FFFFFF"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(20 750.7)</w:t>
            </w:r>
          </w:p>
        </w:tc>
        <w:tc>
          <w:tcPr>
            <w:tcW w:w="964" w:type="dxa"/>
            <w:tcBorders>
              <w:top w:val="nil"/>
              <w:left w:val="nil"/>
              <w:bottom w:val="single" w:sz="6" w:space="0" w:color="auto"/>
              <w:right w:val="nil"/>
            </w:tcBorders>
            <w:shd w:val="solid" w:color="FFFFFF"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(19 781.4)</w:t>
            </w:r>
          </w:p>
        </w:tc>
        <w:tc>
          <w:tcPr>
            <w:tcW w:w="964" w:type="dxa"/>
            <w:tcBorders>
              <w:top w:val="nil"/>
              <w:left w:val="nil"/>
              <w:bottom w:val="single" w:sz="6" w:space="0" w:color="auto"/>
              <w:right w:val="nil"/>
            </w:tcBorders>
            <w:shd w:val="solid" w:color="FFFFFF"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(20 129.7)</w:t>
            </w:r>
          </w:p>
        </w:tc>
        <w:tc>
          <w:tcPr>
            <w:tcW w:w="964" w:type="dxa"/>
            <w:gridSpan w:val="3"/>
            <w:tcBorders>
              <w:top w:val="nil"/>
              <w:left w:val="nil"/>
              <w:bottom w:val="single" w:sz="6" w:space="0" w:color="auto"/>
              <w:right w:val="nil"/>
            </w:tcBorders>
            <w:shd w:val="solid" w:color="FFFFFF"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(20 516.2)</w:t>
            </w:r>
          </w:p>
        </w:tc>
        <w:tc>
          <w:tcPr>
            <w:tcW w:w="964" w:type="dxa"/>
            <w:gridSpan w:val="4"/>
            <w:tcBorders>
              <w:top w:val="nil"/>
              <w:left w:val="nil"/>
              <w:bottom w:val="single" w:sz="6" w:space="0" w:color="auto"/>
              <w:right w:val="nil"/>
            </w:tcBorders>
            <w:shd w:val="solid" w:color="FFFFFF"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(20 785.6)</w:t>
            </w:r>
          </w:p>
        </w:tc>
      </w:tr>
      <w:tr w:rsidR="00965D85" w:rsidRPr="00E22AD9" w:rsidTr="008B46DF">
        <w:tc>
          <w:tcPr>
            <w:tcW w:w="2945" w:type="dxa"/>
            <w:tcBorders>
              <w:top w:val="single" w:sz="6" w:space="0" w:color="auto"/>
              <w:left w:val="nil"/>
              <w:bottom w:val="single" w:sz="6" w:space="0" w:color="auto"/>
              <w:right w:val="nil"/>
            </w:tcBorders>
            <w:shd w:val="solid" w:color="FFFFFF"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Superannuation liability</w:t>
            </w:r>
          </w:p>
        </w:tc>
        <w:tc>
          <w:tcPr>
            <w:tcW w:w="964" w:type="dxa"/>
            <w:tcBorders>
              <w:top w:val="single" w:sz="6" w:space="0" w:color="auto"/>
              <w:left w:val="nil"/>
              <w:bottom w:val="single" w:sz="6" w:space="0" w:color="auto"/>
              <w:right w:val="nil"/>
            </w:tcBorders>
            <w:shd w:val="solid" w:color="FFFFFF"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25 003.2</w:t>
            </w:r>
          </w:p>
        </w:tc>
        <w:tc>
          <w:tcPr>
            <w:tcW w:w="964" w:type="dxa"/>
            <w:tcBorders>
              <w:top w:val="single" w:sz="6" w:space="0" w:color="auto"/>
              <w:left w:val="nil"/>
              <w:bottom w:val="single" w:sz="6" w:space="0" w:color="auto"/>
              <w:right w:val="nil"/>
            </w:tcBorders>
            <w:shd w:val="solid" w:color="FFFFFF"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27 482.6</w:t>
            </w:r>
          </w:p>
        </w:tc>
        <w:tc>
          <w:tcPr>
            <w:tcW w:w="964" w:type="dxa"/>
            <w:tcBorders>
              <w:top w:val="single" w:sz="6" w:space="0" w:color="auto"/>
              <w:left w:val="nil"/>
              <w:bottom w:val="single" w:sz="6" w:space="0" w:color="auto"/>
              <w:right w:val="nil"/>
            </w:tcBorders>
            <w:shd w:val="solid" w:color="FFFFFF"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26 708.0</w:t>
            </w:r>
          </w:p>
        </w:tc>
        <w:tc>
          <w:tcPr>
            <w:tcW w:w="964" w:type="dxa"/>
            <w:gridSpan w:val="3"/>
            <w:tcBorders>
              <w:top w:val="single" w:sz="6" w:space="0" w:color="auto"/>
              <w:left w:val="nil"/>
              <w:bottom w:val="single" w:sz="6" w:space="0" w:color="auto"/>
              <w:right w:val="nil"/>
            </w:tcBorders>
            <w:shd w:val="solid" w:color="FFFFFF"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25 903.9</w:t>
            </w:r>
          </w:p>
        </w:tc>
        <w:tc>
          <w:tcPr>
            <w:tcW w:w="964" w:type="dxa"/>
            <w:gridSpan w:val="4"/>
            <w:tcBorders>
              <w:top w:val="single" w:sz="6" w:space="0" w:color="auto"/>
              <w:left w:val="nil"/>
              <w:bottom w:val="single" w:sz="6" w:space="0" w:color="auto"/>
              <w:right w:val="nil"/>
            </w:tcBorders>
            <w:shd w:val="solid" w:color="FFFFFF"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25 069.3</w:t>
            </w:r>
          </w:p>
        </w:tc>
      </w:tr>
      <w:tr w:rsidR="00965D85" w:rsidRPr="00E22AD9" w:rsidTr="008B46DF">
        <w:tc>
          <w:tcPr>
            <w:tcW w:w="2945" w:type="dxa"/>
            <w:tcBorders>
              <w:top w:val="single" w:sz="6" w:space="0" w:color="auto"/>
              <w:left w:val="nil"/>
              <w:right w:val="nil"/>
            </w:tcBorders>
            <w:shd w:val="solid" w:color="FFFFFF"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Represented by:</w:t>
            </w:r>
          </w:p>
        </w:tc>
        <w:tc>
          <w:tcPr>
            <w:tcW w:w="964" w:type="dxa"/>
            <w:tcBorders>
              <w:top w:val="single" w:sz="6" w:space="0" w:color="auto"/>
              <w:left w:val="nil"/>
              <w:right w:val="nil"/>
            </w:tcBorders>
            <w:shd w:val="solid" w:color="FFFFFF"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p>
        </w:tc>
        <w:tc>
          <w:tcPr>
            <w:tcW w:w="964" w:type="dxa"/>
            <w:tcBorders>
              <w:top w:val="single" w:sz="6" w:space="0" w:color="auto"/>
              <w:left w:val="nil"/>
              <w:right w:val="nil"/>
            </w:tcBorders>
            <w:shd w:val="solid" w:color="FFFFFF"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p>
        </w:tc>
        <w:tc>
          <w:tcPr>
            <w:tcW w:w="964" w:type="dxa"/>
            <w:tcBorders>
              <w:top w:val="single" w:sz="6" w:space="0" w:color="auto"/>
              <w:left w:val="nil"/>
              <w:right w:val="nil"/>
            </w:tcBorders>
            <w:shd w:val="solid" w:color="FFFFFF"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p>
        </w:tc>
        <w:tc>
          <w:tcPr>
            <w:tcW w:w="964" w:type="dxa"/>
            <w:gridSpan w:val="3"/>
            <w:tcBorders>
              <w:top w:val="single" w:sz="6" w:space="0" w:color="auto"/>
              <w:left w:val="nil"/>
              <w:right w:val="nil"/>
            </w:tcBorders>
            <w:shd w:val="solid" w:color="FFFFFF"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p>
        </w:tc>
        <w:tc>
          <w:tcPr>
            <w:tcW w:w="964" w:type="dxa"/>
            <w:gridSpan w:val="4"/>
            <w:tcBorders>
              <w:top w:val="single" w:sz="6" w:space="0" w:color="auto"/>
              <w:left w:val="nil"/>
              <w:right w:val="nil"/>
            </w:tcBorders>
            <w:shd w:val="solid" w:color="FFFFFF"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p>
        </w:tc>
      </w:tr>
      <w:tr w:rsidR="00965D85" w:rsidRPr="00E22AD9" w:rsidTr="008B46DF">
        <w:tc>
          <w:tcPr>
            <w:tcW w:w="2945" w:type="dxa"/>
            <w:tcBorders>
              <w:top w:val="nil"/>
              <w:left w:val="nil"/>
              <w:right w:val="nil"/>
            </w:tcBorders>
            <w:shd w:val="solid" w:color="FFFFFF"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Current liability</w:t>
            </w:r>
          </w:p>
        </w:tc>
        <w:tc>
          <w:tcPr>
            <w:tcW w:w="964" w:type="dxa"/>
            <w:tcBorders>
              <w:top w:val="nil"/>
              <w:left w:val="nil"/>
              <w:right w:val="nil"/>
            </w:tcBorders>
            <w:shd w:val="solid" w:color="FFFFFF"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1 333.4</w:t>
            </w:r>
          </w:p>
        </w:tc>
        <w:tc>
          <w:tcPr>
            <w:tcW w:w="964" w:type="dxa"/>
            <w:tcBorders>
              <w:top w:val="nil"/>
              <w:left w:val="nil"/>
              <w:right w:val="nil"/>
            </w:tcBorders>
            <w:shd w:val="solid" w:color="FFFFFF"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1 033.4</w:t>
            </w:r>
          </w:p>
        </w:tc>
        <w:tc>
          <w:tcPr>
            <w:tcW w:w="964" w:type="dxa"/>
            <w:tcBorders>
              <w:top w:val="nil"/>
              <w:left w:val="nil"/>
              <w:right w:val="nil"/>
            </w:tcBorders>
            <w:shd w:val="solid" w:color="FFFFFF"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1 036.3</w:t>
            </w:r>
          </w:p>
        </w:tc>
        <w:tc>
          <w:tcPr>
            <w:tcW w:w="964" w:type="dxa"/>
            <w:gridSpan w:val="3"/>
            <w:tcBorders>
              <w:top w:val="nil"/>
              <w:left w:val="nil"/>
              <w:right w:val="nil"/>
            </w:tcBorders>
            <w:shd w:val="solid" w:color="FFFFFF"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1 078.4</w:t>
            </w:r>
          </w:p>
        </w:tc>
        <w:tc>
          <w:tcPr>
            <w:tcW w:w="964" w:type="dxa"/>
            <w:gridSpan w:val="4"/>
            <w:tcBorders>
              <w:top w:val="nil"/>
              <w:left w:val="nil"/>
              <w:right w:val="nil"/>
            </w:tcBorders>
            <w:shd w:val="solid" w:color="FFFFFF"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975.3</w:t>
            </w:r>
          </w:p>
        </w:tc>
      </w:tr>
      <w:tr w:rsidR="00965D85" w:rsidRPr="00E22AD9" w:rsidTr="008B46DF">
        <w:tc>
          <w:tcPr>
            <w:tcW w:w="2945" w:type="dxa"/>
            <w:tcBorders>
              <w:top w:val="nil"/>
              <w:left w:val="nil"/>
              <w:bottom w:val="single" w:sz="12" w:space="0" w:color="auto"/>
              <w:right w:val="nil"/>
            </w:tcBorders>
            <w:shd w:val="solid" w:color="FFFFFF"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Non</w:t>
            </w:r>
            <w:r>
              <w:rPr>
                <w:rFonts w:ascii="Calibri" w:eastAsiaTheme="minorEastAsia" w:hAnsi="Calibri" w:cs="Calibri"/>
                <w:color w:val="000000"/>
                <w:sz w:val="20"/>
                <w:lang w:eastAsia="en-AU"/>
              </w:rPr>
              <w:noBreakHyphen/>
            </w:r>
            <w:r w:rsidRPr="00E22AD9">
              <w:rPr>
                <w:rFonts w:ascii="Calibri" w:eastAsiaTheme="minorEastAsia" w:hAnsi="Calibri" w:cs="Calibri"/>
                <w:color w:val="000000"/>
                <w:sz w:val="20"/>
                <w:lang w:eastAsia="en-AU"/>
              </w:rPr>
              <w:t>current liability</w:t>
            </w:r>
          </w:p>
        </w:tc>
        <w:tc>
          <w:tcPr>
            <w:tcW w:w="964" w:type="dxa"/>
            <w:tcBorders>
              <w:top w:val="nil"/>
              <w:left w:val="nil"/>
              <w:bottom w:val="single" w:sz="12" w:space="0" w:color="auto"/>
              <w:right w:val="nil"/>
            </w:tcBorders>
            <w:shd w:val="solid" w:color="FFFFFF"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23 669.8</w:t>
            </w:r>
          </w:p>
        </w:tc>
        <w:tc>
          <w:tcPr>
            <w:tcW w:w="964" w:type="dxa"/>
            <w:tcBorders>
              <w:top w:val="nil"/>
              <w:left w:val="nil"/>
              <w:bottom w:val="single" w:sz="12" w:space="0" w:color="auto"/>
              <w:right w:val="nil"/>
            </w:tcBorders>
            <w:shd w:val="solid" w:color="FFFFFF"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26 449.2</w:t>
            </w:r>
          </w:p>
        </w:tc>
        <w:tc>
          <w:tcPr>
            <w:tcW w:w="964" w:type="dxa"/>
            <w:tcBorders>
              <w:top w:val="nil"/>
              <w:left w:val="nil"/>
              <w:bottom w:val="single" w:sz="12" w:space="0" w:color="auto"/>
              <w:right w:val="nil"/>
            </w:tcBorders>
            <w:shd w:val="solid" w:color="FFFFFF"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25 671.7</w:t>
            </w:r>
          </w:p>
        </w:tc>
        <w:tc>
          <w:tcPr>
            <w:tcW w:w="964" w:type="dxa"/>
            <w:gridSpan w:val="3"/>
            <w:tcBorders>
              <w:top w:val="nil"/>
              <w:left w:val="nil"/>
              <w:bottom w:val="single" w:sz="12" w:space="0" w:color="auto"/>
              <w:right w:val="nil"/>
            </w:tcBorders>
            <w:shd w:val="solid" w:color="FFFFFF"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24 825.5</w:t>
            </w:r>
          </w:p>
        </w:tc>
        <w:tc>
          <w:tcPr>
            <w:tcW w:w="964" w:type="dxa"/>
            <w:gridSpan w:val="4"/>
            <w:tcBorders>
              <w:top w:val="nil"/>
              <w:left w:val="nil"/>
              <w:bottom w:val="single" w:sz="12" w:space="0" w:color="auto"/>
              <w:right w:val="nil"/>
            </w:tcBorders>
            <w:shd w:val="solid" w:color="FFFFFF"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24 094.0</w:t>
            </w:r>
          </w:p>
        </w:tc>
      </w:tr>
      <w:tr w:rsidR="00965D85" w:rsidRPr="00E22AD9" w:rsidTr="008B46DF">
        <w:tc>
          <w:tcPr>
            <w:tcW w:w="2945" w:type="dxa"/>
            <w:tcBorders>
              <w:top w:val="single" w:sz="12" w:space="0" w:color="auto"/>
              <w:left w:val="nil"/>
              <w:bottom w:val="single" w:sz="12" w:space="0" w:color="auto"/>
              <w:right w:val="nil"/>
            </w:tcBorders>
            <w:shd w:val="solid" w:color="FFFFFF"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Total superannuation liability</w:t>
            </w:r>
          </w:p>
        </w:tc>
        <w:tc>
          <w:tcPr>
            <w:tcW w:w="964" w:type="dxa"/>
            <w:tcBorders>
              <w:top w:val="single" w:sz="12" w:space="0" w:color="auto"/>
              <w:left w:val="nil"/>
              <w:bottom w:val="single" w:sz="12" w:space="0" w:color="auto"/>
              <w:right w:val="nil"/>
            </w:tcBorders>
            <w:shd w:val="solid" w:color="FFFFFF"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25 003.2</w:t>
            </w:r>
          </w:p>
        </w:tc>
        <w:tc>
          <w:tcPr>
            <w:tcW w:w="964" w:type="dxa"/>
            <w:tcBorders>
              <w:top w:val="single" w:sz="12" w:space="0" w:color="auto"/>
              <w:left w:val="nil"/>
              <w:bottom w:val="single" w:sz="12" w:space="0" w:color="auto"/>
              <w:right w:val="nil"/>
            </w:tcBorders>
            <w:shd w:val="solid" w:color="FFFFFF"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27 482.6</w:t>
            </w:r>
          </w:p>
        </w:tc>
        <w:tc>
          <w:tcPr>
            <w:tcW w:w="964" w:type="dxa"/>
            <w:tcBorders>
              <w:top w:val="single" w:sz="12" w:space="0" w:color="auto"/>
              <w:left w:val="nil"/>
              <w:bottom w:val="single" w:sz="12" w:space="0" w:color="auto"/>
              <w:right w:val="nil"/>
            </w:tcBorders>
            <w:shd w:val="solid" w:color="FFFFFF"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26 708.0</w:t>
            </w:r>
          </w:p>
        </w:tc>
        <w:tc>
          <w:tcPr>
            <w:tcW w:w="964" w:type="dxa"/>
            <w:gridSpan w:val="3"/>
            <w:tcBorders>
              <w:top w:val="single" w:sz="12" w:space="0" w:color="auto"/>
              <w:left w:val="nil"/>
              <w:bottom w:val="single" w:sz="12" w:space="0" w:color="auto"/>
              <w:right w:val="nil"/>
            </w:tcBorders>
            <w:shd w:val="solid" w:color="FFFFFF"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25 903.9</w:t>
            </w:r>
          </w:p>
        </w:tc>
        <w:tc>
          <w:tcPr>
            <w:tcW w:w="964" w:type="dxa"/>
            <w:gridSpan w:val="4"/>
            <w:tcBorders>
              <w:top w:val="single" w:sz="12" w:space="0" w:color="auto"/>
              <w:left w:val="nil"/>
              <w:bottom w:val="single" w:sz="12" w:space="0" w:color="auto"/>
              <w:right w:val="nil"/>
            </w:tcBorders>
            <w:shd w:val="solid" w:color="FFFFFF"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25 069.3</w:t>
            </w:r>
          </w:p>
        </w:tc>
      </w:tr>
    </w:tbl>
    <w:p w:rsidR="00965D85" w:rsidRDefault="00965D85" w:rsidP="008B46DF">
      <w:pPr>
        <w:pStyle w:val="Notes"/>
        <w:rPr>
          <w:lang w:eastAsia="en-AU"/>
        </w:rPr>
      </w:pPr>
      <w:r>
        <w:rPr>
          <w:lang w:eastAsia="en-AU"/>
        </w:rPr>
        <w:t>Notes:</w:t>
      </w:r>
    </w:p>
    <w:p w:rsidR="00965D85" w:rsidRDefault="00965D85" w:rsidP="008B46DF">
      <w:pPr>
        <w:pStyle w:val="Notes"/>
        <w:rPr>
          <w:lang w:eastAsia="en-AU"/>
        </w:rPr>
      </w:pPr>
      <w:r>
        <w:rPr>
          <w:lang w:eastAsia="en-AU"/>
        </w:rPr>
        <w:t>(a)</w:t>
      </w:r>
      <w:r>
        <w:rPr>
          <w:lang w:eastAsia="en-AU"/>
        </w:rPr>
        <w:tab/>
        <w:t>Tax liability represents the present value of tax payments on contributions that are expected to be required to fund accrued benefits.</w:t>
      </w:r>
    </w:p>
    <w:p w:rsidR="00965D85" w:rsidRDefault="00965D85" w:rsidP="008B46DF">
      <w:pPr>
        <w:pStyle w:val="Notes"/>
        <w:rPr>
          <w:lang w:eastAsia="en-AU"/>
        </w:rPr>
      </w:pPr>
      <w:r>
        <w:rPr>
          <w:lang w:eastAsia="en-AU"/>
        </w:rPr>
        <w:t>(b)</w:t>
      </w:r>
      <w:r>
        <w:rPr>
          <w:lang w:eastAsia="en-AU"/>
        </w:rPr>
        <w:tab/>
        <w:t>Other funds include constitutionally protected schemes and the State’s share of liabilities of the Defined Benefit Scheme of the Health Super Fund.</w:t>
      </w:r>
    </w:p>
    <w:p w:rsidR="00965D85" w:rsidRDefault="00965D85" w:rsidP="008B46DF">
      <w:pPr>
        <w:rPr>
          <w:lang w:eastAsia="en-AU"/>
        </w:rPr>
      </w:pPr>
    </w:p>
    <w:p w:rsidR="00965D85" w:rsidRDefault="00965D85" w:rsidP="008B46DF">
      <w:pPr>
        <w:rPr>
          <w:lang w:eastAsia="en-AU"/>
        </w:rPr>
      </w:pPr>
    </w:p>
    <w:p w:rsidR="00965D85" w:rsidRDefault="00965D85" w:rsidP="008B46DF">
      <w:pPr>
        <w:pStyle w:val="Heading2Notes"/>
        <w:rPr>
          <w:rFonts w:ascii="Times New Roman" w:hAnsi="Times New Roman"/>
          <w:i/>
          <w:sz w:val="20"/>
          <w:lang w:eastAsia="en-AU"/>
        </w:rPr>
      </w:pPr>
      <w:bookmarkStart w:id="56" w:name="_Toc436138914"/>
      <w:r w:rsidRPr="006748A0">
        <w:t xml:space="preserve">Note 8: </w:t>
      </w:r>
      <w:r w:rsidRPr="006748A0">
        <w:tab/>
        <w:t>Depreciation</w:t>
      </w:r>
      <w:bookmarkEnd w:id="56"/>
    </w:p>
    <w:tbl>
      <w:tblPr>
        <w:tblW w:w="7797" w:type="dxa"/>
        <w:tblInd w:w="28" w:type="dxa"/>
        <w:tblLayout w:type="fixed"/>
        <w:tblCellMar>
          <w:left w:w="28" w:type="dxa"/>
          <w:right w:w="28" w:type="dxa"/>
        </w:tblCellMar>
        <w:tblLook w:val="0000" w:firstRow="0" w:lastRow="0" w:firstColumn="0" w:lastColumn="0" w:noHBand="0" w:noVBand="0"/>
      </w:tblPr>
      <w:tblGrid>
        <w:gridCol w:w="3345"/>
        <w:gridCol w:w="890"/>
        <w:gridCol w:w="890"/>
        <w:gridCol w:w="891"/>
        <w:gridCol w:w="890"/>
        <w:gridCol w:w="891"/>
      </w:tblGrid>
      <w:tr w:rsidR="00965D85" w:rsidRPr="00E22AD9" w:rsidTr="008B46DF">
        <w:trPr>
          <w:tblHeader/>
        </w:trPr>
        <w:tc>
          <w:tcPr>
            <w:tcW w:w="7797" w:type="dxa"/>
            <w:gridSpan w:val="6"/>
            <w:tcBorders>
              <w:top w:val="nil"/>
              <w:left w:val="nil"/>
              <w:bottom w:val="nil"/>
              <w:right w:val="nil"/>
            </w:tcBorders>
          </w:tcPr>
          <w:p w:rsidR="00965D85" w:rsidRPr="00E22AD9" w:rsidRDefault="00965D85" w:rsidP="008B46DF">
            <w:pPr>
              <w:pStyle w:val="million"/>
              <w:rPr>
                <w:rFonts w:eastAsiaTheme="minorEastAsia" w:cs="Calibri"/>
                <w:iCs/>
                <w:color w:val="000000"/>
                <w:sz w:val="20"/>
                <w:lang w:eastAsia="en-AU"/>
              </w:rPr>
            </w:pPr>
            <w:r w:rsidRPr="00E22AD9">
              <w:rPr>
                <w:rFonts w:eastAsiaTheme="minorEastAsia"/>
                <w:lang w:eastAsia="en-AU"/>
              </w:rPr>
              <w:t>($ million)</w:t>
            </w:r>
          </w:p>
        </w:tc>
      </w:tr>
      <w:tr w:rsidR="00965D85" w:rsidRPr="004E5DCF" w:rsidTr="008B46DF">
        <w:trPr>
          <w:trHeight w:val="488"/>
          <w:tblHeader/>
        </w:trPr>
        <w:tc>
          <w:tcPr>
            <w:tcW w:w="3345" w:type="dxa"/>
            <w:tcBorders>
              <w:top w:val="nil"/>
              <w:left w:val="nil"/>
              <w:right w:val="nil"/>
            </w:tcBorders>
            <w:shd w:val="solid" w:color="000000" w:fill="auto"/>
          </w:tcPr>
          <w:p w:rsidR="00965D85" w:rsidRPr="004E5DCF" w:rsidRDefault="00965D85" w:rsidP="008B46DF">
            <w:pPr>
              <w:pStyle w:val="million"/>
              <w:rPr>
                <w:rFonts w:eastAsiaTheme="minorEastAsia"/>
                <w:sz w:val="20"/>
                <w:szCs w:val="20"/>
                <w:lang w:eastAsia="en-AU"/>
              </w:rPr>
            </w:pPr>
            <w:r w:rsidRPr="004E5DCF">
              <w:rPr>
                <w:rFonts w:eastAsiaTheme="minorEastAsia"/>
                <w:sz w:val="20"/>
                <w:szCs w:val="20"/>
                <w:lang w:eastAsia="en-AU"/>
              </w:rPr>
              <w:t xml:space="preserve"> </w:t>
            </w:r>
          </w:p>
          <w:p w:rsidR="00965D85" w:rsidRPr="004E5DCF" w:rsidRDefault="00965D85" w:rsidP="008B46DF">
            <w:pPr>
              <w:autoSpaceDE w:val="0"/>
              <w:autoSpaceDN w:val="0"/>
              <w:adjustRightInd w:val="0"/>
              <w:spacing w:after="0"/>
              <w:rPr>
                <w:rFonts w:eastAsiaTheme="minorEastAsia"/>
                <w:sz w:val="20"/>
                <w:lang w:eastAsia="en-AU"/>
              </w:rPr>
            </w:pPr>
            <w:r w:rsidRPr="004E5DCF">
              <w:rPr>
                <w:rFonts w:ascii="Calibri" w:eastAsiaTheme="minorEastAsia" w:hAnsi="Calibri" w:cs="Calibri"/>
                <w:color w:val="000000"/>
                <w:sz w:val="20"/>
                <w:lang w:eastAsia="en-AU"/>
              </w:rPr>
              <w:t xml:space="preserve"> </w:t>
            </w:r>
          </w:p>
        </w:tc>
        <w:tc>
          <w:tcPr>
            <w:tcW w:w="890" w:type="dxa"/>
            <w:tcBorders>
              <w:top w:val="nil"/>
              <w:left w:val="nil"/>
              <w:right w:val="nil"/>
            </w:tcBorders>
            <w:shd w:val="solid" w:color="000000" w:fill="auto"/>
          </w:tcPr>
          <w:p w:rsidR="00965D85" w:rsidRPr="004E5DCF" w:rsidRDefault="00965D85" w:rsidP="008B46DF">
            <w:pPr>
              <w:pStyle w:val="million"/>
              <w:jc w:val="right"/>
              <w:rPr>
                <w:rFonts w:eastAsiaTheme="minorEastAsia"/>
                <w:iCs/>
                <w:color w:val="FFFFFF"/>
                <w:sz w:val="20"/>
                <w:szCs w:val="20"/>
                <w:lang w:eastAsia="en-AU"/>
              </w:rPr>
            </w:pPr>
            <w:r w:rsidRPr="004E5DCF">
              <w:rPr>
                <w:rFonts w:eastAsiaTheme="minorEastAsia"/>
                <w:iCs/>
                <w:color w:val="FFFFFF"/>
                <w:sz w:val="20"/>
                <w:szCs w:val="20"/>
                <w:lang w:eastAsia="en-AU"/>
              </w:rPr>
              <w:t>2015</w:t>
            </w:r>
            <w:r w:rsidRPr="004E5DCF">
              <w:rPr>
                <w:rFonts w:eastAsiaTheme="minorEastAsia"/>
                <w:iCs/>
                <w:color w:val="FFFFFF"/>
                <w:sz w:val="20"/>
                <w:szCs w:val="20"/>
                <w:lang w:eastAsia="en-AU"/>
              </w:rPr>
              <w:noBreakHyphen/>
              <w:t>16</w:t>
            </w:r>
          </w:p>
          <w:p w:rsidR="00965D85" w:rsidRPr="004E5DCF" w:rsidRDefault="00965D85" w:rsidP="008B46DF">
            <w:pPr>
              <w:autoSpaceDE w:val="0"/>
              <w:autoSpaceDN w:val="0"/>
              <w:adjustRightInd w:val="0"/>
              <w:spacing w:after="0"/>
              <w:jc w:val="right"/>
              <w:rPr>
                <w:rFonts w:eastAsiaTheme="minorEastAsia"/>
                <w:iCs/>
                <w:color w:val="FFFFFF"/>
                <w:sz w:val="20"/>
                <w:lang w:eastAsia="en-AU"/>
              </w:rPr>
            </w:pPr>
            <w:r w:rsidRPr="004E5DCF">
              <w:rPr>
                <w:rFonts w:ascii="Calibri" w:eastAsiaTheme="minorEastAsia" w:hAnsi="Calibri" w:cs="Calibri"/>
                <w:i/>
                <w:iCs/>
                <w:color w:val="FFFFFF"/>
                <w:sz w:val="20"/>
                <w:lang w:eastAsia="en-AU"/>
              </w:rPr>
              <w:t>budget</w:t>
            </w:r>
          </w:p>
        </w:tc>
        <w:tc>
          <w:tcPr>
            <w:tcW w:w="890" w:type="dxa"/>
            <w:tcBorders>
              <w:top w:val="nil"/>
              <w:left w:val="nil"/>
              <w:right w:val="nil"/>
            </w:tcBorders>
            <w:shd w:val="solid" w:color="000000" w:fill="auto"/>
          </w:tcPr>
          <w:p w:rsidR="00965D85" w:rsidRPr="004E5DCF" w:rsidRDefault="00965D85" w:rsidP="008B46DF">
            <w:pPr>
              <w:pStyle w:val="million"/>
              <w:jc w:val="right"/>
              <w:rPr>
                <w:rFonts w:eastAsiaTheme="minorEastAsia"/>
                <w:iCs/>
                <w:color w:val="FFFFFF"/>
                <w:sz w:val="20"/>
                <w:szCs w:val="20"/>
                <w:lang w:eastAsia="en-AU"/>
              </w:rPr>
            </w:pPr>
            <w:r w:rsidRPr="004E5DCF">
              <w:rPr>
                <w:rFonts w:eastAsiaTheme="minorEastAsia"/>
                <w:iCs/>
                <w:color w:val="FFFFFF"/>
                <w:sz w:val="20"/>
                <w:szCs w:val="20"/>
                <w:lang w:eastAsia="en-AU"/>
              </w:rPr>
              <w:t>2015</w:t>
            </w:r>
            <w:r w:rsidRPr="004E5DCF">
              <w:rPr>
                <w:rFonts w:eastAsiaTheme="minorEastAsia"/>
                <w:iCs/>
                <w:color w:val="FFFFFF"/>
                <w:sz w:val="20"/>
                <w:szCs w:val="20"/>
                <w:lang w:eastAsia="en-AU"/>
              </w:rPr>
              <w:noBreakHyphen/>
              <w:t>16</w:t>
            </w:r>
          </w:p>
          <w:p w:rsidR="00965D85" w:rsidRPr="004E5DCF" w:rsidRDefault="00965D85" w:rsidP="008B46DF">
            <w:pPr>
              <w:autoSpaceDE w:val="0"/>
              <w:autoSpaceDN w:val="0"/>
              <w:adjustRightInd w:val="0"/>
              <w:spacing w:after="0"/>
              <w:jc w:val="right"/>
              <w:rPr>
                <w:rFonts w:eastAsiaTheme="minorEastAsia"/>
                <w:iCs/>
                <w:color w:val="FFFFFF"/>
                <w:sz w:val="20"/>
                <w:lang w:eastAsia="en-AU"/>
              </w:rPr>
            </w:pPr>
            <w:r w:rsidRPr="004E5DCF">
              <w:rPr>
                <w:rFonts w:ascii="Calibri" w:eastAsiaTheme="minorEastAsia" w:hAnsi="Calibri" w:cs="Calibri"/>
                <w:i/>
                <w:iCs/>
                <w:color w:val="FFFFFF"/>
                <w:sz w:val="20"/>
                <w:lang w:eastAsia="en-AU"/>
              </w:rPr>
              <w:t>revised</w:t>
            </w:r>
          </w:p>
        </w:tc>
        <w:tc>
          <w:tcPr>
            <w:tcW w:w="891" w:type="dxa"/>
            <w:tcBorders>
              <w:top w:val="nil"/>
              <w:left w:val="nil"/>
              <w:right w:val="nil"/>
            </w:tcBorders>
            <w:shd w:val="solid" w:color="000000" w:fill="auto"/>
          </w:tcPr>
          <w:p w:rsidR="00965D85" w:rsidRPr="004E5DCF" w:rsidRDefault="00965D85" w:rsidP="008B46DF">
            <w:pPr>
              <w:pStyle w:val="million"/>
              <w:jc w:val="right"/>
              <w:rPr>
                <w:rFonts w:eastAsiaTheme="minorEastAsia"/>
                <w:iCs/>
                <w:color w:val="FFFFFF"/>
                <w:sz w:val="20"/>
                <w:szCs w:val="20"/>
                <w:lang w:eastAsia="en-AU"/>
              </w:rPr>
            </w:pPr>
            <w:r w:rsidRPr="004E5DCF">
              <w:rPr>
                <w:rFonts w:eastAsiaTheme="minorEastAsia"/>
                <w:iCs/>
                <w:color w:val="FFFFFF"/>
                <w:sz w:val="20"/>
                <w:szCs w:val="20"/>
                <w:lang w:eastAsia="en-AU"/>
              </w:rPr>
              <w:t>2016</w:t>
            </w:r>
            <w:r w:rsidRPr="004E5DCF">
              <w:rPr>
                <w:rFonts w:eastAsiaTheme="minorEastAsia"/>
                <w:iCs/>
                <w:color w:val="FFFFFF"/>
                <w:sz w:val="20"/>
                <w:szCs w:val="20"/>
                <w:lang w:eastAsia="en-AU"/>
              </w:rPr>
              <w:noBreakHyphen/>
              <w:t>17</w:t>
            </w:r>
          </w:p>
          <w:p w:rsidR="00965D85" w:rsidRPr="004E5DCF" w:rsidRDefault="00965D85" w:rsidP="008B46DF">
            <w:pPr>
              <w:autoSpaceDE w:val="0"/>
              <w:autoSpaceDN w:val="0"/>
              <w:adjustRightInd w:val="0"/>
              <w:spacing w:after="0"/>
              <w:jc w:val="right"/>
              <w:rPr>
                <w:rFonts w:eastAsiaTheme="minorEastAsia"/>
                <w:iCs/>
                <w:color w:val="FFFFFF"/>
                <w:sz w:val="20"/>
                <w:lang w:eastAsia="en-AU"/>
              </w:rPr>
            </w:pPr>
            <w:r w:rsidRPr="004E5DCF">
              <w:rPr>
                <w:rFonts w:ascii="Calibri" w:eastAsiaTheme="minorEastAsia" w:hAnsi="Calibri" w:cs="Calibri"/>
                <w:i/>
                <w:iCs/>
                <w:color w:val="FFFFFF"/>
                <w:sz w:val="20"/>
                <w:lang w:eastAsia="en-AU"/>
              </w:rPr>
              <w:t>estimate</w:t>
            </w:r>
          </w:p>
        </w:tc>
        <w:tc>
          <w:tcPr>
            <w:tcW w:w="890" w:type="dxa"/>
            <w:tcBorders>
              <w:top w:val="nil"/>
              <w:left w:val="nil"/>
              <w:right w:val="nil"/>
            </w:tcBorders>
            <w:shd w:val="solid" w:color="000000" w:fill="auto"/>
          </w:tcPr>
          <w:p w:rsidR="00965D85" w:rsidRPr="004E5DCF" w:rsidRDefault="00965D85" w:rsidP="008B46DF">
            <w:pPr>
              <w:pStyle w:val="million"/>
              <w:jc w:val="right"/>
              <w:rPr>
                <w:rFonts w:eastAsiaTheme="minorEastAsia"/>
                <w:iCs/>
                <w:color w:val="FFFFFF"/>
                <w:sz w:val="20"/>
                <w:szCs w:val="20"/>
                <w:lang w:eastAsia="en-AU"/>
              </w:rPr>
            </w:pPr>
            <w:r w:rsidRPr="004E5DCF">
              <w:rPr>
                <w:rFonts w:eastAsiaTheme="minorEastAsia"/>
                <w:iCs/>
                <w:color w:val="FFFFFF"/>
                <w:sz w:val="20"/>
                <w:szCs w:val="20"/>
                <w:lang w:eastAsia="en-AU"/>
              </w:rPr>
              <w:t>2017</w:t>
            </w:r>
            <w:r w:rsidRPr="004E5DCF">
              <w:rPr>
                <w:rFonts w:eastAsiaTheme="minorEastAsia"/>
                <w:iCs/>
                <w:color w:val="FFFFFF"/>
                <w:sz w:val="20"/>
                <w:szCs w:val="20"/>
                <w:lang w:eastAsia="en-AU"/>
              </w:rPr>
              <w:noBreakHyphen/>
              <w:t>18</w:t>
            </w:r>
          </w:p>
          <w:p w:rsidR="00965D85" w:rsidRPr="004E5DCF" w:rsidRDefault="00965D85" w:rsidP="008B46DF">
            <w:pPr>
              <w:autoSpaceDE w:val="0"/>
              <w:autoSpaceDN w:val="0"/>
              <w:adjustRightInd w:val="0"/>
              <w:spacing w:after="0"/>
              <w:jc w:val="right"/>
              <w:rPr>
                <w:rFonts w:eastAsiaTheme="minorEastAsia"/>
                <w:iCs/>
                <w:color w:val="FFFFFF"/>
                <w:sz w:val="20"/>
                <w:lang w:eastAsia="en-AU"/>
              </w:rPr>
            </w:pPr>
            <w:r w:rsidRPr="004E5DCF">
              <w:rPr>
                <w:rFonts w:ascii="Calibri" w:eastAsiaTheme="minorEastAsia" w:hAnsi="Calibri" w:cs="Calibri"/>
                <w:i/>
                <w:iCs/>
                <w:color w:val="FFFFFF"/>
                <w:sz w:val="20"/>
                <w:lang w:eastAsia="en-AU"/>
              </w:rPr>
              <w:t>estimate</w:t>
            </w:r>
          </w:p>
        </w:tc>
        <w:tc>
          <w:tcPr>
            <w:tcW w:w="891" w:type="dxa"/>
            <w:tcBorders>
              <w:top w:val="nil"/>
              <w:left w:val="nil"/>
              <w:right w:val="nil"/>
            </w:tcBorders>
            <w:shd w:val="solid" w:color="000000" w:fill="auto"/>
          </w:tcPr>
          <w:p w:rsidR="00965D85" w:rsidRPr="004E5DCF" w:rsidRDefault="00965D85" w:rsidP="008B46DF">
            <w:pPr>
              <w:pStyle w:val="million"/>
              <w:jc w:val="right"/>
              <w:rPr>
                <w:rFonts w:eastAsiaTheme="minorEastAsia"/>
                <w:iCs/>
                <w:color w:val="FFFFFF"/>
                <w:sz w:val="20"/>
                <w:szCs w:val="20"/>
                <w:lang w:eastAsia="en-AU"/>
              </w:rPr>
            </w:pPr>
            <w:r w:rsidRPr="004E5DCF">
              <w:rPr>
                <w:rFonts w:eastAsiaTheme="minorEastAsia"/>
                <w:iCs/>
                <w:color w:val="FFFFFF"/>
                <w:sz w:val="20"/>
                <w:szCs w:val="20"/>
                <w:lang w:eastAsia="en-AU"/>
              </w:rPr>
              <w:t>2018</w:t>
            </w:r>
            <w:r w:rsidRPr="004E5DCF">
              <w:rPr>
                <w:rFonts w:eastAsiaTheme="minorEastAsia"/>
                <w:iCs/>
                <w:color w:val="FFFFFF"/>
                <w:sz w:val="20"/>
                <w:szCs w:val="20"/>
                <w:lang w:eastAsia="en-AU"/>
              </w:rPr>
              <w:noBreakHyphen/>
              <w:t>19</w:t>
            </w:r>
          </w:p>
          <w:p w:rsidR="00965D85" w:rsidRPr="004E5DCF" w:rsidRDefault="00965D85" w:rsidP="008B46DF">
            <w:pPr>
              <w:autoSpaceDE w:val="0"/>
              <w:autoSpaceDN w:val="0"/>
              <w:adjustRightInd w:val="0"/>
              <w:spacing w:after="0"/>
              <w:jc w:val="right"/>
              <w:rPr>
                <w:rFonts w:eastAsiaTheme="minorEastAsia"/>
                <w:iCs/>
                <w:color w:val="FFFFFF"/>
                <w:sz w:val="20"/>
                <w:lang w:eastAsia="en-AU"/>
              </w:rPr>
            </w:pPr>
            <w:r w:rsidRPr="004E5DCF">
              <w:rPr>
                <w:rFonts w:ascii="Calibri" w:eastAsiaTheme="minorEastAsia" w:hAnsi="Calibri" w:cs="Calibri"/>
                <w:i/>
                <w:iCs/>
                <w:color w:val="FFFFFF"/>
                <w:sz w:val="20"/>
                <w:lang w:eastAsia="en-AU"/>
              </w:rPr>
              <w:t>estimate</w:t>
            </w:r>
          </w:p>
        </w:tc>
      </w:tr>
      <w:tr w:rsidR="00965D85" w:rsidRPr="00E22AD9" w:rsidTr="008B46DF">
        <w:tc>
          <w:tcPr>
            <w:tcW w:w="3345" w:type="dxa"/>
            <w:tcBorders>
              <w:top w:val="nil"/>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20"/>
                <w:vertAlign w:val="superscript"/>
                <w:lang w:eastAsia="en-AU"/>
              </w:rPr>
            </w:pPr>
            <w:r w:rsidRPr="00E22AD9">
              <w:rPr>
                <w:rFonts w:ascii="Calibri" w:eastAsiaTheme="minorEastAsia" w:hAnsi="Calibri" w:cs="Calibri"/>
                <w:color w:val="000000"/>
                <w:sz w:val="20"/>
                <w:lang w:eastAsia="en-AU"/>
              </w:rPr>
              <w:t>Buildings</w:t>
            </w:r>
            <w:r w:rsidRPr="00E22AD9">
              <w:rPr>
                <w:rFonts w:ascii="Calibri" w:eastAsiaTheme="minorEastAsia" w:hAnsi="Calibri" w:cs="Calibri"/>
                <w:color w:val="000000"/>
                <w:sz w:val="20"/>
                <w:vertAlign w:val="superscript"/>
                <w:lang w:eastAsia="en-AU"/>
              </w:rPr>
              <w:t xml:space="preserve"> (a)</w:t>
            </w:r>
          </w:p>
        </w:tc>
        <w:tc>
          <w:tcPr>
            <w:tcW w:w="890"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1 028.3</w:t>
            </w:r>
          </w:p>
        </w:tc>
        <w:tc>
          <w:tcPr>
            <w:tcW w:w="890"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1 040.4</w:t>
            </w:r>
          </w:p>
        </w:tc>
        <w:tc>
          <w:tcPr>
            <w:tcW w:w="891"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1 140.3</w:t>
            </w:r>
          </w:p>
        </w:tc>
        <w:tc>
          <w:tcPr>
            <w:tcW w:w="890"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1 173.5</w:t>
            </w:r>
          </w:p>
        </w:tc>
        <w:tc>
          <w:tcPr>
            <w:tcW w:w="891"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1 222.0</w:t>
            </w:r>
          </w:p>
        </w:tc>
      </w:tr>
      <w:tr w:rsidR="00965D85" w:rsidRPr="00E22AD9" w:rsidTr="008B46DF">
        <w:tc>
          <w:tcPr>
            <w:tcW w:w="3345" w:type="dxa"/>
            <w:tcBorders>
              <w:top w:val="nil"/>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Leasehold buildings</w:t>
            </w:r>
          </w:p>
        </w:tc>
        <w:tc>
          <w:tcPr>
            <w:tcW w:w="890"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98.0</w:t>
            </w:r>
          </w:p>
        </w:tc>
        <w:tc>
          <w:tcPr>
            <w:tcW w:w="890"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96.8</w:t>
            </w:r>
          </w:p>
        </w:tc>
        <w:tc>
          <w:tcPr>
            <w:tcW w:w="891"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105.1</w:t>
            </w:r>
          </w:p>
        </w:tc>
        <w:tc>
          <w:tcPr>
            <w:tcW w:w="890"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143.7</w:t>
            </w:r>
          </w:p>
        </w:tc>
        <w:tc>
          <w:tcPr>
            <w:tcW w:w="891"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160.2</w:t>
            </w:r>
          </w:p>
        </w:tc>
      </w:tr>
      <w:tr w:rsidR="00965D85" w:rsidRPr="00E22AD9" w:rsidTr="008B46DF">
        <w:tc>
          <w:tcPr>
            <w:tcW w:w="3345" w:type="dxa"/>
            <w:tcBorders>
              <w:top w:val="nil"/>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Infrastructure systems</w:t>
            </w:r>
          </w:p>
        </w:tc>
        <w:tc>
          <w:tcPr>
            <w:tcW w:w="890"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28.5</w:t>
            </w:r>
          </w:p>
        </w:tc>
        <w:tc>
          <w:tcPr>
            <w:tcW w:w="890"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29.2</w:t>
            </w:r>
          </w:p>
        </w:tc>
        <w:tc>
          <w:tcPr>
            <w:tcW w:w="891"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29.5</w:t>
            </w:r>
          </w:p>
        </w:tc>
        <w:tc>
          <w:tcPr>
            <w:tcW w:w="890"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29.9</w:t>
            </w:r>
          </w:p>
        </w:tc>
        <w:tc>
          <w:tcPr>
            <w:tcW w:w="891"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30.2</w:t>
            </w:r>
          </w:p>
        </w:tc>
      </w:tr>
      <w:tr w:rsidR="00965D85" w:rsidRPr="00E22AD9" w:rsidTr="008B46DF">
        <w:tc>
          <w:tcPr>
            <w:tcW w:w="3345" w:type="dxa"/>
            <w:tcBorders>
              <w:top w:val="nil"/>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20"/>
                <w:vertAlign w:val="superscript"/>
                <w:lang w:eastAsia="en-AU"/>
              </w:rPr>
            </w:pPr>
            <w:r w:rsidRPr="00E22AD9">
              <w:rPr>
                <w:rFonts w:ascii="Calibri" w:eastAsiaTheme="minorEastAsia" w:hAnsi="Calibri" w:cs="Calibri"/>
                <w:color w:val="000000"/>
                <w:sz w:val="20"/>
                <w:lang w:eastAsia="en-AU"/>
              </w:rPr>
              <w:t>Plant, equipment and vehicles</w:t>
            </w:r>
            <w:r w:rsidRPr="00E22AD9">
              <w:rPr>
                <w:rFonts w:ascii="Calibri" w:eastAsiaTheme="minorEastAsia" w:hAnsi="Calibri" w:cs="Calibri"/>
                <w:color w:val="000000"/>
                <w:sz w:val="20"/>
                <w:vertAlign w:val="superscript"/>
                <w:lang w:eastAsia="en-AU"/>
              </w:rPr>
              <w:t xml:space="preserve"> (a)</w:t>
            </w:r>
          </w:p>
        </w:tc>
        <w:tc>
          <w:tcPr>
            <w:tcW w:w="890"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656.9</w:t>
            </w:r>
          </w:p>
        </w:tc>
        <w:tc>
          <w:tcPr>
            <w:tcW w:w="890"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592.2</w:t>
            </w:r>
          </w:p>
        </w:tc>
        <w:tc>
          <w:tcPr>
            <w:tcW w:w="891"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615.6</w:t>
            </w:r>
          </w:p>
        </w:tc>
        <w:tc>
          <w:tcPr>
            <w:tcW w:w="890"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666.8</w:t>
            </w:r>
          </w:p>
        </w:tc>
        <w:tc>
          <w:tcPr>
            <w:tcW w:w="891"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725.4</w:t>
            </w:r>
          </w:p>
        </w:tc>
      </w:tr>
      <w:tr w:rsidR="00965D85" w:rsidRPr="00E22AD9" w:rsidTr="008B46DF">
        <w:tc>
          <w:tcPr>
            <w:tcW w:w="3345" w:type="dxa"/>
            <w:tcBorders>
              <w:top w:val="nil"/>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20"/>
                <w:vertAlign w:val="superscript"/>
                <w:lang w:eastAsia="en-AU"/>
              </w:rPr>
            </w:pPr>
            <w:r w:rsidRPr="00E22AD9">
              <w:rPr>
                <w:rFonts w:ascii="Calibri" w:eastAsiaTheme="minorEastAsia" w:hAnsi="Calibri" w:cs="Calibri"/>
                <w:color w:val="000000"/>
                <w:sz w:val="20"/>
                <w:lang w:eastAsia="en-AU"/>
              </w:rPr>
              <w:t>Roads and road networks</w:t>
            </w:r>
            <w:r w:rsidRPr="00E22AD9">
              <w:rPr>
                <w:rFonts w:ascii="Calibri" w:eastAsiaTheme="minorEastAsia" w:hAnsi="Calibri" w:cs="Calibri"/>
                <w:color w:val="000000"/>
                <w:sz w:val="20"/>
                <w:vertAlign w:val="superscript"/>
                <w:lang w:eastAsia="en-AU"/>
              </w:rPr>
              <w:t xml:space="preserve"> (a)</w:t>
            </w:r>
          </w:p>
        </w:tc>
        <w:tc>
          <w:tcPr>
            <w:tcW w:w="890"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646.0</w:t>
            </w:r>
          </w:p>
        </w:tc>
        <w:tc>
          <w:tcPr>
            <w:tcW w:w="890"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600.3</w:t>
            </w:r>
          </w:p>
        </w:tc>
        <w:tc>
          <w:tcPr>
            <w:tcW w:w="891"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623.9</w:t>
            </w:r>
          </w:p>
        </w:tc>
        <w:tc>
          <w:tcPr>
            <w:tcW w:w="890"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655.4</w:t>
            </w:r>
          </w:p>
        </w:tc>
        <w:tc>
          <w:tcPr>
            <w:tcW w:w="891"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791.2</w:t>
            </w:r>
          </w:p>
        </w:tc>
      </w:tr>
      <w:tr w:rsidR="00965D85" w:rsidRPr="00E22AD9" w:rsidTr="008B46DF">
        <w:tc>
          <w:tcPr>
            <w:tcW w:w="3345" w:type="dxa"/>
            <w:tcBorders>
              <w:top w:val="nil"/>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Cultural assets</w:t>
            </w:r>
          </w:p>
        </w:tc>
        <w:tc>
          <w:tcPr>
            <w:tcW w:w="890"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25.1</w:t>
            </w:r>
          </w:p>
        </w:tc>
        <w:tc>
          <w:tcPr>
            <w:tcW w:w="890"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25.1</w:t>
            </w:r>
          </w:p>
        </w:tc>
        <w:tc>
          <w:tcPr>
            <w:tcW w:w="891"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25.9</w:t>
            </w:r>
          </w:p>
        </w:tc>
        <w:tc>
          <w:tcPr>
            <w:tcW w:w="890"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27.5</w:t>
            </w:r>
          </w:p>
        </w:tc>
        <w:tc>
          <w:tcPr>
            <w:tcW w:w="891"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30.9</w:t>
            </w:r>
          </w:p>
        </w:tc>
      </w:tr>
      <w:tr w:rsidR="00965D85" w:rsidRPr="00E22AD9" w:rsidTr="008B46DF">
        <w:tc>
          <w:tcPr>
            <w:tcW w:w="3345"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20"/>
                <w:vertAlign w:val="superscript"/>
                <w:lang w:eastAsia="en-AU"/>
              </w:rPr>
            </w:pPr>
            <w:r w:rsidRPr="00E22AD9">
              <w:rPr>
                <w:rFonts w:ascii="Calibri" w:eastAsiaTheme="minorEastAsia" w:hAnsi="Calibri" w:cs="Calibri"/>
                <w:color w:val="000000"/>
                <w:sz w:val="20"/>
                <w:lang w:eastAsia="en-AU"/>
              </w:rPr>
              <w:t>Intangible produced assets</w:t>
            </w:r>
            <w:r w:rsidRPr="00E22AD9">
              <w:rPr>
                <w:rFonts w:ascii="Calibri" w:eastAsiaTheme="minorEastAsia" w:hAnsi="Calibri" w:cs="Calibri"/>
                <w:color w:val="000000"/>
                <w:sz w:val="20"/>
                <w:vertAlign w:val="superscript"/>
                <w:lang w:eastAsia="en-AU"/>
              </w:rPr>
              <w:t xml:space="preserve"> (b)</w:t>
            </w:r>
          </w:p>
        </w:tc>
        <w:tc>
          <w:tcPr>
            <w:tcW w:w="890"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94.1</w:t>
            </w:r>
          </w:p>
        </w:tc>
        <w:tc>
          <w:tcPr>
            <w:tcW w:w="890"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125.7</w:t>
            </w:r>
          </w:p>
        </w:tc>
        <w:tc>
          <w:tcPr>
            <w:tcW w:w="891"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116.5</w:t>
            </w:r>
          </w:p>
        </w:tc>
        <w:tc>
          <w:tcPr>
            <w:tcW w:w="890"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123.5</w:t>
            </w:r>
          </w:p>
        </w:tc>
        <w:tc>
          <w:tcPr>
            <w:tcW w:w="891"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109.8</w:t>
            </w:r>
          </w:p>
        </w:tc>
      </w:tr>
      <w:tr w:rsidR="00965D85" w:rsidRPr="00E22AD9" w:rsidTr="008B46DF">
        <w:tc>
          <w:tcPr>
            <w:tcW w:w="3345" w:type="dxa"/>
            <w:tcBorders>
              <w:top w:val="single" w:sz="6" w:space="0" w:color="000000"/>
              <w:left w:val="nil"/>
              <w:bottom w:val="single" w:sz="12" w:space="0" w:color="000000"/>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Total depreciation</w:t>
            </w:r>
          </w:p>
        </w:tc>
        <w:tc>
          <w:tcPr>
            <w:tcW w:w="890" w:type="dxa"/>
            <w:tcBorders>
              <w:top w:val="single" w:sz="6" w:space="0" w:color="000000"/>
              <w:left w:val="nil"/>
              <w:bottom w:val="single" w:sz="12"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2 576.9</w:t>
            </w:r>
          </w:p>
        </w:tc>
        <w:tc>
          <w:tcPr>
            <w:tcW w:w="890" w:type="dxa"/>
            <w:tcBorders>
              <w:top w:val="single" w:sz="6" w:space="0" w:color="000000"/>
              <w:left w:val="nil"/>
              <w:bottom w:val="single" w:sz="12"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2 509.6</w:t>
            </w:r>
          </w:p>
        </w:tc>
        <w:tc>
          <w:tcPr>
            <w:tcW w:w="891" w:type="dxa"/>
            <w:tcBorders>
              <w:top w:val="single" w:sz="6" w:space="0" w:color="000000"/>
              <w:left w:val="nil"/>
              <w:bottom w:val="single" w:sz="12"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2 656.9</w:t>
            </w:r>
          </w:p>
        </w:tc>
        <w:tc>
          <w:tcPr>
            <w:tcW w:w="890" w:type="dxa"/>
            <w:tcBorders>
              <w:top w:val="single" w:sz="6" w:space="0" w:color="000000"/>
              <w:left w:val="nil"/>
              <w:bottom w:val="single" w:sz="12"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2 820.4</w:t>
            </w:r>
          </w:p>
        </w:tc>
        <w:tc>
          <w:tcPr>
            <w:tcW w:w="891" w:type="dxa"/>
            <w:tcBorders>
              <w:top w:val="single" w:sz="6" w:space="0" w:color="000000"/>
              <w:left w:val="nil"/>
              <w:bottom w:val="single" w:sz="12"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3 069.6</w:t>
            </w:r>
          </w:p>
        </w:tc>
      </w:tr>
    </w:tbl>
    <w:p w:rsidR="00965D85" w:rsidRDefault="00965D85" w:rsidP="008B46DF">
      <w:pPr>
        <w:pStyle w:val="Notes"/>
        <w:rPr>
          <w:lang w:eastAsia="en-AU"/>
        </w:rPr>
      </w:pPr>
      <w:r>
        <w:rPr>
          <w:lang w:eastAsia="en-AU"/>
        </w:rPr>
        <w:t>Notes:</w:t>
      </w:r>
    </w:p>
    <w:p w:rsidR="00965D85" w:rsidRDefault="00965D85" w:rsidP="008B46DF">
      <w:pPr>
        <w:pStyle w:val="Notes"/>
        <w:rPr>
          <w:lang w:eastAsia="en-AU"/>
        </w:rPr>
      </w:pPr>
      <w:r>
        <w:rPr>
          <w:lang w:eastAsia="en-AU"/>
        </w:rPr>
        <w:t>(a)</w:t>
      </w:r>
      <w:r>
        <w:rPr>
          <w:lang w:eastAsia="en-AU"/>
        </w:rPr>
        <w:tab/>
        <w:t>Includes estimated depreciation on amounts not yet allocated to projects in 2015</w:t>
      </w:r>
      <w:r>
        <w:rPr>
          <w:lang w:eastAsia="en-AU"/>
        </w:rPr>
        <w:noBreakHyphen/>
        <w:t>16 to 2018</w:t>
      </w:r>
      <w:r>
        <w:rPr>
          <w:lang w:eastAsia="en-AU"/>
        </w:rPr>
        <w:noBreakHyphen/>
        <w:t>19.</w:t>
      </w:r>
    </w:p>
    <w:p w:rsidR="00965D85" w:rsidRDefault="00965D85" w:rsidP="008B46DF">
      <w:pPr>
        <w:pStyle w:val="Notes"/>
        <w:rPr>
          <w:lang w:eastAsia="en-AU"/>
        </w:rPr>
      </w:pPr>
      <w:r>
        <w:rPr>
          <w:lang w:eastAsia="en-AU"/>
        </w:rPr>
        <w:t>(b)</w:t>
      </w:r>
      <w:r>
        <w:rPr>
          <w:lang w:eastAsia="en-AU"/>
        </w:rPr>
        <w:tab/>
        <w:t>Amortisation of intangible non</w:t>
      </w:r>
      <w:r>
        <w:rPr>
          <w:lang w:eastAsia="en-AU"/>
        </w:rPr>
        <w:noBreakHyphen/>
        <w:t>produced assets is included under other gains/(losses) from other economic flows.</w:t>
      </w:r>
    </w:p>
    <w:p w:rsidR="00965D85" w:rsidRDefault="00965D85" w:rsidP="008B46DF">
      <w:pPr>
        <w:pStyle w:val="Heading2Notes"/>
        <w:rPr>
          <w:rFonts w:ascii="Times New Roman" w:hAnsi="Times New Roman"/>
          <w:sz w:val="20"/>
          <w:lang w:eastAsia="en-AU"/>
        </w:rPr>
      </w:pPr>
      <w:bookmarkStart w:id="57" w:name="_Toc436138915"/>
      <w:r w:rsidRPr="003878BE">
        <w:rPr>
          <w:lang w:eastAsia="en-AU"/>
        </w:rPr>
        <w:lastRenderedPageBreak/>
        <w:t xml:space="preserve">Note 9: </w:t>
      </w:r>
      <w:r w:rsidRPr="003878BE">
        <w:rPr>
          <w:lang w:eastAsia="en-AU"/>
        </w:rPr>
        <w:tab/>
        <w:t>Interest expense</w:t>
      </w:r>
      <w:bookmarkEnd w:id="57"/>
    </w:p>
    <w:tbl>
      <w:tblPr>
        <w:tblW w:w="7797" w:type="dxa"/>
        <w:tblInd w:w="28" w:type="dxa"/>
        <w:tblLayout w:type="fixed"/>
        <w:tblCellMar>
          <w:left w:w="28" w:type="dxa"/>
          <w:right w:w="28" w:type="dxa"/>
        </w:tblCellMar>
        <w:tblLook w:val="0000" w:firstRow="0" w:lastRow="0" w:firstColumn="0" w:lastColumn="0" w:noHBand="0" w:noVBand="0"/>
      </w:tblPr>
      <w:tblGrid>
        <w:gridCol w:w="3402"/>
        <w:gridCol w:w="879"/>
        <w:gridCol w:w="879"/>
        <w:gridCol w:w="879"/>
        <w:gridCol w:w="879"/>
        <w:gridCol w:w="879"/>
      </w:tblGrid>
      <w:tr w:rsidR="00965D85" w:rsidRPr="00E22AD9" w:rsidTr="008B46DF">
        <w:trPr>
          <w:tblHeader/>
        </w:trPr>
        <w:tc>
          <w:tcPr>
            <w:tcW w:w="7797" w:type="dxa"/>
            <w:gridSpan w:val="6"/>
            <w:tcBorders>
              <w:top w:val="nil"/>
              <w:left w:val="nil"/>
              <w:bottom w:val="nil"/>
              <w:right w:val="nil"/>
            </w:tcBorders>
          </w:tcPr>
          <w:p w:rsidR="00965D85" w:rsidRPr="00E22AD9" w:rsidRDefault="00965D85" w:rsidP="008B46DF">
            <w:pPr>
              <w:pStyle w:val="million"/>
              <w:rPr>
                <w:rFonts w:eastAsiaTheme="minorEastAsia" w:cs="Calibri"/>
                <w:iCs/>
                <w:color w:val="000000"/>
                <w:sz w:val="20"/>
                <w:lang w:eastAsia="en-AU"/>
              </w:rPr>
            </w:pPr>
            <w:r w:rsidRPr="00E22AD9">
              <w:rPr>
                <w:rFonts w:eastAsiaTheme="minorEastAsia"/>
                <w:lang w:eastAsia="en-AU"/>
              </w:rPr>
              <w:t>($ million)</w:t>
            </w:r>
          </w:p>
        </w:tc>
      </w:tr>
      <w:tr w:rsidR="00965D85" w:rsidRPr="00E22AD9" w:rsidTr="008B46DF">
        <w:trPr>
          <w:trHeight w:val="488"/>
          <w:tblHeader/>
        </w:trPr>
        <w:tc>
          <w:tcPr>
            <w:tcW w:w="3402" w:type="dxa"/>
            <w:tcBorders>
              <w:top w:val="nil"/>
              <w:left w:val="nil"/>
              <w:right w:val="nil"/>
            </w:tcBorders>
            <w:shd w:val="solid" w:color="000000" w:fill="auto"/>
          </w:tcPr>
          <w:p w:rsidR="00965D85" w:rsidRPr="00E22AD9" w:rsidRDefault="00965D85" w:rsidP="008B46DF">
            <w:pPr>
              <w:pStyle w:val="million"/>
              <w:rPr>
                <w:rFonts w:eastAsiaTheme="minorEastAsia"/>
                <w:sz w:val="20"/>
                <w:lang w:eastAsia="en-AU"/>
              </w:rPr>
            </w:pPr>
            <w:r w:rsidRPr="00E22AD9">
              <w:rPr>
                <w:rFonts w:eastAsiaTheme="minorEastAsia"/>
                <w:sz w:val="20"/>
                <w:lang w:eastAsia="en-AU"/>
              </w:rPr>
              <w:t xml:space="preserve"> </w:t>
            </w:r>
          </w:p>
          <w:p w:rsidR="00965D85" w:rsidRPr="00E22AD9" w:rsidRDefault="00965D85" w:rsidP="008B46DF">
            <w:pPr>
              <w:autoSpaceDE w:val="0"/>
              <w:autoSpaceDN w:val="0"/>
              <w:adjustRightInd w:val="0"/>
              <w:spacing w:after="0"/>
              <w:rPr>
                <w:rFonts w:eastAsiaTheme="minorEastAsia"/>
                <w:sz w:val="20"/>
                <w:lang w:eastAsia="en-AU"/>
              </w:rPr>
            </w:pPr>
            <w:r w:rsidRPr="00E22AD9">
              <w:rPr>
                <w:rFonts w:ascii="Calibri" w:eastAsiaTheme="minorEastAsia" w:hAnsi="Calibri" w:cs="Calibri"/>
                <w:color w:val="000000"/>
                <w:sz w:val="20"/>
                <w:lang w:eastAsia="en-AU"/>
              </w:rPr>
              <w:t xml:space="preserve"> </w:t>
            </w:r>
          </w:p>
        </w:tc>
        <w:tc>
          <w:tcPr>
            <w:tcW w:w="879" w:type="dxa"/>
            <w:tcBorders>
              <w:top w:val="nil"/>
              <w:left w:val="nil"/>
              <w:right w:val="nil"/>
            </w:tcBorders>
            <w:shd w:val="solid" w:color="000000" w:fill="auto"/>
          </w:tcPr>
          <w:p w:rsidR="00965D85" w:rsidRPr="00E22AD9" w:rsidRDefault="00965D85" w:rsidP="008B46DF">
            <w:pPr>
              <w:pStyle w:val="million"/>
              <w:jc w:val="right"/>
              <w:rPr>
                <w:rFonts w:eastAsiaTheme="minorEastAsia"/>
                <w:iCs/>
                <w:color w:val="FFFFFF"/>
                <w:sz w:val="20"/>
                <w:lang w:eastAsia="en-AU"/>
              </w:rPr>
            </w:pPr>
            <w:r w:rsidRPr="00E22AD9">
              <w:rPr>
                <w:rFonts w:eastAsiaTheme="minorEastAsia"/>
                <w:iCs/>
                <w:color w:val="FFFFFF"/>
                <w:sz w:val="20"/>
                <w:lang w:eastAsia="en-AU"/>
              </w:rPr>
              <w:t>2015</w:t>
            </w:r>
            <w:r>
              <w:rPr>
                <w:rFonts w:eastAsiaTheme="minorEastAsia"/>
                <w:iCs/>
                <w:color w:val="FFFFFF"/>
                <w:sz w:val="20"/>
                <w:lang w:eastAsia="en-AU"/>
              </w:rPr>
              <w:noBreakHyphen/>
            </w:r>
            <w:r w:rsidRPr="00E22AD9">
              <w:rPr>
                <w:rFonts w:eastAsiaTheme="minorEastAsia"/>
                <w:iCs/>
                <w:color w:val="FFFFFF"/>
                <w:sz w:val="20"/>
                <w:lang w:eastAsia="en-AU"/>
              </w:rPr>
              <w:t>16</w:t>
            </w:r>
          </w:p>
          <w:p w:rsidR="00965D85" w:rsidRPr="00E22AD9" w:rsidRDefault="00965D85" w:rsidP="008B46DF">
            <w:pPr>
              <w:autoSpaceDE w:val="0"/>
              <w:autoSpaceDN w:val="0"/>
              <w:adjustRightInd w:val="0"/>
              <w:spacing w:after="0"/>
              <w:jc w:val="right"/>
              <w:rPr>
                <w:rFonts w:eastAsiaTheme="minorEastAsia"/>
                <w:iCs/>
                <w:color w:val="FFFFFF"/>
                <w:sz w:val="20"/>
                <w:lang w:eastAsia="en-AU"/>
              </w:rPr>
            </w:pPr>
            <w:r w:rsidRPr="00E22AD9">
              <w:rPr>
                <w:rFonts w:ascii="Calibri" w:eastAsiaTheme="minorEastAsia" w:hAnsi="Calibri" w:cs="Calibri"/>
                <w:i/>
                <w:iCs/>
                <w:color w:val="FFFFFF"/>
                <w:sz w:val="20"/>
                <w:lang w:eastAsia="en-AU"/>
              </w:rPr>
              <w:t>budget</w:t>
            </w:r>
          </w:p>
        </w:tc>
        <w:tc>
          <w:tcPr>
            <w:tcW w:w="879" w:type="dxa"/>
            <w:tcBorders>
              <w:top w:val="nil"/>
              <w:left w:val="nil"/>
              <w:right w:val="nil"/>
            </w:tcBorders>
            <w:shd w:val="solid" w:color="000000" w:fill="auto"/>
          </w:tcPr>
          <w:p w:rsidR="00965D85" w:rsidRPr="00E22AD9" w:rsidRDefault="00965D85" w:rsidP="008B46DF">
            <w:pPr>
              <w:pStyle w:val="million"/>
              <w:jc w:val="right"/>
              <w:rPr>
                <w:rFonts w:eastAsiaTheme="minorEastAsia"/>
                <w:iCs/>
                <w:color w:val="FFFFFF"/>
                <w:sz w:val="20"/>
                <w:lang w:eastAsia="en-AU"/>
              </w:rPr>
            </w:pPr>
            <w:r w:rsidRPr="00E22AD9">
              <w:rPr>
                <w:rFonts w:eastAsiaTheme="minorEastAsia"/>
                <w:iCs/>
                <w:color w:val="FFFFFF"/>
                <w:sz w:val="20"/>
                <w:lang w:eastAsia="en-AU"/>
              </w:rPr>
              <w:t>2015</w:t>
            </w:r>
            <w:r>
              <w:rPr>
                <w:rFonts w:eastAsiaTheme="minorEastAsia"/>
                <w:iCs/>
                <w:color w:val="FFFFFF"/>
                <w:sz w:val="20"/>
                <w:lang w:eastAsia="en-AU"/>
              </w:rPr>
              <w:noBreakHyphen/>
            </w:r>
            <w:r w:rsidRPr="00E22AD9">
              <w:rPr>
                <w:rFonts w:eastAsiaTheme="minorEastAsia"/>
                <w:iCs/>
                <w:color w:val="FFFFFF"/>
                <w:sz w:val="20"/>
                <w:lang w:eastAsia="en-AU"/>
              </w:rPr>
              <w:t>16</w:t>
            </w:r>
          </w:p>
          <w:p w:rsidR="00965D85" w:rsidRPr="00E22AD9" w:rsidRDefault="00965D85" w:rsidP="008B46DF">
            <w:pPr>
              <w:autoSpaceDE w:val="0"/>
              <w:autoSpaceDN w:val="0"/>
              <w:adjustRightInd w:val="0"/>
              <w:spacing w:after="0"/>
              <w:jc w:val="right"/>
              <w:rPr>
                <w:rFonts w:eastAsiaTheme="minorEastAsia"/>
                <w:iCs/>
                <w:color w:val="FFFFFF"/>
                <w:sz w:val="20"/>
                <w:lang w:eastAsia="en-AU"/>
              </w:rPr>
            </w:pPr>
            <w:r w:rsidRPr="00E22AD9">
              <w:rPr>
                <w:rFonts w:ascii="Calibri" w:eastAsiaTheme="minorEastAsia" w:hAnsi="Calibri" w:cs="Calibri"/>
                <w:i/>
                <w:iCs/>
                <w:color w:val="FFFFFF"/>
                <w:sz w:val="20"/>
                <w:lang w:eastAsia="en-AU"/>
              </w:rPr>
              <w:t>revised</w:t>
            </w:r>
          </w:p>
        </w:tc>
        <w:tc>
          <w:tcPr>
            <w:tcW w:w="879" w:type="dxa"/>
            <w:tcBorders>
              <w:top w:val="nil"/>
              <w:left w:val="nil"/>
              <w:right w:val="nil"/>
            </w:tcBorders>
            <w:shd w:val="solid" w:color="000000" w:fill="auto"/>
          </w:tcPr>
          <w:p w:rsidR="00965D85" w:rsidRPr="00E22AD9" w:rsidRDefault="00965D85" w:rsidP="008B46DF">
            <w:pPr>
              <w:pStyle w:val="million"/>
              <w:jc w:val="right"/>
              <w:rPr>
                <w:rFonts w:eastAsiaTheme="minorEastAsia"/>
                <w:iCs/>
                <w:color w:val="FFFFFF"/>
                <w:sz w:val="20"/>
                <w:lang w:eastAsia="en-AU"/>
              </w:rPr>
            </w:pPr>
            <w:r w:rsidRPr="00E22AD9">
              <w:rPr>
                <w:rFonts w:eastAsiaTheme="minorEastAsia"/>
                <w:iCs/>
                <w:color w:val="FFFFFF"/>
                <w:sz w:val="20"/>
                <w:lang w:eastAsia="en-AU"/>
              </w:rPr>
              <w:t>2016</w:t>
            </w:r>
            <w:r>
              <w:rPr>
                <w:rFonts w:eastAsiaTheme="minorEastAsia"/>
                <w:iCs/>
                <w:color w:val="FFFFFF"/>
                <w:sz w:val="20"/>
                <w:lang w:eastAsia="en-AU"/>
              </w:rPr>
              <w:noBreakHyphen/>
            </w:r>
            <w:r w:rsidRPr="00E22AD9">
              <w:rPr>
                <w:rFonts w:eastAsiaTheme="minorEastAsia"/>
                <w:iCs/>
                <w:color w:val="FFFFFF"/>
                <w:sz w:val="20"/>
                <w:lang w:eastAsia="en-AU"/>
              </w:rPr>
              <w:t>17</w:t>
            </w:r>
          </w:p>
          <w:p w:rsidR="00965D85" w:rsidRPr="00E22AD9" w:rsidRDefault="00965D85" w:rsidP="008B46DF">
            <w:pPr>
              <w:autoSpaceDE w:val="0"/>
              <w:autoSpaceDN w:val="0"/>
              <w:adjustRightInd w:val="0"/>
              <w:spacing w:after="0"/>
              <w:jc w:val="right"/>
              <w:rPr>
                <w:rFonts w:eastAsiaTheme="minorEastAsia"/>
                <w:iCs/>
                <w:color w:val="FFFFFF"/>
                <w:sz w:val="20"/>
                <w:lang w:eastAsia="en-AU"/>
              </w:rPr>
            </w:pPr>
            <w:r w:rsidRPr="00E22AD9">
              <w:rPr>
                <w:rFonts w:ascii="Calibri" w:eastAsiaTheme="minorEastAsia" w:hAnsi="Calibri" w:cs="Calibri"/>
                <w:i/>
                <w:iCs/>
                <w:color w:val="FFFFFF"/>
                <w:sz w:val="20"/>
                <w:lang w:eastAsia="en-AU"/>
              </w:rPr>
              <w:t>estimate</w:t>
            </w:r>
          </w:p>
        </w:tc>
        <w:tc>
          <w:tcPr>
            <w:tcW w:w="879" w:type="dxa"/>
            <w:tcBorders>
              <w:top w:val="nil"/>
              <w:left w:val="nil"/>
              <w:right w:val="nil"/>
            </w:tcBorders>
            <w:shd w:val="solid" w:color="000000" w:fill="auto"/>
          </w:tcPr>
          <w:p w:rsidR="00965D85" w:rsidRPr="00E22AD9" w:rsidRDefault="00965D85" w:rsidP="008B46DF">
            <w:pPr>
              <w:pStyle w:val="million"/>
              <w:jc w:val="right"/>
              <w:rPr>
                <w:rFonts w:eastAsiaTheme="minorEastAsia"/>
                <w:iCs/>
                <w:color w:val="FFFFFF"/>
                <w:sz w:val="20"/>
                <w:lang w:eastAsia="en-AU"/>
              </w:rPr>
            </w:pPr>
            <w:r w:rsidRPr="00E22AD9">
              <w:rPr>
                <w:rFonts w:eastAsiaTheme="minorEastAsia"/>
                <w:iCs/>
                <w:color w:val="FFFFFF"/>
                <w:sz w:val="20"/>
                <w:lang w:eastAsia="en-AU"/>
              </w:rPr>
              <w:t>2017</w:t>
            </w:r>
            <w:r>
              <w:rPr>
                <w:rFonts w:eastAsiaTheme="minorEastAsia"/>
                <w:iCs/>
                <w:color w:val="FFFFFF"/>
                <w:sz w:val="20"/>
                <w:lang w:eastAsia="en-AU"/>
              </w:rPr>
              <w:noBreakHyphen/>
            </w:r>
            <w:r w:rsidRPr="00E22AD9">
              <w:rPr>
                <w:rFonts w:eastAsiaTheme="minorEastAsia"/>
                <w:iCs/>
                <w:color w:val="FFFFFF"/>
                <w:sz w:val="20"/>
                <w:lang w:eastAsia="en-AU"/>
              </w:rPr>
              <w:t>18</w:t>
            </w:r>
          </w:p>
          <w:p w:rsidR="00965D85" w:rsidRPr="00E22AD9" w:rsidRDefault="00965D85" w:rsidP="008B46DF">
            <w:pPr>
              <w:autoSpaceDE w:val="0"/>
              <w:autoSpaceDN w:val="0"/>
              <w:adjustRightInd w:val="0"/>
              <w:spacing w:after="0"/>
              <w:jc w:val="right"/>
              <w:rPr>
                <w:rFonts w:eastAsiaTheme="minorEastAsia"/>
                <w:iCs/>
                <w:color w:val="FFFFFF"/>
                <w:sz w:val="20"/>
                <w:lang w:eastAsia="en-AU"/>
              </w:rPr>
            </w:pPr>
            <w:r w:rsidRPr="00E22AD9">
              <w:rPr>
                <w:rFonts w:ascii="Calibri" w:eastAsiaTheme="minorEastAsia" w:hAnsi="Calibri" w:cs="Calibri"/>
                <w:i/>
                <w:iCs/>
                <w:color w:val="FFFFFF"/>
                <w:sz w:val="20"/>
                <w:lang w:eastAsia="en-AU"/>
              </w:rPr>
              <w:t>estimate</w:t>
            </w:r>
          </w:p>
        </w:tc>
        <w:tc>
          <w:tcPr>
            <w:tcW w:w="879" w:type="dxa"/>
            <w:tcBorders>
              <w:top w:val="nil"/>
              <w:left w:val="nil"/>
              <w:right w:val="nil"/>
            </w:tcBorders>
            <w:shd w:val="solid" w:color="000000" w:fill="auto"/>
          </w:tcPr>
          <w:p w:rsidR="00965D85" w:rsidRPr="00E22AD9" w:rsidRDefault="00965D85" w:rsidP="008B46DF">
            <w:pPr>
              <w:pStyle w:val="million"/>
              <w:jc w:val="right"/>
              <w:rPr>
                <w:rFonts w:eastAsiaTheme="minorEastAsia"/>
                <w:iCs/>
                <w:color w:val="FFFFFF"/>
                <w:sz w:val="20"/>
                <w:lang w:eastAsia="en-AU"/>
              </w:rPr>
            </w:pPr>
            <w:r w:rsidRPr="00E22AD9">
              <w:rPr>
                <w:rFonts w:eastAsiaTheme="minorEastAsia"/>
                <w:iCs/>
                <w:color w:val="FFFFFF"/>
                <w:sz w:val="20"/>
                <w:lang w:eastAsia="en-AU"/>
              </w:rPr>
              <w:t>2018</w:t>
            </w:r>
            <w:r>
              <w:rPr>
                <w:rFonts w:eastAsiaTheme="minorEastAsia"/>
                <w:iCs/>
                <w:color w:val="FFFFFF"/>
                <w:sz w:val="20"/>
                <w:lang w:eastAsia="en-AU"/>
              </w:rPr>
              <w:noBreakHyphen/>
            </w:r>
            <w:r w:rsidRPr="00E22AD9">
              <w:rPr>
                <w:rFonts w:eastAsiaTheme="minorEastAsia"/>
                <w:iCs/>
                <w:color w:val="FFFFFF"/>
                <w:sz w:val="20"/>
                <w:lang w:eastAsia="en-AU"/>
              </w:rPr>
              <w:t>19</w:t>
            </w:r>
          </w:p>
          <w:p w:rsidR="00965D85" w:rsidRPr="00E22AD9" w:rsidRDefault="00965D85" w:rsidP="008B46DF">
            <w:pPr>
              <w:autoSpaceDE w:val="0"/>
              <w:autoSpaceDN w:val="0"/>
              <w:adjustRightInd w:val="0"/>
              <w:spacing w:after="0"/>
              <w:jc w:val="right"/>
              <w:rPr>
                <w:rFonts w:eastAsiaTheme="minorEastAsia"/>
                <w:iCs/>
                <w:color w:val="FFFFFF"/>
                <w:sz w:val="20"/>
                <w:lang w:eastAsia="en-AU"/>
              </w:rPr>
            </w:pPr>
            <w:r w:rsidRPr="00E22AD9">
              <w:rPr>
                <w:rFonts w:ascii="Calibri" w:eastAsiaTheme="minorEastAsia" w:hAnsi="Calibri" w:cs="Calibri"/>
                <w:i/>
                <w:iCs/>
                <w:color w:val="FFFFFF"/>
                <w:sz w:val="20"/>
                <w:lang w:eastAsia="en-AU"/>
              </w:rPr>
              <w:t>estimate</w:t>
            </w:r>
          </w:p>
        </w:tc>
      </w:tr>
      <w:tr w:rsidR="00965D85" w:rsidRPr="00E22AD9" w:rsidTr="008B46DF">
        <w:tc>
          <w:tcPr>
            <w:tcW w:w="3402" w:type="dxa"/>
            <w:tcBorders>
              <w:top w:val="nil"/>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Interest on long</w:t>
            </w:r>
            <w:r>
              <w:rPr>
                <w:rFonts w:ascii="Calibri" w:eastAsiaTheme="minorEastAsia" w:hAnsi="Calibri" w:cs="Calibri"/>
                <w:color w:val="000000"/>
                <w:sz w:val="20"/>
                <w:lang w:eastAsia="en-AU"/>
              </w:rPr>
              <w:noBreakHyphen/>
            </w:r>
            <w:r w:rsidRPr="00E22AD9">
              <w:rPr>
                <w:rFonts w:ascii="Calibri" w:eastAsiaTheme="minorEastAsia" w:hAnsi="Calibri" w:cs="Calibri"/>
                <w:color w:val="000000"/>
                <w:sz w:val="20"/>
                <w:lang w:eastAsia="en-AU"/>
              </w:rPr>
              <w:t>term interest</w:t>
            </w:r>
            <w:r>
              <w:rPr>
                <w:rFonts w:ascii="Calibri" w:eastAsiaTheme="minorEastAsia" w:hAnsi="Calibri" w:cs="Calibri"/>
                <w:color w:val="000000"/>
                <w:sz w:val="20"/>
                <w:lang w:eastAsia="en-AU"/>
              </w:rPr>
              <w:noBreakHyphen/>
            </w:r>
            <w:r w:rsidRPr="00E22AD9">
              <w:rPr>
                <w:rFonts w:ascii="Calibri" w:eastAsiaTheme="minorEastAsia" w:hAnsi="Calibri" w:cs="Calibri"/>
                <w:color w:val="000000"/>
                <w:sz w:val="20"/>
                <w:lang w:eastAsia="en-AU"/>
              </w:rPr>
              <w:t>bearing liabilities</w:t>
            </w:r>
          </w:p>
        </w:tc>
        <w:tc>
          <w:tcPr>
            <w:tcW w:w="879"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1 239.6</w:t>
            </w:r>
          </w:p>
        </w:tc>
        <w:tc>
          <w:tcPr>
            <w:tcW w:w="879"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1 278.0</w:t>
            </w:r>
          </w:p>
        </w:tc>
        <w:tc>
          <w:tcPr>
            <w:tcW w:w="879"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1 178.2</w:t>
            </w:r>
          </w:p>
        </w:tc>
        <w:tc>
          <w:tcPr>
            <w:tcW w:w="879"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1 178.9</w:t>
            </w:r>
          </w:p>
        </w:tc>
        <w:tc>
          <w:tcPr>
            <w:tcW w:w="879"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1 166.2</w:t>
            </w:r>
          </w:p>
        </w:tc>
      </w:tr>
      <w:tr w:rsidR="00965D85" w:rsidRPr="00E22AD9" w:rsidTr="008B46DF">
        <w:tc>
          <w:tcPr>
            <w:tcW w:w="3402" w:type="dxa"/>
            <w:tcBorders>
              <w:top w:val="nil"/>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Interest on short</w:t>
            </w:r>
            <w:r>
              <w:rPr>
                <w:rFonts w:ascii="Calibri" w:eastAsiaTheme="minorEastAsia" w:hAnsi="Calibri" w:cs="Calibri"/>
                <w:color w:val="000000"/>
                <w:sz w:val="20"/>
                <w:lang w:eastAsia="en-AU"/>
              </w:rPr>
              <w:noBreakHyphen/>
            </w:r>
            <w:r w:rsidRPr="00E22AD9">
              <w:rPr>
                <w:rFonts w:ascii="Calibri" w:eastAsiaTheme="minorEastAsia" w:hAnsi="Calibri" w:cs="Calibri"/>
                <w:color w:val="000000"/>
                <w:sz w:val="20"/>
                <w:lang w:eastAsia="en-AU"/>
              </w:rPr>
              <w:t>term interest</w:t>
            </w:r>
            <w:r>
              <w:rPr>
                <w:rFonts w:ascii="Calibri" w:eastAsiaTheme="minorEastAsia" w:hAnsi="Calibri" w:cs="Calibri"/>
                <w:color w:val="000000"/>
                <w:sz w:val="20"/>
                <w:lang w:eastAsia="en-AU"/>
              </w:rPr>
              <w:noBreakHyphen/>
            </w:r>
            <w:r w:rsidRPr="00E22AD9">
              <w:rPr>
                <w:rFonts w:ascii="Calibri" w:eastAsiaTheme="minorEastAsia" w:hAnsi="Calibri" w:cs="Calibri"/>
                <w:color w:val="000000"/>
                <w:sz w:val="20"/>
                <w:lang w:eastAsia="en-AU"/>
              </w:rPr>
              <w:t>bearing liabilities</w:t>
            </w:r>
          </w:p>
        </w:tc>
        <w:tc>
          <w:tcPr>
            <w:tcW w:w="879"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48.2</w:t>
            </w:r>
          </w:p>
        </w:tc>
        <w:tc>
          <w:tcPr>
            <w:tcW w:w="879"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48.2</w:t>
            </w:r>
          </w:p>
        </w:tc>
        <w:tc>
          <w:tcPr>
            <w:tcW w:w="879"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47.3</w:t>
            </w:r>
          </w:p>
        </w:tc>
        <w:tc>
          <w:tcPr>
            <w:tcW w:w="879"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44.2</w:t>
            </w:r>
          </w:p>
        </w:tc>
        <w:tc>
          <w:tcPr>
            <w:tcW w:w="879"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44.0</w:t>
            </w:r>
          </w:p>
        </w:tc>
      </w:tr>
      <w:tr w:rsidR="00965D85" w:rsidRPr="00E22AD9" w:rsidTr="008B46DF">
        <w:tc>
          <w:tcPr>
            <w:tcW w:w="3402" w:type="dxa"/>
            <w:tcBorders>
              <w:top w:val="nil"/>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Finance charges on finance leases</w:t>
            </w:r>
          </w:p>
        </w:tc>
        <w:tc>
          <w:tcPr>
            <w:tcW w:w="879"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770.3</w:t>
            </w:r>
          </w:p>
        </w:tc>
        <w:tc>
          <w:tcPr>
            <w:tcW w:w="879"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767.2</w:t>
            </w:r>
          </w:p>
        </w:tc>
        <w:tc>
          <w:tcPr>
            <w:tcW w:w="879"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845.9</w:t>
            </w:r>
          </w:p>
        </w:tc>
        <w:tc>
          <w:tcPr>
            <w:tcW w:w="879"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907.2</w:t>
            </w:r>
          </w:p>
        </w:tc>
        <w:tc>
          <w:tcPr>
            <w:tcW w:w="879"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912.5</w:t>
            </w:r>
          </w:p>
        </w:tc>
      </w:tr>
      <w:tr w:rsidR="00965D85" w:rsidRPr="00E22AD9" w:rsidTr="008B46DF">
        <w:tc>
          <w:tcPr>
            <w:tcW w:w="3402"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Discount interest on payables</w:t>
            </w:r>
          </w:p>
        </w:tc>
        <w:tc>
          <w:tcPr>
            <w:tcW w:w="879"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38.0</w:t>
            </w:r>
          </w:p>
        </w:tc>
        <w:tc>
          <w:tcPr>
            <w:tcW w:w="879"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38.0</w:t>
            </w:r>
          </w:p>
        </w:tc>
        <w:tc>
          <w:tcPr>
            <w:tcW w:w="879"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36.8</w:t>
            </w:r>
          </w:p>
        </w:tc>
        <w:tc>
          <w:tcPr>
            <w:tcW w:w="879"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36.8</w:t>
            </w:r>
          </w:p>
        </w:tc>
        <w:tc>
          <w:tcPr>
            <w:tcW w:w="879"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36.8</w:t>
            </w:r>
          </w:p>
        </w:tc>
      </w:tr>
      <w:tr w:rsidR="00965D85" w:rsidRPr="00E22AD9" w:rsidTr="008B46DF">
        <w:tc>
          <w:tcPr>
            <w:tcW w:w="3402" w:type="dxa"/>
            <w:tcBorders>
              <w:top w:val="single" w:sz="6" w:space="0" w:color="000000"/>
              <w:left w:val="nil"/>
              <w:bottom w:val="single" w:sz="12" w:space="0" w:color="000000"/>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Total interest expense</w:t>
            </w:r>
          </w:p>
        </w:tc>
        <w:tc>
          <w:tcPr>
            <w:tcW w:w="879" w:type="dxa"/>
            <w:tcBorders>
              <w:top w:val="single" w:sz="6" w:space="0" w:color="000000"/>
              <w:left w:val="nil"/>
              <w:bottom w:val="single" w:sz="12"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2 096.1</w:t>
            </w:r>
          </w:p>
        </w:tc>
        <w:tc>
          <w:tcPr>
            <w:tcW w:w="879" w:type="dxa"/>
            <w:tcBorders>
              <w:top w:val="single" w:sz="6" w:space="0" w:color="000000"/>
              <w:left w:val="nil"/>
              <w:bottom w:val="single" w:sz="12"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2 131.5</w:t>
            </w:r>
          </w:p>
        </w:tc>
        <w:tc>
          <w:tcPr>
            <w:tcW w:w="879" w:type="dxa"/>
            <w:tcBorders>
              <w:top w:val="single" w:sz="6" w:space="0" w:color="000000"/>
              <w:left w:val="nil"/>
              <w:bottom w:val="single" w:sz="12"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2 108.3</w:t>
            </w:r>
          </w:p>
        </w:tc>
        <w:tc>
          <w:tcPr>
            <w:tcW w:w="879" w:type="dxa"/>
            <w:tcBorders>
              <w:top w:val="single" w:sz="6" w:space="0" w:color="000000"/>
              <w:left w:val="nil"/>
              <w:bottom w:val="single" w:sz="12"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2 167.2</w:t>
            </w:r>
          </w:p>
        </w:tc>
        <w:tc>
          <w:tcPr>
            <w:tcW w:w="879" w:type="dxa"/>
            <w:tcBorders>
              <w:top w:val="single" w:sz="6" w:space="0" w:color="000000"/>
              <w:left w:val="nil"/>
              <w:bottom w:val="single" w:sz="12"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2 159.5</w:t>
            </w:r>
          </w:p>
        </w:tc>
      </w:tr>
    </w:tbl>
    <w:p w:rsidR="00965D85" w:rsidRDefault="00965D85" w:rsidP="008B46DF">
      <w:pPr>
        <w:rPr>
          <w:lang w:eastAsia="en-AU"/>
        </w:rPr>
      </w:pPr>
    </w:p>
    <w:p w:rsidR="00965D85" w:rsidRDefault="00965D85" w:rsidP="008B46DF">
      <w:pPr>
        <w:rPr>
          <w:lang w:eastAsia="en-AU"/>
        </w:rPr>
      </w:pPr>
    </w:p>
    <w:p w:rsidR="00965D85" w:rsidRDefault="00965D85" w:rsidP="008B46DF">
      <w:pPr>
        <w:pStyle w:val="Heading2Notes"/>
        <w:rPr>
          <w:rFonts w:ascii="Times New Roman" w:hAnsi="Times New Roman"/>
          <w:sz w:val="20"/>
          <w:lang w:eastAsia="en-AU"/>
        </w:rPr>
      </w:pPr>
      <w:bookmarkStart w:id="58" w:name="_Toc436138916"/>
      <w:r w:rsidRPr="003878BE">
        <w:rPr>
          <w:lang w:eastAsia="en-AU"/>
        </w:rPr>
        <w:t xml:space="preserve">Note 10: </w:t>
      </w:r>
      <w:r w:rsidRPr="003878BE">
        <w:rPr>
          <w:lang w:eastAsia="en-AU"/>
        </w:rPr>
        <w:tab/>
        <w:t>Grant expense</w:t>
      </w:r>
      <w:bookmarkEnd w:id="58"/>
    </w:p>
    <w:tbl>
      <w:tblPr>
        <w:tblW w:w="7797" w:type="dxa"/>
        <w:tblInd w:w="28" w:type="dxa"/>
        <w:tblLayout w:type="fixed"/>
        <w:tblCellMar>
          <w:left w:w="28" w:type="dxa"/>
          <w:right w:w="28" w:type="dxa"/>
        </w:tblCellMar>
        <w:tblLook w:val="0000" w:firstRow="0" w:lastRow="0" w:firstColumn="0" w:lastColumn="0" w:noHBand="0" w:noVBand="0"/>
      </w:tblPr>
      <w:tblGrid>
        <w:gridCol w:w="3402"/>
        <w:gridCol w:w="879"/>
        <w:gridCol w:w="879"/>
        <w:gridCol w:w="879"/>
        <w:gridCol w:w="879"/>
        <w:gridCol w:w="879"/>
      </w:tblGrid>
      <w:tr w:rsidR="00965D85" w:rsidRPr="00E22AD9" w:rsidTr="008B46DF">
        <w:trPr>
          <w:tblHeader/>
        </w:trPr>
        <w:tc>
          <w:tcPr>
            <w:tcW w:w="7797" w:type="dxa"/>
            <w:gridSpan w:val="6"/>
            <w:tcBorders>
              <w:top w:val="nil"/>
              <w:left w:val="nil"/>
              <w:bottom w:val="nil"/>
              <w:right w:val="nil"/>
            </w:tcBorders>
          </w:tcPr>
          <w:p w:rsidR="00965D85" w:rsidRPr="00E22AD9" w:rsidRDefault="00965D85" w:rsidP="008B46DF">
            <w:pPr>
              <w:pStyle w:val="million"/>
              <w:rPr>
                <w:rFonts w:eastAsiaTheme="minorEastAsia" w:cs="Calibri"/>
                <w:iCs/>
                <w:color w:val="000000"/>
                <w:sz w:val="20"/>
                <w:lang w:eastAsia="en-AU"/>
              </w:rPr>
            </w:pPr>
            <w:r w:rsidRPr="00E22AD9">
              <w:rPr>
                <w:rFonts w:eastAsiaTheme="minorEastAsia"/>
                <w:lang w:eastAsia="en-AU"/>
              </w:rPr>
              <w:t>($ million)</w:t>
            </w:r>
          </w:p>
        </w:tc>
      </w:tr>
      <w:tr w:rsidR="00965D85" w:rsidRPr="00E22AD9" w:rsidTr="008B46DF">
        <w:trPr>
          <w:trHeight w:val="488"/>
          <w:tblHeader/>
        </w:trPr>
        <w:tc>
          <w:tcPr>
            <w:tcW w:w="3402" w:type="dxa"/>
            <w:tcBorders>
              <w:top w:val="nil"/>
              <w:left w:val="nil"/>
              <w:right w:val="nil"/>
            </w:tcBorders>
            <w:shd w:val="solid" w:color="000000" w:fill="auto"/>
          </w:tcPr>
          <w:p w:rsidR="00965D85" w:rsidRPr="00E22AD9" w:rsidRDefault="00965D85" w:rsidP="008B46DF">
            <w:pPr>
              <w:pStyle w:val="million"/>
              <w:rPr>
                <w:rFonts w:eastAsiaTheme="minorEastAsia"/>
                <w:sz w:val="20"/>
                <w:lang w:eastAsia="en-AU"/>
              </w:rPr>
            </w:pPr>
            <w:r w:rsidRPr="00E22AD9">
              <w:rPr>
                <w:rFonts w:eastAsiaTheme="minorEastAsia"/>
                <w:sz w:val="20"/>
                <w:lang w:eastAsia="en-AU"/>
              </w:rPr>
              <w:t xml:space="preserve"> </w:t>
            </w:r>
          </w:p>
          <w:p w:rsidR="00965D85" w:rsidRPr="00E22AD9" w:rsidRDefault="00965D85" w:rsidP="008B46DF">
            <w:pPr>
              <w:autoSpaceDE w:val="0"/>
              <w:autoSpaceDN w:val="0"/>
              <w:adjustRightInd w:val="0"/>
              <w:spacing w:after="0"/>
              <w:rPr>
                <w:rFonts w:eastAsiaTheme="minorEastAsia"/>
                <w:sz w:val="20"/>
                <w:lang w:eastAsia="en-AU"/>
              </w:rPr>
            </w:pPr>
            <w:r w:rsidRPr="00E22AD9">
              <w:rPr>
                <w:rFonts w:ascii="Calibri" w:eastAsiaTheme="minorEastAsia" w:hAnsi="Calibri" w:cs="Calibri"/>
                <w:color w:val="000000"/>
                <w:sz w:val="20"/>
                <w:lang w:eastAsia="en-AU"/>
              </w:rPr>
              <w:t xml:space="preserve"> </w:t>
            </w:r>
          </w:p>
        </w:tc>
        <w:tc>
          <w:tcPr>
            <w:tcW w:w="879" w:type="dxa"/>
            <w:tcBorders>
              <w:top w:val="nil"/>
              <w:left w:val="nil"/>
              <w:right w:val="nil"/>
            </w:tcBorders>
            <w:shd w:val="solid" w:color="000000" w:fill="auto"/>
          </w:tcPr>
          <w:p w:rsidR="00965D85" w:rsidRPr="00E22AD9" w:rsidRDefault="00965D85" w:rsidP="008B46DF">
            <w:pPr>
              <w:pStyle w:val="million"/>
              <w:jc w:val="right"/>
              <w:rPr>
                <w:rFonts w:eastAsiaTheme="minorEastAsia"/>
                <w:iCs/>
                <w:color w:val="FFFFFF"/>
                <w:sz w:val="20"/>
                <w:lang w:eastAsia="en-AU"/>
              </w:rPr>
            </w:pPr>
            <w:r w:rsidRPr="00E22AD9">
              <w:rPr>
                <w:rFonts w:eastAsiaTheme="minorEastAsia"/>
                <w:iCs/>
                <w:color w:val="FFFFFF"/>
                <w:sz w:val="20"/>
                <w:lang w:eastAsia="en-AU"/>
              </w:rPr>
              <w:t>2015</w:t>
            </w:r>
            <w:r>
              <w:rPr>
                <w:rFonts w:eastAsiaTheme="minorEastAsia"/>
                <w:iCs/>
                <w:color w:val="FFFFFF"/>
                <w:sz w:val="20"/>
                <w:lang w:eastAsia="en-AU"/>
              </w:rPr>
              <w:noBreakHyphen/>
            </w:r>
            <w:r w:rsidRPr="00E22AD9">
              <w:rPr>
                <w:rFonts w:eastAsiaTheme="minorEastAsia"/>
                <w:iCs/>
                <w:color w:val="FFFFFF"/>
                <w:sz w:val="20"/>
                <w:lang w:eastAsia="en-AU"/>
              </w:rPr>
              <w:t>16</w:t>
            </w:r>
          </w:p>
          <w:p w:rsidR="00965D85" w:rsidRPr="00E22AD9" w:rsidRDefault="00965D85" w:rsidP="008B46DF">
            <w:pPr>
              <w:autoSpaceDE w:val="0"/>
              <w:autoSpaceDN w:val="0"/>
              <w:adjustRightInd w:val="0"/>
              <w:spacing w:after="0"/>
              <w:jc w:val="right"/>
              <w:rPr>
                <w:rFonts w:eastAsiaTheme="minorEastAsia"/>
                <w:iCs/>
                <w:color w:val="FFFFFF"/>
                <w:sz w:val="20"/>
                <w:lang w:eastAsia="en-AU"/>
              </w:rPr>
            </w:pPr>
            <w:r w:rsidRPr="00E22AD9">
              <w:rPr>
                <w:rFonts w:ascii="Calibri" w:eastAsiaTheme="minorEastAsia" w:hAnsi="Calibri" w:cs="Calibri"/>
                <w:i/>
                <w:iCs/>
                <w:color w:val="FFFFFF"/>
                <w:sz w:val="20"/>
                <w:lang w:eastAsia="en-AU"/>
              </w:rPr>
              <w:t>budget</w:t>
            </w:r>
          </w:p>
        </w:tc>
        <w:tc>
          <w:tcPr>
            <w:tcW w:w="879" w:type="dxa"/>
            <w:tcBorders>
              <w:top w:val="nil"/>
              <w:left w:val="nil"/>
              <w:right w:val="nil"/>
            </w:tcBorders>
            <w:shd w:val="solid" w:color="000000" w:fill="auto"/>
          </w:tcPr>
          <w:p w:rsidR="00965D85" w:rsidRPr="00E22AD9" w:rsidRDefault="00965D85" w:rsidP="008B46DF">
            <w:pPr>
              <w:pStyle w:val="million"/>
              <w:jc w:val="right"/>
              <w:rPr>
                <w:rFonts w:eastAsiaTheme="minorEastAsia"/>
                <w:iCs/>
                <w:color w:val="FFFFFF"/>
                <w:sz w:val="20"/>
                <w:lang w:eastAsia="en-AU"/>
              </w:rPr>
            </w:pPr>
            <w:r w:rsidRPr="00E22AD9">
              <w:rPr>
                <w:rFonts w:eastAsiaTheme="minorEastAsia"/>
                <w:iCs/>
                <w:color w:val="FFFFFF"/>
                <w:sz w:val="20"/>
                <w:lang w:eastAsia="en-AU"/>
              </w:rPr>
              <w:t>2015</w:t>
            </w:r>
            <w:r>
              <w:rPr>
                <w:rFonts w:eastAsiaTheme="minorEastAsia"/>
                <w:iCs/>
                <w:color w:val="FFFFFF"/>
                <w:sz w:val="20"/>
                <w:lang w:eastAsia="en-AU"/>
              </w:rPr>
              <w:noBreakHyphen/>
            </w:r>
            <w:r w:rsidRPr="00E22AD9">
              <w:rPr>
                <w:rFonts w:eastAsiaTheme="minorEastAsia"/>
                <w:iCs/>
                <w:color w:val="FFFFFF"/>
                <w:sz w:val="20"/>
                <w:lang w:eastAsia="en-AU"/>
              </w:rPr>
              <w:t>16</w:t>
            </w:r>
          </w:p>
          <w:p w:rsidR="00965D85" w:rsidRPr="00E22AD9" w:rsidRDefault="00965D85" w:rsidP="008B46DF">
            <w:pPr>
              <w:autoSpaceDE w:val="0"/>
              <w:autoSpaceDN w:val="0"/>
              <w:adjustRightInd w:val="0"/>
              <w:spacing w:after="0"/>
              <w:jc w:val="right"/>
              <w:rPr>
                <w:rFonts w:eastAsiaTheme="minorEastAsia"/>
                <w:iCs/>
                <w:color w:val="FFFFFF"/>
                <w:sz w:val="20"/>
                <w:lang w:eastAsia="en-AU"/>
              </w:rPr>
            </w:pPr>
            <w:r w:rsidRPr="00E22AD9">
              <w:rPr>
                <w:rFonts w:ascii="Calibri" w:eastAsiaTheme="minorEastAsia" w:hAnsi="Calibri" w:cs="Calibri"/>
                <w:i/>
                <w:iCs/>
                <w:color w:val="FFFFFF"/>
                <w:sz w:val="20"/>
                <w:lang w:eastAsia="en-AU"/>
              </w:rPr>
              <w:t>revised</w:t>
            </w:r>
          </w:p>
        </w:tc>
        <w:tc>
          <w:tcPr>
            <w:tcW w:w="879" w:type="dxa"/>
            <w:tcBorders>
              <w:top w:val="nil"/>
              <w:left w:val="nil"/>
              <w:right w:val="nil"/>
            </w:tcBorders>
            <w:shd w:val="solid" w:color="000000" w:fill="auto"/>
          </w:tcPr>
          <w:p w:rsidR="00965D85" w:rsidRPr="00E22AD9" w:rsidRDefault="00965D85" w:rsidP="008B46DF">
            <w:pPr>
              <w:pStyle w:val="million"/>
              <w:jc w:val="right"/>
              <w:rPr>
                <w:rFonts w:eastAsiaTheme="minorEastAsia"/>
                <w:iCs/>
                <w:color w:val="FFFFFF"/>
                <w:sz w:val="20"/>
                <w:lang w:eastAsia="en-AU"/>
              </w:rPr>
            </w:pPr>
            <w:r w:rsidRPr="00E22AD9">
              <w:rPr>
                <w:rFonts w:eastAsiaTheme="minorEastAsia"/>
                <w:iCs/>
                <w:color w:val="FFFFFF"/>
                <w:sz w:val="20"/>
                <w:lang w:eastAsia="en-AU"/>
              </w:rPr>
              <w:t>2016</w:t>
            </w:r>
            <w:r>
              <w:rPr>
                <w:rFonts w:eastAsiaTheme="minorEastAsia"/>
                <w:iCs/>
                <w:color w:val="FFFFFF"/>
                <w:sz w:val="20"/>
                <w:lang w:eastAsia="en-AU"/>
              </w:rPr>
              <w:noBreakHyphen/>
            </w:r>
            <w:r w:rsidRPr="00E22AD9">
              <w:rPr>
                <w:rFonts w:eastAsiaTheme="minorEastAsia"/>
                <w:iCs/>
                <w:color w:val="FFFFFF"/>
                <w:sz w:val="20"/>
                <w:lang w:eastAsia="en-AU"/>
              </w:rPr>
              <w:t>17</w:t>
            </w:r>
          </w:p>
          <w:p w:rsidR="00965D85" w:rsidRPr="00E22AD9" w:rsidRDefault="00965D85" w:rsidP="008B46DF">
            <w:pPr>
              <w:autoSpaceDE w:val="0"/>
              <w:autoSpaceDN w:val="0"/>
              <w:adjustRightInd w:val="0"/>
              <w:spacing w:after="0"/>
              <w:jc w:val="right"/>
              <w:rPr>
                <w:rFonts w:eastAsiaTheme="minorEastAsia"/>
                <w:iCs/>
                <w:color w:val="FFFFFF"/>
                <w:sz w:val="20"/>
                <w:lang w:eastAsia="en-AU"/>
              </w:rPr>
            </w:pPr>
            <w:r w:rsidRPr="00E22AD9">
              <w:rPr>
                <w:rFonts w:ascii="Calibri" w:eastAsiaTheme="minorEastAsia" w:hAnsi="Calibri" w:cs="Calibri"/>
                <w:i/>
                <w:iCs/>
                <w:color w:val="FFFFFF"/>
                <w:sz w:val="20"/>
                <w:lang w:eastAsia="en-AU"/>
              </w:rPr>
              <w:t>estimate</w:t>
            </w:r>
          </w:p>
        </w:tc>
        <w:tc>
          <w:tcPr>
            <w:tcW w:w="879" w:type="dxa"/>
            <w:tcBorders>
              <w:top w:val="nil"/>
              <w:left w:val="nil"/>
              <w:right w:val="nil"/>
            </w:tcBorders>
            <w:shd w:val="solid" w:color="000000" w:fill="auto"/>
          </w:tcPr>
          <w:p w:rsidR="00965D85" w:rsidRPr="00E22AD9" w:rsidRDefault="00965D85" w:rsidP="008B46DF">
            <w:pPr>
              <w:pStyle w:val="million"/>
              <w:jc w:val="right"/>
              <w:rPr>
                <w:rFonts w:eastAsiaTheme="minorEastAsia"/>
                <w:iCs/>
                <w:color w:val="FFFFFF"/>
                <w:sz w:val="20"/>
                <w:lang w:eastAsia="en-AU"/>
              </w:rPr>
            </w:pPr>
            <w:r w:rsidRPr="00E22AD9">
              <w:rPr>
                <w:rFonts w:eastAsiaTheme="minorEastAsia"/>
                <w:iCs/>
                <w:color w:val="FFFFFF"/>
                <w:sz w:val="20"/>
                <w:lang w:eastAsia="en-AU"/>
              </w:rPr>
              <w:t>2017</w:t>
            </w:r>
            <w:r>
              <w:rPr>
                <w:rFonts w:eastAsiaTheme="minorEastAsia"/>
                <w:iCs/>
                <w:color w:val="FFFFFF"/>
                <w:sz w:val="20"/>
                <w:lang w:eastAsia="en-AU"/>
              </w:rPr>
              <w:noBreakHyphen/>
            </w:r>
            <w:r w:rsidRPr="00E22AD9">
              <w:rPr>
                <w:rFonts w:eastAsiaTheme="minorEastAsia"/>
                <w:iCs/>
                <w:color w:val="FFFFFF"/>
                <w:sz w:val="20"/>
                <w:lang w:eastAsia="en-AU"/>
              </w:rPr>
              <w:t>18</w:t>
            </w:r>
          </w:p>
          <w:p w:rsidR="00965D85" w:rsidRPr="00E22AD9" w:rsidRDefault="00965D85" w:rsidP="008B46DF">
            <w:pPr>
              <w:autoSpaceDE w:val="0"/>
              <w:autoSpaceDN w:val="0"/>
              <w:adjustRightInd w:val="0"/>
              <w:spacing w:after="0"/>
              <w:jc w:val="right"/>
              <w:rPr>
                <w:rFonts w:eastAsiaTheme="minorEastAsia"/>
                <w:iCs/>
                <w:color w:val="FFFFFF"/>
                <w:sz w:val="20"/>
                <w:lang w:eastAsia="en-AU"/>
              </w:rPr>
            </w:pPr>
            <w:r w:rsidRPr="00E22AD9">
              <w:rPr>
                <w:rFonts w:ascii="Calibri" w:eastAsiaTheme="minorEastAsia" w:hAnsi="Calibri" w:cs="Calibri"/>
                <w:i/>
                <w:iCs/>
                <w:color w:val="FFFFFF"/>
                <w:sz w:val="20"/>
                <w:lang w:eastAsia="en-AU"/>
              </w:rPr>
              <w:t>estimate</w:t>
            </w:r>
          </w:p>
        </w:tc>
        <w:tc>
          <w:tcPr>
            <w:tcW w:w="879" w:type="dxa"/>
            <w:tcBorders>
              <w:top w:val="nil"/>
              <w:left w:val="nil"/>
              <w:right w:val="nil"/>
            </w:tcBorders>
            <w:shd w:val="solid" w:color="000000" w:fill="auto"/>
          </w:tcPr>
          <w:p w:rsidR="00965D85" w:rsidRPr="00E22AD9" w:rsidRDefault="00965D85" w:rsidP="008B46DF">
            <w:pPr>
              <w:pStyle w:val="million"/>
              <w:jc w:val="right"/>
              <w:rPr>
                <w:rFonts w:eastAsiaTheme="minorEastAsia"/>
                <w:iCs/>
                <w:color w:val="FFFFFF"/>
                <w:sz w:val="20"/>
                <w:lang w:eastAsia="en-AU"/>
              </w:rPr>
            </w:pPr>
            <w:r w:rsidRPr="00E22AD9">
              <w:rPr>
                <w:rFonts w:eastAsiaTheme="minorEastAsia"/>
                <w:iCs/>
                <w:color w:val="FFFFFF"/>
                <w:sz w:val="20"/>
                <w:lang w:eastAsia="en-AU"/>
              </w:rPr>
              <w:t>2018</w:t>
            </w:r>
            <w:r>
              <w:rPr>
                <w:rFonts w:eastAsiaTheme="minorEastAsia"/>
                <w:iCs/>
                <w:color w:val="FFFFFF"/>
                <w:sz w:val="20"/>
                <w:lang w:eastAsia="en-AU"/>
              </w:rPr>
              <w:noBreakHyphen/>
            </w:r>
            <w:r w:rsidRPr="00E22AD9">
              <w:rPr>
                <w:rFonts w:eastAsiaTheme="minorEastAsia"/>
                <w:iCs/>
                <w:color w:val="FFFFFF"/>
                <w:sz w:val="20"/>
                <w:lang w:eastAsia="en-AU"/>
              </w:rPr>
              <w:t>19</w:t>
            </w:r>
          </w:p>
          <w:p w:rsidR="00965D85" w:rsidRPr="00E22AD9" w:rsidRDefault="00965D85" w:rsidP="008B46DF">
            <w:pPr>
              <w:autoSpaceDE w:val="0"/>
              <w:autoSpaceDN w:val="0"/>
              <w:adjustRightInd w:val="0"/>
              <w:spacing w:after="0"/>
              <w:jc w:val="right"/>
              <w:rPr>
                <w:rFonts w:eastAsiaTheme="minorEastAsia"/>
                <w:iCs/>
                <w:color w:val="FFFFFF"/>
                <w:sz w:val="20"/>
                <w:lang w:eastAsia="en-AU"/>
              </w:rPr>
            </w:pPr>
            <w:r w:rsidRPr="00E22AD9">
              <w:rPr>
                <w:rFonts w:ascii="Calibri" w:eastAsiaTheme="minorEastAsia" w:hAnsi="Calibri" w:cs="Calibri"/>
                <w:i/>
                <w:iCs/>
                <w:color w:val="FFFFFF"/>
                <w:sz w:val="20"/>
                <w:lang w:eastAsia="en-AU"/>
              </w:rPr>
              <w:t>estimate</w:t>
            </w:r>
          </w:p>
        </w:tc>
      </w:tr>
      <w:tr w:rsidR="00965D85" w:rsidRPr="00E22AD9" w:rsidTr="008B46DF">
        <w:tc>
          <w:tcPr>
            <w:tcW w:w="3402" w:type="dxa"/>
            <w:tcBorders>
              <w:top w:val="nil"/>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Current grant expense</w:t>
            </w:r>
          </w:p>
        </w:tc>
        <w:tc>
          <w:tcPr>
            <w:tcW w:w="879"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879"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879"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879"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879"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r>
      <w:tr w:rsidR="00965D85" w:rsidRPr="00E22AD9" w:rsidTr="008B46DF">
        <w:tc>
          <w:tcPr>
            <w:tcW w:w="3402" w:type="dxa"/>
            <w:tcBorders>
              <w:top w:val="nil"/>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Commonwealth Government</w:t>
            </w:r>
          </w:p>
        </w:tc>
        <w:tc>
          <w:tcPr>
            <w:tcW w:w="879"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189.7</w:t>
            </w:r>
          </w:p>
        </w:tc>
        <w:tc>
          <w:tcPr>
            <w:tcW w:w="879"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231.2</w:t>
            </w:r>
          </w:p>
        </w:tc>
        <w:tc>
          <w:tcPr>
            <w:tcW w:w="879"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160.7</w:t>
            </w:r>
          </w:p>
        </w:tc>
        <w:tc>
          <w:tcPr>
            <w:tcW w:w="879"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148.9</w:t>
            </w:r>
          </w:p>
        </w:tc>
        <w:tc>
          <w:tcPr>
            <w:tcW w:w="879"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144.7</w:t>
            </w:r>
          </w:p>
        </w:tc>
      </w:tr>
      <w:tr w:rsidR="00965D85" w:rsidRPr="00E22AD9" w:rsidTr="008B46DF">
        <w:tc>
          <w:tcPr>
            <w:tcW w:w="3402" w:type="dxa"/>
            <w:tcBorders>
              <w:top w:val="nil"/>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Local government (including grants for on</w:t>
            </w:r>
            <w:r>
              <w:rPr>
                <w:rFonts w:ascii="Calibri" w:eastAsiaTheme="minorEastAsia" w:hAnsi="Calibri" w:cs="Calibri"/>
                <w:color w:val="000000"/>
                <w:sz w:val="20"/>
                <w:lang w:eastAsia="en-AU"/>
              </w:rPr>
              <w:noBreakHyphen/>
            </w:r>
            <w:r w:rsidRPr="00E22AD9">
              <w:rPr>
                <w:rFonts w:ascii="Calibri" w:eastAsiaTheme="minorEastAsia" w:hAnsi="Calibri" w:cs="Calibri"/>
                <w:color w:val="000000"/>
                <w:sz w:val="20"/>
                <w:lang w:eastAsia="en-AU"/>
              </w:rPr>
              <w:t>passing)</w:t>
            </w:r>
          </w:p>
        </w:tc>
        <w:tc>
          <w:tcPr>
            <w:tcW w:w="879"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858.7</w:t>
            </w:r>
          </w:p>
        </w:tc>
        <w:tc>
          <w:tcPr>
            <w:tcW w:w="879"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626.6</w:t>
            </w:r>
          </w:p>
        </w:tc>
        <w:tc>
          <w:tcPr>
            <w:tcW w:w="879"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785.8</w:t>
            </w:r>
          </w:p>
        </w:tc>
        <w:tc>
          <w:tcPr>
            <w:tcW w:w="879"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769.7</w:t>
            </w:r>
          </w:p>
        </w:tc>
        <w:tc>
          <w:tcPr>
            <w:tcW w:w="879"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789.8</w:t>
            </w:r>
          </w:p>
        </w:tc>
      </w:tr>
      <w:tr w:rsidR="00965D85" w:rsidRPr="00E22AD9" w:rsidTr="008B46DF">
        <w:tc>
          <w:tcPr>
            <w:tcW w:w="3402" w:type="dxa"/>
            <w:tcBorders>
              <w:top w:val="nil"/>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Private sector and not</w:t>
            </w:r>
            <w:r>
              <w:rPr>
                <w:rFonts w:ascii="Calibri" w:eastAsiaTheme="minorEastAsia" w:hAnsi="Calibri" w:cs="Calibri"/>
                <w:color w:val="000000"/>
                <w:sz w:val="20"/>
                <w:lang w:eastAsia="en-AU"/>
              </w:rPr>
              <w:noBreakHyphen/>
            </w:r>
            <w:r w:rsidRPr="00E22AD9">
              <w:rPr>
                <w:rFonts w:ascii="Calibri" w:eastAsiaTheme="minorEastAsia" w:hAnsi="Calibri" w:cs="Calibri"/>
                <w:color w:val="000000"/>
                <w:sz w:val="20"/>
                <w:lang w:eastAsia="en-AU"/>
              </w:rPr>
              <w:t>for</w:t>
            </w:r>
            <w:r>
              <w:rPr>
                <w:rFonts w:ascii="Calibri" w:eastAsiaTheme="minorEastAsia" w:hAnsi="Calibri" w:cs="Calibri"/>
                <w:color w:val="000000"/>
                <w:sz w:val="20"/>
                <w:lang w:eastAsia="en-AU"/>
              </w:rPr>
              <w:noBreakHyphen/>
            </w:r>
            <w:r w:rsidRPr="00E22AD9">
              <w:rPr>
                <w:rFonts w:ascii="Calibri" w:eastAsiaTheme="minorEastAsia" w:hAnsi="Calibri" w:cs="Calibri"/>
                <w:color w:val="000000"/>
                <w:sz w:val="20"/>
                <w:lang w:eastAsia="en-AU"/>
              </w:rPr>
              <w:t>profit for on</w:t>
            </w:r>
            <w:r>
              <w:rPr>
                <w:rFonts w:ascii="Calibri" w:eastAsiaTheme="minorEastAsia" w:hAnsi="Calibri" w:cs="Calibri"/>
                <w:color w:val="000000"/>
                <w:sz w:val="20"/>
                <w:lang w:eastAsia="en-AU"/>
              </w:rPr>
              <w:noBreakHyphen/>
            </w:r>
            <w:r w:rsidRPr="00E22AD9">
              <w:rPr>
                <w:rFonts w:ascii="Calibri" w:eastAsiaTheme="minorEastAsia" w:hAnsi="Calibri" w:cs="Calibri"/>
                <w:color w:val="000000"/>
                <w:sz w:val="20"/>
                <w:lang w:eastAsia="en-AU"/>
              </w:rPr>
              <w:t>passing</w:t>
            </w:r>
          </w:p>
        </w:tc>
        <w:tc>
          <w:tcPr>
            <w:tcW w:w="879"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2 843.0</w:t>
            </w:r>
          </w:p>
        </w:tc>
        <w:tc>
          <w:tcPr>
            <w:tcW w:w="879"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2 834.5</w:t>
            </w:r>
          </w:p>
        </w:tc>
        <w:tc>
          <w:tcPr>
            <w:tcW w:w="879"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3 037.4</w:t>
            </w:r>
          </w:p>
        </w:tc>
        <w:tc>
          <w:tcPr>
            <w:tcW w:w="879"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3 205.6</w:t>
            </w:r>
          </w:p>
        </w:tc>
        <w:tc>
          <w:tcPr>
            <w:tcW w:w="879"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3 350.2</w:t>
            </w:r>
          </w:p>
        </w:tc>
      </w:tr>
      <w:tr w:rsidR="00965D85" w:rsidRPr="00E22AD9" w:rsidTr="008B46DF">
        <w:tc>
          <w:tcPr>
            <w:tcW w:w="3402" w:type="dxa"/>
            <w:tcBorders>
              <w:top w:val="nil"/>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Other private sector and not</w:t>
            </w:r>
            <w:r>
              <w:rPr>
                <w:rFonts w:ascii="Calibri" w:eastAsiaTheme="minorEastAsia" w:hAnsi="Calibri" w:cs="Calibri"/>
                <w:color w:val="000000"/>
                <w:sz w:val="20"/>
                <w:lang w:eastAsia="en-AU"/>
              </w:rPr>
              <w:noBreakHyphen/>
            </w:r>
            <w:r w:rsidRPr="00E22AD9">
              <w:rPr>
                <w:rFonts w:ascii="Calibri" w:eastAsiaTheme="minorEastAsia" w:hAnsi="Calibri" w:cs="Calibri"/>
                <w:color w:val="000000"/>
                <w:sz w:val="20"/>
                <w:lang w:eastAsia="en-AU"/>
              </w:rPr>
              <w:t>for</w:t>
            </w:r>
            <w:r>
              <w:rPr>
                <w:rFonts w:ascii="Calibri" w:eastAsiaTheme="minorEastAsia" w:hAnsi="Calibri" w:cs="Calibri"/>
                <w:color w:val="000000"/>
                <w:sz w:val="20"/>
                <w:lang w:eastAsia="en-AU"/>
              </w:rPr>
              <w:noBreakHyphen/>
            </w:r>
            <w:r w:rsidRPr="00E22AD9">
              <w:rPr>
                <w:rFonts w:ascii="Calibri" w:eastAsiaTheme="minorEastAsia" w:hAnsi="Calibri" w:cs="Calibri"/>
                <w:color w:val="000000"/>
                <w:sz w:val="20"/>
                <w:lang w:eastAsia="en-AU"/>
              </w:rPr>
              <w:t>profit</w:t>
            </w:r>
          </w:p>
        </w:tc>
        <w:tc>
          <w:tcPr>
            <w:tcW w:w="879"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1 872.6</w:t>
            </w:r>
          </w:p>
        </w:tc>
        <w:tc>
          <w:tcPr>
            <w:tcW w:w="879"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1 755.3</w:t>
            </w:r>
          </w:p>
        </w:tc>
        <w:tc>
          <w:tcPr>
            <w:tcW w:w="879"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2 074.9</w:t>
            </w:r>
          </w:p>
        </w:tc>
        <w:tc>
          <w:tcPr>
            <w:tcW w:w="879"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2 244.9</w:t>
            </w:r>
          </w:p>
        </w:tc>
        <w:tc>
          <w:tcPr>
            <w:tcW w:w="879"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2 382.4</w:t>
            </w:r>
          </w:p>
        </w:tc>
      </w:tr>
      <w:tr w:rsidR="00965D85" w:rsidRPr="00E22AD9" w:rsidTr="008B46DF">
        <w:tc>
          <w:tcPr>
            <w:tcW w:w="3402" w:type="dxa"/>
            <w:tcBorders>
              <w:top w:val="nil"/>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Grants within the Victorian Government</w:t>
            </w:r>
          </w:p>
        </w:tc>
        <w:tc>
          <w:tcPr>
            <w:tcW w:w="879"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2 843.4</w:t>
            </w:r>
          </w:p>
        </w:tc>
        <w:tc>
          <w:tcPr>
            <w:tcW w:w="879"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2 911.0</w:t>
            </w:r>
          </w:p>
        </w:tc>
        <w:tc>
          <w:tcPr>
            <w:tcW w:w="879"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2 957.5</w:t>
            </w:r>
          </w:p>
        </w:tc>
        <w:tc>
          <w:tcPr>
            <w:tcW w:w="879"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3 005.2</w:t>
            </w:r>
          </w:p>
        </w:tc>
        <w:tc>
          <w:tcPr>
            <w:tcW w:w="879"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2 957.8</w:t>
            </w:r>
          </w:p>
        </w:tc>
      </w:tr>
      <w:tr w:rsidR="00965D85" w:rsidRPr="00E22AD9" w:rsidTr="008B46DF">
        <w:tc>
          <w:tcPr>
            <w:tcW w:w="3402"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Grants to other state governments</w:t>
            </w:r>
          </w:p>
        </w:tc>
        <w:tc>
          <w:tcPr>
            <w:tcW w:w="879"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11.2</w:t>
            </w:r>
          </w:p>
        </w:tc>
        <w:tc>
          <w:tcPr>
            <w:tcW w:w="879"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11.5</w:t>
            </w:r>
          </w:p>
        </w:tc>
        <w:tc>
          <w:tcPr>
            <w:tcW w:w="879"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11.2</w:t>
            </w:r>
          </w:p>
        </w:tc>
        <w:tc>
          <w:tcPr>
            <w:tcW w:w="879"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11.2</w:t>
            </w:r>
          </w:p>
        </w:tc>
        <w:tc>
          <w:tcPr>
            <w:tcW w:w="879"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11.2</w:t>
            </w:r>
          </w:p>
        </w:tc>
      </w:tr>
      <w:tr w:rsidR="00965D85" w:rsidRPr="00E22AD9" w:rsidTr="008B46DF">
        <w:tc>
          <w:tcPr>
            <w:tcW w:w="3402" w:type="dxa"/>
            <w:tcBorders>
              <w:top w:val="single" w:sz="6" w:space="0" w:color="000000"/>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Total current grant expense</w:t>
            </w:r>
          </w:p>
        </w:tc>
        <w:tc>
          <w:tcPr>
            <w:tcW w:w="879" w:type="dxa"/>
            <w:tcBorders>
              <w:top w:val="single" w:sz="6" w:space="0" w:color="000000"/>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8 618.6</w:t>
            </w:r>
          </w:p>
        </w:tc>
        <w:tc>
          <w:tcPr>
            <w:tcW w:w="879" w:type="dxa"/>
            <w:tcBorders>
              <w:top w:val="single" w:sz="6" w:space="0" w:color="000000"/>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8 370.1</w:t>
            </w:r>
          </w:p>
        </w:tc>
        <w:tc>
          <w:tcPr>
            <w:tcW w:w="879" w:type="dxa"/>
            <w:tcBorders>
              <w:top w:val="single" w:sz="6" w:space="0" w:color="000000"/>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9 027.6</w:t>
            </w:r>
          </w:p>
        </w:tc>
        <w:tc>
          <w:tcPr>
            <w:tcW w:w="879" w:type="dxa"/>
            <w:tcBorders>
              <w:top w:val="single" w:sz="6" w:space="0" w:color="000000"/>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9 385.4</w:t>
            </w:r>
          </w:p>
        </w:tc>
        <w:tc>
          <w:tcPr>
            <w:tcW w:w="879" w:type="dxa"/>
            <w:tcBorders>
              <w:top w:val="single" w:sz="6" w:space="0" w:color="000000"/>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9 636.0</w:t>
            </w:r>
          </w:p>
        </w:tc>
      </w:tr>
      <w:tr w:rsidR="00965D85" w:rsidRPr="00E22AD9" w:rsidTr="008B46DF">
        <w:tc>
          <w:tcPr>
            <w:tcW w:w="3402" w:type="dxa"/>
            <w:tcBorders>
              <w:top w:val="single" w:sz="6" w:space="0" w:color="000000"/>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Capital grant expense</w:t>
            </w:r>
          </w:p>
        </w:tc>
        <w:tc>
          <w:tcPr>
            <w:tcW w:w="879" w:type="dxa"/>
            <w:tcBorders>
              <w:top w:val="single" w:sz="6" w:space="0" w:color="000000"/>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879" w:type="dxa"/>
            <w:tcBorders>
              <w:top w:val="single" w:sz="6" w:space="0" w:color="000000"/>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879" w:type="dxa"/>
            <w:tcBorders>
              <w:top w:val="single" w:sz="6" w:space="0" w:color="000000"/>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879" w:type="dxa"/>
            <w:tcBorders>
              <w:top w:val="single" w:sz="6" w:space="0" w:color="000000"/>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879" w:type="dxa"/>
            <w:tcBorders>
              <w:top w:val="single" w:sz="6" w:space="0" w:color="000000"/>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r>
      <w:tr w:rsidR="00965D85" w:rsidRPr="00E22AD9" w:rsidTr="008B46DF">
        <w:tc>
          <w:tcPr>
            <w:tcW w:w="3402" w:type="dxa"/>
            <w:tcBorders>
              <w:top w:val="nil"/>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Commonwealth Government</w:t>
            </w:r>
          </w:p>
        </w:tc>
        <w:tc>
          <w:tcPr>
            <w:tcW w:w="879"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w:t>
            </w:r>
          </w:p>
        </w:tc>
        <w:tc>
          <w:tcPr>
            <w:tcW w:w="879"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w:t>
            </w:r>
          </w:p>
        </w:tc>
        <w:tc>
          <w:tcPr>
            <w:tcW w:w="879"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w:t>
            </w:r>
          </w:p>
        </w:tc>
        <w:tc>
          <w:tcPr>
            <w:tcW w:w="879"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w:t>
            </w:r>
          </w:p>
        </w:tc>
        <w:tc>
          <w:tcPr>
            <w:tcW w:w="879"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w:t>
            </w:r>
          </w:p>
        </w:tc>
      </w:tr>
      <w:tr w:rsidR="00965D85" w:rsidRPr="00E22AD9" w:rsidTr="008B46DF">
        <w:tc>
          <w:tcPr>
            <w:tcW w:w="3402" w:type="dxa"/>
            <w:tcBorders>
              <w:top w:val="nil"/>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Local government (including grants for on</w:t>
            </w:r>
            <w:r>
              <w:rPr>
                <w:rFonts w:ascii="Calibri" w:eastAsiaTheme="minorEastAsia" w:hAnsi="Calibri" w:cs="Calibri"/>
                <w:color w:val="000000"/>
                <w:sz w:val="20"/>
                <w:lang w:eastAsia="en-AU"/>
              </w:rPr>
              <w:noBreakHyphen/>
            </w:r>
            <w:r w:rsidRPr="00E22AD9">
              <w:rPr>
                <w:rFonts w:ascii="Calibri" w:eastAsiaTheme="minorEastAsia" w:hAnsi="Calibri" w:cs="Calibri"/>
                <w:color w:val="000000"/>
                <w:sz w:val="20"/>
                <w:lang w:eastAsia="en-AU"/>
              </w:rPr>
              <w:t>passing)</w:t>
            </w:r>
          </w:p>
        </w:tc>
        <w:tc>
          <w:tcPr>
            <w:tcW w:w="879"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15.2</w:t>
            </w:r>
          </w:p>
        </w:tc>
        <w:tc>
          <w:tcPr>
            <w:tcW w:w="879"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14.6</w:t>
            </w:r>
          </w:p>
        </w:tc>
        <w:tc>
          <w:tcPr>
            <w:tcW w:w="879"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43.3</w:t>
            </w:r>
          </w:p>
        </w:tc>
        <w:tc>
          <w:tcPr>
            <w:tcW w:w="879"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50.5</w:t>
            </w:r>
          </w:p>
        </w:tc>
        <w:tc>
          <w:tcPr>
            <w:tcW w:w="879"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53.2</w:t>
            </w:r>
          </w:p>
        </w:tc>
      </w:tr>
      <w:tr w:rsidR="00965D85" w:rsidRPr="00E22AD9" w:rsidTr="008B46DF">
        <w:tc>
          <w:tcPr>
            <w:tcW w:w="3402" w:type="dxa"/>
            <w:tcBorders>
              <w:top w:val="nil"/>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Private sector and not</w:t>
            </w:r>
            <w:r>
              <w:rPr>
                <w:rFonts w:ascii="Calibri" w:eastAsiaTheme="minorEastAsia" w:hAnsi="Calibri" w:cs="Calibri"/>
                <w:color w:val="000000"/>
                <w:sz w:val="20"/>
                <w:lang w:eastAsia="en-AU"/>
              </w:rPr>
              <w:noBreakHyphen/>
            </w:r>
            <w:r w:rsidRPr="00E22AD9">
              <w:rPr>
                <w:rFonts w:ascii="Calibri" w:eastAsiaTheme="minorEastAsia" w:hAnsi="Calibri" w:cs="Calibri"/>
                <w:color w:val="000000"/>
                <w:sz w:val="20"/>
                <w:lang w:eastAsia="en-AU"/>
              </w:rPr>
              <w:t>for</w:t>
            </w:r>
            <w:r>
              <w:rPr>
                <w:rFonts w:ascii="Calibri" w:eastAsiaTheme="minorEastAsia" w:hAnsi="Calibri" w:cs="Calibri"/>
                <w:color w:val="000000"/>
                <w:sz w:val="20"/>
                <w:lang w:eastAsia="en-AU"/>
              </w:rPr>
              <w:noBreakHyphen/>
            </w:r>
            <w:r w:rsidRPr="00E22AD9">
              <w:rPr>
                <w:rFonts w:ascii="Calibri" w:eastAsiaTheme="minorEastAsia" w:hAnsi="Calibri" w:cs="Calibri"/>
                <w:color w:val="000000"/>
                <w:sz w:val="20"/>
                <w:lang w:eastAsia="en-AU"/>
              </w:rPr>
              <w:t>profit on</w:t>
            </w:r>
            <w:r>
              <w:rPr>
                <w:rFonts w:ascii="Calibri" w:eastAsiaTheme="minorEastAsia" w:hAnsi="Calibri" w:cs="Calibri"/>
                <w:color w:val="000000"/>
                <w:sz w:val="20"/>
                <w:lang w:eastAsia="en-AU"/>
              </w:rPr>
              <w:noBreakHyphen/>
            </w:r>
            <w:r w:rsidRPr="00E22AD9">
              <w:rPr>
                <w:rFonts w:ascii="Calibri" w:eastAsiaTheme="minorEastAsia" w:hAnsi="Calibri" w:cs="Calibri"/>
                <w:color w:val="000000"/>
                <w:sz w:val="20"/>
                <w:lang w:eastAsia="en-AU"/>
              </w:rPr>
              <w:t>passing</w:t>
            </w:r>
          </w:p>
        </w:tc>
        <w:tc>
          <w:tcPr>
            <w:tcW w:w="879"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44.6</w:t>
            </w:r>
          </w:p>
        </w:tc>
        <w:tc>
          <w:tcPr>
            <w:tcW w:w="879"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53.1</w:t>
            </w:r>
          </w:p>
        </w:tc>
        <w:tc>
          <w:tcPr>
            <w:tcW w:w="879"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49.9</w:t>
            </w:r>
          </w:p>
        </w:tc>
        <w:tc>
          <w:tcPr>
            <w:tcW w:w="879"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54.2</w:t>
            </w:r>
          </w:p>
        </w:tc>
        <w:tc>
          <w:tcPr>
            <w:tcW w:w="879"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68.7</w:t>
            </w:r>
          </w:p>
        </w:tc>
      </w:tr>
      <w:tr w:rsidR="00965D85" w:rsidRPr="00E22AD9" w:rsidTr="008B46DF">
        <w:tc>
          <w:tcPr>
            <w:tcW w:w="3402" w:type="dxa"/>
            <w:tcBorders>
              <w:top w:val="nil"/>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Other private sector and not</w:t>
            </w:r>
            <w:r>
              <w:rPr>
                <w:rFonts w:ascii="Calibri" w:eastAsiaTheme="minorEastAsia" w:hAnsi="Calibri" w:cs="Calibri"/>
                <w:color w:val="000000"/>
                <w:sz w:val="20"/>
                <w:lang w:eastAsia="en-AU"/>
              </w:rPr>
              <w:noBreakHyphen/>
            </w:r>
            <w:r w:rsidRPr="00E22AD9">
              <w:rPr>
                <w:rFonts w:ascii="Calibri" w:eastAsiaTheme="minorEastAsia" w:hAnsi="Calibri" w:cs="Calibri"/>
                <w:color w:val="000000"/>
                <w:sz w:val="20"/>
                <w:lang w:eastAsia="en-AU"/>
              </w:rPr>
              <w:t>for</w:t>
            </w:r>
            <w:r>
              <w:rPr>
                <w:rFonts w:ascii="Calibri" w:eastAsiaTheme="minorEastAsia" w:hAnsi="Calibri" w:cs="Calibri"/>
                <w:color w:val="000000"/>
                <w:sz w:val="20"/>
                <w:lang w:eastAsia="en-AU"/>
              </w:rPr>
              <w:noBreakHyphen/>
            </w:r>
            <w:r w:rsidRPr="00E22AD9">
              <w:rPr>
                <w:rFonts w:ascii="Calibri" w:eastAsiaTheme="minorEastAsia" w:hAnsi="Calibri" w:cs="Calibri"/>
                <w:color w:val="000000"/>
                <w:sz w:val="20"/>
                <w:lang w:eastAsia="en-AU"/>
              </w:rPr>
              <w:t>profit</w:t>
            </w:r>
          </w:p>
        </w:tc>
        <w:tc>
          <w:tcPr>
            <w:tcW w:w="879"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3.6</w:t>
            </w:r>
          </w:p>
        </w:tc>
        <w:tc>
          <w:tcPr>
            <w:tcW w:w="879"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3.6</w:t>
            </w:r>
          </w:p>
        </w:tc>
        <w:tc>
          <w:tcPr>
            <w:tcW w:w="879"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4.1</w:t>
            </w:r>
          </w:p>
        </w:tc>
        <w:tc>
          <w:tcPr>
            <w:tcW w:w="879"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4.1</w:t>
            </w:r>
          </w:p>
        </w:tc>
        <w:tc>
          <w:tcPr>
            <w:tcW w:w="879"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4.1</w:t>
            </w:r>
          </w:p>
        </w:tc>
      </w:tr>
      <w:tr w:rsidR="00965D85" w:rsidRPr="00E22AD9" w:rsidTr="008B46DF">
        <w:tc>
          <w:tcPr>
            <w:tcW w:w="3402" w:type="dxa"/>
            <w:tcBorders>
              <w:top w:val="nil"/>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Grants within the Victorian Government</w:t>
            </w:r>
          </w:p>
        </w:tc>
        <w:tc>
          <w:tcPr>
            <w:tcW w:w="879"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w:t>
            </w:r>
          </w:p>
        </w:tc>
        <w:tc>
          <w:tcPr>
            <w:tcW w:w="879"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w:t>
            </w:r>
          </w:p>
        </w:tc>
        <w:tc>
          <w:tcPr>
            <w:tcW w:w="879"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w:t>
            </w:r>
          </w:p>
        </w:tc>
        <w:tc>
          <w:tcPr>
            <w:tcW w:w="879"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w:t>
            </w:r>
          </w:p>
        </w:tc>
        <w:tc>
          <w:tcPr>
            <w:tcW w:w="879"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w:t>
            </w:r>
          </w:p>
        </w:tc>
      </w:tr>
      <w:tr w:rsidR="00965D85" w:rsidRPr="00E22AD9" w:rsidTr="008B46DF">
        <w:tc>
          <w:tcPr>
            <w:tcW w:w="3402"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Other grants</w:t>
            </w:r>
          </w:p>
        </w:tc>
        <w:tc>
          <w:tcPr>
            <w:tcW w:w="879"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5.0</w:t>
            </w:r>
          </w:p>
        </w:tc>
        <w:tc>
          <w:tcPr>
            <w:tcW w:w="879"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5.0</w:t>
            </w:r>
          </w:p>
        </w:tc>
        <w:tc>
          <w:tcPr>
            <w:tcW w:w="879"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45.2</w:t>
            </w:r>
          </w:p>
        </w:tc>
        <w:tc>
          <w:tcPr>
            <w:tcW w:w="879"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5.0</w:t>
            </w:r>
          </w:p>
        </w:tc>
        <w:tc>
          <w:tcPr>
            <w:tcW w:w="879"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5.0</w:t>
            </w:r>
          </w:p>
        </w:tc>
      </w:tr>
      <w:tr w:rsidR="00965D85" w:rsidRPr="00E22AD9" w:rsidTr="008B46DF">
        <w:tc>
          <w:tcPr>
            <w:tcW w:w="3402" w:type="dxa"/>
            <w:tcBorders>
              <w:top w:val="single" w:sz="6" w:space="0" w:color="000000"/>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Total capital grant expense</w:t>
            </w:r>
          </w:p>
        </w:tc>
        <w:tc>
          <w:tcPr>
            <w:tcW w:w="879" w:type="dxa"/>
            <w:tcBorders>
              <w:top w:val="single" w:sz="6" w:space="0" w:color="000000"/>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20"/>
                <w:lang w:eastAsia="en-AU"/>
              </w:rPr>
              <w:t>68.3</w:t>
            </w:r>
          </w:p>
        </w:tc>
        <w:tc>
          <w:tcPr>
            <w:tcW w:w="879" w:type="dxa"/>
            <w:tcBorders>
              <w:top w:val="single" w:sz="6" w:space="0" w:color="000000"/>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20"/>
                <w:lang w:eastAsia="en-AU"/>
              </w:rPr>
              <w:t>76.3</w:t>
            </w:r>
          </w:p>
        </w:tc>
        <w:tc>
          <w:tcPr>
            <w:tcW w:w="879" w:type="dxa"/>
            <w:tcBorders>
              <w:top w:val="single" w:sz="6" w:space="0" w:color="000000"/>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20"/>
                <w:lang w:eastAsia="en-AU"/>
              </w:rPr>
              <w:t>142.4</w:t>
            </w:r>
          </w:p>
        </w:tc>
        <w:tc>
          <w:tcPr>
            <w:tcW w:w="879" w:type="dxa"/>
            <w:tcBorders>
              <w:top w:val="single" w:sz="6" w:space="0" w:color="000000"/>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20"/>
                <w:lang w:eastAsia="en-AU"/>
              </w:rPr>
              <w:t>113.8</w:t>
            </w:r>
          </w:p>
        </w:tc>
        <w:tc>
          <w:tcPr>
            <w:tcW w:w="879" w:type="dxa"/>
            <w:tcBorders>
              <w:top w:val="single" w:sz="6" w:space="0" w:color="000000"/>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20"/>
                <w:lang w:eastAsia="en-AU"/>
              </w:rPr>
              <w:t>131.0</w:t>
            </w:r>
          </w:p>
        </w:tc>
      </w:tr>
      <w:tr w:rsidR="00965D85" w:rsidRPr="00E22AD9" w:rsidTr="008B46DF">
        <w:tc>
          <w:tcPr>
            <w:tcW w:w="3402" w:type="dxa"/>
            <w:tcBorders>
              <w:top w:val="single" w:sz="6" w:space="0" w:color="000000"/>
              <w:left w:val="nil"/>
              <w:bottom w:val="single" w:sz="12" w:space="0" w:color="000000"/>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Total grant expense</w:t>
            </w:r>
          </w:p>
        </w:tc>
        <w:tc>
          <w:tcPr>
            <w:tcW w:w="879" w:type="dxa"/>
            <w:tcBorders>
              <w:top w:val="single" w:sz="6" w:space="0" w:color="000000"/>
              <w:left w:val="nil"/>
              <w:bottom w:val="single" w:sz="12"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8 686.9</w:t>
            </w:r>
          </w:p>
        </w:tc>
        <w:tc>
          <w:tcPr>
            <w:tcW w:w="879" w:type="dxa"/>
            <w:tcBorders>
              <w:top w:val="single" w:sz="6" w:space="0" w:color="000000"/>
              <w:left w:val="nil"/>
              <w:bottom w:val="single" w:sz="12"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8 446.4</w:t>
            </w:r>
          </w:p>
        </w:tc>
        <w:tc>
          <w:tcPr>
            <w:tcW w:w="879" w:type="dxa"/>
            <w:tcBorders>
              <w:top w:val="single" w:sz="6" w:space="0" w:color="000000"/>
              <w:left w:val="nil"/>
              <w:bottom w:val="single" w:sz="12"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9 170.1</w:t>
            </w:r>
          </w:p>
        </w:tc>
        <w:tc>
          <w:tcPr>
            <w:tcW w:w="879" w:type="dxa"/>
            <w:tcBorders>
              <w:top w:val="single" w:sz="6" w:space="0" w:color="000000"/>
              <w:left w:val="nil"/>
              <w:bottom w:val="single" w:sz="12"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9 499.2</w:t>
            </w:r>
          </w:p>
        </w:tc>
        <w:tc>
          <w:tcPr>
            <w:tcW w:w="879" w:type="dxa"/>
            <w:tcBorders>
              <w:top w:val="single" w:sz="6" w:space="0" w:color="000000"/>
              <w:left w:val="nil"/>
              <w:bottom w:val="single" w:sz="12"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9 767.0</w:t>
            </w:r>
          </w:p>
        </w:tc>
      </w:tr>
    </w:tbl>
    <w:p w:rsidR="00965D85" w:rsidRDefault="00965D85" w:rsidP="008B46DF">
      <w:pPr>
        <w:rPr>
          <w:lang w:eastAsia="en-AU"/>
        </w:rPr>
      </w:pPr>
    </w:p>
    <w:p w:rsidR="00965D85" w:rsidRDefault="00965D85">
      <w:pPr>
        <w:spacing w:after="0"/>
        <w:rPr>
          <w:rFonts w:ascii="Calibri" w:hAnsi="Calibri"/>
          <w:b/>
          <w:kern w:val="28"/>
          <w:sz w:val="26"/>
          <w:szCs w:val="22"/>
          <w:lang w:eastAsia="en-AU"/>
        </w:rPr>
      </w:pPr>
      <w:r>
        <w:rPr>
          <w:lang w:eastAsia="en-AU"/>
        </w:rPr>
        <w:br w:type="page"/>
      </w:r>
    </w:p>
    <w:p w:rsidR="00965D85" w:rsidRDefault="00965D85" w:rsidP="008B46DF">
      <w:pPr>
        <w:pStyle w:val="Heading2Notes"/>
        <w:rPr>
          <w:rFonts w:ascii="Times New Roman" w:hAnsi="Times New Roman"/>
          <w:b w:val="0"/>
          <w:kern w:val="0"/>
          <w:sz w:val="20"/>
          <w:szCs w:val="20"/>
          <w:lang w:eastAsia="en-AU"/>
        </w:rPr>
      </w:pPr>
      <w:bookmarkStart w:id="59" w:name="_Toc436138917"/>
      <w:r w:rsidRPr="003878BE">
        <w:rPr>
          <w:lang w:eastAsia="en-AU"/>
        </w:rPr>
        <w:lastRenderedPageBreak/>
        <w:t xml:space="preserve">Note 11: </w:t>
      </w:r>
      <w:r w:rsidRPr="003878BE">
        <w:rPr>
          <w:lang w:eastAsia="en-AU"/>
        </w:rPr>
        <w:tab/>
        <w:t>Other operating expenses</w:t>
      </w:r>
      <w:bookmarkEnd w:id="59"/>
    </w:p>
    <w:tbl>
      <w:tblPr>
        <w:tblW w:w="7765" w:type="dxa"/>
        <w:tblInd w:w="45" w:type="dxa"/>
        <w:tblLayout w:type="fixed"/>
        <w:tblCellMar>
          <w:left w:w="45" w:type="dxa"/>
          <w:right w:w="45" w:type="dxa"/>
        </w:tblCellMar>
        <w:tblLook w:val="0000" w:firstRow="0" w:lastRow="0" w:firstColumn="0" w:lastColumn="0" w:noHBand="0" w:noVBand="0"/>
      </w:tblPr>
      <w:tblGrid>
        <w:gridCol w:w="3513"/>
        <w:gridCol w:w="850"/>
        <w:gridCol w:w="850"/>
        <w:gridCol w:w="850"/>
        <w:gridCol w:w="850"/>
        <w:gridCol w:w="852"/>
      </w:tblGrid>
      <w:tr w:rsidR="00965D85" w:rsidRPr="00E22AD9" w:rsidTr="008B46DF">
        <w:trPr>
          <w:tblHeader/>
        </w:trPr>
        <w:tc>
          <w:tcPr>
            <w:tcW w:w="7765" w:type="dxa"/>
            <w:gridSpan w:val="6"/>
            <w:tcBorders>
              <w:top w:val="nil"/>
              <w:left w:val="nil"/>
              <w:bottom w:val="nil"/>
              <w:right w:val="nil"/>
            </w:tcBorders>
          </w:tcPr>
          <w:p w:rsidR="00965D85" w:rsidRPr="00E22AD9" w:rsidRDefault="00965D85" w:rsidP="008B46DF">
            <w:pPr>
              <w:pStyle w:val="million"/>
              <w:rPr>
                <w:rFonts w:eastAsiaTheme="minorEastAsia"/>
                <w:lang w:eastAsia="en-AU"/>
              </w:rPr>
            </w:pPr>
            <w:r w:rsidRPr="00E22AD9">
              <w:rPr>
                <w:rFonts w:eastAsiaTheme="minorEastAsia"/>
                <w:lang w:eastAsia="en-AU"/>
              </w:rPr>
              <w:t>($ million)</w:t>
            </w:r>
          </w:p>
        </w:tc>
      </w:tr>
      <w:tr w:rsidR="00965D85" w:rsidRPr="00E22AD9" w:rsidTr="008B46DF">
        <w:trPr>
          <w:trHeight w:val="488"/>
          <w:tblHeader/>
        </w:trPr>
        <w:tc>
          <w:tcPr>
            <w:tcW w:w="3513" w:type="dxa"/>
            <w:tcBorders>
              <w:top w:val="nil"/>
              <w:left w:val="nil"/>
              <w:right w:val="nil"/>
            </w:tcBorders>
            <w:shd w:val="solid" w:color="000000" w:fill="auto"/>
          </w:tcPr>
          <w:p w:rsidR="00965D85" w:rsidRPr="00E22AD9" w:rsidRDefault="00965D85" w:rsidP="008B46DF">
            <w:pPr>
              <w:autoSpaceDE w:val="0"/>
              <w:autoSpaceDN w:val="0"/>
              <w:adjustRightInd w:val="0"/>
              <w:spacing w:after="0"/>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 xml:space="preserve"> </w:t>
            </w:r>
          </w:p>
          <w:p w:rsidR="00965D85" w:rsidRPr="00E22AD9" w:rsidRDefault="00965D85" w:rsidP="008B46DF">
            <w:pPr>
              <w:autoSpaceDE w:val="0"/>
              <w:autoSpaceDN w:val="0"/>
              <w:adjustRightInd w:val="0"/>
              <w:spacing w:after="0"/>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 xml:space="preserve"> </w:t>
            </w:r>
          </w:p>
        </w:tc>
        <w:tc>
          <w:tcPr>
            <w:tcW w:w="850" w:type="dxa"/>
            <w:tcBorders>
              <w:top w:val="nil"/>
              <w:left w:val="nil"/>
              <w:right w:val="nil"/>
            </w:tcBorders>
            <w:shd w:val="solid" w:color="000000" w:fill="auto"/>
          </w:tcPr>
          <w:p w:rsidR="00965D85" w:rsidRPr="00E22AD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E22AD9">
              <w:rPr>
                <w:rFonts w:ascii="Calibri" w:eastAsiaTheme="minorEastAsia" w:hAnsi="Calibri" w:cs="Calibri"/>
                <w:i/>
                <w:iCs/>
                <w:color w:val="FFFFFF"/>
                <w:sz w:val="20"/>
                <w:lang w:eastAsia="en-AU"/>
              </w:rPr>
              <w:t>2015</w:t>
            </w:r>
            <w:r>
              <w:rPr>
                <w:rFonts w:ascii="Calibri" w:eastAsiaTheme="minorEastAsia" w:hAnsi="Calibri" w:cs="Calibri"/>
                <w:i/>
                <w:iCs/>
                <w:color w:val="FFFFFF"/>
                <w:sz w:val="20"/>
                <w:lang w:eastAsia="en-AU"/>
              </w:rPr>
              <w:noBreakHyphen/>
            </w:r>
            <w:r w:rsidRPr="00E22AD9">
              <w:rPr>
                <w:rFonts w:ascii="Calibri" w:eastAsiaTheme="minorEastAsia" w:hAnsi="Calibri" w:cs="Calibri"/>
                <w:i/>
                <w:iCs/>
                <w:color w:val="FFFFFF"/>
                <w:sz w:val="20"/>
                <w:lang w:eastAsia="en-AU"/>
              </w:rPr>
              <w:t>16</w:t>
            </w:r>
          </w:p>
          <w:p w:rsidR="00965D85" w:rsidRPr="00E22AD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E22AD9">
              <w:rPr>
                <w:rFonts w:ascii="Calibri" w:eastAsiaTheme="minorEastAsia" w:hAnsi="Calibri" w:cs="Calibri"/>
                <w:i/>
                <w:iCs/>
                <w:color w:val="FFFFFF"/>
                <w:sz w:val="20"/>
                <w:lang w:eastAsia="en-AU"/>
              </w:rPr>
              <w:t>budget</w:t>
            </w:r>
          </w:p>
        </w:tc>
        <w:tc>
          <w:tcPr>
            <w:tcW w:w="850" w:type="dxa"/>
            <w:tcBorders>
              <w:top w:val="nil"/>
              <w:left w:val="nil"/>
              <w:right w:val="nil"/>
            </w:tcBorders>
            <w:shd w:val="solid" w:color="000000" w:fill="auto"/>
          </w:tcPr>
          <w:p w:rsidR="00965D85" w:rsidRPr="00E22AD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E22AD9">
              <w:rPr>
                <w:rFonts w:ascii="Calibri" w:eastAsiaTheme="minorEastAsia" w:hAnsi="Calibri" w:cs="Calibri"/>
                <w:i/>
                <w:iCs/>
                <w:color w:val="FFFFFF"/>
                <w:sz w:val="20"/>
                <w:lang w:eastAsia="en-AU"/>
              </w:rPr>
              <w:t>2015</w:t>
            </w:r>
            <w:r>
              <w:rPr>
                <w:rFonts w:ascii="Calibri" w:eastAsiaTheme="minorEastAsia" w:hAnsi="Calibri" w:cs="Calibri"/>
                <w:i/>
                <w:iCs/>
                <w:color w:val="FFFFFF"/>
                <w:sz w:val="20"/>
                <w:lang w:eastAsia="en-AU"/>
              </w:rPr>
              <w:noBreakHyphen/>
            </w:r>
            <w:r w:rsidRPr="00E22AD9">
              <w:rPr>
                <w:rFonts w:ascii="Calibri" w:eastAsiaTheme="minorEastAsia" w:hAnsi="Calibri" w:cs="Calibri"/>
                <w:i/>
                <w:iCs/>
                <w:color w:val="FFFFFF"/>
                <w:sz w:val="20"/>
                <w:lang w:eastAsia="en-AU"/>
              </w:rPr>
              <w:t>16</w:t>
            </w:r>
          </w:p>
          <w:p w:rsidR="00965D85" w:rsidRPr="00E22AD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E22AD9">
              <w:rPr>
                <w:rFonts w:ascii="Calibri" w:eastAsiaTheme="minorEastAsia" w:hAnsi="Calibri" w:cs="Calibri"/>
                <w:i/>
                <w:iCs/>
                <w:color w:val="FFFFFF"/>
                <w:sz w:val="20"/>
                <w:lang w:eastAsia="en-AU"/>
              </w:rPr>
              <w:t>revised</w:t>
            </w:r>
          </w:p>
        </w:tc>
        <w:tc>
          <w:tcPr>
            <w:tcW w:w="850" w:type="dxa"/>
            <w:tcBorders>
              <w:top w:val="nil"/>
              <w:left w:val="nil"/>
              <w:right w:val="nil"/>
            </w:tcBorders>
            <w:shd w:val="solid" w:color="000000" w:fill="auto"/>
          </w:tcPr>
          <w:p w:rsidR="00965D85" w:rsidRPr="00E22AD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E22AD9">
              <w:rPr>
                <w:rFonts w:ascii="Calibri" w:eastAsiaTheme="minorEastAsia" w:hAnsi="Calibri" w:cs="Calibri"/>
                <w:i/>
                <w:iCs/>
                <w:color w:val="FFFFFF"/>
                <w:sz w:val="20"/>
                <w:lang w:eastAsia="en-AU"/>
              </w:rPr>
              <w:t>2016</w:t>
            </w:r>
            <w:r>
              <w:rPr>
                <w:rFonts w:ascii="Calibri" w:eastAsiaTheme="minorEastAsia" w:hAnsi="Calibri" w:cs="Calibri"/>
                <w:i/>
                <w:iCs/>
                <w:color w:val="FFFFFF"/>
                <w:sz w:val="20"/>
                <w:lang w:eastAsia="en-AU"/>
              </w:rPr>
              <w:noBreakHyphen/>
            </w:r>
            <w:r w:rsidRPr="00E22AD9">
              <w:rPr>
                <w:rFonts w:ascii="Calibri" w:eastAsiaTheme="minorEastAsia" w:hAnsi="Calibri" w:cs="Calibri"/>
                <w:i/>
                <w:iCs/>
                <w:color w:val="FFFFFF"/>
                <w:sz w:val="20"/>
                <w:lang w:eastAsia="en-AU"/>
              </w:rPr>
              <w:t>17</w:t>
            </w:r>
          </w:p>
          <w:p w:rsidR="00965D85" w:rsidRPr="00E22AD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E22AD9">
              <w:rPr>
                <w:rFonts w:ascii="Calibri" w:eastAsiaTheme="minorEastAsia" w:hAnsi="Calibri" w:cs="Calibri"/>
                <w:i/>
                <w:iCs/>
                <w:color w:val="FFFFFF"/>
                <w:sz w:val="20"/>
                <w:lang w:eastAsia="en-AU"/>
              </w:rPr>
              <w:t>estimate</w:t>
            </w:r>
          </w:p>
        </w:tc>
        <w:tc>
          <w:tcPr>
            <w:tcW w:w="850" w:type="dxa"/>
            <w:tcBorders>
              <w:top w:val="nil"/>
              <w:left w:val="nil"/>
              <w:right w:val="nil"/>
            </w:tcBorders>
            <w:shd w:val="solid" w:color="000000" w:fill="auto"/>
          </w:tcPr>
          <w:p w:rsidR="00965D85" w:rsidRPr="00E22AD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E22AD9">
              <w:rPr>
                <w:rFonts w:ascii="Calibri" w:eastAsiaTheme="minorEastAsia" w:hAnsi="Calibri" w:cs="Calibri"/>
                <w:i/>
                <w:iCs/>
                <w:color w:val="FFFFFF"/>
                <w:sz w:val="20"/>
                <w:lang w:eastAsia="en-AU"/>
              </w:rPr>
              <w:t>2017</w:t>
            </w:r>
            <w:r>
              <w:rPr>
                <w:rFonts w:ascii="Calibri" w:eastAsiaTheme="minorEastAsia" w:hAnsi="Calibri" w:cs="Calibri"/>
                <w:i/>
                <w:iCs/>
                <w:color w:val="FFFFFF"/>
                <w:sz w:val="20"/>
                <w:lang w:eastAsia="en-AU"/>
              </w:rPr>
              <w:noBreakHyphen/>
            </w:r>
            <w:r w:rsidRPr="00E22AD9">
              <w:rPr>
                <w:rFonts w:ascii="Calibri" w:eastAsiaTheme="minorEastAsia" w:hAnsi="Calibri" w:cs="Calibri"/>
                <w:i/>
                <w:iCs/>
                <w:color w:val="FFFFFF"/>
                <w:sz w:val="20"/>
                <w:lang w:eastAsia="en-AU"/>
              </w:rPr>
              <w:t>18</w:t>
            </w:r>
          </w:p>
          <w:p w:rsidR="00965D85" w:rsidRPr="00E22AD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E22AD9">
              <w:rPr>
                <w:rFonts w:ascii="Calibri" w:eastAsiaTheme="minorEastAsia" w:hAnsi="Calibri" w:cs="Calibri"/>
                <w:i/>
                <w:iCs/>
                <w:color w:val="FFFFFF"/>
                <w:sz w:val="20"/>
                <w:lang w:eastAsia="en-AU"/>
              </w:rPr>
              <w:t>estimate</w:t>
            </w:r>
          </w:p>
        </w:tc>
        <w:tc>
          <w:tcPr>
            <w:tcW w:w="852" w:type="dxa"/>
            <w:tcBorders>
              <w:top w:val="nil"/>
              <w:left w:val="nil"/>
              <w:right w:val="nil"/>
            </w:tcBorders>
            <w:shd w:val="solid" w:color="000000" w:fill="auto"/>
          </w:tcPr>
          <w:p w:rsidR="00965D85" w:rsidRPr="00E22AD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E22AD9">
              <w:rPr>
                <w:rFonts w:ascii="Calibri" w:eastAsiaTheme="minorEastAsia" w:hAnsi="Calibri" w:cs="Calibri"/>
                <w:i/>
                <w:iCs/>
                <w:color w:val="FFFFFF"/>
                <w:sz w:val="20"/>
                <w:lang w:eastAsia="en-AU"/>
              </w:rPr>
              <w:t>2018</w:t>
            </w:r>
            <w:r>
              <w:rPr>
                <w:rFonts w:ascii="Calibri" w:eastAsiaTheme="minorEastAsia" w:hAnsi="Calibri" w:cs="Calibri"/>
                <w:i/>
                <w:iCs/>
                <w:color w:val="FFFFFF"/>
                <w:sz w:val="20"/>
                <w:lang w:eastAsia="en-AU"/>
              </w:rPr>
              <w:noBreakHyphen/>
            </w:r>
            <w:r w:rsidRPr="00E22AD9">
              <w:rPr>
                <w:rFonts w:ascii="Calibri" w:eastAsiaTheme="minorEastAsia" w:hAnsi="Calibri" w:cs="Calibri"/>
                <w:i/>
                <w:iCs/>
                <w:color w:val="FFFFFF"/>
                <w:sz w:val="20"/>
                <w:lang w:eastAsia="en-AU"/>
              </w:rPr>
              <w:t>19</w:t>
            </w:r>
          </w:p>
          <w:p w:rsidR="00965D85" w:rsidRPr="00E22AD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E22AD9">
              <w:rPr>
                <w:rFonts w:ascii="Calibri" w:eastAsiaTheme="minorEastAsia" w:hAnsi="Calibri" w:cs="Calibri"/>
                <w:i/>
                <w:iCs/>
                <w:color w:val="FFFFFF"/>
                <w:sz w:val="20"/>
                <w:lang w:eastAsia="en-AU"/>
              </w:rPr>
              <w:t>estimate</w:t>
            </w:r>
          </w:p>
        </w:tc>
      </w:tr>
      <w:tr w:rsidR="00965D85" w:rsidRPr="00E22AD9" w:rsidTr="008B46DF">
        <w:tc>
          <w:tcPr>
            <w:tcW w:w="3513" w:type="dxa"/>
            <w:tcBorders>
              <w:top w:val="nil"/>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20"/>
                <w:vertAlign w:val="superscript"/>
                <w:lang w:eastAsia="en-AU"/>
              </w:rPr>
            </w:pPr>
            <w:r w:rsidRPr="00E22AD9">
              <w:rPr>
                <w:rFonts w:ascii="Calibri" w:eastAsiaTheme="minorEastAsia" w:hAnsi="Calibri" w:cs="Calibri"/>
                <w:color w:val="000000"/>
                <w:sz w:val="20"/>
                <w:lang w:eastAsia="en-AU"/>
              </w:rPr>
              <w:t xml:space="preserve">Purchase of supplies and consumables </w:t>
            </w:r>
            <w:r w:rsidRPr="00E22AD9">
              <w:rPr>
                <w:rFonts w:ascii="Calibri" w:eastAsiaTheme="minorEastAsia" w:hAnsi="Calibri" w:cs="Calibri"/>
                <w:color w:val="000000"/>
                <w:sz w:val="20"/>
                <w:vertAlign w:val="superscript"/>
                <w:lang w:eastAsia="en-AU"/>
              </w:rPr>
              <w:t>(a)</w:t>
            </w:r>
          </w:p>
        </w:tc>
        <w:tc>
          <w:tcPr>
            <w:tcW w:w="850"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7 514.8</w:t>
            </w:r>
          </w:p>
        </w:tc>
        <w:tc>
          <w:tcPr>
            <w:tcW w:w="850"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7 495.9</w:t>
            </w:r>
          </w:p>
        </w:tc>
        <w:tc>
          <w:tcPr>
            <w:tcW w:w="850"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7 799.1</w:t>
            </w:r>
          </w:p>
        </w:tc>
        <w:tc>
          <w:tcPr>
            <w:tcW w:w="850"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8 240.4</w:t>
            </w:r>
          </w:p>
        </w:tc>
        <w:tc>
          <w:tcPr>
            <w:tcW w:w="852"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8 507.6</w:t>
            </w:r>
          </w:p>
        </w:tc>
      </w:tr>
      <w:tr w:rsidR="00965D85" w:rsidRPr="00E22AD9" w:rsidTr="008B46DF">
        <w:tc>
          <w:tcPr>
            <w:tcW w:w="3513" w:type="dxa"/>
            <w:tcBorders>
              <w:top w:val="nil"/>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20"/>
                <w:vertAlign w:val="superscript"/>
                <w:lang w:eastAsia="en-AU"/>
              </w:rPr>
            </w:pPr>
            <w:r w:rsidRPr="00E22AD9">
              <w:rPr>
                <w:rFonts w:ascii="Calibri" w:eastAsiaTheme="minorEastAsia" w:hAnsi="Calibri" w:cs="Calibri"/>
                <w:color w:val="000000"/>
                <w:sz w:val="20"/>
                <w:lang w:eastAsia="en-AU"/>
              </w:rPr>
              <w:t xml:space="preserve">Cost of goods sold </w:t>
            </w:r>
            <w:r w:rsidRPr="00E22AD9">
              <w:rPr>
                <w:rFonts w:ascii="Calibri" w:eastAsiaTheme="minorEastAsia" w:hAnsi="Calibri" w:cs="Calibri"/>
                <w:color w:val="000000"/>
                <w:sz w:val="20"/>
                <w:vertAlign w:val="superscript"/>
                <w:lang w:eastAsia="en-AU"/>
              </w:rPr>
              <w:t>(a)</w:t>
            </w:r>
          </w:p>
        </w:tc>
        <w:tc>
          <w:tcPr>
            <w:tcW w:w="850"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21.5</w:t>
            </w:r>
          </w:p>
        </w:tc>
        <w:tc>
          <w:tcPr>
            <w:tcW w:w="850"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23.3</w:t>
            </w:r>
          </w:p>
        </w:tc>
        <w:tc>
          <w:tcPr>
            <w:tcW w:w="850"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22.4</w:t>
            </w:r>
          </w:p>
        </w:tc>
        <w:tc>
          <w:tcPr>
            <w:tcW w:w="850"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22.9</w:t>
            </w:r>
          </w:p>
        </w:tc>
        <w:tc>
          <w:tcPr>
            <w:tcW w:w="852"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23.4</w:t>
            </w:r>
          </w:p>
        </w:tc>
      </w:tr>
      <w:tr w:rsidR="00965D85" w:rsidRPr="00E22AD9" w:rsidTr="008B46DF">
        <w:tc>
          <w:tcPr>
            <w:tcW w:w="3513" w:type="dxa"/>
            <w:tcBorders>
              <w:top w:val="nil"/>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Finance expenses and fees</w:t>
            </w:r>
          </w:p>
        </w:tc>
        <w:tc>
          <w:tcPr>
            <w:tcW w:w="850"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21.3</w:t>
            </w:r>
          </w:p>
        </w:tc>
        <w:tc>
          <w:tcPr>
            <w:tcW w:w="850"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23.1</w:t>
            </w:r>
          </w:p>
        </w:tc>
        <w:tc>
          <w:tcPr>
            <w:tcW w:w="850"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21.2</w:t>
            </w:r>
          </w:p>
        </w:tc>
        <w:tc>
          <w:tcPr>
            <w:tcW w:w="850"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21.3</w:t>
            </w:r>
          </w:p>
        </w:tc>
        <w:tc>
          <w:tcPr>
            <w:tcW w:w="852"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21.5</w:t>
            </w:r>
          </w:p>
        </w:tc>
      </w:tr>
      <w:tr w:rsidR="00965D85" w:rsidRPr="00E22AD9" w:rsidTr="008B46DF">
        <w:tc>
          <w:tcPr>
            <w:tcW w:w="3513" w:type="dxa"/>
            <w:tcBorders>
              <w:top w:val="nil"/>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 xml:space="preserve">Purchase of services </w:t>
            </w:r>
          </w:p>
        </w:tc>
        <w:tc>
          <w:tcPr>
            <w:tcW w:w="850"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8 840.9</w:t>
            </w:r>
          </w:p>
        </w:tc>
        <w:tc>
          <w:tcPr>
            <w:tcW w:w="850"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9 037.6</w:t>
            </w:r>
          </w:p>
        </w:tc>
        <w:tc>
          <w:tcPr>
            <w:tcW w:w="850"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8 551.0</w:t>
            </w:r>
          </w:p>
        </w:tc>
        <w:tc>
          <w:tcPr>
            <w:tcW w:w="850"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8 653.0</w:t>
            </w:r>
          </w:p>
        </w:tc>
        <w:tc>
          <w:tcPr>
            <w:tcW w:w="852"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8 598.1</w:t>
            </w:r>
          </w:p>
        </w:tc>
      </w:tr>
      <w:tr w:rsidR="00965D85" w:rsidRPr="00E22AD9" w:rsidTr="008B46DF">
        <w:tc>
          <w:tcPr>
            <w:tcW w:w="3513" w:type="dxa"/>
            <w:tcBorders>
              <w:top w:val="nil"/>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Maintenance</w:t>
            </w:r>
          </w:p>
        </w:tc>
        <w:tc>
          <w:tcPr>
            <w:tcW w:w="850"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673.8</w:t>
            </w:r>
          </w:p>
        </w:tc>
        <w:tc>
          <w:tcPr>
            <w:tcW w:w="850"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695.5</w:t>
            </w:r>
          </w:p>
        </w:tc>
        <w:tc>
          <w:tcPr>
            <w:tcW w:w="850"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671.7</w:t>
            </w:r>
          </w:p>
        </w:tc>
        <w:tc>
          <w:tcPr>
            <w:tcW w:w="850"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676.8</w:t>
            </w:r>
          </w:p>
        </w:tc>
        <w:tc>
          <w:tcPr>
            <w:tcW w:w="852"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689.3</w:t>
            </w:r>
          </w:p>
        </w:tc>
      </w:tr>
      <w:tr w:rsidR="00965D85" w:rsidRPr="00E22AD9" w:rsidTr="008B46DF">
        <w:tc>
          <w:tcPr>
            <w:tcW w:w="3513" w:type="dxa"/>
            <w:tcBorders>
              <w:top w:val="nil"/>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Operating lease payments</w:t>
            </w:r>
          </w:p>
        </w:tc>
        <w:tc>
          <w:tcPr>
            <w:tcW w:w="850"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289.9</w:t>
            </w:r>
          </w:p>
        </w:tc>
        <w:tc>
          <w:tcPr>
            <w:tcW w:w="850"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300.3</w:t>
            </w:r>
          </w:p>
        </w:tc>
        <w:tc>
          <w:tcPr>
            <w:tcW w:w="850"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288.4</w:t>
            </w:r>
          </w:p>
        </w:tc>
        <w:tc>
          <w:tcPr>
            <w:tcW w:w="850"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292.3</w:t>
            </w:r>
          </w:p>
        </w:tc>
        <w:tc>
          <w:tcPr>
            <w:tcW w:w="852"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292.5</w:t>
            </w:r>
          </w:p>
        </w:tc>
      </w:tr>
      <w:tr w:rsidR="00965D85" w:rsidRPr="00E22AD9" w:rsidTr="008B46DF">
        <w:tc>
          <w:tcPr>
            <w:tcW w:w="3513"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Other</w:t>
            </w:r>
          </w:p>
        </w:tc>
        <w:tc>
          <w:tcPr>
            <w:tcW w:w="850"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696.1</w:t>
            </w:r>
          </w:p>
        </w:tc>
        <w:tc>
          <w:tcPr>
            <w:tcW w:w="850"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695.6</w:t>
            </w:r>
          </w:p>
        </w:tc>
        <w:tc>
          <w:tcPr>
            <w:tcW w:w="850"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725.7</w:t>
            </w:r>
          </w:p>
        </w:tc>
        <w:tc>
          <w:tcPr>
            <w:tcW w:w="850"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757.1</w:t>
            </w:r>
          </w:p>
        </w:tc>
        <w:tc>
          <w:tcPr>
            <w:tcW w:w="852"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784.8</w:t>
            </w:r>
          </w:p>
        </w:tc>
      </w:tr>
      <w:tr w:rsidR="00965D85" w:rsidRPr="00E22AD9" w:rsidTr="008B46DF">
        <w:tc>
          <w:tcPr>
            <w:tcW w:w="3513" w:type="dxa"/>
            <w:tcBorders>
              <w:top w:val="single" w:sz="6" w:space="0" w:color="000000"/>
              <w:left w:val="nil"/>
              <w:bottom w:val="single" w:sz="12" w:space="0" w:color="000000"/>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Total other operating expenses</w:t>
            </w:r>
          </w:p>
        </w:tc>
        <w:tc>
          <w:tcPr>
            <w:tcW w:w="850" w:type="dxa"/>
            <w:tcBorders>
              <w:top w:val="single" w:sz="6" w:space="0" w:color="000000"/>
              <w:left w:val="nil"/>
              <w:bottom w:val="single" w:sz="12"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18 058.3</w:t>
            </w:r>
          </w:p>
        </w:tc>
        <w:tc>
          <w:tcPr>
            <w:tcW w:w="850" w:type="dxa"/>
            <w:tcBorders>
              <w:top w:val="single" w:sz="6" w:space="0" w:color="000000"/>
              <w:left w:val="nil"/>
              <w:bottom w:val="single" w:sz="12"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18 271.3</w:t>
            </w:r>
          </w:p>
        </w:tc>
        <w:tc>
          <w:tcPr>
            <w:tcW w:w="850" w:type="dxa"/>
            <w:tcBorders>
              <w:top w:val="single" w:sz="6" w:space="0" w:color="000000"/>
              <w:left w:val="nil"/>
              <w:bottom w:val="single" w:sz="12"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18 079.5</w:t>
            </w:r>
          </w:p>
        </w:tc>
        <w:tc>
          <w:tcPr>
            <w:tcW w:w="850" w:type="dxa"/>
            <w:tcBorders>
              <w:top w:val="single" w:sz="6" w:space="0" w:color="000000"/>
              <w:left w:val="nil"/>
              <w:bottom w:val="single" w:sz="12"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18 663.8</w:t>
            </w:r>
          </w:p>
        </w:tc>
        <w:tc>
          <w:tcPr>
            <w:tcW w:w="852" w:type="dxa"/>
            <w:tcBorders>
              <w:top w:val="single" w:sz="6" w:space="0" w:color="000000"/>
              <w:left w:val="nil"/>
              <w:bottom w:val="single" w:sz="12"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18 917.1</w:t>
            </w:r>
          </w:p>
        </w:tc>
      </w:tr>
    </w:tbl>
    <w:p w:rsidR="00965D85" w:rsidRPr="00DC0089" w:rsidRDefault="00965D85" w:rsidP="008B46DF">
      <w:pPr>
        <w:pStyle w:val="Notes"/>
        <w:rPr>
          <w:lang w:eastAsia="en-AU"/>
        </w:rPr>
      </w:pPr>
      <w:r w:rsidRPr="00DC0089">
        <w:rPr>
          <w:lang w:eastAsia="en-AU"/>
        </w:rPr>
        <w:t>Note:</w:t>
      </w:r>
    </w:p>
    <w:p w:rsidR="00965D85" w:rsidRDefault="00965D85" w:rsidP="008B46DF">
      <w:pPr>
        <w:pStyle w:val="Notes"/>
        <w:rPr>
          <w:lang w:eastAsia="en-AU"/>
        </w:rPr>
      </w:pPr>
      <w:r>
        <w:rPr>
          <w:lang w:eastAsia="en-AU"/>
        </w:rPr>
        <w:t xml:space="preserve">(a) </w:t>
      </w:r>
      <w:r>
        <w:rPr>
          <w:lang w:eastAsia="en-AU"/>
        </w:rPr>
        <w:tab/>
      </w:r>
      <w:r w:rsidRPr="00EC036C">
        <w:rPr>
          <w:i w:val="0"/>
          <w:lang w:eastAsia="en-AU"/>
        </w:rPr>
        <w:t>2015</w:t>
      </w:r>
      <w:r>
        <w:rPr>
          <w:i w:val="0"/>
          <w:lang w:eastAsia="en-AU"/>
        </w:rPr>
        <w:noBreakHyphen/>
      </w:r>
      <w:r w:rsidRPr="00EC036C">
        <w:rPr>
          <w:i w:val="0"/>
          <w:lang w:eastAsia="en-AU"/>
        </w:rPr>
        <w:t>16 Budget</w:t>
      </w:r>
      <w:r w:rsidRPr="00DC0089">
        <w:rPr>
          <w:lang w:eastAsia="en-AU"/>
        </w:rPr>
        <w:t xml:space="preserve"> figures have been reclassified to reflect more current information.</w:t>
      </w:r>
    </w:p>
    <w:p w:rsidR="00965D85" w:rsidRDefault="00965D85" w:rsidP="005559F8">
      <w:pPr>
        <w:rPr>
          <w:lang w:eastAsia="en-AU"/>
        </w:rPr>
      </w:pPr>
    </w:p>
    <w:p w:rsidR="00965D85" w:rsidRDefault="00965D85" w:rsidP="008B46DF">
      <w:pPr>
        <w:rPr>
          <w:lang w:eastAsia="en-AU"/>
        </w:rPr>
      </w:pPr>
    </w:p>
    <w:p w:rsidR="00965D85" w:rsidRDefault="00965D85" w:rsidP="008B46DF">
      <w:pPr>
        <w:pStyle w:val="Heading2Notes"/>
        <w:rPr>
          <w:lang w:eastAsia="en-AU"/>
        </w:rPr>
      </w:pPr>
      <w:bookmarkStart w:id="60" w:name="_Toc436138918"/>
      <w:r>
        <w:rPr>
          <w:lang w:eastAsia="en-AU"/>
        </w:rPr>
        <w:t>Note 12:</w:t>
      </w:r>
      <w:r>
        <w:rPr>
          <w:lang w:eastAsia="en-AU"/>
        </w:rPr>
        <w:tab/>
        <w:t>Total expenses by government purpose and by department</w:t>
      </w:r>
      <w:bookmarkEnd w:id="60"/>
    </w:p>
    <w:p w:rsidR="00965D85" w:rsidRDefault="00965D85" w:rsidP="008B46DF">
      <w:pPr>
        <w:pStyle w:val="Heading5"/>
        <w:rPr>
          <w:rFonts w:ascii="Times New Roman" w:hAnsi="Times New Roman"/>
          <w:i/>
          <w:sz w:val="20"/>
          <w:lang w:eastAsia="en-AU"/>
        </w:rPr>
      </w:pPr>
      <w:r>
        <w:rPr>
          <w:lang w:eastAsia="en-AU"/>
        </w:rPr>
        <w:t>(a)</w:t>
      </w:r>
      <w:r>
        <w:rPr>
          <w:lang w:eastAsia="en-AU"/>
        </w:rPr>
        <w:tab/>
        <w:t>Expenses by government purpose classification</w:t>
      </w:r>
      <w:r w:rsidRPr="006748A0">
        <w:rPr>
          <w:vertAlign w:val="superscript"/>
          <w:lang w:eastAsia="en-AU"/>
        </w:rPr>
        <w:t>(a)</w:t>
      </w:r>
    </w:p>
    <w:tbl>
      <w:tblPr>
        <w:tblW w:w="7767" w:type="dxa"/>
        <w:tblInd w:w="28" w:type="dxa"/>
        <w:tblLayout w:type="fixed"/>
        <w:tblCellMar>
          <w:left w:w="28" w:type="dxa"/>
          <w:right w:w="28" w:type="dxa"/>
        </w:tblCellMar>
        <w:tblLook w:val="0000" w:firstRow="0" w:lastRow="0" w:firstColumn="0" w:lastColumn="0" w:noHBand="0" w:noVBand="0"/>
      </w:tblPr>
      <w:tblGrid>
        <w:gridCol w:w="3261"/>
        <w:gridCol w:w="141"/>
        <w:gridCol w:w="760"/>
        <w:gridCol w:w="901"/>
        <w:gridCol w:w="901"/>
        <w:gridCol w:w="901"/>
        <w:gridCol w:w="902"/>
      </w:tblGrid>
      <w:tr w:rsidR="00965D85" w:rsidRPr="00E22AD9" w:rsidTr="008B46DF">
        <w:trPr>
          <w:tblHeader/>
        </w:trPr>
        <w:tc>
          <w:tcPr>
            <w:tcW w:w="7767" w:type="dxa"/>
            <w:gridSpan w:val="7"/>
            <w:tcBorders>
              <w:top w:val="nil"/>
              <w:left w:val="nil"/>
              <w:right w:val="nil"/>
            </w:tcBorders>
          </w:tcPr>
          <w:p w:rsidR="00965D85" w:rsidRPr="00E22AD9" w:rsidRDefault="00965D85" w:rsidP="008B46DF">
            <w:pPr>
              <w:pStyle w:val="million"/>
              <w:rPr>
                <w:rFonts w:eastAsiaTheme="minorEastAsia" w:cs="Calibri"/>
                <w:iCs/>
                <w:color w:val="000000"/>
                <w:sz w:val="20"/>
                <w:lang w:eastAsia="en-AU"/>
              </w:rPr>
            </w:pPr>
            <w:r w:rsidRPr="00E22AD9">
              <w:rPr>
                <w:rFonts w:eastAsiaTheme="minorEastAsia"/>
                <w:lang w:eastAsia="en-AU"/>
              </w:rPr>
              <w:t>($ million)</w:t>
            </w:r>
          </w:p>
        </w:tc>
      </w:tr>
      <w:tr w:rsidR="00965D85" w:rsidRPr="00E22AD9" w:rsidTr="008B46DF">
        <w:trPr>
          <w:trHeight w:val="503"/>
          <w:tblHeader/>
        </w:trPr>
        <w:tc>
          <w:tcPr>
            <w:tcW w:w="3261" w:type="dxa"/>
            <w:tcBorders>
              <w:top w:val="nil"/>
              <w:left w:val="nil"/>
              <w:right w:val="nil"/>
            </w:tcBorders>
            <w:shd w:val="solid" w:color="000000" w:fill="auto"/>
          </w:tcPr>
          <w:p w:rsidR="00965D85" w:rsidRPr="00E22AD9" w:rsidRDefault="00965D85" w:rsidP="008B46DF">
            <w:pPr>
              <w:autoSpaceDE w:val="0"/>
              <w:autoSpaceDN w:val="0"/>
              <w:adjustRightInd w:val="0"/>
              <w:spacing w:after="0"/>
              <w:rPr>
                <w:rFonts w:ascii="Calibri" w:eastAsiaTheme="minorEastAsia" w:hAnsi="Calibri" w:cs="Calibri"/>
                <w:i/>
                <w:iCs/>
                <w:color w:val="FFFFFF"/>
                <w:sz w:val="20"/>
                <w:lang w:eastAsia="en-AU"/>
              </w:rPr>
            </w:pPr>
            <w:r w:rsidRPr="00E22AD9">
              <w:rPr>
                <w:rFonts w:ascii="Calibri" w:eastAsiaTheme="minorEastAsia" w:hAnsi="Calibri" w:cs="Calibri"/>
                <w:i/>
                <w:iCs/>
                <w:color w:val="FFFFFF"/>
                <w:sz w:val="20"/>
                <w:lang w:eastAsia="en-AU"/>
              </w:rPr>
              <w:t xml:space="preserve"> </w:t>
            </w:r>
          </w:p>
          <w:p w:rsidR="00965D85" w:rsidRPr="00E22AD9" w:rsidRDefault="00965D85" w:rsidP="008B46DF">
            <w:pPr>
              <w:autoSpaceDE w:val="0"/>
              <w:autoSpaceDN w:val="0"/>
              <w:adjustRightInd w:val="0"/>
              <w:spacing w:after="0"/>
              <w:rPr>
                <w:rFonts w:ascii="Calibri" w:eastAsiaTheme="minorEastAsia" w:hAnsi="Calibri" w:cs="Calibri"/>
                <w:i/>
                <w:iCs/>
                <w:color w:val="FFFFFF"/>
                <w:sz w:val="20"/>
                <w:lang w:eastAsia="en-AU"/>
              </w:rPr>
            </w:pPr>
            <w:r w:rsidRPr="00E22AD9">
              <w:rPr>
                <w:rFonts w:ascii="Calibri" w:eastAsiaTheme="minorEastAsia" w:hAnsi="Calibri" w:cs="Calibri"/>
                <w:i/>
                <w:iCs/>
                <w:color w:val="FFFFFF"/>
                <w:sz w:val="20"/>
                <w:lang w:eastAsia="en-AU"/>
              </w:rPr>
              <w:t xml:space="preserve"> </w:t>
            </w:r>
          </w:p>
        </w:tc>
        <w:tc>
          <w:tcPr>
            <w:tcW w:w="901" w:type="dxa"/>
            <w:gridSpan w:val="2"/>
            <w:tcBorders>
              <w:top w:val="single" w:sz="6" w:space="0" w:color="auto"/>
              <w:left w:val="nil"/>
              <w:right w:val="nil"/>
            </w:tcBorders>
            <w:shd w:val="solid" w:color="000000" w:fill="auto"/>
          </w:tcPr>
          <w:p w:rsidR="00965D85" w:rsidRPr="00E22AD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E22AD9">
              <w:rPr>
                <w:rFonts w:ascii="Calibri" w:eastAsiaTheme="minorEastAsia" w:hAnsi="Calibri" w:cs="Calibri"/>
                <w:i/>
                <w:iCs/>
                <w:color w:val="FFFFFF"/>
                <w:sz w:val="20"/>
                <w:lang w:eastAsia="en-AU"/>
              </w:rPr>
              <w:t>2015</w:t>
            </w:r>
            <w:r>
              <w:rPr>
                <w:rFonts w:ascii="Calibri" w:eastAsiaTheme="minorEastAsia" w:hAnsi="Calibri" w:cs="Calibri"/>
                <w:i/>
                <w:iCs/>
                <w:color w:val="FFFFFF"/>
                <w:sz w:val="20"/>
                <w:lang w:eastAsia="en-AU"/>
              </w:rPr>
              <w:noBreakHyphen/>
            </w:r>
            <w:r w:rsidRPr="00E22AD9">
              <w:rPr>
                <w:rFonts w:ascii="Calibri" w:eastAsiaTheme="minorEastAsia" w:hAnsi="Calibri" w:cs="Calibri"/>
                <w:i/>
                <w:iCs/>
                <w:color w:val="FFFFFF"/>
                <w:sz w:val="20"/>
                <w:lang w:eastAsia="en-AU"/>
              </w:rPr>
              <w:t>16</w:t>
            </w:r>
          </w:p>
          <w:p w:rsidR="00965D85" w:rsidRPr="00E22AD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E22AD9">
              <w:rPr>
                <w:rFonts w:ascii="Calibri" w:eastAsiaTheme="minorEastAsia" w:hAnsi="Calibri" w:cs="Calibri"/>
                <w:i/>
                <w:iCs/>
                <w:color w:val="FFFFFF"/>
                <w:sz w:val="20"/>
                <w:lang w:eastAsia="en-AU"/>
              </w:rPr>
              <w:t>budget</w:t>
            </w:r>
            <w:r w:rsidRPr="00E22AD9">
              <w:rPr>
                <w:rFonts w:ascii="Calibri" w:eastAsiaTheme="minorEastAsia" w:hAnsi="Calibri" w:cs="Calibri"/>
                <w:i/>
                <w:iCs/>
                <w:color w:val="FFFFFF"/>
                <w:sz w:val="20"/>
                <w:vertAlign w:val="superscript"/>
                <w:lang w:eastAsia="en-AU"/>
              </w:rPr>
              <w:t>(b)</w:t>
            </w:r>
          </w:p>
        </w:tc>
        <w:tc>
          <w:tcPr>
            <w:tcW w:w="901" w:type="dxa"/>
            <w:tcBorders>
              <w:top w:val="single" w:sz="6" w:space="0" w:color="auto"/>
              <w:left w:val="nil"/>
              <w:right w:val="nil"/>
            </w:tcBorders>
            <w:shd w:val="solid" w:color="000000" w:fill="auto"/>
          </w:tcPr>
          <w:p w:rsidR="00965D85" w:rsidRPr="00E22AD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E22AD9">
              <w:rPr>
                <w:rFonts w:ascii="Calibri" w:eastAsiaTheme="minorEastAsia" w:hAnsi="Calibri" w:cs="Calibri"/>
                <w:i/>
                <w:iCs/>
                <w:color w:val="FFFFFF"/>
                <w:sz w:val="20"/>
                <w:lang w:eastAsia="en-AU"/>
              </w:rPr>
              <w:t>2015</w:t>
            </w:r>
            <w:r>
              <w:rPr>
                <w:rFonts w:ascii="Calibri" w:eastAsiaTheme="minorEastAsia" w:hAnsi="Calibri" w:cs="Calibri"/>
                <w:i/>
                <w:iCs/>
                <w:color w:val="FFFFFF"/>
                <w:sz w:val="20"/>
                <w:lang w:eastAsia="en-AU"/>
              </w:rPr>
              <w:noBreakHyphen/>
            </w:r>
            <w:r w:rsidRPr="00E22AD9">
              <w:rPr>
                <w:rFonts w:ascii="Calibri" w:eastAsiaTheme="minorEastAsia" w:hAnsi="Calibri" w:cs="Calibri"/>
                <w:i/>
                <w:iCs/>
                <w:color w:val="FFFFFF"/>
                <w:sz w:val="20"/>
                <w:lang w:eastAsia="en-AU"/>
              </w:rPr>
              <w:t>16</w:t>
            </w:r>
          </w:p>
          <w:p w:rsidR="00965D85" w:rsidRPr="00E22AD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E22AD9">
              <w:rPr>
                <w:rFonts w:ascii="Calibri" w:eastAsiaTheme="minorEastAsia" w:hAnsi="Calibri" w:cs="Calibri"/>
                <w:i/>
                <w:iCs/>
                <w:color w:val="FFFFFF"/>
                <w:sz w:val="20"/>
                <w:lang w:eastAsia="en-AU"/>
              </w:rPr>
              <w:t>revised</w:t>
            </w:r>
          </w:p>
        </w:tc>
        <w:tc>
          <w:tcPr>
            <w:tcW w:w="901" w:type="dxa"/>
            <w:tcBorders>
              <w:top w:val="single" w:sz="6" w:space="0" w:color="auto"/>
              <w:left w:val="nil"/>
              <w:right w:val="nil"/>
            </w:tcBorders>
            <w:shd w:val="solid" w:color="000000" w:fill="auto"/>
          </w:tcPr>
          <w:p w:rsidR="00965D85" w:rsidRPr="00E22AD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E22AD9">
              <w:rPr>
                <w:rFonts w:ascii="Calibri" w:eastAsiaTheme="minorEastAsia" w:hAnsi="Calibri" w:cs="Calibri"/>
                <w:i/>
                <w:iCs/>
                <w:color w:val="FFFFFF"/>
                <w:sz w:val="20"/>
                <w:lang w:eastAsia="en-AU"/>
              </w:rPr>
              <w:t>2016</w:t>
            </w:r>
            <w:r>
              <w:rPr>
                <w:rFonts w:ascii="Calibri" w:eastAsiaTheme="minorEastAsia" w:hAnsi="Calibri" w:cs="Calibri"/>
                <w:i/>
                <w:iCs/>
                <w:color w:val="FFFFFF"/>
                <w:sz w:val="20"/>
                <w:lang w:eastAsia="en-AU"/>
              </w:rPr>
              <w:noBreakHyphen/>
            </w:r>
            <w:r w:rsidRPr="00E22AD9">
              <w:rPr>
                <w:rFonts w:ascii="Calibri" w:eastAsiaTheme="minorEastAsia" w:hAnsi="Calibri" w:cs="Calibri"/>
                <w:i/>
                <w:iCs/>
                <w:color w:val="FFFFFF"/>
                <w:sz w:val="20"/>
                <w:lang w:eastAsia="en-AU"/>
              </w:rPr>
              <w:t>17</w:t>
            </w:r>
          </w:p>
          <w:p w:rsidR="00965D85" w:rsidRPr="00E22AD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E22AD9">
              <w:rPr>
                <w:rFonts w:ascii="Calibri" w:eastAsiaTheme="minorEastAsia" w:hAnsi="Calibri" w:cs="Calibri"/>
                <w:i/>
                <w:iCs/>
                <w:color w:val="FFFFFF"/>
                <w:sz w:val="20"/>
                <w:lang w:eastAsia="en-AU"/>
              </w:rPr>
              <w:t>estimate</w:t>
            </w:r>
          </w:p>
        </w:tc>
        <w:tc>
          <w:tcPr>
            <w:tcW w:w="901" w:type="dxa"/>
            <w:tcBorders>
              <w:top w:val="single" w:sz="6" w:space="0" w:color="auto"/>
              <w:left w:val="nil"/>
              <w:right w:val="nil"/>
            </w:tcBorders>
            <w:shd w:val="solid" w:color="000000" w:fill="auto"/>
          </w:tcPr>
          <w:p w:rsidR="00965D85" w:rsidRPr="00E22AD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E22AD9">
              <w:rPr>
                <w:rFonts w:ascii="Calibri" w:eastAsiaTheme="minorEastAsia" w:hAnsi="Calibri" w:cs="Calibri"/>
                <w:i/>
                <w:iCs/>
                <w:color w:val="FFFFFF"/>
                <w:sz w:val="20"/>
                <w:lang w:eastAsia="en-AU"/>
              </w:rPr>
              <w:t>2017</w:t>
            </w:r>
            <w:r>
              <w:rPr>
                <w:rFonts w:ascii="Calibri" w:eastAsiaTheme="minorEastAsia" w:hAnsi="Calibri" w:cs="Calibri"/>
                <w:i/>
                <w:iCs/>
                <w:color w:val="FFFFFF"/>
                <w:sz w:val="20"/>
                <w:lang w:eastAsia="en-AU"/>
              </w:rPr>
              <w:noBreakHyphen/>
            </w:r>
            <w:r w:rsidRPr="00E22AD9">
              <w:rPr>
                <w:rFonts w:ascii="Calibri" w:eastAsiaTheme="minorEastAsia" w:hAnsi="Calibri" w:cs="Calibri"/>
                <w:i/>
                <w:iCs/>
                <w:color w:val="FFFFFF"/>
                <w:sz w:val="20"/>
                <w:lang w:eastAsia="en-AU"/>
              </w:rPr>
              <w:t>18</w:t>
            </w:r>
          </w:p>
          <w:p w:rsidR="00965D85" w:rsidRPr="00E22AD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E22AD9">
              <w:rPr>
                <w:rFonts w:ascii="Calibri" w:eastAsiaTheme="minorEastAsia" w:hAnsi="Calibri" w:cs="Calibri"/>
                <w:i/>
                <w:iCs/>
                <w:color w:val="FFFFFF"/>
                <w:sz w:val="20"/>
                <w:lang w:eastAsia="en-AU"/>
              </w:rPr>
              <w:t>estimate</w:t>
            </w:r>
          </w:p>
        </w:tc>
        <w:tc>
          <w:tcPr>
            <w:tcW w:w="902" w:type="dxa"/>
            <w:tcBorders>
              <w:top w:val="single" w:sz="6" w:space="0" w:color="auto"/>
              <w:left w:val="nil"/>
              <w:right w:val="nil"/>
            </w:tcBorders>
            <w:shd w:val="solid" w:color="000000" w:fill="auto"/>
          </w:tcPr>
          <w:p w:rsidR="00965D85" w:rsidRPr="00E22AD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E22AD9">
              <w:rPr>
                <w:rFonts w:ascii="Calibri" w:eastAsiaTheme="minorEastAsia" w:hAnsi="Calibri" w:cs="Calibri"/>
                <w:i/>
                <w:iCs/>
                <w:color w:val="FFFFFF"/>
                <w:sz w:val="20"/>
                <w:lang w:eastAsia="en-AU"/>
              </w:rPr>
              <w:t>2018</w:t>
            </w:r>
            <w:r>
              <w:rPr>
                <w:rFonts w:ascii="Calibri" w:eastAsiaTheme="minorEastAsia" w:hAnsi="Calibri" w:cs="Calibri"/>
                <w:i/>
                <w:iCs/>
                <w:color w:val="FFFFFF"/>
                <w:sz w:val="20"/>
                <w:lang w:eastAsia="en-AU"/>
              </w:rPr>
              <w:noBreakHyphen/>
            </w:r>
            <w:r w:rsidRPr="00E22AD9">
              <w:rPr>
                <w:rFonts w:ascii="Calibri" w:eastAsiaTheme="minorEastAsia" w:hAnsi="Calibri" w:cs="Calibri"/>
                <w:i/>
                <w:iCs/>
                <w:color w:val="FFFFFF"/>
                <w:sz w:val="20"/>
                <w:lang w:eastAsia="en-AU"/>
              </w:rPr>
              <w:t>19</w:t>
            </w:r>
          </w:p>
          <w:p w:rsidR="00965D85" w:rsidRPr="00E22AD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E22AD9">
              <w:rPr>
                <w:rFonts w:ascii="Calibri" w:eastAsiaTheme="minorEastAsia" w:hAnsi="Calibri" w:cs="Calibri"/>
                <w:i/>
                <w:iCs/>
                <w:color w:val="FFFFFF"/>
                <w:sz w:val="20"/>
                <w:lang w:eastAsia="en-AU"/>
              </w:rPr>
              <w:t>estimate</w:t>
            </w:r>
          </w:p>
        </w:tc>
      </w:tr>
      <w:tr w:rsidR="00965D85" w:rsidRPr="00E22AD9" w:rsidTr="008B46DF">
        <w:tc>
          <w:tcPr>
            <w:tcW w:w="3261" w:type="dxa"/>
            <w:tcBorders>
              <w:top w:val="single" w:sz="6" w:space="0" w:color="auto"/>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Expenses</w:t>
            </w:r>
          </w:p>
        </w:tc>
        <w:tc>
          <w:tcPr>
            <w:tcW w:w="901" w:type="dxa"/>
            <w:gridSpan w:val="2"/>
            <w:tcBorders>
              <w:top w:val="single" w:sz="6" w:space="0" w:color="auto"/>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i/>
                <w:iCs/>
                <w:color w:val="000000"/>
                <w:sz w:val="20"/>
                <w:lang w:eastAsia="en-AU"/>
              </w:rPr>
            </w:pPr>
          </w:p>
        </w:tc>
        <w:tc>
          <w:tcPr>
            <w:tcW w:w="901" w:type="dxa"/>
            <w:tcBorders>
              <w:top w:val="single" w:sz="6" w:space="0" w:color="auto"/>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i/>
                <w:iCs/>
                <w:color w:val="000000"/>
                <w:sz w:val="20"/>
                <w:lang w:eastAsia="en-AU"/>
              </w:rPr>
            </w:pPr>
          </w:p>
        </w:tc>
        <w:tc>
          <w:tcPr>
            <w:tcW w:w="901" w:type="dxa"/>
            <w:tcBorders>
              <w:top w:val="single" w:sz="6" w:space="0" w:color="auto"/>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i/>
                <w:iCs/>
                <w:color w:val="000000"/>
                <w:sz w:val="20"/>
                <w:lang w:eastAsia="en-AU"/>
              </w:rPr>
            </w:pPr>
          </w:p>
        </w:tc>
        <w:tc>
          <w:tcPr>
            <w:tcW w:w="901" w:type="dxa"/>
            <w:tcBorders>
              <w:top w:val="single" w:sz="6" w:space="0" w:color="auto"/>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i/>
                <w:iCs/>
                <w:color w:val="000000"/>
                <w:sz w:val="20"/>
                <w:lang w:eastAsia="en-AU"/>
              </w:rPr>
            </w:pPr>
          </w:p>
        </w:tc>
        <w:tc>
          <w:tcPr>
            <w:tcW w:w="902" w:type="dxa"/>
            <w:tcBorders>
              <w:top w:val="single" w:sz="6" w:space="0" w:color="auto"/>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i/>
                <w:iCs/>
                <w:color w:val="000000"/>
                <w:sz w:val="20"/>
                <w:lang w:eastAsia="en-AU"/>
              </w:rPr>
            </w:pPr>
          </w:p>
        </w:tc>
      </w:tr>
      <w:tr w:rsidR="00965D85" w:rsidRPr="00E22AD9" w:rsidTr="008B46DF">
        <w:tc>
          <w:tcPr>
            <w:tcW w:w="3261" w:type="dxa"/>
            <w:tcBorders>
              <w:top w:val="nil"/>
              <w:left w:val="nil"/>
              <w:right w:val="nil"/>
            </w:tcBorders>
            <w:shd w:val="clear" w:color="000000"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20"/>
                <w:vertAlign w:val="superscript"/>
                <w:lang w:eastAsia="en-AU"/>
              </w:rPr>
            </w:pPr>
            <w:r w:rsidRPr="00E22AD9">
              <w:rPr>
                <w:rFonts w:ascii="Calibri" w:eastAsiaTheme="minorEastAsia" w:hAnsi="Calibri" w:cs="Calibri"/>
                <w:color w:val="000000"/>
                <w:sz w:val="20"/>
                <w:lang w:eastAsia="en-AU"/>
              </w:rPr>
              <w:t>General public services</w:t>
            </w:r>
          </w:p>
        </w:tc>
        <w:tc>
          <w:tcPr>
            <w:tcW w:w="901" w:type="dxa"/>
            <w:gridSpan w:val="2"/>
            <w:tcBorders>
              <w:top w:val="nil"/>
              <w:left w:val="nil"/>
              <w:right w:val="nil"/>
            </w:tcBorders>
            <w:shd w:val="clear" w:color="000000"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2 065.2</w:t>
            </w:r>
          </w:p>
        </w:tc>
        <w:tc>
          <w:tcPr>
            <w:tcW w:w="901" w:type="dxa"/>
            <w:tcBorders>
              <w:top w:val="nil"/>
              <w:left w:val="nil"/>
              <w:right w:val="nil"/>
            </w:tcBorders>
            <w:shd w:val="clear" w:color="000000"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2 134.5</w:t>
            </w:r>
          </w:p>
        </w:tc>
        <w:tc>
          <w:tcPr>
            <w:tcW w:w="901" w:type="dxa"/>
            <w:tcBorders>
              <w:top w:val="nil"/>
              <w:left w:val="nil"/>
              <w:right w:val="nil"/>
            </w:tcBorders>
            <w:shd w:val="clear" w:color="000000"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1 903.1</w:t>
            </w:r>
          </w:p>
        </w:tc>
        <w:tc>
          <w:tcPr>
            <w:tcW w:w="901" w:type="dxa"/>
            <w:tcBorders>
              <w:top w:val="nil"/>
              <w:left w:val="nil"/>
              <w:right w:val="nil"/>
            </w:tcBorders>
            <w:shd w:val="clear" w:color="000000"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1 643.5</w:t>
            </w:r>
          </w:p>
        </w:tc>
        <w:tc>
          <w:tcPr>
            <w:tcW w:w="902" w:type="dxa"/>
            <w:tcBorders>
              <w:top w:val="nil"/>
              <w:left w:val="nil"/>
              <w:right w:val="nil"/>
            </w:tcBorders>
            <w:shd w:val="clear" w:color="000000"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1 666.3</w:t>
            </w:r>
          </w:p>
        </w:tc>
      </w:tr>
      <w:tr w:rsidR="00965D85" w:rsidRPr="00E22AD9" w:rsidTr="008B46DF">
        <w:tc>
          <w:tcPr>
            <w:tcW w:w="3261" w:type="dxa"/>
            <w:tcBorders>
              <w:top w:val="nil"/>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Public order and safety</w:t>
            </w:r>
          </w:p>
        </w:tc>
        <w:tc>
          <w:tcPr>
            <w:tcW w:w="901" w:type="dxa"/>
            <w:gridSpan w:val="2"/>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6 164.5</w:t>
            </w:r>
          </w:p>
        </w:tc>
        <w:tc>
          <w:tcPr>
            <w:tcW w:w="901"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6 249.4</w:t>
            </w:r>
          </w:p>
        </w:tc>
        <w:tc>
          <w:tcPr>
            <w:tcW w:w="901"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6 211.5</w:t>
            </w:r>
          </w:p>
        </w:tc>
        <w:tc>
          <w:tcPr>
            <w:tcW w:w="901"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6 455.0</w:t>
            </w:r>
          </w:p>
        </w:tc>
        <w:tc>
          <w:tcPr>
            <w:tcW w:w="902"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6 628.8</w:t>
            </w:r>
          </w:p>
        </w:tc>
      </w:tr>
      <w:tr w:rsidR="00965D85" w:rsidRPr="00E22AD9" w:rsidTr="008B46DF">
        <w:tc>
          <w:tcPr>
            <w:tcW w:w="3261" w:type="dxa"/>
            <w:tcBorders>
              <w:top w:val="nil"/>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Education</w:t>
            </w:r>
          </w:p>
        </w:tc>
        <w:tc>
          <w:tcPr>
            <w:tcW w:w="901" w:type="dxa"/>
            <w:gridSpan w:val="2"/>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14 049.4</w:t>
            </w:r>
          </w:p>
        </w:tc>
        <w:tc>
          <w:tcPr>
            <w:tcW w:w="901"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14 209.2</w:t>
            </w:r>
          </w:p>
        </w:tc>
        <w:tc>
          <w:tcPr>
            <w:tcW w:w="901"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14 621.3</w:t>
            </w:r>
          </w:p>
        </w:tc>
        <w:tc>
          <w:tcPr>
            <w:tcW w:w="901"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15 149.8</w:t>
            </w:r>
          </w:p>
        </w:tc>
        <w:tc>
          <w:tcPr>
            <w:tcW w:w="902"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15 272.1</w:t>
            </w:r>
          </w:p>
        </w:tc>
      </w:tr>
      <w:tr w:rsidR="00965D85" w:rsidRPr="00E22AD9" w:rsidTr="008B46DF">
        <w:tc>
          <w:tcPr>
            <w:tcW w:w="3261" w:type="dxa"/>
            <w:tcBorders>
              <w:top w:val="nil"/>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20"/>
                <w:vertAlign w:val="superscript"/>
                <w:lang w:eastAsia="en-AU"/>
              </w:rPr>
            </w:pPr>
            <w:r w:rsidRPr="00E22AD9">
              <w:rPr>
                <w:rFonts w:ascii="Calibri" w:eastAsiaTheme="minorEastAsia" w:hAnsi="Calibri" w:cs="Calibri"/>
                <w:color w:val="000000"/>
                <w:sz w:val="20"/>
                <w:lang w:eastAsia="en-AU"/>
              </w:rPr>
              <w:t>Health</w:t>
            </w:r>
          </w:p>
        </w:tc>
        <w:tc>
          <w:tcPr>
            <w:tcW w:w="901" w:type="dxa"/>
            <w:gridSpan w:val="2"/>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15 264.5</w:t>
            </w:r>
          </w:p>
        </w:tc>
        <w:tc>
          <w:tcPr>
            <w:tcW w:w="901"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15 240.0</w:t>
            </w:r>
          </w:p>
        </w:tc>
        <w:tc>
          <w:tcPr>
            <w:tcW w:w="901"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15 711.9</w:t>
            </w:r>
          </w:p>
        </w:tc>
        <w:tc>
          <w:tcPr>
            <w:tcW w:w="901"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16 258.3</w:t>
            </w:r>
          </w:p>
        </w:tc>
        <w:tc>
          <w:tcPr>
            <w:tcW w:w="902"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16 768.9</w:t>
            </w:r>
          </w:p>
        </w:tc>
      </w:tr>
      <w:tr w:rsidR="00965D85" w:rsidRPr="00E22AD9" w:rsidTr="008B46DF">
        <w:tc>
          <w:tcPr>
            <w:tcW w:w="3261" w:type="dxa"/>
            <w:tcBorders>
              <w:top w:val="nil"/>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20"/>
                <w:vertAlign w:val="superscript"/>
                <w:lang w:eastAsia="en-AU"/>
              </w:rPr>
            </w:pPr>
            <w:r w:rsidRPr="00E22AD9">
              <w:rPr>
                <w:rFonts w:ascii="Calibri" w:eastAsiaTheme="minorEastAsia" w:hAnsi="Calibri" w:cs="Calibri"/>
                <w:color w:val="000000"/>
                <w:sz w:val="20"/>
                <w:lang w:eastAsia="en-AU"/>
              </w:rPr>
              <w:t>Social security and welfare</w:t>
            </w:r>
            <w:r w:rsidRPr="00E22AD9">
              <w:rPr>
                <w:rFonts w:ascii="Calibri" w:eastAsiaTheme="minorEastAsia" w:hAnsi="Calibri" w:cs="Calibri"/>
                <w:color w:val="000000"/>
                <w:sz w:val="20"/>
                <w:vertAlign w:val="superscript"/>
                <w:lang w:eastAsia="en-AU"/>
              </w:rPr>
              <w:t>(c)</w:t>
            </w:r>
          </w:p>
        </w:tc>
        <w:tc>
          <w:tcPr>
            <w:tcW w:w="901" w:type="dxa"/>
            <w:gridSpan w:val="2"/>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4 360.6</w:t>
            </w:r>
          </w:p>
        </w:tc>
        <w:tc>
          <w:tcPr>
            <w:tcW w:w="901"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4 338.2</w:t>
            </w:r>
          </w:p>
        </w:tc>
        <w:tc>
          <w:tcPr>
            <w:tcW w:w="901"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3 991.7</w:t>
            </w:r>
          </w:p>
        </w:tc>
        <w:tc>
          <w:tcPr>
            <w:tcW w:w="901"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4 345.2</w:t>
            </w:r>
          </w:p>
        </w:tc>
        <w:tc>
          <w:tcPr>
            <w:tcW w:w="902"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4 744.0</w:t>
            </w:r>
          </w:p>
        </w:tc>
      </w:tr>
      <w:tr w:rsidR="00965D85" w:rsidRPr="00E22AD9" w:rsidTr="008B46DF">
        <w:tc>
          <w:tcPr>
            <w:tcW w:w="3261" w:type="dxa"/>
            <w:tcBorders>
              <w:top w:val="nil"/>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20"/>
                <w:vertAlign w:val="superscript"/>
                <w:lang w:eastAsia="en-AU"/>
              </w:rPr>
            </w:pPr>
            <w:r w:rsidRPr="00E22AD9">
              <w:rPr>
                <w:rFonts w:ascii="Calibri" w:eastAsiaTheme="minorEastAsia" w:hAnsi="Calibri" w:cs="Calibri"/>
                <w:color w:val="000000"/>
                <w:sz w:val="20"/>
                <w:lang w:eastAsia="en-AU"/>
              </w:rPr>
              <w:t>Housing and community amenities</w:t>
            </w:r>
            <w:r w:rsidRPr="00E22AD9">
              <w:rPr>
                <w:rFonts w:ascii="Calibri" w:eastAsiaTheme="minorEastAsia" w:hAnsi="Calibri" w:cs="Calibri"/>
                <w:color w:val="000000"/>
                <w:sz w:val="20"/>
                <w:vertAlign w:val="superscript"/>
                <w:lang w:eastAsia="en-AU"/>
              </w:rPr>
              <w:t>(d)</w:t>
            </w:r>
          </w:p>
        </w:tc>
        <w:tc>
          <w:tcPr>
            <w:tcW w:w="901" w:type="dxa"/>
            <w:gridSpan w:val="2"/>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3 169.7</w:t>
            </w:r>
          </w:p>
        </w:tc>
        <w:tc>
          <w:tcPr>
            <w:tcW w:w="901"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3 022.9</w:t>
            </w:r>
          </w:p>
        </w:tc>
        <w:tc>
          <w:tcPr>
            <w:tcW w:w="901"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2 957.1</w:t>
            </w:r>
          </w:p>
        </w:tc>
        <w:tc>
          <w:tcPr>
            <w:tcW w:w="901"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2 843.9</w:t>
            </w:r>
          </w:p>
        </w:tc>
        <w:tc>
          <w:tcPr>
            <w:tcW w:w="902"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2 739.9</w:t>
            </w:r>
          </w:p>
        </w:tc>
      </w:tr>
      <w:tr w:rsidR="00965D85" w:rsidRPr="00E22AD9" w:rsidTr="008B46DF">
        <w:tc>
          <w:tcPr>
            <w:tcW w:w="3261" w:type="dxa"/>
            <w:tcBorders>
              <w:top w:val="nil"/>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Recreation and culture</w:t>
            </w:r>
          </w:p>
        </w:tc>
        <w:tc>
          <w:tcPr>
            <w:tcW w:w="901" w:type="dxa"/>
            <w:gridSpan w:val="2"/>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647.4</w:t>
            </w:r>
          </w:p>
        </w:tc>
        <w:tc>
          <w:tcPr>
            <w:tcW w:w="901"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699.2</w:t>
            </w:r>
          </w:p>
        </w:tc>
        <w:tc>
          <w:tcPr>
            <w:tcW w:w="901"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646.2</w:t>
            </w:r>
          </w:p>
        </w:tc>
        <w:tc>
          <w:tcPr>
            <w:tcW w:w="901"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626.3</w:t>
            </w:r>
          </w:p>
        </w:tc>
        <w:tc>
          <w:tcPr>
            <w:tcW w:w="902"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623.7</w:t>
            </w:r>
          </w:p>
        </w:tc>
      </w:tr>
      <w:tr w:rsidR="00965D85" w:rsidRPr="00E22AD9" w:rsidTr="008B46DF">
        <w:tc>
          <w:tcPr>
            <w:tcW w:w="3261" w:type="dxa"/>
            <w:tcBorders>
              <w:top w:val="nil"/>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Fuel and energy</w:t>
            </w:r>
          </w:p>
        </w:tc>
        <w:tc>
          <w:tcPr>
            <w:tcW w:w="901" w:type="dxa"/>
            <w:gridSpan w:val="2"/>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184.6</w:t>
            </w:r>
          </w:p>
        </w:tc>
        <w:tc>
          <w:tcPr>
            <w:tcW w:w="901"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211.3</w:t>
            </w:r>
          </w:p>
        </w:tc>
        <w:tc>
          <w:tcPr>
            <w:tcW w:w="901"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177.6</w:t>
            </w:r>
          </w:p>
        </w:tc>
        <w:tc>
          <w:tcPr>
            <w:tcW w:w="901"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192.7</w:t>
            </w:r>
          </w:p>
        </w:tc>
        <w:tc>
          <w:tcPr>
            <w:tcW w:w="902"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123.3</w:t>
            </w:r>
          </w:p>
        </w:tc>
      </w:tr>
      <w:tr w:rsidR="00965D85" w:rsidRPr="00E22AD9" w:rsidTr="008B46DF">
        <w:tc>
          <w:tcPr>
            <w:tcW w:w="3402" w:type="dxa"/>
            <w:gridSpan w:val="2"/>
            <w:tcBorders>
              <w:top w:val="nil"/>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Agriculture, forestry, fishing, and hunting</w:t>
            </w:r>
          </w:p>
        </w:tc>
        <w:tc>
          <w:tcPr>
            <w:tcW w:w="760"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375.9</w:t>
            </w:r>
          </w:p>
        </w:tc>
        <w:tc>
          <w:tcPr>
            <w:tcW w:w="901"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404.0</w:t>
            </w:r>
          </w:p>
        </w:tc>
        <w:tc>
          <w:tcPr>
            <w:tcW w:w="901"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358.0</w:t>
            </w:r>
          </w:p>
        </w:tc>
        <w:tc>
          <w:tcPr>
            <w:tcW w:w="901"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356.2</w:t>
            </w:r>
          </w:p>
        </w:tc>
        <w:tc>
          <w:tcPr>
            <w:tcW w:w="902"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352.8</w:t>
            </w:r>
          </w:p>
        </w:tc>
      </w:tr>
      <w:tr w:rsidR="00965D85" w:rsidRPr="00E22AD9" w:rsidTr="008B46DF">
        <w:tc>
          <w:tcPr>
            <w:tcW w:w="3261" w:type="dxa"/>
            <w:tcBorders>
              <w:top w:val="nil"/>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Transport and communications</w:t>
            </w:r>
          </w:p>
        </w:tc>
        <w:tc>
          <w:tcPr>
            <w:tcW w:w="901" w:type="dxa"/>
            <w:gridSpan w:val="2"/>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6 342.8</w:t>
            </w:r>
          </w:p>
        </w:tc>
        <w:tc>
          <w:tcPr>
            <w:tcW w:w="901"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6 386.7</w:t>
            </w:r>
          </w:p>
        </w:tc>
        <w:tc>
          <w:tcPr>
            <w:tcW w:w="901"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6 526.3</w:t>
            </w:r>
          </w:p>
        </w:tc>
        <w:tc>
          <w:tcPr>
            <w:tcW w:w="901"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6 451.4</w:t>
            </w:r>
          </w:p>
        </w:tc>
        <w:tc>
          <w:tcPr>
            <w:tcW w:w="902"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6 548.0</w:t>
            </w:r>
          </w:p>
        </w:tc>
      </w:tr>
      <w:tr w:rsidR="00965D85" w:rsidRPr="00E22AD9" w:rsidTr="008B46DF">
        <w:tc>
          <w:tcPr>
            <w:tcW w:w="3261" w:type="dxa"/>
            <w:tcBorders>
              <w:top w:val="nil"/>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Other economic affairs</w:t>
            </w:r>
          </w:p>
        </w:tc>
        <w:tc>
          <w:tcPr>
            <w:tcW w:w="901" w:type="dxa"/>
            <w:gridSpan w:val="2"/>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841.1</w:t>
            </w:r>
          </w:p>
        </w:tc>
        <w:tc>
          <w:tcPr>
            <w:tcW w:w="901"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962.9</w:t>
            </w:r>
          </w:p>
        </w:tc>
        <w:tc>
          <w:tcPr>
            <w:tcW w:w="901"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799.2</w:t>
            </w:r>
          </w:p>
        </w:tc>
        <w:tc>
          <w:tcPr>
            <w:tcW w:w="901"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772.7</w:t>
            </w:r>
          </w:p>
        </w:tc>
        <w:tc>
          <w:tcPr>
            <w:tcW w:w="902"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644.0</w:t>
            </w:r>
          </w:p>
        </w:tc>
      </w:tr>
      <w:tr w:rsidR="00965D85" w:rsidRPr="00E22AD9" w:rsidTr="008B46DF">
        <w:tc>
          <w:tcPr>
            <w:tcW w:w="3261" w:type="dxa"/>
            <w:tcBorders>
              <w:top w:val="nil"/>
              <w:left w:val="nil"/>
              <w:bottom w:val="single" w:sz="6" w:space="0" w:color="auto"/>
              <w:right w:val="nil"/>
            </w:tcBorders>
            <w:shd w:val="clear" w:color="000000"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20"/>
                <w:vertAlign w:val="superscript"/>
                <w:lang w:eastAsia="en-AU"/>
              </w:rPr>
            </w:pPr>
            <w:r w:rsidRPr="00E22AD9">
              <w:rPr>
                <w:rFonts w:ascii="Calibri" w:eastAsiaTheme="minorEastAsia" w:hAnsi="Calibri" w:cs="Calibri"/>
                <w:color w:val="000000"/>
                <w:sz w:val="20"/>
                <w:lang w:eastAsia="en-AU"/>
              </w:rPr>
              <w:t>Other purposes</w:t>
            </w:r>
            <w:r w:rsidRPr="00E22AD9">
              <w:rPr>
                <w:rFonts w:ascii="Calibri" w:eastAsiaTheme="minorEastAsia" w:hAnsi="Calibri" w:cs="Calibri"/>
                <w:color w:val="000000"/>
                <w:sz w:val="20"/>
                <w:vertAlign w:val="superscript"/>
                <w:lang w:eastAsia="en-AU"/>
              </w:rPr>
              <w:t>(e)</w:t>
            </w:r>
          </w:p>
        </w:tc>
        <w:tc>
          <w:tcPr>
            <w:tcW w:w="901" w:type="dxa"/>
            <w:gridSpan w:val="2"/>
            <w:tcBorders>
              <w:top w:val="nil"/>
              <w:left w:val="nil"/>
              <w:bottom w:val="single" w:sz="6" w:space="0" w:color="auto"/>
              <w:right w:val="nil"/>
            </w:tcBorders>
            <w:shd w:val="clear" w:color="000000"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844.2</w:t>
            </w:r>
          </w:p>
        </w:tc>
        <w:tc>
          <w:tcPr>
            <w:tcW w:w="901" w:type="dxa"/>
            <w:tcBorders>
              <w:top w:val="nil"/>
              <w:left w:val="nil"/>
              <w:bottom w:val="single" w:sz="6" w:space="0" w:color="auto"/>
              <w:right w:val="nil"/>
            </w:tcBorders>
            <w:shd w:val="clear" w:color="000000"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496.2</w:t>
            </w:r>
          </w:p>
        </w:tc>
        <w:tc>
          <w:tcPr>
            <w:tcW w:w="901" w:type="dxa"/>
            <w:tcBorders>
              <w:top w:val="nil"/>
              <w:left w:val="nil"/>
              <w:bottom w:val="single" w:sz="6" w:space="0" w:color="auto"/>
              <w:right w:val="nil"/>
            </w:tcBorders>
            <w:shd w:val="clear" w:color="000000"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1 787.4</w:t>
            </w:r>
          </w:p>
        </w:tc>
        <w:tc>
          <w:tcPr>
            <w:tcW w:w="901" w:type="dxa"/>
            <w:tcBorders>
              <w:top w:val="nil"/>
              <w:left w:val="nil"/>
              <w:bottom w:val="single" w:sz="6" w:space="0" w:color="auto"/>
              <w:right w:val="nil"/>
            </w:tcBorders>
            <w:shd w:val="clear" w:color="000000"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2 660.9</w:t>
            </w:r>
          </w:p>
        </w:tc>
        <w:tc>
          <w:tcPr>
            <w:tcW w:w="902" w:type="dxa"/>
            <w:tcBorders>
              <w:top w:val="nil"/>
              <w:left w:val="nil"/>
              <w:bottom w:val="single" w:sz="6" w:space="0" w:color="auto"/>
              <w:right w:val="nil"/>
            </w:tcBorders>
            <w:shd w:val="clear" w:color="000000"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3 331.5</w:t>
            </w:r>
          </w:p>
        </w:tc>
      </w:tr>
      <w:tr w:rsidR="00965D85" w:rsidRPr="00E22AD9" w:rsidTr="008B46DF">
        <w:tc>
          <w:tcPr>
            <w:tcW w:w="3261" w:type="dxa"/>
            <w:tcBorders>
              <w:top w:val="single" w:sz="6" w:space="0" w:color="auto"/>
              <w:left w:val="nil"/>
              <w:bottom w:val="single" w:sz="12" w:space="0" w:color="auto"/>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 xml:space="preserve">Total expenses by government purpose classification </w:t>
            </w:r>
          </w:p>
        </w:tc>
        <w:tc>
          <w:tcPr>
            <w:tcW w:w="901" w:type="dxa"/>
            <w:gridSpan w:val="2"/>
            <w:tcBorders>
              <w:top w:val="single" w:sz="6" w:space="0" w:color="auto"/>
              <w:left w:val="nil"/>
              <w:bottom w:val="single" w:sz="12" w:space="0" w:color="auto"/>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54 309.8</w:t>
            </w:r>
          </w:p>
        </w:tc>
        <w:tc>
          <w:tcPr>
            <w:tcW w:w="901" w:type="dxa"/>
            <w:tcBorders>
              <w:top w:val="single" w:sz="6" w:space="0" w:color="auto"/>
              <w:left w:val="nil"/>
              <w:bottom w:val="single" w:sz="12" w:space="0" w:color="auto"/>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54 354.5</w:t>
            </w:r>
          </w:p>
        </w:tc>
        <w:tc>
          <w:tcPr>
            <w:tcW w:w="901" w:type="dxa"/>
            <w:tcBorders>
              <w:top w:val="single" w:sz="6" w:space="0" w:color="auto"/>
              <w:left w:val="nil"/>
              <w:bottom w:val="single" w:sz="12" w:space="0" w:color="auto"/>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55 691.2</w:t>
            </w:r>
          </w:p>
        </w:tc>
        <w:tc>
          <w:tcPr>
            <w:tcW w:w="901" w:type="dxa"/>
            <w:tcBorders>
              <w:top w:val="single" w:sz="6" w:space="0" w:color="auto"/>
              <w:left w:val="nil"/>
              <w:bottom w:val="single" w:sz="12" w:space="0" w:color="auto"/>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57 755.9</w:t>
            </w:r>
          </w:p>
        </w:tc>
        <w:tc>
          <w:tcPr>
            <w:tcW w:w="902" w:type="dxa"/>
            <w:tcBorders>
              <w:top w:val="single" w:sz="6" w:space="0" w:color="auto"/>
              <w:left w:val="nil"/>
              <w:bottom w:val="single" w:sz="12" w:space="0" w:color="auto"/>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59 443.3</w:t>
            </w:r>
          </w:p>
        </w:tc>
      </w:tr>
    </w:tbl>
    <w:p w:rsidR="00965D85" w:rsidRDefault="00965D85" w:rsidP="008B46DF">
      <w:pPr>
        <w:pStyle w:val="Notes"/>
        <w:rPr>
          <w:lang w:eastAsia="en-AU"/>
        </w:rPr>
      </w:pPr>
      <w:r>
        <w:rPr>
          <w:lang w:eastAsia="en-AU"/>
        </w:rPr>
        <w:t>Notes:</w:t>
      </w:r>
    </w:p>
    <w:p w:rsidR="00965D85" w:rsidRDefault="00965D85" w:rsidP="008B46DF">
      <w:pPr>
        <w:pStyle w:val="Notes"/>
        <w:rPr>
          <w:lang w:eastAsia="en-AU"/>
        </w:rPr>
      </w:pPr>
      <w:r>
        <w:rPr>
          <w:lang w:eastAsia="en-AU"/>
        </w:rPr>
        <w:t>(a)</w:t>
      </w:r>
      <w:r>
        <w:rPr>
          <w:lang w:eastAsia="en-AU"/>
        </w:rPr>
        <w:tab/>
        <w:t xml:space="preserve">Note 41 of the </w:t>
      </w:r>
      <w:r w:rsidRPr="007E5478">
        <w:rPr>
          <w:i w:val="0"/>
          <w:lang w:eastAsia="en-AU"/>
        </w:rPr>
        <w:t>2014</w:t>
      </w:r>
      <w:r>
        <w:rPr>
          <w:i w:val="0"/>
          <w:lang w:eastAsia="en-AU"/>
        </w:rPr>
        <w:noBreakHyphen/>
      </w:r>
      <w:r w:rsidRPr="007E5478">
        <w:rPr>
          <w:i w:val="0"/>
          <w:lang w:eastAsia="en-AU"/>
        </w:rPr>
        <w:t>15 Financial Report</w:t>
      </w:r>
      <w:r>
        <w:rPr>
          <w:lang w:eastAsia="en-AU"/>
        </w:rPr>
        <w:t xml:space="preserve"> for the State of Victoria provides definitions and descriptions of government purpose classifications.</w:t>
      </w:r>
    </w:p>
    <w:p w:rsidR="00965D85" w:rsidRDefault="00965D85" w:rsidP="008B46DF">
      <w:pPr>
        <w:pStyle w:val="Notes"/>
        <w:rPr>
          <w:lang w:eastAsia="en-AU"/>
        </w:rPr>
      </w:pPr>
      <w:r>
        <w:rPr>
          <w:lang w:eastAsia="en-AU"/>
        </w:rPr>
        <w:t>(b)</w:t>
      </w:r>
      <w:r>
        <w:rPr>
          <w:lang w:eastAsia="en-AU"/>
        </w:rPr>
        <w:tab/>
      </w:r>
      <w:r w:rsidRPr="00607912">
        <w:rPr>
          <w:i w:val="0"/>
          <w:lang w:eastAsia="en-AU"/>
        </w:rPr>
        <w:t>2015</w:t>
      </w:r>
      <w:r>
        <w:rPr>
          <w:i w:val="0"/>
          <w:lang w:eastAsia="en-AU"/>
        </w:rPr>
        <w:noBreakHyphen/>
      </w:r>
      <w:r w:rsidRPr="00607912">
        <w:rPr>
          <w:i w:val="0"/>
          <w:lang w:eastAsia="en-AU"/>
        </w:rPr>
        <w:t>16 Budget</w:t>
      </w:r>
      <w:r w:rsidRPr="00607912">
        <w:rPr>
          <w:lang w:eastAsia="en-AU"/>
        </w:rPr>
        <w:t xml:space="preserve"> figures have been restated to reflect more current information.</w:t>
      </w:r>
    </w:p>
    <w:p w:rsidR="00965D85" w:rsidRDefault="00965D85" w:rsidP="008B46DF">
      <w:pPr>
        <w:pStyle w:val="Notes"/>
        <w:rPr>
          <w:lang w:eastAsia="en-AU"/>
        </w:rPr>
      </w:pPr>
      <w:r>
        <w:rPr>
          <w:lang w:eastAsia="en-AU"/>
        </w:rPr>
        <w:t>(c)</w:t>
      </w:r>
      <w:r>
        <w:rPr>
          <w:lang w:eastAsia="en-AU"/>
        </w:rPr>
        <w:tab/>
        <w:t>From July 2016, the Commonwealth will be responsible for home support and related disability services for people aged over 65 years. Health expenditure is adjusted from 2016</w:t>
      </w:r>
      <w:r>
        <w:rPr>
          <w:lang w:eastAsia="en-AU"/>
        </w:rPr>
        <w:noBreakHyphen/>
        <w:t>17 to reflect this transfer. The State’s contribution to the National Disability Insurance Scheme commences from 2016</w:t>
      </w:r>
      <w:r>
        <w:rPr>
          <w:lang w:eastAsia="en-AU"/>
        </w:rPr>
        <w:noBreakHyphen/>
        <w:t>17 and increases thereafter as more clients transition into the Scheme.</w:t>
      </w:r>
    </w:p>
    <w:p w:rsidR="00965D85" w:rsidRDefault="00965D85" w:rsidP="008B46DF">
      <w:pPr>
        <w:pStyle w:val="Notes"/>
        <w:rPr>
          <w:lang w:eastAsia="en-AU"/>
        </w:rPr>
      </w:pPr>
      <w:r>
        <w:rPr>
          <w:lang w:eastAsia="en-AU"/>
        </w:rPr>
        <w:t>(d)</w:t>
      </w:r>
      <w:r>
        <w:rPr>
          <w:lang w:eastAsia="en-AU"/>
        </w:rPr>
        <w:tab/>
        <w:t>The downward movement from 2015</w:t>
      </w:r>
      <w:r>
        <w:rPr>
          <w:lang w:eastAsia="en-AU"/>
        </w:rPr>
        <w:noBreakHyphen/>
        <w:t xml:space="preserve">16 relates to sunsetting initiatives and movements in funding across years for various initiatives. </w:t>
      </w:r>
    </w:p>
    <w:p w:rsidR="00965D85" w:rsidRDefault="00965D85" w:rsidP="008B46DF">
      <w:pPr>
        <w:pStyle w:val="Notes"/>
        <w:rPr>
          <w:b/>
          <w:kern w:val="28"/>
          <w:sz w:val="26"/>
          <w:szCs w:val="22"/>
          <w:lang w:eastAsia="en-AU"/>
        </w:rPr>
      </w:pPr>
      <w:r>
        <w:rPr>
          <w:lang w:eastAsia="en-AU"/>
        </w:rPr>
        <w:t>(e)</w:t>
      </w:r>
      <w:r>
        <w:rPr>
          <w:lang w:eastAsia="en-AU"/>
        </w:rPr>
        <w:tab/>
      </w:r>
      <w:r w:rsidRPr="00A64E5F">
        <w:rPr>
          <w:lang w:eastAsia="en-AU"/>
        </w:rPr>
        <w:t>Other purposes include provision available to be allocated to specific departments and projects, future demand growth, departmental underspending and items not yet formalised at the time of publication.</w:t>
      </w:r>
    </w:p>
    <w:p w:rsidR="00965D85" w:rsidRDefault="00965D85" w:rsidP="008B46DF">
      <w:pPr>
        <w:pStyle w:val="Heading2NotesContd"/>
        <w:rPr>
          <w:i/>
          <w:lang w:eastAsia="en-AU"/>
        </w:rPr>
      </w:pPr>
      <w:r>
        <w:rPr>
          <w:rFonts w:eastAsiaTheme="minorEastAsia"/>
          <w:lang w:eastAsia="en-AU"/>
        </w:rPr>
        <w:lastRenderedPageBreak/>
        <w:t>Note 12:</w:t>
      </w:r>
      <w:r>
        <w:rPr>
          <w:rFonts w:eastAsiaTheme="minorEastAsia"/>
          <w:lang w:eastAsia="en-AU"/>
        </w:rPr>
        <w:tab/>
        <w:t>Total expenses by government purpose and by department</w:t>
      </w:r>
      <w:r w:rsidRPr="00CC1ACA">
        <w:rPr>
          <w:i/>
          <w:lang w:eastAsia="en-AU"/>
        </w:rPr>
        <w:t xml:space="preserve"> (continued)</w:t>
      </w:r>
    </w:p>
    <w:p w:rsidR="00965D85" w:rsidRDefault="00965D85" w:rsidP="008B46DF">
      <w:pPr>
        <w:pStyle w:val="Heading5"/>
        <w:rPr>
          <w:rFonts w:ascii="Times New Roman" w:hAnsi="Times New Roman"/>
          <w:i/>
          <w:sz w:val="20"/>
          <w:lang w:eastAsia="en-AU"/>
        </w:rPr>
      </w:pPr>
      <w:r w:rsidRPr="003878BE">
        <w:rPr>
          <w:lang w:eastAsia="en-AU"/>
        </w:rPr>
        <w:t xml:space="preserve">(b) </w:t>
      </w:r>
      <w:r w:rsidRPr="003878BE">
        <w:rPr>
          <w:lang w:eastAsia="en-AU"/>
        </w:rPr>
        <w:tab/>
        <w:t>Total expenses by department</w:t>
      </w:r>
    </w:p>
    <w:tbl>
      <w:tblPr>
        <w:tblW w:w="7797" w:type="dxa"/>
        <w:tblInd w:w="28" w:type="dxa"/>
        <w:tblLayout w:type="fixed"/>
        <w:tblCellMar>
          <w:left w:w="28" w:type="dxa"/>
          <w:right w:w="28" w:type="dxa"/>
        </w:tblCellMar>
        <w:tblLook w:val="0000" w:firstRow="0" w:lastRow="0" w:firstColumn="0" w:lastColumn="0" w:noHBand="0" w:noVBand="0"/>
      </w:tblPr>
      <w:tblGrid>
        <w:gridCol w:w="3402"/>
        <w:gridCol w:w="879"/>
        <w:gridCol w:w="879"/>
        <w:gridCol w:w="879"/>
        <w:gridCol w:w="879"/>
        <w:gridCol w:w="879"/>
      </w:tblGrid>
      <w:tr w:rsidR="00965D85" w:rsidRPr="00E22AD9" w:rsidTr="008B46DF">
        <w:trPr>
          <w:tblHeader/>
        </w:trPr>
        <w:tc>
          <w:tcPr>
            <w:tcW w:w="7797" w:type="dxa"/>
            <w:gridSpan w:val="6"/>
            <w:tcBorders>
              <w:top w:val="nil"/>
              <w:left w:val="nil"/>
              <w:right w:val="nil"/>
            </w:tcBorders>
          </w:tcPr>
          <w:p w:rsidR="00965D85" w:rsidRPr="00E22AD9" w:rsidRDefault="00965D85" w:rsidP="008B46DF">
            <w:pPr>
              <w:pStyle w:val="million"/>
              <w:rPr>
                <w:rFonts w:eastAsiaTheme="minorEastAsia" w:cs="Calibri"/>
                <w:iCs/>
                <w:color w:val="000000"/>
                <w:sz w:val="20"/>
                <w:lang w:eastAsia="en-AU"/>
              </w:rPr>
            </w:pPr>
            <w:r w:rsidRPr="00E22AD9">
              <w:rPr>
                <w:rFonts w:eastAsiaTheme="minorEastAsia"/>
                <w:lang w:eastAsia="en-AU"/>
              </w:rPr>
              <w:t>($ million)</w:t>
            </w:r>
          </w:p>
        </w:tc>
      </w:tr>
      <w:tr w:rsidR="00965D85" w:rsidRPr="00E22AD9" w:rsidTr="008B46DF">
        <w:trPr>
          <w:trHeight w:val="503"/>
          <w:tblHeader/>
        </w:trPr>
        <w:tc>
          <w:tcPr>
            <w:tcW w:w="3402" w:type="dxa"/>
            <w:tcBorders>
              <w:top w:val="single" w:sz="6" w:space="0" w:color="auto"/>
              <w:left w:val="nil"/>
              <w:right w:val="nil"/>
            </w:tcBorders>
            <w:shd w:val="solid" w:color="000000" w:fill="auto"/>
          </w:tcPr>
          <w:p w:rsidR="00965D85" w:rsidRPr="00E22AD9" w:rsidRDefault="00965D85" w:rsidP="008B46DF">
            <w:pPr>
              <w:pStyle w:val="million"/>
              <w:rPr>
                <w:rFonts w:eastAsiaTheme="minorEastAsia"/>
                <w:sz w:val="20"/>
                <w:lang w:eastAsia="en-AU"/>
              </w:rPr>
            </w:pPr>
            <w:r w:rsidRPr="00E22AD9">
              <w:rPr>
                <w:rFonts w:eastAsiaTheme="minorEastAsia"/>
                <w:sz w:val="20"/>
                <w:lang w:eastAsia="en-AU"/>
              </w:rPr>
              <w:t xml:space="preserve"> </w:t>
            </w:r>
          </w:p>
          <w:p w:rsidR="00965D85" w:rsidRPr="00E22AD9" w:rsidRDefault="00965D85" w:rsidP="008B46DF">
            <w:pPr>
              <w:autoSpaceDE w:val="0"/>
              <w:autoSpaceDN w:val="0"/>
              <w:adjustRightInd w:val="0"/>
              <w:spacing w:after="0"/>
              <w:rPr>
                <w:rFonts w:eastAsiaTheme="minorEastAsia"/>
                <w:sz w:val="20"/>
                <w:lang w:eastAsia="en-AU"/>
              </w:rPr>
            </w:pPr>
            <w:r w:rsidRPr="00E22AD9">
              <w:rPr>
                <w:rFonts w:ascii="Calibri" w:eastAsiaTheme="minorEastAsia" w:hAnsi="Calibri" w:cs="Calibri"/>
                <w:i/>
                <w:iCs/>
                <w:color w:val="FFFFFF"/>
                <w:sz w:val="20"/>
                <w:lang w:eastAsia="en-AU"/>
              </w:rPr>
              <w:t xml:space="preserve"> </w:t>
            </w:r>
          </w:p>
        </w:tc>
        <w:tc>
          <w:tcPr>
            <w:tcW w:w="879" w:type="dxa"/>
            <w:tcBorders>
              <w:top w:val="single" w:sz="6" w:space="0" w:color="auto"/>
              <w:left w:val="nil"/>
              <w:right w:val="nil"/>
            </w:tcBorders>
            <w:shd w:val="solid" w:color="000000" w:fill="auto"/>
          </w:tcPr>
          <w:p w:rsidR="00965D85" w:rsidRPr="00E22AD9" w:rsidRDefault="00965D85" w:rsidP="008B46DF">
            <w:pPr>
              <w:pStyle w:val="million"/>
              <w:jc w:val="right"/>
              <w:rPr>
                <w:rFonts w:eastAsiaTheme="minorEastAsia"/>
                <w:sz w:val="20"/>
                <w:lang w:eastAsia="en-AU"/>
              </w:rPr>
            </w:pPr>
            <w:r w:rsidRPr="00E22AD9">
              <w:rPr>
                <w:rFonts w:eastAsiaTheme="minorEastAsia"/>
                <w:sz w:val="20"/>
                <w:lang w:eastAsia="en-AU"/>
              </w:rPr>
              <w:t>2015</w:t>
            </w:r>
            <w:r>
              <w:rPr>
                <w:rFonts w:eastAsiaTheme="minorEastAsia"/>
                <w:sz w:val="20"/>
                <w:lang w:eastAsia="en-AU"/>
              </w:rPr>
              <w:noBreakHyphen/>
            </w:r>
            <w:r w:rsidRPr="00E22AD9">
              <w:rPr>
                <w:rFonts w:eastAsiaTheme="minorEastAsia"/>
                <w:sz w:val="20"/>
                <w:lang w:eastAsia="en-AU"/>
              </w:rPr>
              <w:t>16</w:t>
            </w:r>
          </w:p>
          <w:p w:rsidR="00965D85" w:rsidRPr="00E22AD9" w:rsidRDefault="00965D85" w:rsidP="008B46DF">
            <w:pPr>
              <w:autoSpaceDE w:val="0"/>
              <w:autoSpaceDN w:val="0"/>
              <w:adjustRightInd w:val="0"/>
              <w:spacing w:after="0"/>
              <w:jc w:val="right"/>
              <w:rPr>
                <w:rFonts w:eastAsiaTheme="minorEastAsia"/>
                <w:sz w:val="20"/>
                <w:lang w:eastAsia="en-AU"/>
              </w:rPr>
            </w:pPr>
            <w:r w:rsidRPr="00E22AD9">
              <w:rPr>
                <w:rFonts w:ascii="Calibri" w:eastAsiaTheme="minorEastAsia" w:hAnsi="Calibri" w:cs="Calibri"/>
                <w:i/>
                <w:iCs/>
                <w:color w:val="FFFFFF"/>
                <w:sz w:val="20"/>
                <w:lang w:eastAsia="en-AU"/>
              </w:rPr>
              <w:t>budget</w:t>
            </w:r>
          </w:p>
        </w:tc>
        <w:tc>
          <w:tcPr>
            <w:tcW w:w="879" w:type="dxa"/>
            <w:tcBorders>
              <w:top w:val="single" w:sz="6" w:space="0" w:color="auto"/>
              <w:left w:val="nil"/>
              <w:right w:val="nil"/>
            </w:tcBorders>
            <w:shd w:val="solid" w:color="000000" w:fill="auto"/>
          </w:tcPr>
          <w:p w:rsidR="00965D85" w:rsidRPr="00E22AD9" w:rsidRDefault="00965D85" w:rsidP="008B46DF">
            <w:pPr>
              <w:pStyle w:val="million"/>
              <w:jc w:val="right"/>
              <w:rPr>
                <w:rFonts w:eastAsiaTheme="minorEastAsia"/>
                <w:sz w:val="20"/>
                <w:lang w:eastAsia="en-AU"/>
              </w:rPr>
            </w:pPr>
            <w:r w:rsidRPr="00E22AD9">
              <w:rPr>
                <w:rFonts w:eastAsiaTheme="minorEastAsia"/>
                <w:sz w:val="20"/>
                <w:lang w:eastAsia="en-AU"/>
              </w:rPr>
              <w:t>2015</w:t>
            </w:r>
            <w:r>
              <w:rPr>
                <w:rFonts w:eastAsiaTheme="minorEastAsia"/>
                <w:sz w:val="20"/>
                <w:lang w:eastAsia="en-AU"/>
              </w:rPr>
              <w:noBreakHyphen/>
            </w:r>
            <w:r w:rsidRPr="00E22AD9">
              <w:rPr>
                <w:rFonts w:eastAsiaTheme="minorEastAsia"/>
                <w:sz w:val="20"/>
                <w:lang w:eastAsia="en-AU"/>
              </w:rPr>
              <w:t>16</w:t>
            </w:r>
          </w:p>
          <w:p w:rsidR="00965D85" w:rsidRPr="00E22AD9" w:rsidRDefault="00965D85" w:rsidP="008B46DF">
            <w:pPr>
              <w:autoSpaceDE w:val="0"/>
              <w:autoSpaceDN w:val="0"/>
              <w:adjustRightInd w:val="0"/>
              <w:spacing w:after="0"/>
              <w:jc w:val="right"/>
              <w:rPr>
                <w:rFonts w:eastAsiaTheme="minorEastAsia"/>
                <w:sz w:val="20"/>
                <w:lang w:eastAsia="en-AU"/>
              </w:rPr>
            </w:pPr>
            <w:r w:rsidRPr="00E22AD9">
              <w:rPr>
                <w:rFonts w:ascii="Calibri" w:eastAsiaTheme="minorEastAsia" w:hAnsi="Calibri" w:cs="Calibri"/>
                <w:i/>
                <w:iCs/>
                <w:color w:val="FFFFFF"/>
                <w:sz w:val="20"/>
                <w:lang w:eastAsia="en-AU"/>
              </w:rPr>
              <w:t>revised</w:t>
            </w:r>
          </w:p>
        </w:tc>
        <w:tc>
          <w:tcPr>
            <w:tcW w:w="879" w:type="dxa"/>
            <w:tcBorders>
              <w:top w:val="single" w:sz="6" w:space="0" w:color="auto"/>
              <w:left w:val="nil"/>
              <w:right w:val="nil"/>
            </w:tcBorders>
            <w:shd w:val="solid" w:color="000000" w:fill="auto"/>
          </w:tcPr>
          <w:p w:rsidR="00965D85" w:rsidRPr="00E22AD9" w:rsidRDefault="00965D85" w:rsidP="008B46DF">
            <w:pPr>
              <w:pStyle w:val="million"/>
              <w:jc w:val="right"/>
              <w:rPr>
                <w:rFonts w:eastAsiaTheme="minorEastAsia"/>
                <w:sz w:val="20"/>
                <w:lang w:eastAsia="en-AU"/>
              </w:rPr>
            </w:pPr>
            <w:r w:rsidRPr="00E22AD9">
              <w:rPr>
                <w:rFonts w:eastAsiaTheme="minorEastAsia"/>
                <w:sz w:val="20"/>
                <w:lang w:eastAsia="en-AU"/>
              </w:rPr>
              <w:t>2016</w:t>
            </w:r>
            <w:r>
              <w:rPr>
                <w:rFonts w:eastAsiaTheme="minorEastAsia"/>
                <w:sz w:val="20"/>
                <w:lang w:eastAsia="en-AU"/>
              </w:rPr>
              <w:noBreakHyphen/>
            </w:r>
            <w:r w:rsidRPr="00E22AD9">
              <w:rPr>
                <w:rFonts w:eastAsiaTheme="minorEastAsia"/>
                <w:sz w:val="20"/>
                <w:lang w:eastAsia="en-AU"/>
              </w:rPr>
              <w:t>17</w:t>
            </w:r>
          </w:p>
          <w:p w:rsidR="00965D85" w:rsidRPr="00E22AD9" w:rsidRDefault="00965D85" w:rsidP="008B46DF">
            <w:pPr>
              <w:autoSpaceDE w:val="0"/>
              <w:autoSpaceDN w:val="0"/>
              <w:adjustRightInd w:val="0"/>
              <w:spacing w:after="0"/>
              <w:jc w:val="right"/>
              <w:rPr>
                <w:rFonts w:eastAsiaTheme="minorEastAsia"/>
                <w:sz w:val="20"/>
                <w:lang w:eastAsia="en-AU"/>
              </w:rPr>
            </w:pPr>
            <w:r w:rsidRPr="00E22AD9">
              <w:rPr>
                <w:rFonts w:ascii="Calibri" w:eastAsiaTheme="minorEastAsia" w:hAnsi="Calibri" w:cs="Calibri"/>
                <w:i/>
                <w:iCs/>
                <w:color w:val="FFFFFF"/>
                <w:sz w:val="20"/>
                <w:lang w:eastAsia="en-AU"/>
              </w:rPr>
              <w:t>estimate</w:t>
            </w:r>
          </w:p>
        </w:tc>
        <w:tc>
          <w:tcPr>
            <w:tcW w:w="879" w:type="dxa"/>
            <w:tcBorders>
              <w:top w:val="single" w:sz="6" w:space="0" w:color="auto"/>
              <w:left w:val="nil"/>
              <w:right w:val="nil"/>
            </w:tcBorders>
            <w:shd w:val="solid" w:color="000000" w:fill="auto"/>
          </w:tcPr>
          <w:p w:rsidR="00965D85" w:rsidRPr="00E22AD9" w:rsidRDefault="00965D85" w:rsidP="008B46DF">
            <w:pPr>
              <w:pStyle w:val="million"/>
              <w:jc w:val="right"/>
              <w:rPr>
                <w:rFonts w:eastAsiaTheme="minorEastAsia"/>
                <w:sz w:val="20"/>
                <w:lang w:eastAsia="en-AU"/>
              </w:rPr>
            </w:pPr>
            <w:r w:rsidRPr="00E22AD9">
              <w:rPr>
                <w:rFonts w:eastAsiaTheme="minorEastAsia"/>
                <w:sz w:val="20"/>
                <w:lang w:eastAsia="en-AU"/>
              </w:rPr>
              <w:t>2017</w:t>
            </w:r>
            <w:r>
              <w:rPr>
                <w:rFonts w:eastAsiaTheme="minorEastAsia"/>
                <w:sz w:val="20"/>
                <w:lang w:eastAsia="en-AU"/>
              </w:rPr>
              <w:noBreakHyphen/>
            </w:r>
            <w:r w:rsidRPr="00E22AD9">
              <w:rPr>
                <w:rFonts w:eastAsiaTheme="minorEastAsia"/>
                <w:sz w:val="20"/>
                <w:lang w:eastAsia="en-AU"/>
              </w:rPr>
              <w:t>18</w:t>
            </w:r>
          </w:p>
          <w:p w:rsidR="00965D85" w:rsidRPr="00E22AD9" w:rsidRDefault="00965D85" w:rsidP="008B46DF">
            <w:pPr>
              <w:autoSpaceDE w:val="0"/>
              <w:autoSpaceDN w:val="0"/>
              <w:adjustRightInd w:val="0"/>
              <w:spacing w:after="0"/>
              <w:jc w:val="right"/>
              <w:rPr>
                <w:rFonts w:eastAsiaTheme="minorEastAsia"/>
                <w:sz w:val="20"/>
                <w:lang w:eastAsia="en-AU"/>
              </w:rPr>
            </w:pPr>
            <w:r w:rsidRPr="00E22AD9">
              <w:rPr>
                <w:rFonts w:ascii="Calibri" w:eastAsiaTheme="minorEastAsia" w:hAnsi="Calibri" w:cs="Calibri"/>
                <w:i/>
                <w:iCs/>
                <w:color w:val="FFFFFF"/>
                <w:sz w:val="20"/>
                <w:lang w:eastAsia="en-AU"/>
              </w:rPr>
              <w:t>estimate</w:t>
            </w:r>
          </w:p>
        </w:tc>
        <w:tc>
          <w:tcPr>
            <w:tcW w:w="879" w:type="dxa"/>
            <w:tcBorders>
              <w:top w:val="single" w:sz="6" w:space="0" w:color="auto"/>
              <w:left w:val="nil"/>
              <w:right w:val="nil"/>
            </w:tcBorders>
            <w:shd w:val="solid" w:color="000000" w:fill="auto"/>
          </w:tcPr>
          <w:p w:rsidR="00965D85" w:rsidRPr="00E22AD9" w:rsidRDefault="00965D85" w:rsidP="008B46DF">
            <w:pPr>
              <w:pStyle w:val="million"/>
              <w:jc w:val="right"/>
              <w:rPr>
                <w:rFonts w:eastAsiaTheme="minorEastAsia"/>
                <w:sz w:val="20"/>
                <w:lang w:eastAsia="en-AU"/>
              </w:rPr>
            </w:pPr>
            <w:r w:rsidRPr="00E22AD9">
              <w:rPr>
                <w:rFonts w:eastAsiaTheme="minorEastAsia"/>
                <w:sz w:val="20"/>
                <w:lang w:eastAsia="en-AU"/>
              </w:rPr>
              <w:t>2018</w:t>
            </w:r>
            <w:r>
              <w:rPr>
                <w:rFonts w:eastAsiaTheme="minorEastAsia"/>
                <w:sz w:val="20"/>
                <w:lang w:eastAsia="en-AU"/>
              </w:rPr>
              <w:noBreakHyphen/>
            </w:r>
            <w:r w:rsidRPr="00E22AD9">
              <w:rPr>
                <w:rFonts w:eastAsiaTheme="minorEastAsia"/>
                <w:sz w:val="20"/>
                <w:lang w:eastAsia="en-AU"/>
              </w:rPr>
              <w:t>19</w:t>
            </w:r>
          </w:p>
          <w:p w:rsidR="00965D85" w:rsidRPr="00E22AD9" w:rsidRDefault="00965D85" w:rsidP="008B46DF">
            <w:pPr>
              <w:autoSpaceDE w:val="0"/>
              <w:autoSpaceDN w:val="0"/>
              <w:adjustRightInd w:val="0"/>
              <w:spacing w:after="0"/>
              <w:jc w:val="right"/>
              <w:rPr>
                <w:rFonts w:eastAsiaTheme="minorEastAsia"/>
                <w:sz w:val="20"/>
                <w:lang w:eastAsia="en-AU"/>
              </w:rPr>
            </w:pPr>
            <w:r w:rsidRPr="00E22AD9">
              <w:rPr>
                <w:rFonts w:ascii="Calibri" w:eastAsiaTheme="minorEastAsia" w:hAnsi="Calibri" w:cs="Calibri"/>
                <w:i/>
                <w:iCs/>
                <w:color w:val="FFFFFF"/>
                <w:sz w:val="20"/>
                <w:lang w:eastAsia="en-AU"/>
              </w:rPr>
              <w:t>estimate</w:t>
            </w:r>
          </w:p>
        </w:tc>
      </w:tr>
      <w:tr w:rsidR="00965D85" w:rsidRPr="00E22AD9" w:rsidTr="008B46DF">
        <w:tc>
          <w:tcPr>
            <w:tcW w:w="3402" w:type="dxa"/>
            <w:tcBorders>
              <w:top w:val="single" w:sz="6" w:space="0" w:color="auto"/>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Expenses from transactions</w:t>
            </w:r>
          </w:p>
        </w:tc>
        <w:tc>
          <w:tcPr>
            <w:tcW w:w="879" w:type="dxa"/>
            <w:tcBorders>
              <w:top w:val="single" w:sz="6" w:space="0" w:color="auto"/>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i/>
                <w:iCs/>
                <w:color w:val="000000"/>
                <w:sz w:val="20"/>
                <w:lang w:eastAsia="en-AU"/>
              </w:rPr>
            </w:pPr>
          </w:p>
        </w:tc>
        <w:tc>
          <w:tcPr>
            <w:tcW w:w="879" w:type="dxa"/>
            <w:tcBorders>
              <w:top w:val="single" w:sz="6" w:space="0" w:color="auto"/>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i/>
                <w:iCs/>
                <w:color w:val="000000"/>
                <w:sz w:val="20"/>
                <w:lang w:eastAsia="en-AU"/>
              </w:rPr>
            </w:pPr>
          </w:p>
        </w:tc>
        <w:tc>
          <w:tcPr>
            <w:tcW w:w="879" w:type="dxa"/>
            <w:tcBorders>
              <w:top w:val="single" w:sz="6" w:space="0" w:color="auto"/>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i/>
                <w:iCs/>
                <w:color w:val="000000"/>
                <w:sz w:val="20"/>
                <w:lang w:eastAsia="en-AU"/>
              </w:rPr>
            </w:pPr>
          </w:p>
        </w:tc>
        <w:tc>
          <w:tcPr>
            <w:tcW w:w="879" w:type="dxa"/>
            <w:tcBorders>
              <w:top w:val="single" w:sz="6" w:space="0" w:color="auto"/>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i/>
                <w:iCs/>
                <w:color w:val="000000"/>
                <w:sz w:val="20"/>
                <w:lang w:eastAsia="en-AU"/>
              </w:rPr>
            </w:pPr>
          </w:p>
        </w:tc>
        <w:tc>
          <w:tcPr>
            <w:tcW w:w="879" w:type="dxa"/>
            <w:tcBorders>
              <w:top w:val="single" w:sz="6" w:space="0" w:color="auto"/>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i/>
                <w:iCs/>
                <w:color w:val="000000"/>
                <w:sz w:val="20"/>
                <w:lang w:eastAsia="en-AU"/>
              </w:rPr>
            </w:pPr>
          </w:p>
        </w:tc>
      </w:tr>
      <w:tr w:rsidR="00965D85" w:rsidRPr="00E22AD9" w:rsidTr="008B46DF">
        <w:tc>
          <w:tcPr>
            <w:tcW w:w="3402" w:type="dxa"/>
            <w:tcBorders>
              <w:top w:val="nil"/>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Economic Development, Jobs, Transport and Resources</w:t>
            </w:r>
          </w:p>
        </w:tc>
        <w:tc>
          <w:tcPr>
            <w:tcW w:w="879"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8 088.0</w:t>
            </w:r>
          </w:p>
        </w:tc>
        <w:tc>
          <w:tcPr>
            <w:tcW w:w="879"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8 317.9</w:t>
            </w:r>
          </w:p>
        </w:tc>
        <w:tc>
          <w:tcPr>
            <w:tcW w:w="879"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8 186.2</w:t>
            </w:r>
          </w:p>
        </w:tc>
        <w:tc>
          <w:tcPr>
            <w:tcW w:w="879"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8 140.5</w:t>
            </w:r>
          </w:p>
        </w:tc>
        <w:tc>
          <w:tcPr>
            <w:tcW w:w="879"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8 091.3</w:t>
            </w:r>
          </w:p>
        </w:tc>
      </w:tr>
      <w:tr w:rsidR="00965D85" w:rsidRPr="00E22AD9" w:rsidTr="008B46DF">
        <w:tc>
          <w:tcPr>
            <w:tcW w:w="3402" w:type="dxa"/>
            <w:tcBorders>
              <w:top w:val="nil"/>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Education and Training</w:t>
            </w:r>
          </w:p>
        </w:tc>
        <w:tc>
          <w:tcPr>
            <w:tcW w:w="879"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15 549.7</w:t>
            </w:r>
          </w:p>
        </w:tc>
        <w:tc>
          <w:tcPr>
            <w:tcW w:w="879"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15 860.7</w:t>
            </w:r>
          </w:p>
        </w:tc>
        <w:tc>
          <w:tcPr>
            <w:tcW w:w="879"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16 084.3</w:t>
            </w:r>
          </w:p>
        </w:tc>
        <w:tc>
          <w:tcPr>
            <w:tcW w:w="879"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16 479.3</w:t>
            </w:r>
          </w:p>
        </w:tc>
        <w:tc>
          <w:tcPr>
            <w:tcW w:w="879"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16 544.2</w:t>
            </w:r>
          </w:p>
        </w:tc>
      </w:tr>
      <w:tr w:rsidR="00965D85" w:rsidRPr="00E22AD9" w:rsidTr="008B46DF">
        <w:tc>
          <w:tcPr>
            <w:tcW w:w="3402" w:type="dxa"/>
            <w:tcBorders>
              <w:top w:val="nil"/>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20"/>
                <w:vertAlign w:val="superscript"/>
                <w:lang w:eastAsia="en-AU"/>
              </w:rPr>
            </w:pPr>
            <w:r w:rsidRPr="00E22AD9">
              <w:rPr>
                <w:rFonts w:ascii="Calibri" w:eastAsiaTheme="minorEastAsia" w:hAnsi="Calibri" w:cs="Calibri"/>
                <w:color w:val="000000"/>
                <w:sz w:val="20"/>
                <w:lang w:eastAsia="en-AU"/>
              </w:rPr>
              <w:t>Environment, Land, Water and Planning</w:t>
            </w:r>
            <w:r w:rsidRPr="00E22AD9">
              <w:rPr>
                <w:rFonts w:ascii="Calibri" w:eastAsiaTheme="minorEastAsia" w:hAnsi="Calibri" w:cs="Calibri"/>
                <w:color w:val="000000"/>
                <w:sz w:val="20"/>
                <w:vertAlign w:val="superscript"/>
                <w:lang w:eastAsia="en-AU"/>
              </w:rPr>
              <w:t>(a)</w:t>
            </w:r>
          </w:p>
        </w:tc>
        <w:tc>
          <w:tcPr>
            <w:tcW w:w="879"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2 946.5</w:t>
            </w:r>
          </w:p>
        </w:tc>
        <w:tc>
          <w:tcPr>
            <w:tcW w:w="879"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2 841.5</w:t>
            </w:r>
          </w:p>
        </w:tc>
        <w:tc>
          <w:tcPr>
            <w:tcW w:w="879"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2 649.1</w:t>
            </w:r>
          </w:p>
        </w:tc>
        <w:tc>
          <w:tcPr>
            <w:tcW w:w="879"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2 548.9</w:t>
            </w:r>
          </w:p>
        </w:tc>
        <w:tc>
          <w:tcPr>
            <w:tcW w:w="879"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2 423.1</w:t>
            </w:r>
          </w:p>
        </w:tc>
      </w:tr>
      <w:tr w:rsidR="00965D85" w:rsidRPr="00E22AD9" w:rsidTr="008B46DF">
        <w:tc>
          <w:tcPr>
            <w:tcW w:w="3402" w:type="dxa"/>
            <w:tcBorders>
              <w:top w:val="nil"/>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20"/>
                <w:vertAlign w:val="superscript"/>
                <w:lang w:eastAsia="en-AU"/>
              </w:rPr>
            </w:pPr>
            <w:r w:rsidRPr="00E22AD9">
              <w:rPr>
                <w:rFonts w:ascii="Calibri" w:eastAsiaTheme="minorEastAsia" w:hAnsi="Calibri" w:cs="Calibri"/>
                <w:color w:val="000000"/>
                <w:sz w:val="20"/>
                <w:lang w:eastAsia="en-AU"/>
              </w:rPr>
              <w:t>Health and Human Services</w:t>
            </w:r>
            <w:r w:rsidRPr="00E22AD9">
              <w:rPr>
                <w:rFonts w:ascii="Calibri" w:eastAsiaTheme="minorEastAsia" w:hAnsi="Calibri" w:cs="Calibri"/>
                <w:color w:val="000000"/>
                <w:sz w:val="20"/>
                <w:vertAlign w:val="superscript"/>
                <w:lang w:eastAsia="en-AU"/>
              </w:rPr>
              <w:t>(b)</w:t>
            </w:r>
          </w:p>
        </w:tc>
        <w:tc>
          <w:tcPr>
            <w:tcW w:w="879"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21 362.5</w:t>
            </w:r>
          </w:p>
        </w:tc>
        <w:tc>
          <w:tcPr>
            <w:tcW w:w="879"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21 367.9</w:t>
            </w:r>
          </w:p>
        </w:tc>
        <w:tc>
          <w:tcPr>
            <w:tcW w:w="879"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21 284.9</w:t>
            </w:r>
          </w:p>
        </w:tc>
        <w:tc>
          <w:tcPr>
            <w:tcW w:w="879"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21 636.7</w:t>
            </w:r>
          </w:p>
        </w:tc>
        <w:tc>
          <w:tcPr>
            <w:tcW w:w="879"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21 929.5</w:t>
            </w:r>
          </w:p>
        </w:tc>
      </w:tr>
      <w:tr w:rsidR="00965D85" w:rsidRPr="00E22AD9" w:rsidTr="008B46DF">
        <w:tc>
          <w:tcPr>
            <w:tcW w:w="3402" w:type="dxa"/>
            <w:tcBorders>
              <w:top w:val="nil"/>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Justice and Regulation</w:t>
            </w:r>
          </w:p>
        </w:tc>
        <w:tc>
          <w:tcPr>
            <w:tcW w:w="879"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5 595.7</w:t>
            </w:r>
          </w:p>
        </w:tc>
        <w:tc>
          <w:tcPr>
            <w:tcW w:w="879"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5 763.4</w:t>
            </w:r>
          </w:p>
        </w:tc>
        <w:tc>
          <w:tcPr>
            <w:tcW w:w="879"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5 699.0</w:t>
            </w:r>
          </w:p>
        </w:tc>
        <w:tc>
          <w:tcPr>
            <w:tcW w:w="879"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5 885.9</w:t>
            </w:r>
          </w:p>
        </w:tc>
        <w:tc>
          <w:tcPr>
            <w:tcW w:w="879"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6 024.0</w:t>
            </w:r>
          </w:p>
        </w:tc>
      </w:tr>
      <w:tr w:rsidR="00965D85" w:rsidRPr="00E22AD9" w:rsidTr="008B46DF">
        <w:tc>
          <w:tcPr>
            <w:tcW w:w="3402" w:type="dxa"/>
            <w:tcBorders>
              <w:top w:val="nil"/>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Premier and Cabinet</w:t>
            </w:r>
          </w:p>
        </w:tc>
        <w:tc>
          <w:tcPr>
            <w:tcW w:w="879"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433.3</w:t>
            </w:r>
          </w:p>
        </w:tc>
        <w:tc>
          <w:tcPr>
            <w:tcW w:w="879"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446.5</w:t>
            </w:r>
          </w:p>
        </w:tc>
        <w:tc>
          <w:tcPr>
            <w:tcW w:w="879"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416.5</w:t>
            </w:r>
          </w:p>
        </w:tc>
        <w:tc>
          <w:tcPr>
            <w:tcW w:w="879"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376.5</w:t>
            </w:r>
          </w:p>
        </w:tc>
        <w:tc>
          <w:tcPr>
            <w:tcW w:w="879"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378.2</w:t>
            </w:r>
          </w:p>
        </w:tc>
      </w:tr>
      <w:tr w:rsidR="00965D85" w:rsidRPr="00E22AD9" w:rsidTr="008B46DF">
        <w:tc>
          <w:tcPr>
            <w:tcW w:w="3402" w:type="dxa"/>
            <w:tcBorders>
              <w:top w:val="nil"/>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 xml:space="preserve">Treasury and Finance </w:t>
            </w:r>
          </w:p>
        </w:tc>
        <w:tc>
          <w:tcPr>
            <w:tcW w:w="879"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6 653.5</w:t>
            </w:r>
          </w:p>
        </w:tc>
        <w:tc>
          <w:tcPr>
            <w:tcW w:w="879"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6 633.4</w:t>
            </w:r>
          </w:p>
        </w:tc>
        <w:tc>
          <w:tcPr>
            <w:tcW w:w="879"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6 567.7</w:t>
            </w:r>
          </w:p>
        </w:tc>
        <w:tc>
          <w:tcPr>
            <w:tcW w:w="879"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6 578.1</w:t>
            </w:r>
          </w:p>
        </w:tc>
        <w:tc>
          <w:tcPr>
            <w:tcW w:w="879"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6 703.1</w:t>
            </w:r>
          </w:p>
        </w:tc>
      </w:tr>
      <w:tr w:rsidR="00965D85" w:rsidRPr="00E22AD9" w:rsidTr="008B46DF">
        <w:tc>
          <w:tcPr>
            <w:tcW w:w="3402" w:type="dxa"/>
            <w:tcBorders>
              <w:top w:val="nil"/>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Parliament</w:t>
            </w:r>
          </w:p>
        </w:tc>
        <w:tc>
          <w:tcPr>
            <w:tcW w:w="879"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186.7</w:t>
            </w:r>
          </w:p>
        </w:tc>
        <w:tc>
          <w:tcPr>
            <w:tcW w:w="879"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184.8</w:t>
            </w:r>
          </w:p>
        </w:tc>
        <w:tc>
          <w:tcPr>
            <w:tcW w:w="879"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183.8</w:t>
            </w:r>
          </w:p>
        </w:tc>
        <w:tc>
          <w:tcPr>
            <w:tcW w:w="879"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185.5</w:t>
            </w:r>
          </w:p>
        </w:tc>
        <w:tc>
          <w:tcPr>
            <w:tcW w:w="879"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185.6</w:t>
            </w:r>
          </w:p>
        </w:tc>
      </w:tr>
      <w:tr w:rsidR="00965D85" w:rsidRPr="00E22AD9" w:rsidTr="008B46DF">
        <w:tc>
          <w:tcPr>
            <w:tcW w:w="3402" w:type="dxa"/>
            <w:tcBorders>
              <w:top w:val="nil"/>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Courts</w:t>
            </w:r>
          </w:p>
        </w:tc>
        <w:tc>
          <w:tcPr>
            <w:tcW w:w="879"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527.7</w:t>
            </w:r>
          </w:p>
        </w:tc>
        <w:tc>
          <w:tcPr>
            <w:tcW w:w="879"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538.3</w:t>
            </w:r>
          </w:p>
        </w:tc>
        <w:tc>
          <w:tcPr>
            <w:tcW w:w="879"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539.2</w:t>
            </w:r>
          </w:p>
        </w:tc>
        <w:tc>
          <w:tcPr>
            <w:tcW w:w="879"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549.1</w:t>
            </w:r>
          </w:p>
        </w:tc>
        <w:tc>
          <w:tcPr>
            <w:tcW w:w="879"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574.3</w:t>
            </w:r>
          </w:p>
        </w:tc>
      </w:tr>
      <w:tr w:rsidR="00965D85" w:rsidRPr="00E22AD9" w:rsidTr="008B46DF">
        <w:tc>
          <w:tcPr>
            <w:tcW w:w="3402" w:type="dxa"/>
            <w:tcBorders>
              <w:top w:val="nil"/>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20"/>
                <w:vertAlign w:val="superscript"/>
                <w:lang w:eastAsia="en-AU"/>
              </w:rPr>
            </w:pPr>
            <w:r w:rsidRPr="00E22AD9">
              <w:rPr>
                <w:rFonts w:ascii="Calibri" w:eastAsiaTheme="minorEastAsia" w:hAnsi="Calibri" w:cs="Calibri"/>
                <w:color w:val="000000"/>
                <w:sz w:val="20"/>
                <w:lang w:eastAsia="en-AU"/>
              </w:rPr>
              <w:t>Regulatory bodies and other part funded agencies</w:t>
            </w:r>
            <w:r w:rsidRPr="00E22AD9">
              <w:rPr>
                <w:rFonts w:ascii="Calibri" w:eastAsiaTheme="minorEastAsia" w:hAnsi="Calibri" w:cs="Calibri"/>
                <w:color w:val="000000"/>
                <w:sz w:val="20"/>
                <w:vertAlign w:val="superscript"/>
                <w:lang w:eastAsia="en-AU"/>
              </w:rPr>
              <w:t>(c)</w:t>
            </w:r>
          </w:p>
        </w:tc>
        <w:tc>
          <w:tcPr>
            <w:tcW w:w="879"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1 928.0</w:t>
            </w:r>
          </w:p>
        </w:tc>
        <w:tc>
          <w:tcPr>
            <w:tcW w:w="879"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1 957.0</w:t>
            </w:r>
          </w:p>
        </w:tc>
        <w:tc>
          <w:tcPr>
            <w:tcW w:w="879"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1 907.7</w:t>
            </w:r>
          </w:p>
        </w:tc>
        <w:tc>
          <w:tcPr>
            <w:tcW w:w="879"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1 957.2</w:t>
            </w:r>
          </w:p>
        </w:tc>
        <w:tc>
          <w:tcPr>
            <w:tcW w:w="879"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1 984.3</w:t>
            </w:r>
          </w:p>
        </w:tc>
      </w:tr>
      <w:tr w:rsidR="00965D85" w:rsidRPr="00E22AD9" w:rsidTr="008B46DF">
        <w:tc>
          <w:tcPr>
            <w:tcW w:w="3402" w:type="dxa"/>
            <w:tcBorders>
              <w:top w:val="nil"/>
              <w:left w:val="nil"/>
              <w:bottom w:val="single" w:sz="6" w:space="0" w:color="auto"/>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20"/>
                <w:vertAlign w:val="superscript"/>
                <w:lang w:eastAsia="en-AU"/>
              </w:rPr>
            </w:pPr>
            <w:r w:rsidRPr="00E22AD9">
              <w:rPr>
                <w:rFonts w:ascii="Calibri" w:eastAsiaTheme="minorEastAsia" w:hAnsi="Calibri" w:cs="Calibri"/>
                <w:color w:val="000000"/>
                <w:sz w:val="20"/>
                <w:lang w:eastAsia="en-AU"/>
              </w:rPr>
              <w:t>Contingencies not allocated to departments</w:t>
            </w:r>
            <w:r w:rsidRPr="00E22AD9">
              <w:rPr>
                <w:rFonts w:ascii="Calibri" w:eastAsiaTheme="minorEastAsia" w:hAnsi="Calibri" w:cs="Calibri"/>
                <w:color w:val="000000"/>
                <w:sz w:val="20"/>
                <w:vertAlign w:val="superscript"/>
                <w:lang w:eastAsia="en-AU"/>
              </w:rPr>
              <w:t>(d)</w:t>
            </w:r>
          </w:p>
        </w:tc>
        <w:tc>
          <w:tcPr>
            <w:tcW w:w="879" w:type="dxa"/>
            <w:tcBorders>
              <w:top w:val="nil"/>
              <w:left w:val="nil"/>
              <w:bottom w:val="single" w:sz="6" w:space="0" w:color="auto"/>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517.6</w:t>
            </w:r>
          </w:p>
        </w:tc>
        <w:tc>
          <w:tcPr>
            <w:tcW w:w="879" w:type="dxa"/>
            <w:tcBorders>
              <w:top w:val="nil"/>
              <w:left w:val="nil"/>
              <w:bottom w:val="single" w:sz="6" w:space="0" w:color="auto"/>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327.6</w:t>
            </w:r>
          </w:p>
        </w:tc>
        <w:tc>
          <w:tcPr>
            <w:tcW w:w="879" w:type="dxa"/>
            <w:tcBorders>
              <w:top w:val="nil"/>
              <w:left w:val="nil"/>
              <w:bottom w:val="single" w:sz="6" w:space="0" w:color="auto"/>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1 360.5</w:t>
            </w:r>
          </w:p>
        </w:tc>
        <w:tc>
          <w:tcPr>
            <w:tcW w:w="879" w:type="dxa"/>
            <w:tcBorders>
              <w:top w:val="nil"/>
              <w:left w:val="nil"/>
              <w:bottom w:val="single" w:sz="6" w:space="0" w:color="auto"/>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2 696.3</w:t>
            </w:r>
          </w:p>
        </w:tc>
        <w:tc>
          <w:tcPr>
            <w:tcW w:w="879" w:type="dxa"/>
            <w:tcBorders>
              <w:top w:val="nil"/>
              <w:left w:val="nil"/>
              <w:bottom w:val="single" w:sz="6" w:space="0" w:color="auto"/>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3 980.5</w:t>
            </w:r>
          </w:p>
        </w:tc>
      </w:tr>
      <w:tr w:rsidR="00965D85" w:rsidRPr="00E22AD9" w:rsidTr="008B46DF">
        <w:tc>
          <w:tcPr>
            <w:tcW w:w="3402" w:type="dxa"/>
            <w:tcBorders>
              <w:top w:val="single" w:sz="6" w:space="0" w:color="auto"/>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 xml:space="preserve">Total expenses by department </w:t>
            </w:r>
          </w:p>
        </w:tc>
        <w:tc>
          <w:tcPr>
            <w:tcW w:w="879" w:type="dxa"/>
            <w:tcBorders>
              <w:top w:val="single" w:sz="6" w:space="0" w:color="auto"/>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63 789.2</w:t>
            </w:r>
          </w:p>
        </w:tc>
        <w:tc>
          <w:tcPr>
            <w:tcW w:w="879" w:type="dxa"/>
            <w:tcBorders>
              <w:top w:val="single" w:sz="6" w:space="0" w:color="auto"/>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64 239.0</w:t>
            </w:r>
          </w:p>
        </w:tc>
        <w:tc>
          <w:tcPr>
            <w:tcW w:w="879" w:type="dxa"/>
            <w:tcBorders>
              <w:top w:val="single" w:sz="6" w:space="0" w:color="auto"/>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64 878.9</w:t>
            </w:r>
          </w:p>
        </w:tc>
        <w:tc>
          <w:tcPr>
            <w:tcW w:w="879" w:type="dxa"/>
            <w:tcBorders>
              <w:top w:val="single" w:sz="6" w:space="0" w:color="auto"/>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67 034.0</w:t>
            </w:r>
          </w:p>
        </w:tc>
        <w:tc>
          <w:tcPr>
            <w:tcW w:w="879" w:type="dxa"/>
            <w:tcBorders>
              <w:top w:val="single" w:sz="6" w:space="0" w:color="auto"/>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68 818.3</w:t>
            </w:r>
          </w:p>
        </w:tc>
      </w:tr>
      <w:tr w:rsidR="00965D85" w:rsidRPr="00E22AD9" w:rsidTr="008B46DF">
        <w:tc>
          <w:tcPr>
            <w:tcW w:w="3402" w:type="dxa"/>
            <w:tcBorders>
              <w:top w:val="nil"/>
              <w:left w:val="nil"/>
              <w:bottom w:val="single" w:sz="6" w:space="0" w:color="auto"/>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i/>
                <w:iCs/>
                <w:color w:val="000000"/>
                <w:sz w:val="20"/>
                <w:vertAlign w:val="superscript"/>
                <w:lang w:eastAsia="en-AU"/>
              </w:rPr>
            </w:pPr>
            <w:r w:rsidRPr="00E22AD9">
              <w:rPr>
                <w:rFonts w:ascii="Calibri" w:eastAsiaTheme="minorEastAsia" w:hAnsi="Calibri" w:cs="Calibri"/>
                <w:i/>
                <w:iCs/>
                <w:color w:val="000000"/>
                <w:sz w:val="20"/>
                <w:lang w:eastAsia="en-AU"/>
              </w:rPr>
              <w:t>Less eliminations and adjustments</w:t>
            </w:r>
            <w:r w:rsidRPr="00E22AD9">
              <w:rPr>
                <w:rFonts w:ascii="Calibri" w:eastAsiaTheme="minorEastAsia" w:hAnsi="Calibri" w:cs="Calibri"/>
                <w:i/>
                <w:iCs/>
                <w:color w:val="000000"/>
                <w:sz w:val="20"/>
                <w:vertAlign w:val="superscript"/>
                <w:lang w:eastAsia="en-AU"/>
              </w:rPr>
              <w:t>(e)</w:t>
            </w:r>
          </w:p>
        </w:tc>
        <w:tc>
          <w:tcPr>
            <w:tcW w:w="879" w:type="dxa"/>
            <w:tcBorders>
              <w:top w:val="nil"/>
              <w:left w:val="nil"/>
              <w:bottom w:val="single" w:sz="6" w:space="0" w:color="auto"/>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(9 479.3)</w:t>
            </w:r>
          </w:p>
        </w:tc>
        <w:tc>
          <w:tcPr>
            <w:tcW w:w="879" w:type="dxa"/>
            <w:tcBorders>
              <w:top w:val="nil"/>
              <w:left w:val="nil"/>
              <w:bottom w:val="single" w:sz="6" w:space="0" w:color="auto"/>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(9 884.4)</w:t>
            </w:r>
          </w:p>
        </w:tc>
        <w:tc>
          <w:tcPr>
            <w:tcW w:w="879" w:type="dxa"/>
            <w:tcBorders>
              <w:top w:val="nil"/>
              <w:left w:val="nil"/>
              <w:bottom w:val="single" w:sz="6" w:space="0" w:color="auto"/>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(9 187.7)</w:t>
            </w:r>
          </w:p>
        </w:tc>
        <w:tc>
          <w:tcPr>
            <w:tcW w:w="879" w:type="dxa"/>
            <w:tcBorders>
              <w:top w:val="nil"/>
              <w:left w:val="nil"/>
              <w:bottom w:val="single" w:sz="6" w:space="0" w:color="auto"/>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(9 278.0)</w:t>
            </w:r>
          </w:p>
        </w:tc>
        <w:tc>
          <w:tcPr>
            <w:tcW w:w="879" w:type="dxa"/>
            <w:tcBorders>
              <w:top w:val="nil"/>
              <w:left w:val="nil"/>
              <w:bottom w:val="single" w:sz="6" w:space="0" w:color="auto"/>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(9 375.0)</w:t>
            </w:r>
          </w:p>
        </w:tc>
      </w:tr>
      <w:tr w:rsidR="00965D85" w:rsidRPr="00E22AD9" w:rsidTr="008B46DF">
        <w:tc>
          <w:tcPr>
            <w:tcW w:w="3402" w:type="dxa"/>
            <w:tcBorders>
              <w:top w:val="single" w:sz="6" w:space="0" w:color="auto"/>
              <w:left w:val="nil"/>
              <w:bottom w:val="single" w:sz="12" w:space="0" w:color="auto"/>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 xml:space="preserve">Total expenses </w:t>
            </w:r>
          </w:p>
        </w:tc>
        <w:tc>
          <w:tcPr>
            <w:tcW w:w="879" w:type="dxa"/>
            <w:tcBorders>
              <w:top w:val="single" w:sz="6" w:space="0" w:color="auto"/>
              <w:left w:val="nil"/>
              <w:bottom w:val="single" w:sz="12" w:space="0" w:color="auto"/>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54 309.8</w:t>
            </w:r>
          </w:p>
        </w:tc>
        <w:tc>
          <w:tcPr>
            <w:tcW w:w="879" w:type="dxa"/>
            <w:tcBorders>
              <w:top w:val="single" w:sz="6" w:space="0" w:color="auto"/>
              <w:left w:val="nil"/>
              <w:bottom w:val="single" w:sz="12" w:space="0" w:color="auto"/>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54 354.5</w:t>
            </w:r>
          </w:p>
        </w:tc>
        <w:tc>
          <w:tcPr>
            <w:tcW w:w="879" w:type="dxa"/>
            <w:tcBorders>
              <w:top w:val="single" w:sz="6" w:space="0" w:color="auto"/>
              <w:left w:val="nil"/>
              <w:bottom w:val="single" w:sz="12" w:space="0" w:color="auto"/>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55 691.2</w:t>
            </w:r>
          </w:p>
        </w:tc>
        <w:tc>
          <w:tcPr>
            <w:tcW w:w="879" w:type="dxa"/>
            <w:tcBorders>
              <w:top w:val="single" w:sz="6" w:space="0" w:color="auto"/>
              <w:left w:val="nil"/>
              <w:bottom w:val="single" w:sz="12" w:space="0" w:color="auto"/>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57 755.9</w:t>
            </w:r>
          </w:p>
        </w:tc>
        <w:tc>
          <w:tcPr>
            <w:tcW w:w="879" w:type="dxa"/>
            <w:tcBorders>
              <w:top w:val="single" w:sz="6" w:space="0" w:color="auto"/>
              <w:left w:val="nil"/>
              <w:bottom w:val="single" w:sz="12" w:space="0" w:color="auto"/>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59 443.3</w:t>
            </w:r>
          </w:p>
        </w:tc>
      </w:tr>
    </w:tbl>
    <w:p w:rsidR="00965D85" w:rsidRPr="00DC0089" w:rsidRDefault="00965D85" w:rsidP="008B46DF">
      <w:pPr>
        <w:pStyle w:val="Notes"/>
      </w:pPr>
      <w:r w:rsidRPr="00DC0089">
        <w:rPr>
          <w:lang w:eastAsia="en-AU"/>
        </w:rPr>
        <w:t>Notes:</w:t>
      </w:r>
    </w:p>
    <w:p w:rsidR="00965D85" w:rsidRPr="00DC0089" w:rsidRDefault="00965D85" w:rsidP="008B46DF">
      <w:pPr>
        <w:pStyle w:val="Notes"/>
        <w:rPr>
          <w:lang w:eastAsia="en-AU"/>
        </w:rPr>
      </w:pPr>
      <w:r w:rsidRPr="00DC0089">
        <w:rPr>
          <w:lang w:eastAsia="en-AU"/>
        </w:rPr>
        <w:t>(a)</w:t>
      </w:r>
      <w:r w:rsidRPr="00DC0089">
        <w:rPr>
          <w:lang w:eastAsia="en-AU"/>
        </w:rPr>
        <w:tab/>
        <w:t>The downward movement from 2015</w:t>
      </w:r>
      <w:r>
        <w:rPr>
          <w:lang w:eastAsia="en-AU"/>
        </w:rPr>
        <w:noBreakHyphen/>
        <w:t>16 relates to sun</w:t>
      </w:r>
      <w:r w:rsidRPr="00DC0089">
        <w:rPr>
          <w:lang w:eastAsia="en-AU"/>
        </w:rPr>
        <w:t>setting initiatives and movements in funding across years for various initiatives.</w:t>
      </w:r>
    </w:p>
    <w:p w:rsidR="00965D85" w:rsidRPr="00DC0089" w:rsidRDefault="00965D85" w:rsidP="008B46DF">
      <w:pPr>
        <w:pStyle w:val="Notes"/>
        <w:rPr>
          <w:lang w:eastAsia="en-AU"/>
        </w:rPr>
      </w:pPr>
      <w:r w:rsidRPr="00DC0089">
        <w:rPr>
          <w:lang w:eastAsia="en-AU"/>
        </w:rPr>
        <w:t>(b)</w:t>
      </w:r>
      <w:r w:rsidRPr="00DC0089">
        <w:rPr>
          <w:lang w:eastAsia="en-AU"/>
        </w:rPr>
        <w:tab/>
        <w:t xml:space="preserve">From July 2016, the Commonwealth will be responsible for home support </w:t>
      </w:r>
      <w:r>
        <w:rPr>
          <w:lang w:eastAsia="en-AU"/>
        </w:rPr>
        <w:t>and related disability services</w:t>
      </w:r>
      <w:r w:rsidRPr="00DC0089">
        <w:rPr>
          <w:lang w:eastAsia="en-AU"/>
        </w:rPr>
        <w:t xml:space="preserve"> for people aged over 65 years. Health expenditure is adjusted from 2016</w:t>
      </w:r>
      <w:r>
        <w:rPr>
          <w:lang w:eastAsia="en-AU"/>
        </w:rPr>
        <w:noBreakHyphen/>
      </w:r>
      <w:r w:rsidRPr="00DC0089">
        <w:rPr>
          <w:lang w:eastAsia="en-AU"/>
        </w:rPr>
        <w:t xml:space="preserve">17 to reflect this transfer. </w:t>
      </w:r>
    </w:p>
    <w:p w:rsidR="00965D85" w:rsidRPr="00DC0089" w:rsidRDefault="00965D85" w:rsidP="008B46DF">
      <w:pPr>
        <w:pStyle w:val="Notes"/>
        <w:rPr>
          <w:lang w:eastAsia="en-AU"/>
        </w:rPr>
      </w:pPr>
      <w:r w:rsidRPr="00DC0089">
        <w:rPr>
          <w:lang w:eastAsia="en-AU"/>
        </w:rPr>
        <w:t>(c)</w:t>
      </w:r>
      <w:r w:rsidRPr="00DC0089">
        <w:rPr>
          <w:lang w:eastAsia="en-AU"/>
        </w:rPr>
        <w:tab/>
        <w:t xml:space="preserve">Other general government sector agencies not allocated to departmental portfolios. </w:t>
      </w:r>
    </w:p>
    <w:p w:rsidR="00965D85" w:rsidRPr="00DC0089" w:rsidRDefault="00965D85" w:rsidP="008B46DF">
      <w:pPr>
        <w:pStyle w:val="Notes"/>
        <w:rPr>
          <w:lang w:eastAsia="en-AU"/>
        </w:rPr>
      </w:pPr>
      <w:r w:rsidRPr="00DC0089">
        <w:rPr>
          <w:lang w:eastAsia="en-AU"/>
        </w:rPr>
        <w:t>(d)</w:t>
      </w:r>
      <w:r w:rsidRPr="00DC0089">
        <w:rPr>
          <w:lang w:eastAsia="en-AU"/>
        </w:rPr>
        <w:tab/>
        <w:t>Note 12(c) provides a breakdown of the general government output contingencies not allocated to departments.</w:t>
      </w:r>
    </w:p>
    <w:p w:rsidR="00965D85" w:rsidRDefault="00965D85" w:rsidP="008B46DF">
      <w:pPr>
        <w:pStyle w:val="Notes"/>
        <w:rPr>
          <w:lang w:eastAsia="en-AU"/>
        </w:rPr>
      </w:pPr>
      <w:r w:rsidRPr="00DC0089">
        <w:rPr>
          <w:lang w:eastAsia="en-AU"/>
        </w:rPr>
        <w:t>(e)</w:t>
      </w:r>
      <w:r w:rsidRPr="00DC0089">
        <w:rPr>
          <w:lang w:eastAsia="en-AU"/>
        </w:rPr>
        <w:tab/>
        <w:t>Mainly comprising payroll tax , capital asset charge, departmental underspend estimates and inter</w:t>
      </w:r>
      <w:r>
        <w:rPr>
          <w:lang w:eastAsia="en-AU"/>
        </w:rPr>
        <w:noBreakHyphen/>
      </w:r>
      <w:r w:rsidRPr="00DC0089">
        <w:rPr>
          <w:lang w:eastAsia="en-AU"/>
        </w:rPr>
        <w:t>departmental transfers.</w:t>
      </w:r>
      <w:r>
        <w:rPr>
          <w:lang w:eastAsia="en-AU"/>
        </w:rPr>
        <w:t xml:space="preserve"> </w:t>
      </w:r>
    </w:p>
    <w:p w:rsidR="00965D85" w:rsidRDefault="00965D85" w:rsidP="008B46DF">
      <w:pPr>
        <w:spacing w:after="0"/>
        <w:rPr>
          <w:lang w:eastAsia="en-AU"/>
        </w:rPr>
      </w:pPr>
    </w:p>
    <w:p w:rsidR="00965D85" w:rsidRDefault="00965D85">
      <w:pPr>
        <w:spacing w:after="0"/>
        <w:rPr>
          <w:rFonts w:eastAsiaTheme="minorEastAsia"/>
          <w:lang w:eastAsia="en-AU"/>
        </w:rPr>
      </w:pPr>
      <w:r>
        <w:rPr>
          <w:rFonts w:eastAsiaTheme="minorEastAsia"/>
          <w:lang w:eastAsia="en-AU"/>
        </w:rPr>
        <w:br w:type="page"/>
      </w:r>
    </w:p>
    <w:p w:rsidR="00965D85" w:rsidRDefault="00965D85" w:rsidP="008B46DF">
      <w:pPr>
        <w:pStyle w:val="Heading2NotesContd"/>
      </w:pPr>
      <w:r>
        <w:rPr>
          <w:rFonts w:eastAsiaTheme="minorEastAsia"/>
          <w:lang w:eastAsia="en-AU"/>
        </w:rPr>
        <w:lastRenderedPageBreak/>
        <w:t>Note 12:</w:t>
      </w:r>
      <w:r>
        <w:rPr>
          <w:rFonts w:eastAsiaTheme="minorEastAsia"/>
          <w:lang w:eastAsia="en-AU"/>
        </w:rPr>
        <w:tab/>
      </w:r>
      <w:r w:rsidRPr="00EF009F">
        <w:rPr>
          <w:rFonts w:eastAsiaTheme="minorEastAsia"/>
        </w:rPr>
        <w:t>Total</w:t>
      </w:r>
      <w:r>
        <w:rPr>
          <w:rFonts w:eastAsiaTheme="minorEastAsia"/>
          <w:lang w:eastAsia="en-AU"/>
        </w:rPr>
        <w:t xml:space="preserve"> expenses by government purpose and by department</w:t>
      </w:r>
      <w:r w:rsidRPr="00CC1ACA">
        <w:rPr>
          <w:i/>
          <w:lang w:eastAsia="en-AU"/>
        </w:rPr>
        <w:t xml:space="preserve"> (continued</w:t>
      </w:r>
      <w:r>
        <w:rPr>
          <w:i/>
          <w:lang w:eastAsia="en-AU"/>
        </w:rPr>
        <w:t>)</w:t>
      </w:r>
      <w:r w:rsidRPr="003878BE">
        <w:t xml:space="preserve"> </w:t>
      </w:r>
    </w:p>
    <w:p w:rsidR="00965D85" w:rsidRDefault="00965D85" w:rsidP="008B46DF">
      <w:pPr>
        <w:pStyle w:val="Heading5"/>
        <w:rPr>
          <w:rFonts w:ascii="Times New Roman" w:hAnsi="Times New Roman"/>
          <w:i/>
          <w:sz w:val="20"/>
          <w:lang w:eastAsia="en-AU"/>
        </w:rPr>
      </w:pPr>
      <w:r w:rsidRPr="003878BE">
        <w:rPr>
          <w:lang w:eastAsia="en-AU"/>
        </w:rPr>
        <w:t xml:space="preserve">(c) </w:t>
      </w:r>
      <w:r w:rsidRPr="003878BE">
        <w:rPr>
          <w:lang w:eastAsia="en-AU"/>
        </w:rPr>
        <w:tab/>
        <w:t>General government output contingencies not allocated to departments</w:t>
      </w:r>
    </w:p>
    <w:tbl>
      <w:tblPr>
        <w:tblW w:w="7797" w:type="dxa"/>
        <w:tblInd w:w="28" w:type="dxa"/>
        <w:tblLayout w:type="fixed"/>
        <w:tblCellMar>
          <w:left w:w="28" w:type="dxa"/>
          <w:right w:w="28" w:type="dxa"/>
        </w:tblCellMar>
        <w:tblLook w:val="0000" w:firstRow="0" w:lastRow="0" w:firstColumn="0" w:lastColumn="0" w:noHBand="0" w:noVBand="0"/>
      </w:tblPr>
      <w:tblGrid>
        <w:gridCol w:w="3544"/>
        <w:gridCol w:w="850"/>
        <w:gridCol w:w="851"/>
        <w:gridCol w:w="850"/>
        <w:gridCol w:w="851"/>
        <w:gridCol w:w="851"/>
      </w:tblGrid>
      <w:tr w:rsidR="00965D85" w:rsidRPr="00E22AD9" w:rsidTr="008B46DF">
        <w:trPr>
          <w:trHeight w:val="74"/>
          <w:tblHeader/>
        </w:trPr>
        <w:tc>
          <w:tcPr>
            <w:tcW w:w="7797" w:type="dxa"/>
            <w:gridSpan w:val="6"/>
            <w:tcBorders>
              <w:top w:val="nil"/>
              <w:left w:val="nil"/>
              <w:right w:val="nil"/>
            </w:tcBorders>
          </w:tcPr>
          <w:p w:rsidR="00965D85" w:rsidRPr="00E22AD9" w:rsidRDefault="00965D85" w:rsidP="008B46DF">
            <w:pPr>
              <w:pStyle w:val="million"/>
              <w:rPr>
                <w:rFonts w:eastAsiaTheme="minorEastAsia" w:cs="Calibri"/>
                <w:iCs/>
                <w:color w:val="000000"/>
                <w:sz w:val="20"/>
                <w:lang w:eastAsia="en-AU"/>
              </w:rPr>
            </w:pPr>
            <w:r w:rsidRPr="00E22AD9">
              <w:rPr>
                <w:rFonts w:eastAsiaTheme="minorEastAsia"/>
                <w:lang w:eastAsia="en-AU"/>
              </w:rPr>
              <w:t>($ million)</w:t>
            </w:r>
          </w:p>
        </w:tc>
      </w:tr>
      <w:tr w:rsidR="00965D85" w:rsidRPr="00E22AD9" w:rsidTr="008B46DF">
        <w:trPr>
          <w:trHeight w:val="503"/>
          <w:tblHeader/>
        </w:trPr>
        <w:tc>
          <w:tcPr>
            <w:tcW w:w="3544" w:type="dxa"/>
            <w:tcBorders>
              <w:top w:val="single" w:sz="6" w:space="0" w:color="auto"/>
              <w:left w:val="nil"/>
              <w:right w:val="nil"/>
            </w:tcBorders>
            <w:shd w:val="solid" w:color="000000" w:fill="auto"/>
          </w:tcPr>
          <w:p w:rsidR="00965D85" w:rsidRPr="00E22AD9" w:rsidRDefault="00965D85" w:rsidP="008B46DF">
            <w:pPr>
              <w:pStyle w:val="million"/>
              <w:rPr>
                <w:rFonts w:eastAsiaTheme="minorEastAsia"/>
                <w:sz w:val="20"/>
                <w:lang w:eastAsia="en-AU"/>
              </w:rPr>
            </w:pPr>
            <w:r w:rsidRPr="00E22AD9">
              <w:rPr>
                <w:rFonts w:eastAsiaTheme="minorEastAsia"/>
                <w:sz w:val="20"/>
                <w:lang w:eastAsia="en-AU"/>
              </w:rPr>
              <w:t xml:space="preserve"> </w:t>
            </w:r>
          </w:p>
          <w:p w:rsidR="00965D85" w:rsidRPr="00E22AD9" w:rsidRDefault="00965D85" w:rsidP="008B46DF">
            <w:pPr>
              <w:autoSpaceDE w:val="0"/>
              <w:autoSpaceDN w:val="0"/>
              <w:adjustRightInd w:val="0"/>
              <w:spacing w:after="0"/>
              <w:rPr>
                <w:rFonts w:eastAsiaTheme="minorEastAsia"/>
                <w:sz w:val="20"/>
                <w:lang w:eastAsia="en-AU"/>
              </w:rPr>
            </w:pPr>
            <w:r w:rsidRPr="00E22AD9">
              <w:rPr>
                <w:rFonts w:ascii="Calibri" w:eastAsiaTheme="minorEastAsia" w:hAnsi="Calibri" w:cs="Calibri"/>
                <w:i/>
                <w:iCs/>
                <w:color w:val="FFFFFF"/>
                <w:sz w:val="20"/>
                <w:lang w:eastAsia="en-AU"/>
              </w:rPr>
              <w:t xml:space="preserve"> </w:t>
            </w:r>
          </w:p>
        </w:tc>
        <w:tc>
          <w:tcPr>
            <w:tcW w:w="850" w:type="dxa"/>
            <w:tcBorders>
              <w:top w:val="single" w:sz="6" w:space="0" w:color="auto"/>
              <w:left w:val="nil"/>
              <w:right w:val="nil"/>
            </w:tcBorders>
            <w:shd w:val="solid" w:color="000000" w:fill="auto"/>
          </w:tcPr>
          <w:p w:rsidR="00965D85" w:rsidRPr="00E22AD9" w:rsidRDefault="00965D85" w:rsidP="008B46DF">
            <w:pPr>
              <w:pStyle w:val="million"/>
              <w:jc w:val="right"/>
              <w:rPr>
                <w:rFonts w:eastAsiaTheme="minorEastAsia"/>
                <w:sz w:val="20"/>
                <w:lang w:eastAsia="en-AU"/>
              </w:rPr>
            </w:pPr>
            <w:r w:rsidRPr="00E22AD9">
              <w:rPr>
                <w:rFonts w:eastAsiaTheme="minorEastAsia"/>
                <w:sz w:val="20"/>
                <w:lang w:eastAsia="en-AU"/>
              </w:rPr>
              <w:t>2015</w:t>
            </w:r>
            <w:r>
              <w:rPr>
                <w:rFonts w:eastAsiaTheme="minorEastAsia"/>
                <w:sz w:val="20"/>
                <w:lang w:eastAsia="en-AU"/>
              </w:rPr>
              <w:noBreakHyphen/>
            </w:r>
            <w:r w:rsidRPr="00E22AD9">
              <w:rPr>
                <w:rFonts w:eastAsiaTheme="minorEastAsia"/>
                <w:sz w:val="20"/>
                <w:lang w:eastAsia="en-AU"/>
              </w:rPr>
              <w:t>16</w:t>
            </w:r>
          </w:p>
          <w:p w:rsidR="00965D85" w:rsidRPr="00E22AD9" w:rsidRDefault="00965D85" w:rsidP="008B46DF">
            <w:pPr>
              <w:autoSpaceDE w:val="0"/>
              <w:autoSpaceDN w:val="0"/>
              <w:adjustRightInd w:val="0"/>
              <w:spacing w:after="0"/>
              <w:jc w:val="right"/>
              <w:rPr>
                <w:rFonts w:eastAsiaTheme="minorEastAsia"/>
                <w:sz w:val="20"/>
                <w:lang w:eastAsia="en-AU"/>
              </w:rPr>
            </w:pPr>
            <w:r w:rsidRPr="00E22AD9">
              <w:rPr>
                <w:rFonts w:ascii="Calibri" w:eastAsiaTheme="minorEastAsia" w:hAnsi="Calibri" w:cs="Calibri"/>
                <w:i/>
                <w:iCs/>
                <w:color w:val="FFFFFF"/>
                <w:sz w:val="20"/>
                <w:lang w:eastAsia="en-AU"/>
              </w:rPr>
              <w:t>budget</w:t>
            </w:r>
          </w:p>
        </w:tc>
        <w:tc>
          <w:tcPr>
            <w:tcW w:w="851" w:type="dxa"/>
            <w:tcBorders>
              <w:top w:val="single" w:sz="6" w:space="0" w:color="auto"/>
              <w:left w:val="nil"/>
              <w:right w:val="nil"/>
            </w:tcBorders>
            <w:shd w:val="solid" w:color="000000" w:fill="auto"/>
          </w:tcPr>
          <w:p w:rsidR="00965D85" w:rsidRPr="00E22AD9" w:rsidRDefault="00965D85" w:rsidP="008B46DF">
            <w:pPr>
              <w:pStyle w:val="million"/>
              <w:jc w:val="right"/>
              <w:rPr>
                <w:rFonts w:eastAsiaTheme="minorEastAsia"/>
                <w:sz w:val="20"/>
                <w:lang w:eastAsia="en-AU"/>
              </w:rPr>
            </w:pPr>
            <w:r w:rsidRPr="00E22AD9">
              <w:rPr>
                <w:rFonts w:eastAsiaTheme="minorEastAsia"/>
                <w:sz w:val="20"/>
                <w:lang w:eastAsia="en-AU"/>
              </w:rPr>
              <w:t>2015</w:t>
            </w:r>
            <w:r>
              <w:rPr>
                <w:rFonts w:eastAsiaTheme="minorEastAsia"/>
                <w:sz w:val="20"/>
                <w:lang w:eastAsia="en-AU"/>
              </w:rPr>
              <w:noBreakHyphen/>
            </w:r>
            <w:r w:rsidRPr="00E22AD9">
              <w:rPr>
                <w:rFonts w:eastAsiaTheme="minorEastAsia"/>
                <w:sz w:val="20"/>
                <w:lang w:eastAsia="en-AU"/>
              </w:rPr>
              <w:t>16</w:t>
            </w:r>
          </w:p>
          <w:p w:rsidR="00965D85" w:rsidRPr="00E22AD9" w:rsidRDefault="00965D85" w:rsidP="008B46DF">
            <w:pPr>
              <w:autoSpaceDE w:val="0"/>
              <w:autoSpaceDN w:val="0"/>
              <w:adjustRightInd w:val="0"/>
              <w:spacing w:after="0"/>
              <w:jc w:val="right"/>
              <w:rPr>
                <w:rFonts w:eastAsiaTheme="minorEastAsia"/>
                <w:sz w:val="20"/>
                <w:lang w:eastAsia="en-AU"/>
              </w:rPr>
            </w:pPr>
            <w:r w:rsidRPr="00E22AD9">
              <w:rPr>
                <w:rFonts w:ascii="Calibri" w:eastAsiaTheme="minorEastAsia" w:hAnsi="Calibri" w:cs="Calibri"/>
                <w:i/>
                <w:iCs/>
                <w:color w:val="FFFFFF"/>
                <w:sz w:val="20"/>
                <w:lang w:eastAsia="en-AU"/>
              </w:rPr>
              <w:t>revised</w:t>
            </w:r>
          </w:p>
        </w:tc>
        <w:tc>
          <w:tcPr>
            <w:tcW w:w="850" w:type="dxa"/>
            <w:tcBorders>
              <w:top w:val="single" w:sz="6" w:space="0" w:color="auto"/>
              <w:left w:val="nil"/>
              <w:right w:val="nil"/>
            </w:tcBorders>
            <w:shd w:val="solid" w:color="000000" w:fill="auto"/>
          </w:tcPr>
          <w:p w:rsidR="00965D85" w:rsidRPr="00E22AD9" w:rsidRDefault="00965D85" w:rsidP="008B46DF">
            <w:pPr>
              <w:pStyle w:val="million"/>
              <w:jc w:val="right"/>
              <w:rPr>
                <w:rFonts w:eastAsiaTheme="minorEastAsia"/>
                <w:sz w:val="20"/>
                <w:lang w:eastAsia="en-AU"/>
              </w:rPr>
            </w:pPr>
            <w:r w:rsidRPr="00E22AD9">
              <w:rPr>
                <w:rFonts w:eastAsiaTheme="minorEastAsia"/>
                <w:sz w:val="20"/>
                <w:lang w:eastAsia="en-AU"/>
              </w:rPr>
              <w:t>2016</w:t>
            </w:r>
            <w:r>
              <w:rPr>
                <w:rFonts w:eastAsiaTheme="minorEastAsia"/>
                <w:sz w:val="20"/>
                <w:lang w:eastAsia="en-AU"/>
              </w:rPr>
              <w:noBreakHyphen/>
            </w:r>
            <w:r w:rsidRPr="00E22AD9">
              <w:rPr>
                <w:rFonts w:eastAsiaTheme="minorEastAsia"/>
                <w:sz w:val="20"/>
                <w:lang w:eastAsia="en-AU"/>
              </w:rPr>
              <w:t>17</w:t>
            </w:r>
          </w:p>
          <w:p w:rsidR="00965D85" w:rsidRPr="00E22AD9" w:rsidRDefault="00965D85" w:rsidP="008B46DF">
            <w:pPr>
              <w:autoSpaceDE w:val="0"/>
              <w:autoSpaceDN w:val="0"/>
              <w:adjustRightInd w:val="0"/>
              <w:spacing w:after="0"/>
              <w:jc w:val="right"/>
              <w:rPr>
                <w:rFonts w:eastAsiaTheme="minorEastAsia"/>
                <w:sz w:val="20"/>
                <w:lang w:eastAsia="en-AU"/>
              </w:rPr>
            </w:pPr>
            <w:r w:rsidRPr="00E22AD9">
              <w:rPr>
                <w:rFonts w:ascii="Calibri" w:eastAsiaTheme="minorEastAsia" w:hAnsi="Calibri" w:cs="Calibri"/>
                <w:i/>
                <w:iCs/>
                <w:color w:val="FFFFFF"/>
                <w:sz w:val="20"/>
                <w:lang w:eastAsia="en-AU"/>
              </w:rPr>
              <w:t>estimate</w:t>
            </w:r>
          </w:p>
        </w:tc>
        <w:tc>
          <w:tcPr>
            <w:tcW w:w="851" w:type="dxa"/>
            <w:tcBorders>
              <w:top w:val="single" w:sz="6" w:space="0" w:color="auto"/>
              <w:left w:val="nil"/>
              <w:right w:val="nil"/>
            </w:tcBorders>
            <w:shd w:val="solid" w:color="000000" w:fill="auto"/>
          </w:tcPr>
          <w:p w:rsidR="00965D85" w:rsidRPr="00E22AD9" w:rsidRDefault="00965D85" w:rsidP="008B46DF">
            <w:pPr>
              <w:pStyle w:val="million"/>
              <w:jc w:val="right"/>
              <w:rPr>
                <w:rFonts w:eastAsiaTheme="minorEastAsia"/>
                <w:sz w:val="20"/>
                <w:lang w:eastAsia="en-AU"/>
              </w:rPr>
            </w:pPr>
            <w:r w:rsidRPr="00E22AD9">
              <w:rPr>
                <w:rFonts w:eastAsiaTheme="minorEastAsia"/>
                <w:sz w:val="20"/>
                <w:lang w:eastAsia="en-AU"/>
              </w:rPr>
              <w:t>2017</w:t>
            </w:r>
            <w:r>
              <w:rPr>
                <w:rFonts w:eastAsiaTheme="minorEastAsia"/>
                <w:sz w:val="20"/>
                <w:lang w:eastAsia="en-AU"/>
              </w:rPr>
              <w:noBreakHyphen/>
            </w:r>
            <w:r w:rsidRPr="00E22AD9">
              <w:rPr>
                <w:rFonts w:eastAsiaTheme="minorEastAsia"/>
                <w:sz w:val="20"/>
                <w:lang w:eastAsia="en-AU"/>
              </w:rPr>
              <w:t>18</w:t>
            </w:r>
          </w:p>
          <w:p w:rsidR="00965D85" w:rsidRPr="00E22AD9" w:rsidRDefault="00965D85" w:rsidP="008B46DF">
            <w:pPr>
              <w:autoSpaceDE w:val="0"/>
              <w:autoSpaceDN w:val="0"/>
              <w:adjustRightInd w:val="0"/>
              <w:spacing w:after="0"/>
              <w:jc w:val="right"/>
              <w:rPr>
                <w:rFonts w:eastAsiaTheme="minorEastAsia"/>
                <w:sz w:val="20"/>
                <w:lang w:eastAsia="en-AU"/>
              </w:rPr>
            </w:pPr>
            <w:r w:rsidRPr="00E22AD9">
              <w:rPr>
                <w:rFonts w:ascii="Calibri" w:eastAsiaTheme="minorEastAsia" w:hAnsi="Calibri" w:cs="Calibri"/>
                <w:i/>
                <w:iCs/>
                <w:color w:val="FFFFFF"/>
                <w:sz w:val="20"/>
                <w:lang w:eastAsia="en-AU"/>
              </w:rPr>
              <w:t>estimate</w:t>
            </w:r>
          </w:p>
        </w:tc>
        <w:tc>
          <w:tcPr>
            <w:tcW w:w="851" w:type="dxa"/>
            <w:tcBorders>
              <w:top w:val="single" w:sz="6" w:space="0" w:color="auto"/>
              <w:left w:val="nil"/>
              <w:right w:val="nil"/>
            </w:tcBorders>
            <w:shd w:val="solid" w:color="000000" w:fill="auto"/>
          </w:tcPr>
          <w:p w:rsidR="00965D85" w:rsidRPr="00E22AD9" w:rsidRDefault="00965D85" w:rsidP="008B46DF">
            <w:pPr>
              <w:pStyle w:val="million"/>
              <w:jc w:val="right"/>
              <w:rPr>
                <w:rFonts w:eastAsiaTheme="minorEastAsia"/>
                <w:sz w:val="20"/>
                <w:lang w:eastAsia="en-AU"/>
              </w:rPr>
            </w:pPr>
            <w:r w:rsidRPr="00E22AD9">
              <w:rPr>
                <w:rFonts w:eastAsiaTheme="minorEastAsia"/>
                <w:sz w:val="20"/>
                <w:lang w:eastAsia="en-AU"/>
              </w:rPr>
              <w:t>2018</w:t>
            </w:r>
            <w:r>
              <w:rPr>
                <w:rFonts w:eastAsiaTheme="minorEastAsia"/>
                <w:sz w:val="20"/>
                <w:lang w:eastAsia="en-AU"/>
              </w:rPr>
              <w:noBreakHyphen/>
            </w:r>
            <w:r w:rsidRPr="00E22AD9">
              <w:rPr>
                <w:rFonts w:eastAsiaTheme="minorEastAsia"/>
                <w:sz w:val="20"/>
                <w:lang w:eastAsia="en-AU"/>
              </w:rPr>
              <w:t>19</w:t>
            </w:r>
          </w:p>
          <w:p w:rsidR="00965D85" w:rsidRPr="00E22AD9" w:rsidRDefault="00965D85" w:rsidP="008B46DF">
            <w:pPr>
              <w:autoSpaceDE w:val="0"/>
              <w:autoSpaceDN w:val="0"/>
              <w:adjustRightInd w:val="0"/>
              <w:spacing w:after="0"/>
              <w:jc w:val="right"/>
              <w:rPr>
                <w:rFonts w:eastAsiaTheme="minorEastAsia"/>
                <w:sz w:val="20"/>
                <w:lang w:eastAsia="en-AU"/>
              </w:rPr>
            </w:pPr>
            <w:r w:rsidRPr="00E22AD9">
              <w:rPr>
                <w:rFonts w:ascii="Calibri" w:eastAsiaTheme="minorEastAsia" w:hAnsi="Calibri" w:cs="Calibri"/>
                <w:i/>
                <w:iCs/>
                <w:color w:val="FFFFFF"/>
                <w:sz w:val="20"/>
                <w:lang w:eastAsia="en-AU"/>
              </w:rPr>
              <w:t>estimate</w:t>
            </w:r>
          </w:p>
        </w:tc>
      </w:tr>
      <w:tr w:rsidR="00965D85" w:rsidRPr="00E22AD9" w:rsidTr="008B46DF">
        <w:tc>
          <w:tcPr>
            <w:tcW w:w="3544" w:type="dxa"/>
            <w:tcBorders>
              <w:top w:val="single" w:sz="6" w:space="0" w:color="auto"/>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20"/>
                <w:vertAlign w:val="superscript"/>
                <w:lang w:eastAsia="en-AU"/>
              </w:rPr>
            </w:pPr>
            <w:r w:rsidRPr="00E22AD9">
              <w:rPr>
                <w:rFonts w:ascii="Calibri" w:eastAsiaTheme="minorEastAsia" w:hAnsi="Calibri" w:cs="Calibri"/>
                <w:color w:val="000000"/>
                <w:sz w:val="20"/>
                <w:lang w:eastAsia="en-AU"/>
              </w:rPr>
              <w:t>Decisions made but not yet allocated</w:t>
            </w:r>
            <w:r w:rsidRPr="00E22AD9">
              <w:rPr>
                <w:rFonts w:ascii="Calibri" w:eastAsiaTheme="minorEastAsia" w:hAnsi="Calibri" w:cs="Calibri"/>
                <w:color w:val="000000"/>
                <w:sz w:val="20"/>
                <w:vertAlign w:val="superscript"/>
                <w:lang w:eastAsia="en-AU"/>
              </w:rPr>
              <w:t>(a)</w:t>
            </w:r>
          </w:p>
        </w:tc>
        <w:tc>
          <w:tcPr>
            <w:tcW w:w="850" w:type="dxa"/>
            <w:tcBorders>
              <w:top w:val="single" w:sz="6" w:space="0" w:color="auto"/>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417.6</w:t>
            </w:r>
          </w:p>
        </w:tc>
        <w:tc>
          <w:tcPr>
            <w:tcW w:w="851" w:type="dxa"/>
            <w:tcBorders>
              <w:top w:val="single" w:sz="6" w:space="0" w:color="auto"/>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274.2</w:t>
            </w:r>
          </w:p>
        </w:tc>
        <w:tc>
          <w:tcPr>
            <w:tcW w:w="850" w:type="dxa"/>
            <w:tcBorders>
              <w:top w:val="single" w:sz="6" w:space="0" w:color="auto"/>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1 060.5</w:t>
            </w:r>
          </w:p>
        </w:tc>
        <w:tc>
          <w:tcPr>
            <w:tcW w:w="851" w:type="dxa"/>
            <w:tcBorders>
              <w:top w:val="single" w:sz="6" w:space="0" w:color="auto"/>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2 196.3</w:t>
            </w:r>
          </w:p>
        </w:tc>
        <w:tc>
          <w:tcPr>
            <w:tcW w:w="851" w:type="dxa"/>
            <w:tcBorders>
              <w:top w:val="single" w:sz="6" w:space="0" w:color="auto"/>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3 280.5</w:t>
            </w:r>
          </w:p>
        </w:tc>
      </w:tr>
      <w:tr w:rsidR="00965D85" w:rsidRPr="00E22AD9" w:rsidTr="008B46DF">
        <w:tc>
          <w:tcPr>
            <w:tcW w:w="3544" w:type="dxa"/>
            <w:tcBorders>
              <w:top w:val="nil"/>
              <w:left w:val="nil"/>
              <w:bottom w:val="single" w:sz="6" w:space="0" w:color="auto"/>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20"/>
                <w:vertAlign w:val="superscript"/>
                <w:lang w:eastAsia="en-AU"/>
              </w:rPr>
            </w:pPr>
            <w:r w:rsidRPr="00E22AD9">
              <w:rPr>
                <w:rFonts w:ascii="Calibri" w:eastAsiaTheme="minorEastAsia" w:hAnsi="Calibri" w:cs="Calibri"/>
                <w:color w:val="000000"/>
                <w:sz w:val="20"/>
                <w:lang w:eastAsia="en-AU"/>
              </w:rPr>
              <w:t>Funding not allocated to specific purposes</w:t>
            </w:r>
            <w:r w:rsidRPr="00E22AD9">
              <w:rPr>
                <w:rFonts w:ascii="Calibri" w:eastAsiaTheme="minorEastAsia" w:hAnsi="Calibri" w:cs="Calibri"/>
                <w:color w:val="000000"/>
                <w:sz w:val="20"/>
                <w:vertAlign w:val="superscript"/>
                <w:lang w:eastAsia="en-AU"/>
              </w:rPr>
              <w:t>(b)</w:t>
            </w:r>
          </w:p>
        </w:tc>
        <w:tc>
          <w:tcPr>
            <w:tcW w:w="850" w:type="dxa"/>
            <w:tcBorders>
              <w:top w:val="nil"/>
              <w:left w:val="nil"/>
              <w:bottom w:val="single" w:sz="6" w:space="0" w:color="auto"/>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100.0</w:t>
            </w:r>
          </w:p>
        </w:tc>
        <w:tc>
          <w:tcPr>
            <w:tcW w:w="851" w:type="dxa"/>
            <w:tcBorders>
              <w:top w:val="nil"/>
              <w:left w:val="nil"/>
              <w:bottom w:val="single" w:sz="6" w:space="0" w:color="auto"/>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53.4</w:t>
            </w:r>
          </w:p>
        </w:tc>
        <w:tc>
          <w:tcPr>
            <w:tcW w:w="850" w:type="dxa"/>
            <w:tcBorders>
              <w:top w:val="nil"/>
              <w:left w:val="nil"/>
              <w:bottom w:val="single" w:sz="6" w:space="0" w:color="auto"/>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300.0</w:t>
            </w:r>
          </w:p>
        </w:tc>
        <w:tc>
          <w:tcPr>
            <w:tcW w:w="851" w:type="dxa"/>
            <w:tcBorders>
              <w:top w:val="nil"/>
              <w:left w:val="nil"/>
              <w:bottom w:val="single" w:sz="6" w:space="0" w:color="auto"/>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500.0</w:t>
            </w:r>
          </w:p>
        </w:tc>
        <w:tc>
          <w:tcPr>
            <w:tcW w:w="851" w:type="dxa"/>
            <w:tcBorders>
              <w:top w:val="nil"/>
              <w:left w:val="nil"/>
              <w:bottom w:val="single" w:sz="6" w:space="0" w:color="auto"/>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700.0</w:t>
            </w:r>
          </w:p>
        </w:tc>
      </w:tr>
      <w:tr w:rsidR="00965D85" w:rsidRPr="00E22AD9" w:rsidTr="008B46DF">
        <w:tc>
          <w:tcPr>
            <w:tcW w:w="3544" w:type="dxa"/>
            <w:tcBorders>
              <w:top w:val="single" w:sz="6" w:space="0" w:color="auto"/>
              <w:left w:val="nil"/>
              <w:bottom w:val="single" w:sz="12" w:space="0" w:color="auto"/>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Total general government output contingencies</w:t>
            </w:r>
          </w:p>
        </w:tc>
        <w:tc>
          <w:tcPr>
            <w:tcW w:w="850" w:type="dxa"/>
            <w:tcBorders>
              <w:top w:val="single" w:sz="6" w:space="0" w:color="auto"/>
              <w:left w:val="nil"/>
              <w:bottom w:val="single" w:sz="12" w:space="0" w:color="auto"/>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20"/>
                <w:lang w:eastAsia="en-AU"/>
              </w:rPr>
              <w:t>517.6</w:t>
            </w:r>
          </w:p>
        </w:tc>
        <w:tc>
          <w:tcPr>
            <w:tcW w:w="851" w:type="dxa"/>
            <w:tcBorders>
              <w:top w:val="single" w:sz="6" w:space="0" w:color="auto"/>
              <w:left w:val="nil"/>
              <w:bottom w:val="single" w:sz="12" w:space="0" w:color="auto"/>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20"/>
                <w:lang w:eastAsia="en-AU"/>
              </w:rPr>
              <w:t>327.6</w:t>
            </w:r>
          </w:p>
        </w:tc>
        <w:tc>
          <w:tcPr>
            <w:tcW w:w="850" w:type="dxa"/>
            <w:tcBorders>
              <w:top w:val="single" w:sz="6" w:space="0" w:color="auto"/>
              <w:left w:val="nil"/>
              <w:bottom w:val="single" w:sz="12" w:space="0" w:color="auto"/>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1 360.5</w:t>
            </w:r>
          </w:p>
        </w:tc>
        <w:tc>
          <w:tcPr>
            <w:tcW w:w="851" w:type="dxa"/>
            <w:tcBorders>
              <w:top w:val="single" w:sz="6" w:space="0" w:color="auto"/>
              <w:left w:val="nil"/>
              <w:bottom w:val="single" w:sz="12" w:space="0" w:color="auto"/>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2 696.3</w:t>
            </w:r>
          </w:p>
        </w:tc>
        <w:tc>
          <w:tcPr>
            <w:tcW w:w="851" w:type="dxa"/>
            <w:tcBorders>
              <w:top w:val="single" w:sz="6" w:space="0" w:color="auto"/>
              <w:left w:val="nil"/>
              <w:bottom w:val="single" w:sz="12" w:space="0" w:color="auto"/>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3 980.5</w:t>
            </w:r>
          </w:p>
        </w:tc>
      </w:tr>
    </w:tbl>
    <w:p w:rsidR="00965D85" w:rsidRPr="00DC0089" w:rsidRDefault="00965D85" w:rsidP="008B46DF">
      <w:pPr>
        <w:pStyle w:val="Notes"/>
        <w:rPr>
          <w:lang w:eastAsia="en-AU"/>
        </w:rPr>
      </w:pPr>
      <w:r w:rsidRPr="00DC0089">
        <w:rPr>
          <w:lang w:eastAsia="en-AU"/>
        </w:rPr>
        <w:t>Notes:</w:t>
      </w:r>
    </w:p>
    <w:p w:rsidR="00965D85" w:rsidRPr="00DC0089" w:rsidRDefault="00965D85" w:rsidP="008B46DF">
      <w:pPr>
        <w:pStyle w:val="Notes"/>
        <w:rPr>
          <w:lang w:eastAsia="en-AU"/>
        </w:rPr>
      </w:pPr>
      <w:r w:rsidRPr="00DC0089">
        <w:rPr>
          <w:lang w:eastAsia="en-AU"/>
        </w:rPr>
        <w:t>(a)</w:t>
      </w:r>
      <w:r w:rsidRPr="00DC0089">
        <w:rPr>
          <w:lang w:eastAsia="en-AU"/>
        </w:rPr>
        <w:tab/>
        <w:t>Reflects existing government policy decisions for which funding has yet to be allocated to departments; provision for election commitments to be funded in future budgets; provisions not yet allocated to meet additional price and demand growth for health, disability and education; and a provision for estimated additional depreciation costs associated with the general government unallocated capital contingency.</w:t>
      </w:r>
    </w:p>
    <w:p w:rsidR="00965D85" w:rsidRDefault="00965D85" w:rsidP="008B46DF">
      <w:pPr>
        <w:pStyle w:val="Notes"/>
        <w:rPr>
          <w:lang w:eastAsia="en-AU"/>
        </w:rPr>
      </w:pPr>
      <w:r w:rsidRPr="00DC0089">
        <w:rPr>
          <w:lang w:eastAsia="en-AU"/>
        </w:rPr>
        <w:t>(b)</w:t>
      </w:r>
      <w:r w:rsidRPr="00DC0089">
        <w:rPr>
          <w:lang w:eastAsia="en-AU"/>
        </w:rPr>
        <w:tab/>
        <w:t>An unallocated provision available to contribute to future government policy decisions and commitments, including for decisions to extend lapsing programs across the budget and forward estimates.</w:t>
      </w:r>
    </w:p>
    <w:p w:rsidR="00965D85" w:rsidRDefault="00965D85" w:rsidP="008B46DF">
      <w:pPr>
        <w:rPr>
          <w:lang w:eastAsia="en-AU"/>
        </w:rPr>
      </w:pPr>
    </w:p>
    <w:p w:rsidR="00965D85" w:rsidRDefault="00965D85" w:rsidP="008B46DF">
      <w:pPr>
        <w:rPr>
          <w:lang w:eastAsia="en-AU"/>
        </w:rPr>
      </w:pPr>
    </w:p>
    <w:p w:rsidR="00965D85" w:rsidRDefault="00965D85" w:rsidP="008B46DF">
      <w:pPr>
        <w:pStyle w:val="Heading2Notes"/>
        <w:rPr>
          <w:rFonts w:ascii="Times New Roman" w:hAnsi="Times New Roman"/>
          <w:sz w:val="20"/>
          <w:lang w:eastAsia="en-AU"/>
        </w:rPr>
      </w:pPr>
      <w:bookmarkStart w:id="61" w:name="_Toc436138919"/>
      <w:r w:rsidRPr="003878BE">
        <w:rPr>
          <w:lang w:eastAsia="en-AU"/>
        </w:rPr>
        <w:t xml:space="preserve">Note 13: </w:t>
      </w:r>
      <w:r w:rsidRPr="003878BE">
        <w:rPr>
          <w:lang w:eastAsia="en-AU"/>
        </w:rPr>
        <w:tab/>
        <w:t>Other gains/(losses) from other economic flows</w:t>
      </w:r>
      <w:bookmarkEnd w:id="61"/>
    </w:p>
    <w:tbl>
      <w:tblPr>
        <w:tblW w:w="7797" w:type="dxa"/>
        <w:tblInd w:w="28" w:type="dxa"/>
        <w:tblLayout w:type="fixed"/>
        <w:tblCellMar>
          <w:left w:w="28" w:type="dxa"/>
          <w:right w:w="28" w:type="dxa"/>
        </w:tblCellMar>
        <w:tblLook w:val="0000" w:firstRow="0" w:lastRow="0" w:firstColumn="0" w:lastColumn="0" w:noHBand="0" w:noVBand="0"/>
      </w:tblPr>
      <w:tblGrid>
        <w:gridCol w:w="3544"/>
        <w:gridCol w:w="850"/>
        <w:gridCol w:w="851"/>
        <w:gridCol w:w="850"/>
        <w:gridCol w:w="851"/>
        <w:gridCol w:w="851"/>
      </w:tblGrid>
      <w:tr w:rsidR="00965D85" w:rsidRPr="00E22AD9" w:rsidTr="008B46DF">
        <w:trPr>
          <w:tblHeader/>
        </w:trPr>
        <w:tc>
          <w:tcPr>
            <w:tcW w:w="7797" w:type="dxa"/>
            <w:gridSpan w:val="6"/>
            <w:tcBorders>
              <w:top w:val="nil"/>
              <w:left w:val="nil"/>
              <w:bottom w:val="nil"/>
              <w:right w:val="nil"/>
            </w:tcBorders>
          </w:tcPr>
          <w:p w:rsidR="00965D85" w:rsidRPr="00E22AD9" w:rsidRDefault="00965D85" w:rsidP="008B46DF">
            <w:pPr>
              <w:pStyle w:val="million"/>
              <w:rPr>
                <w:rFonts w:eastAsiaTheme="minorEastAsia" w:cs="Calibri"/>
                <w:iCs/>
                <w:color w:val="000000"/>
                <w:sz w:val="20"/>
                <w:lang w:eastAsia="en-AU"/>
              </w:rPr>
            </w:pPr>
            <w:r w:rsidRPr="00E22AD9">
              <w:rPr>
                <w:rFonts w:eastAsiaTheme="minorEastAsia"/>
                <w:lang w:eastAsia="en-AU"/>
              </w:rPr>
              <w:t>($ million)</w:t>
            </w:r>
          </w:p>
        </w:tc>
      </w:tr>
      <w:tr w:rsidR="00965D85" w:rsidRPr="00E22AD9" w:rsidTr="008B46DF">
        <w:trPr>
          <w:trHeight w:val="488"/>
          <w:tblHeader/>
        </w:trPr>
        <w:tc>
          <w:tcPr>
            <w:tcW w:w="3544" w:type="dxa"/>
            <w:tcBorders>
              <w:top w:val="nil"/>
              <w:left w:val="nil"/>
              <w:right w:val="nil"/>
            </w:tcBorders>
            <w:shd w:val="solid" w:color="000000" w:fill="auto"/>
          </w:tcPr>
          <w:p w:rsidR="00965D85" w:rsidRPr="00E22AD9" w:rsidRDefault="00965D85" w:rsidP="008B46DF">
            <w:pPr>
              <w:pStyle w:val="million"/>
              <w:rPr>
                <w:rFonts w:eastAsiaTheme="minorEastAsia"/>
                <w:sz w:val="20"/>
                <w:lang w:eastAsia="en-AU"/>
              </w:rPr>
            </w:pPr>
            <w:r w:rsidRPr="00E22AD9">
              <w:rPr>
                <w:rFonts w:eastAsiaTheme="minorEastAsia"/>
                <w:sz w:val="20"/>
                <w:lang w:eastAsia="en-AU"/>
              </w:rPr>
              <w:t xml:space="preserve"> </w:t>
            </w:r>
          </w:p>
          <w:p w:rsidR="00965D85" w:rsidRPr="00E22AD9" w:rsidRDefault="00965D85" w:rsidP="008B46DF">
            <w:pPr>
              <w:autoSpaceDE w:val="0"/>
              <w:autoSpaceDN w:val="0"/>
              <w:adjustRightInd w:val="0"/>
              <w:spacing w:after="0"/>
              <w:rPr>
                <w:rFonts w:eastAsiaTheme="minorEastAsia"/>
                <w:sz w:val="20"/>
                <w:lang w:eastAsia="en-AU"/>
              </w:rPr>
            </w:pPr>
            <w:r w:rsidRPr="00E22AD9">
              <w:rPr>
                <w:rFonts w:ascii="Calibri" w:eastAsiaTheme="minorEastAsia" w:hAnsi="Calibri" w:cs="Calibri"/>
                <w:color w:val="000000"/>
                <w:sz w:val="20"/>
                <w:lang w:eastAsia="en-AU"/>
              </w:rPr>
              <w:t xml:space="preserve"> </w:t>
            </w:r>
          </w:p>
        </w:tc>
        <w:tc>
          <w:tcPr>
            <w:tcW w:w="850" w:type="dxa"/>
            <w:tcBorders>
              <w:top w:val="nil"/>
              <w:left w:val="nil"/>
              <w:right w:val="nil"/>
            </w:tcBorders>
            <w:shd w:val="solid" w:color="000000" w:fill="auto"/>
          </w:tcPr>
          <w:p w:rsidR="00965D85" w:rsidRPr="00E22AD9" w:rsidRDefault="00965D85" w:rsidP="008B46DF">
            <w:pPr>
              <w:pStyle w:val="million"/>
              <w:jc w:val="right"/>
              <w:rPr>
                <w:rFonts w:eastAsiaTheme="minorEastAsia"/>
                <w:iCs/>
                <w:color w:val="FFFFFF"/>
                <w:sz w:val="20"/>
                <w:lang w:eastAsia="en-AU"/>
              </w:rPr>
            </w:pPr>
            <w:r w:rsidRPr="00E22AD9">
              <w:rPr>
                <w:rFonts w:eastAsiaTheme="minorEastAsia"/>
                <w:iCs/>
                <w:color w:val="FFFFFF"/>
                <w:sz w:val="20"/>
                <w:lang w:eastAsia="en-AU"/>
              </w:rPr>
              <w:t>2015</w:t>
            </w:r>
            <w:r>
              <w:rPr>
                <w:rFonts w:eastAsiaTheme="minorEastAsia"/>
                <w:iCs/>
                <w:color w:val="FFFFFF"/>
                <w:sz w:val="20"/>
                <w:lang w:eastAsia="en-AU"/>
              </w:rPr>
              <w:noBreakHyphen/>
            </w:r>
            <w:r w:rsidRPr="00E22AD9">
              <w:rPr>
                <w:rFonts w:eastAsiaTheme="minorEastAsia"/>
                <w:iCs/>
                <w:color w:val="FFFFFF"/>
                <w:sz w:val="20"/>
                <w:lang w:eastAsia="en-AU"/>
              </w:rPr>
              <w:t>16</w:t>
            </w:r>
          </w:p>
          <w:p w:rsidR="00965D85" w:rsidRPr="00E22AD9" w:rsidRDefault="00965D85" w:rsidP="008B46DF">
            <w:pPr>
              <w:autoSpaceDE w:val="0"/>
              <w:autoSpaceDN w:val="0"/>
              <w:adjustRightInd w:val="0"/>
              <w:spacing w:after="0"/>
              <w:jc w:val="right"/>
              <w:rPr>
                <w:rFonts w:eastAsiaTheme="minorEastAsia"/>
                <w:iCs/>
                <w:color w:val="FFFFFF"/>
                <w:sz w:val="20"/>
                <w:lang w:eastAsia="en-AU"/>
              </w:rPr>
            </w:pPr>
            <w:r w:rsidRPr="00E22AD9">
              <w:rPr>
                <w:rFonts w:ascii="Calibri" w:eastAsiaTheme="minorEastAsia" w:hAnsi="Calibri" w:cs="Calibri"/>
                <w:i/>
                <w:iCs/>
                <w:color w:val="FFFFFF"/>
                <w:sz w:val="20"/>
                <w:lang w:eastAsia="en-AU"/>
              </w:rPr>
              <w:t>budget</w:t>
            </w:r>
          </w:p>
        </w:tc>
        <w:tc>
          <w:tcPr>
            <w:tcW w:w="851" w:type="dxa"/>
            <w:tcBorders>
              <w:top w:val="nil"/>
              <w:left w:val="nil"/>
              <w:right w:val="nil"/>
            </w:tcBorders>
            <w:shd w:val="solid" w:color="000000" w:fill="auto"/>
          </w:tcPr>
          <w:p w:rsidR="00965D85" w:rsidRPr="00E22AD9" w:rsidRDefault="00965D85" w:rsidP="008B46DF">
            <w:pPr>
              <w:pStyle w:val="million"/>
              <w:jc w:val="right"/>
              <w:rPr>
                <w:rFonts w:eastAsiaTheme="minorEastAsia"/>
                <w:iCs/>
                <w:color w:val="FFFFFF"/>
                <w:sz w:val="20"/>
                <w:lang w:eastAsia="en-AU"/>
              </w:rPr>
            </w:pPr>
            <w:r w:rsidRPr="00E22AD9">
              <w:rPr>
                <w:rFonts w:eastAsiaTheme="minorEastAsia"/>
                <w:iCs/>
                <w:color w:val="FFFFFF"/>
                <w:sz w:val="20"/>
                <w:lang w:eastAsia="en-AU"/>
              </w:rPr>
              <w:t>2015</w:t>
            </w:r>
            <w:r>
              <w:rPr>
                <w:rFonts w:eastAsiaTheme="minorEastAsia"/>
                <w:iCs/>
                <w:color w:val="FFFFFF"/>
                <w:sz w:val="20"/>
                <w:lang w:eastAsia="en-AU"/>
              </w:rPr>
              <w:noBreakHyphen/>
            </w:r>
            <w:r w:rsidRPr="00E22AD9">
              <w:rPr>
                <w:rFonts w:eastAsiaTheme="minorEastAsia"/>
                <w:iCs/>
                <w:color w:val="FFFFFF"/>
                <w:sz w:val="20"/>
                <w:lang w:eastAsia="en-AU"/>
              </w:rPr>
              <w:t>16</w:t>
            </w:r>
          </w:p>
          <w:p w:rsidR="00965D85" w:rsidRPr="00E22AD9" w:rsidRDefault="00965D85" w:rsidP="008B46DF">
            <w:pPr>
              <w:autoSpaceDE w:val="0"/>
              <w:autoSpaceDN w:val="0"/>
              <w:adjustRightInd w:val="0"/>
              <w:spacing w:after="0"/>
              <w:jc w:val="right"/>
              <w:rPr>
                <w:rFonts w:eastAsiaTheme="minorEastAsia"/>
                <w:iCs/>
                <w:color w:val="FFFFFF"/>
                <w:sz w:val="20"/>
                <w:lang w:eastAsia="en-AU"/>
              </w:rPr>
            </w:pPr>
            <w:r w:rsidRPr="00E22AD9">
              <w:rPr>
                <w:rFonts w:ascii="Calibri" w:eastAsiaTheme="minorEastAsia" w:hAnsi="Calibri" w:cs="Calibri"/>
                <w:i/>
                <w:iCs/>
                <w:color w:val="FFFFFF"/>
                <w:sz w:val="20"/>
                <w:lang w:eastAsia="en-AU"/>
              </w:rPr>
              <w:t>revised</w:t>
            </w:r>
          </w:p>
        </w:tc>
        <w:tc>
          <w:tcPr>
            <w:tcW w:w="850" w:type="dxa"/>
            <w:tcBorders>
              <w:top w:val="nil"/>
              <w:left w:val="nil"/>
              <w:right w:val="nil"/>
            </w:tcBorders>
            <w:shd w:val="solid" w:color="000000" w:fill="auto"/>
          </w:tcPr>
          <w:p w:rsidR="00965D85" w:rsidRPr="00E22AD9" w:rsidRDefault="00965D85" w:rsidP="008B46DF">
            <w:pPr>
              <w:pStyle w:val="million"/>
              <w:jc w:val="right"/>
              <w:rPr>
                <w:rFonts w:eastAsiaTheme="minorEastAsia"/>
                <w:iCs/>
                <w:color w:val="FFFFFF"/>
                <w:sz w:val="20"/>
                <w:lang w:eastAsia="en-AU"/>
              </w:rPr>
            </w:pPr>
            <w:r w:rsidRPr="00E22AD9">
              <w:rPr>
                <w:rFonts w:eastAsiaTheme="minorEastAsia"/>
                <w:iCs/>
                <w:color w:val="FFFFFF"/>
                <w:sz w:val="20"/>
                <w:lang w:eastAsia="en-AU"/>
              </w:rPr>
              <w:t>2016</w:t>
            </w:r>
            <w:r>
              <w:rPr>
                <w:rFonts w:eastAsiaTheme="minorEastAsia"/>
                <w:iCs/>
                <w:color w:val="FFFFFF"/>
                <w:sz w:val="20"/>
                <w:lang w:eastAsia="en-AU"/>
              </w:rPr>
              <w:noBreakHyphen/>
            </w:r>
            <w:r w:rsidRPr="00E22AD9">
              <w:rPr>
                <w:rFonts w:eastAsiaTheme="minorEastAsia"/>
                <w:iCs/>
                <w:color w:val="FFFFFF"/>
                <w:sz w:val="20"/>
                <w:lang w:eastAsia="en-AU"/>
              </w:rPr>
              <w:t>17</w:t>
            </w:r>
          </w:p>
          <w:p w:rsidR="00965D85" w:rsidRPr="00E22AD9" w:rsidRDefault="00965D85" w:rsidP="008B46DF">
            <w:pPr>
              <w:autoSpaceDE w:val="0"/>
              <w:autoSpaceDN w:val="0"/>
              <w:adjustRightInd w:val="0"/>
              <w:spacing w:after="0"/>
              <w:jc w:val="right"/>
              <w:rPr>
                <w:rFonts w:eastAsiaTheme="minorEastAsia"/>
                <w:iCs/>
                <w:color w:val="FFFFFF"/>
                <w:sz w:val="20"/>
                <w:lang w:eastAsia="en-AU"/>
              </w:rPr>
            </w:pPr>
            <w:r w:rsidRPr="00E22AD9">
              <w:rPr>
                <w:rFonts w:ascii="Calibri" w:eastAsiaTheme="minorEastAsia" w:hAnsi="Calibri" w:cs="Calibri"/>
                <w:i/>
                <w:iCs/>
                <w:color w:val="FFFFFF"/>
                <w:sz w:val="20"/>
                <w:lang w:eastAsia="en-AU"/>
              </w:rPr>
              <w:t>estimate</w:t>
            </w:r>
          </w:p>
        </w:tc>
        <w:tc>
          <w:tcPr>
            <w:tcW w:w="851" w:type="dxa"/>
            <w:tcBorders>
              <w:top w:val="nil"/>
              <w:left w:val="nil"/>
              <w:right w:val="nil"/>
            </w:tcBorders>
            <w:shd w:val="solid" w:color="000000" w:fill="auto"/>
          </w:tcPr>
          <w:p w:rsidR="00965D85" w:rsidRPr="00E22AD9" w:rsidRDefault="00965D85" w:rsidP="008B46DF">
            <w:pPr>
              <w:pStyle w:val="million"/>
              <w:jc w:val="right"/>
              <w:rPr>
                <w:rFonts w:eastAsiaTheme="minorEastAsia"/>
                <w:iCs/>
                <w:color w:val="FFFFFF"/>
                <w:sz w:val="20"/>
                <w:lang w:eastAsia="en-AU"/>
              </w:rPr>
            </w:pPr>
            <w:r w:rsidRPr="00E22AD9">
              <w:rPr>
                <w:rFonts w:eastAsiaTheme="minorEastAsia"/>
                <w:iCs/>
                <w:color w:val="FFFFFF"/>
                <w:sz w:val="20"/>
                <w:lang w:eastAsia="en-AU"/>
              </w:rPr>
              <w:t>2017</w:t>
            </w:r>
            <w:r>
              <w:rPr>
                <w:rFonts w:eastAsiaTheme="minorEastAsia"/>
                <w:iCs/>
                <w:color w:val="FFFFFF"/>
                <w:sz w:val="20"/>
                <w:lang w:eastAsia="en-AU"/>
              </w:rPr>
              <w:noBreakHyphen/>
            </w:r>
            <w:r w:rsidRPr="00E22AD9">
              <w:rPr>
                <w:rFonts w:eastAsiaTheme="minorEastAsia"/>
                <w:iCs/>
                <w:color w:val="FFFFFF"/>
                <w:sz w:val="20"/>
                <w:lang w:eastAsia="en-AU"/>
              </w:rPr>
              <w:t>18</w:t>
            </w:r>
          </w:p>
          <w:p w:rsidR="00965D85" w:rsidRPr="00E22AD9" w:rsidRDefault="00965D85" w:rsidP="008B46DF">
            <w:pPr>
              <w:autoSpaceDE w:val="0"/>
              <w:autoSpaceDN w:val="0"/>
              <w:adjustRightInd w:val="0"/>
              <w:spacing w:after="0"/>
              <w:jc w:val="right"/>
              <w:rPr>
                <w:rFonts w:eastAsiaTheme="minorEastAsia"/>
                <w:iCs/>
                <w:color w:val="FFFFFF"/>
                <w:sz w:val="20"/>
                <w:lang w:eastAsia="en-AU"/>
              </w:rPr>
            </w:pPr>
            <w:r w:rsidRPr="00E22AD9">
              <w:rPr>
                <w:rFonts w:ascii="Calibri" w:eastAsiaTheme="minorEastAsia" w:hAnsi="Calibri" w:cs="Calibri"/>
                <w:i/>
                <w:iCs/>
                <w:color w:val="FFFFFF"/>
                <w:sz w:val="20"/>
                <w:lang w:eastAsia="en-AU"/>
              </w:rPr>
              <w:t>estimate</w:t>
            </w:r>
          </w:p>
        </w:tc>
        <w:tc>
          <w:tcPr>
            <w:tcW w:w="851" w:type="dxa"/>
            <w:tcBorders>
              <w:top w:val="nil"/>
              <w:left w:val="nil"/>
              <w:right w:val="nil"/>
            </w:tcBorders>
            <w:shd w:val="solid" w:color="000000" w:fill="auto"/>
          </w:tcPr>
          <w:p w:rsidR="00965D85" w:rsidRPr="00E22AD9" w:rsidRDefault="00965D85" w:rsidP="008B46DF">
            <w:pPr>
              <w:pStyle w:val="million"/>
              <w:jc w:val="right"/>
              <w:rPr>
                <w:rFonts w:eastAsiaTheme="minorEastAsia"/>
                <w:iCs/>
                <w:color w:val="FFFFFF"/>
                <w:sz w:val="20"/>
                <w:lang w:eastAsia="en-AU"/>
              </w:rPr>
            </w:pPr>
            <w:r w:rsidRPr="00E22AD9">
              <w:rPr>
                <w:rFonts w:eastAsiaTheme="minorEastAsia"/>
                <w:iCs/>
                <w:color w:val="FFFFFF"/>
                <w:sz w:val="20"/>
                <w:lang w:eastAsia="en-AU"/>
              </w:rPr>
              <w:t>2018</w:t>
            </w:r>
            <w:r>
              <w:rPr>
                <w:rFonts w:eastAsiaTheme="minorEastAsia"/>
                <w:iCs/>
                <w:color w:val="FFFFFF"/>
                <w:sz w:val="20"/>
                <w:lang w:eastAsia="en-AU"/>
              </w:rPr>
              <w:noBreakHyphen/>
            </w:r>
            <w:r w:rsidRPr="00E22AD9">
              <w:rPr>
                <w:rFonts w:eastAsiaTheme="minorEastAsia"/>
                <w:iCs/>
                <w:color w:val="FFFFFF"/>
                <w:sz w:val="20"/>
                <w:lang w:eastAsia="en-AU"/>
              </w:rPr>
              <w:t>19</w:t>
            </w:r>
          </w:p>
          <w:p w:rsidR="00965D85" w:rsidRPr="00E22AD9" w:rsidRDefault="00965D85" w:rsidP="008B46DF">
            <w:pPr>
              <w:autoSpaceDE w:val="0"/>
              <w:autoSpaceDN w:val="0"/>
              <w:adjustRightInd w:val="0"/>
              <w:spacing w:after="0"/>
              <w:jc w:val="right"/>
              <w:rPr>
                <w:rFonts w:eastAsiaTheme="minorEastAsia"/>
                <w:iCs/>
                <w:color w:val="FFFFFF"/>
                <w:sz w:val="20"/>
                <w:lang w:eastAsia="en-AU"/>
              </w:rPr>
            </w:pPr>
            <w:r w:rsidRPr="00E22AD9">
              <w:rPr>
                <w:rFonts w:ascii="Calibri" w:eastAsiaTheme="minorEastAsia" w:hAnsi="Calibri" w:cs="Calibri"/>
                <w:i/>
                <w:iCs/>
                <w:color w:val="FFFFFF"/>
                <w:sz w:val="20"/>
                <w:lang w:eastAsia="en-AU"/>
              </w:rPr>
              <w:t>estimate</w:t>
            </w:r>
          </w:p>
        </w:tc>
      </w:tr>
      <w:tr w:rsidR="00965D85" w:rsidRPr="00E22AD9" w:rsidTr="008B46DF">
        <w:tc>
          <w:tcPr>
            <w:tcW w:w="3544" w:type="dxa"/>
            <w:tcBorders>
              <w:top w:val="nil"/>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Net (increase)/decrease in provision for doubtful receivables</w:t>
            </w:r>
          </w:p>
        </w:tc>
        <w:tc>
          <w:tcPr>
            <w:tcW w:w="850"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(181.0)</w:t>
            </w:r>
          </w:p>
        </w:tc>
        <w:tc>
          <w:tcPr>
            <w:tcW w:w="851"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(181.2)</w:t>
            </w:r>
          </w:p>
        </w:tc>
        <w:tc>
          <w:tcPr>
            <w:tcW w:w="850"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(176.9)</w:t>
            </w:r>
          </w:p>
        </w:tc>
        <w:tc>
          <w:tcPr>
            <w:tcW w:w="851"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(185.4)</w:t>
            </w:r>
          </w:p>
        </w:tc>
        <w:tc>
          <w:tcPr>
            <w:tcW w:w="851"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(195.9)</w:t>
            </w:r>
          </w:p>
        </w:tc>
      </w:tr>
      <w:tr w:rsidR="00965D85" w:rsidRPr="00E22AD9" w:rsidTr="008B46DF">
        <w:tc>
          <w:tcPr>
            <w:tcW w:w="3544" w:type="dxa"/>
            <w:tcBorders>
              <w:top w:val="nil"/>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Amortisation of intangible non</w:t>
            </w:r>
            <w:r>
              <w:rPr>
                <w:rFonts w:ascii="Calibri" w:eastAsiaTheme="minorEastAsia" w:hAnsi="Calibri" w:cs="Calibri"/>
                <w:color w:val="000000"/>
                <w:sz w:val="20"/>
                <w:lang w:eastAsia="en-AU"/>
              </w:rPr>
              <w:noBreakHyphen/>
            </w:r>
            <w:r w:rsidRPr="00E22AD9">
              <w:rPr>
                <w:rFonts w:ascii="Calibri" w:eastAsiaTheme="minorEastAsia" w:hAnsi="Calibri" w:cs="Calibri"/>
                <w:color w:val="000000"/>
                <w:sz w:val="20"/>
                <w:lang w:eastAsia="en-AU"/>
              </w:rPr>
              <w:t>produced assets</w:t>
            </w:r>
          </w:p>
        </w:tc>
        <w:tc>
          <w:tcPr>
            <w:tcW w:w="850"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(0.1)</w:t>
            </w:r>
          </w:p>
        </w:tc>
        <w:tc>
          <w:tcPr>
            <w:tcW w:w="851"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(1.0)</w:t>
            </w:r>
          </w:p>
        </w:tc>
        <w:tc>
          <w:tcPr>
            <w:tcW w:w="850"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(1.0)</w:t>
            </w:r>
          </w:p>
        </w:tc>
        <w:tc>
          <w:tcPr>
            <w:tcW w:w="851"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(1.0)</w:t>
            </w:r>
          </w:p>
        </w:tc>
        <w:tc>
          <w:tcPr>
            <w:tcW w:w="851"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(1.0)</w:t>
            </w:r>
          </w:p>
        </w:tc>
      </w:tr>
      <w:tr w:rsidR="00965D85" w:rsidRPr="00E22AD9" w:rsidTr="008B46DF">
        <w:tc>
          <w:tcPr>
            <w:tcW w:w="3544" w:type="dxa"/>
            <w:tcBorders>
              <w:top w:val="nil"/>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Bad debts written off</w:t>
            </w:r>
          </w:p>
        </w:tc>
        <w:tc>
          <w:tcPr>
            <w:tcW w:w="850"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(153.5)</w:t>
            </w:r>
          </w:p>
        </w:tc>
        <w:tc>
          <w:tcPr>
            <w:tcW w:w="851"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(153.5)</w:t>
            </w:r>
          </w:p>
        </w:tc>
        <w:tc>
          <w:tcPr>
            <w:tcW w:w="850"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(153.8)</w:t>
            </w:r>
          </w:p>
        </w:tc>
        <w:tc>
          <w:tcPr>
            <w:tcW w:w="851"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(154.0)</w:t>
            </w:r>
          </w:p>
        </w:tc>
        <w:tc>
          <w:tcPr>
            <w:tcW w:w="851"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(154.0)</w:t>
            </w:r>
          </w:p>
        </w:tc>
      </w:tr>
      <w:tr w:rsidR="00965D85" w:rsidRPr="00E22AD9" w:rsidTr="008B46DF">
        <w:tc>
          <w:tcPr>
            <w:tcW w:w="3544"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 xml:space="preserve">Other gains/(losses) </w:t>
            </w:r>
          </w:p>
        </w:tc>
        <w:tc>
          <w:tcPr>
            <w:tcW w:w="850"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16.2</w:t>
            </w:r>
          </w:p>
        </w:tc>
        <w:tc>
          <w:tcPr>
            <w:tcW w:w="851"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3.0</w:t>
            </w:r>
          </w:p>
        </w:tc>
        <w:tc>
          <w:tcPr>
            <w:tcW w:w="850"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(1.3)</w:t>
            </w:r>
          </w:p>
        </w:tc>
        <w:tc>
          <w:tcPr>
            <w:tcW w:w="851"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(1.3)</w:t>
            </w:r>
          </w:p>
        </w:tc>
        <w:tc>
          <w:tcPr>
            <w:tcW w:w="851"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(1.2)</w:t>
            </w:r>
          </w:p>
        </w:tc>
      </w:tr>
      <w:tr w:rsidR="00965D85" w:rsidRPr="00E22AD9" w:rsidTr="008B46DF">
        <w:tc>
          <w:tcPr>
            <w:tcW w:w="3544" w:type="dxa"/>
            <w:tcBorders>
              <w:top w:val="single" w:sz="6" w:space="0" w:color="000000"/>
              <w:left w:val="nil"/>
              <w:bottom w:val="single" w:sz="12" w:space="0" w:color="000000"/>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Total other gains/(losses) from other economic flows</w:t>
            </w:r>
          </w:p>
        </w:tc>
        <w:tc>
          <w:tcPr>
            <w:tcW w:w="850" w:type="dxa"/>
            <w:tcBorders>
              <w:top w:val="single" w:sz="6" w:space="0" w:color="000000"/>
              <w:left w:val="nil"/>
              <w:bottom w:val="single" w:sz="12"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20"/>
                <w:lang w:eastAsia="en-AU"/>
              </w:rPr>
              <w:t>(318.4)</w:t>
            </w:r>
          </w:p>
        </w:tc>
        <w:tc>
          <w:tcPr>
            <w:tcW w:w="851" w:type="dxa"/>
            <w:tcBorders>
              <w:top w:val="single" w:sz="6" w:space="0" w:color="000000"/>
              <w:left w:val="nil"/>
              <w:bottom w:val="single" w:sz="12"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20"/>
                <w:lang w:eastAsia="en-AU"/>
              </w:rPr>
              <w:t>(332.7)</w:t>
            </w:r>
          </w:p>
        </w:tc>
        <w:tc>
          <w:tcPr>
            <w:tcW w:w="850" w:type="dxa"/>
            <w:tcBorders>
              <w:top w:val="single" w:sz="6" w:space="0" w:color="000000"/>
              <w:left w:val="nil"/>
              <w:bottom w:val="single" w:sz="12"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20"/>
                <w:lang w:eastAsia="en-AU"/>
              </w:rPr>
              <w:t>(332.9)</w:t>
            </w:r>
          </w:p>
        </w:tc>
        <w:tc>
          <w:tcPr>
            <w:tcW w:w="851" w:type="dxa"/>
            <w:tcBorders>
              <w:top w:val="single" w:sz="6" w:space="0" w:color="000000"/>
              <w:left w:val="nil"/>
              <w:bottom w:val="single" w:sz="12"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20"/>
                <w:lang w:eastAsia="en-AU"/>
              </w:rPr>
              <w:t>(341.6)</w:t>
            </w:r>
          </w:p>
        </w:tc>
        <w:tc>
          <w:tcPr>
            <w:tcW w:w="851" w:type="dxa"/>
            <w:tcBorders>
              <w:top w:val="single" w:sz="6" w:space="0" w:color="000000"/>
              <w:left w:val="nil"/>
              <w:bottom w:val="single" w:sz="12"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20"/>
                <w:lang w:eastAsia="en-AU"/>
              </w:rPr>
              <w:t>(352.1)</w:t>
            </w:r>
          </w:p>
        </w:tc>
      </w:tr>
    </w:tbl>
    <w:p w:rsidR="00965D85" w:rsidRDefault="00965D85" w:rsidP="008B46DF">
      <w:pPr>
        <w:rPr>
          <w:lang w:eastAsia="en-AU"/>
        </w:rPr>
      </w:pPr>
    </w:p>
    <w:p w:rsidR="00965D85" w:rsidRDefault="00965D85">
      <w:pPr>
        <w:spacing w:after="0"/>
        <w:rPr>
          <w:rFonts w:ascii="Calibri" w:hAnsi="Calibri"/>
          <w:b/>
          <w:kern w:val="28"/>
          <w:sz w:val="26"/>
          <w:szCs w:val="22"/>
          <w:lang w:eastAsia="en-AU"/>
        </w:rPr>
      </w:pPr>
      <w:r>
        <w:rPr>
          <w:lang w:eastAsia="en-AU"/>
        </w:rPr>
        <w:br w:type="page"/>
      </w:r>
    </w:p>
    <w:p w:rsidR="00965D85" w:rsidRDefault="00965D85" w:rsidP="008B46DF">
      <w:pPr>
        <w:pStyle w:val="Heading2Notes"/>
        <w:rPr>
          <w:rFonts w:ascii="Times New Roman" w:hAnsi="Times New Roman"/>
          <w:i/>
          <w:sz w:val="20"/>
          <w:lang w:eastAsia="en-AU"/>
        </w:rPr>
      </w:pPr>
      <w:bookmarkStart w:id="62" w:name="_Toc436138920"/>
      <w:r w:rsidRPr="003878BE">
        <w:rPr>
          <w:lang w:eastAsia="en-AU"/>
        </w:rPr>
        <w:lastRenderedPageBreak/>
        <w:t xml:space="preserve">Note 14: </w:t>
      </w:r>
      <w:r w:rsidRPr="003878BE">
        <w:rPr>
          <w:lang w:eastAsia="en-AU"/>
        </w:rPr>
        <w:tab/>
        <w:t>Reconciliation of net gain/(loss) on equity investments in other sector entities at proportional share of net assets</w:t>
      </w:r>
      <w:bookmarkEnd w:id="62"/>
    </w:p>
    <w:tbl>
      <w:tblPr>
        <w:tblW w:w="7767" w:type="dxa"/>
        <w:tblInd w:w="28" w:type="dxa"/>
        <w:tblLayout w:type="fixed"/>
        <w:tblCellMar>
          <w:left w:w="28" w:type="dxa"/>
          <w:right w:w="28" w:type="dxa"/>
        </w:tblCellMar>
        <w:tblLook w:val="0000" w:firstRow="0" w:lastRow="0" w:firstColumn="0" w:lastColumn="0" w:noHBand="0" w:noVBand="0"/>
      </w:tblPr>
      <w:tblGrid>
        <w:gridCol w:w="3544"/>
        <w:gridCol w:w="844"/>
        <w:gridCol w:w="845"/>
        <w:gridCol w:w="844"/>
        <w:gridCol w:w="845"/>
        <w:gridCol w:w="845"/>
      </w:tblGrid>
      <w:tr w:rsidR="00965D85" w:rsidRPr="00E22AD9" w:rsidTr="008B46DF">
        <w:trPr>
          <w:tblHeader/>
        </w:trPr>
        <w:tc>
          <w:tcPr>
            <w:tcW w:w="7767" w:type="dxa"/>
            <w:gridSpan w:val="6"/>
            <w:tcBorders>
              <w:top w:val="nil"/>
              <w:left w:val="nil"/>
              <w:bottom w:val="nil"/>
              <w:right w:val="nil"/>
            </w:tcBorders>
          </w:tcPr>
          <w:p w:rsidR="00965D85" w:rsidRPr="00E22AD9" w:rsidRDefault="00965D85" w:rsidP="008B46DF">
            <w:pPr>
              <w:pStyle w:val="million"/>
              <w:rPr>
                <w:rFonts w:eastAsiaTheme="minorEastAsia" w:cs="Calibri"/>
                <w:iCs/>
                <w:color w:val="000000"/>
                <w:sz w:val="20"/>
                <w:lang w:eastAsia="en-AU"/>
              </w:rPr>
            </w:pPr>
            <w:r w:rsidRPr="00E22AD9">
              <w:rPr>
                <w:rFonts w:eastAsiaTheme="minorEastAsia"/>
                <w:lang w:eastAsia="en-AU"/>
              </w:rPr>
              <w:t>($ million)</w:t>
            </w:r>
          </w:p>
        </w:tc>
      </w:tr>
      <w:tr w:rsidR="00965D85" w:rsidRPr="00E22AD9" w:rsidTr="008B46DF">
        <w:trPr>
          <w:trHeight w:val="488"/>
          <w:tblHeader/>
        </w:trPr>
        <w:tc>
          <w:tcPr>
            <w:tcW w:w="3544" w:type="dxa"/>
            <w:tcBorders>
              <w:top w:val="nil"/>
              <w:left w:val="nil"/>
              <w:right w:val="nil"/>
            </w:tcBorders>
            <w:shd w:val="solid" w:color="000000" w:fill="auto"/>
          </w:tcPr>
          <w:p w:rsidR="00965D85" w:rsidRPr="00E22AD9" w:rsidRDefault="00965D85" w:rsidP="008B46DF">
            <w:pPr>
              <w:autoSpaceDE w:val="0"/>
              <w:autoSpaceDN w:val="0"/>
              <w:adjustRightInd w:val="0"/>
              <w:spacing w:after="0"/>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 xml:space="preserve"> </w:t>
            </w:r>
          </w:p>
          <w:p w:rsidR="00965D85" w:rsidRPr="00E22AD9" w:rsidRDefault="00965D85" w:rsidP="008B46DF">
            <w:pPr>
              <w:autoSpaceDE w:val="0"/>
              <w:autoSpaceDN w:val="0"/>
              <w:adjustRightInd w:val="0"/>
              <w:spacing w:after="0"/>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 xml:space="preserve"> </w:t>
            </w:r>
          </w:p>
        </w:tc>
        <w:tc>
          <w:tcPr>
            <w:tcW w:w="844" w:type="dxa"/>
            <w:tcBorders>
              <w:top w:val="nil"/>
              <w:left w:val="nil"/>
              <w:right w:val="nil"/>
            </w:tcBorders>
            <w:shd w:val="solid" w:color="000000" w:fill="auto"/>
          </w:tcPr>
          <w:p w:rsidR="00965D85" w:rsidRPr="00E22AD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E22AD9">
              <w:rPr>
                <w:rFonts w:ascii="Calibri" w:eastAsiaTheme="minorEastAsia" w:hAnsi="Calibri" w:cs="Calibri"/>
                <w:i/>
                <w:iCs/>
                <w:color w:val="FFFFFF"/>
                <w:sz w:val="20"/>
                <w:lang w:eastAsia="en-AU"/>
              </w:rPr>
              <w:t>2015</w:t>
            </w:r>
            <w:r>
              <w:rPr>
                <w:rFonts w:ascii="Calibri" w:eastAsiaTheme="minorEastAsia" w:hAnsi="Calibri" w:cs="Calibri"/>
                <w:i/>
                <w:iCs/>
                <w:color w:val="FFFFFF"/>
                <w:sz w:val="20"/>
                <w:lang w:eastAsia="en-AU"/>
              </w:rPr>
              <w:noBreakHyphen/>
            </w:r>
            <w:r w:rsidRPr="00E22AD9">
              <w:rPr>
                <w:rFonts w:ascii="Calibri" w:eastAsiaTheme="minorEastAsia" w:hAnsi="Calibri" w:cs="Calibri"/>
                <w:i/>
                <w:iCs/>
                <w:color w:val="FFFFFF"/>
                <w:sz w:val="20"/>
                <w:lang w:eastAsia="en-AU"/>
              </w:rPr>
              <w:t>16</w:t>
            </w:r>
          </w:p>
          <w:p w:rsidR="00965D85" w:rsidRPr="00E22AD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E22AD9">
              <w:rPr>
                <w:rFonts w:ascii="Calibri" w:eastAsiaTheme="minorEastAsia" w:hAnsi="Calibri" w:cs="Calibri"/>
                <w:i/>
                <w:iCs/>
                <w:color w:val="FFFFFF"/>
                <w:sz w:val="20"/>
                <w:lang w:eastAsia="en-AU"/>
              </w:rPr>
              <w:t>budget</w:t>
            </w:r>
          </w:p>
        </w:tc>
        <w:tc>
          <w:tcPr>
            <w:tcW w:w="845" w:type="dxa"/>
            <w:tcBorders>
              <w:top w:val="nil"/>
              <w:left w:val="nil"/>
              <w:right w:val="nil"/>
            </w:tcBorders>
            <w:shd w:val="solid" w:color="000000" w:fill="auto"/>
          </w:tcPr>
          <w:p w:rsidR="00965D85" w:rsidRPr="00E22AD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E22AD9">
              <w:rPr>
                <w:rFonts w:ascii="Calibri" w:eastAsiaTheme="minorEastAsia" w:hAnsi="Calibri" w:cs="Calibri"/>
                <w:i/>
                <w:iCs/>
                <w:color w:val="FFFFFF"/>
                <w:sz w:val="20"/>
                <w:lang w:eastAsia="en-AU"/>
              </w:rPr>
              <w:t>2015</w:t>
            </w:r>
            <w:r>
              <w:rPr>
                <w:rFonts w:ascii="Calibri" w:eastAsiaTheme="minorEastAsia" w:hAnsi="Calibri" w:cs="Calibri"/>
                <w:i/>
                <w:iCs/>
                <w:color w:val="FFFFFF"/>
                <w:sz w:val="20"/>
                <w:lang w:eastAsia="en-AU"/>
              </w:rPr>
              <w:noBreakHyphen/>
            </w:r>
            <w:r w:rsidRPr="00E22AD9">
              <w:rPr>
                <w:rFonts w:ascii="Calibri" w:eastAsiaTheme="minorEastAsia" w:hAnsi="Calibri" w:cs="Calibri"/>
                <w:i/>
                <w:iCs/>
                <w:color w:val="FFFFFF"/>
                <w:sz w:val="20"/>
                <w:lang w:eastAsia="en-AU"/>
              </w:rPr>
              <w:t>16</w:t>
            </w:r>
          </w:p>
          <w:p w:rsidR="00965D85" w:rsidRPr="00E22AD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E22AD9">
              <w:rPr>
                <w:rFonts w:ascii="Calibri" w:eastAsiaTheme="minorEastAsia" w:hAnsi="Calibri" w:cs="Calibri"/>
                <w:i/>
                <w:iCs/>
                <w:color w:val="FFFFFF"/>
                <w:sz w:val="20"/>
                <w:lang w:eastAsia="en-AU"/>
              </w:rPr>
              <w:t>revised</w:t>
            </w:r>
          </w:p>
        </w:tc>
        <w:tc>
          <w:tcPr>
            <w:tcW w:w="844" w:type="dxa"/>
            <w:tcBorders>
              <w:top w:val="nil"/>
              <w:left w:val="nil"/>
              <w:right w:val="nil"/>
            </w:tcBorders>
            <w:shd w:val="solid" w:color="000000" w:fill="auto"/>
          </w:tcPr>
          <w:p w:rsidR="00965D85" w:rsidRPr="00E22AD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E22AD9">
              <w:rPr>
                <w:rFonts w:ascii="Calibri" w:eastAsiaTheme="minorEastAsia" w:hAnsi="Calibri" w:cs="Calibri"/>
                <w:i/>
                <w:iCs/>
                <w:color w:val="FFFFFF"/>
                <w:sz w:val="20"/>
                <w:lang w:eastAsia="en-AU"/>
              </w:rPr>
              <w:t>2016</w:t>
            </w:r>
            <w:r>
              <w:rPr>
                <w:rFonts w:ascii="Calibri" w:eastAsiaTheme="minorEastAsia" w:hAnsi="Calibri" w:cs="Calibri"/>
                <w:i/>
                <w:iCs/>
                <w:color w:val="FFFFFF"/>
                <w:sz w:val="20"/>
                <w:lang w:eastAsia="en-AU"/>
              </w:rPr>
              <w:noBreakHyphen/>
            </w:r>
            <w:r w:rsidRPr="00E22AD9">
              <w:rPr>
                <w:rFonts w:ascii="Calibri" w:eastAsiaTheme="minorEastAsia" w:hAnsi="Calibri" w:cs="Calibri"/>
                <w:i/>
                <w:iCs/>
                <w:color w:val="FFFFFF"/>
                <w:sz w:val="20"/>
                <w:lang w:eastAsia="en-AU"/>
              </w:rPr>
              <w:t>17</w:t>
            </w:r>
          </w:p>
          <w:p w:rsidR="00965D85" w:rsidRPr="00E22AD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E22AD9">
              <w:rPr>
                <w:rFonts w:ascii="Calibri" w:eastAsiaTheme="minorEastAsia" w:hAnsi="Calibri" w:cs="Calibri"/>
                <w:i/>
                <w:iCs/>
                <w:color w:val="FFFFFF"/>
                <w:sz w:val="20"/>
                <w:lang w:eastAsia="en-AU"/>
              </w:rPr>
              <w:t>estimate</w:t>
            </w:r>
          </w:p>
        </w:tc>
        <w:tc>
          <w:tcPr>
            <w:tcW w:w="845" w:type="dxa"/>
            <w:tcBorders>
              <w:top w:val="nil"/>
              <w:left w:val="nil"/>
              <w:right w:val="nil"/>
            </w:tcBorders>
            <w:shd w:val="solid" w:color="000000" w:fill="auto"/>
          </w:tcPr>
          <w:p w:rsidR="00965D85" w:rsidRPr="00E22AD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E22AD9">
              <w:rPr>
                <w:rFonts w:ascii="Calibri" w:eastAsiaTheme="minorEastAsia" w:hAnsi="Calibri" w:cs="Calibri"/>
                <w:i/>
                <w:iCs/>
                <w:color w:val="FFFFFF"/>
                <w:sz w:val="20"/>
                <w:lang w:eastAsia="en-AU"/>
              </w:rPr>
              <w:t>2017</w:t>
            </w:r>
            <w:r>
              <w:rPr>
                <w:rFonts w:ascii="Calibri" w:eastAsiaTheme="minorEastAsia" w:hAnsi="Calibri" w:cs="Calibri"/>
                <w:i/>
                <w:iCs/>
                <w:color w:val="FFFFFF"/>
                <w:sz w:val="20"/>
                <w:lang w:eastAsia="en-AU"/>
              </w:rPr>
              <w:noBreakHyphen/>
            </w:r>
            <w:r w:rsidRPr="00E22AD9">
              <w:rPr>
                <w:rFonts w:ascii="Calibri" w:eastAsiaTheme="minorEastAsia" w:hAnsi="Calibri" w:cs="Calibri"/>
                <w:i/>
                <w:iCs/>
                <w:color w:val="FFFFFF"/>
                <w:sz w:val="20"/>
                <w:lang w:eastAsia="en-AU"/>
              </w:rPr>
              <w:t>18</w:t>
            </w:r>
          </w:p>
          <w:p w:rsidR="00965D85" w:rsidRPr="00E22AD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E22AD9">
              <w:rPr>
                <w:rFonts w:ascii="Calibri" w:eastAsiaTheme="minorEastAsia" w:hAnsi="Calibri" w:cs="Calibri"/>
                <w:i/>
                <w:iCs/>
                <w:color w:val="FFFFFF"/>
                <w:sz w:val="20"/>
                <w:lang w:eastAsia="en-AU"/>
              </w:rPr>
              <w:t>estimate</w:t>
            </w:r>
          </w:p>
        </w:tc>
        <w:tc>
          <w:tcPr>
            <w:tcW w:w="845" w:type="dxa"/>
            <w:tcBorders>
              <w:top w:val="nil"/>
              <w:left w:val="nil"/>
              <w:right w:val="nil"/>
            </w:tcBorders>
            <w:shd w:val="solid" w:color="000000" w:fill="auto"/>
          </w:tcPr>
          <w:p w:rsidR="00965D85" w:rsidRPr="00E22AD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E22AD9">
              <w:rPr>
                <w:rFonts w:ascii="Calibri" w:eastAsiaTheme="minorEastAsia" w:hAnsi="Calibri" w:cs="Calibri"/>
                <w:i/>
                <w:iCs/>
                <w:color w:val="FFFFFF"/>
                <w:sz w:val="20"/>
                <w:lang w:eastAsia="en-AU"/>
              </w:rPr>
              <w:t>2018</w:t>
            </w:r>
            <w:r>
              <w:rPr>
                <w:rFonts w:ascii="Calibri" w:eastAsiaTheme="minorEastAsia" w:hAnsi="Calibri" w:cs="Calibri"/>
                <w:i/>
                <w:iCs/>
                <w:color w:val="FFFFFF"/>
                <w:sz w:val="20"/>
                <w:lang w:eastAsia="en-AU"/>
              </w:rPr>
              <w:noBreakHyphen/>
            </w:r>
            <w:r w:rsidRPr="00E22AD9">
              <w:rPr>
                <w:rFonts w:ascii="Calibri" w:eastAsiaTheme="minorEastAsia" w:hAnsi="Calibri" w:cs="Calibri"/>
                <w:i/>
                <w:iCs/>
                <w:color w:val="FFFFFF"/>
                <w:sz w:val="20"/>
                <w:lang w:eastAsia="en-AU"/>
              </w:rPr>
              <w:t>19</w:t>
            </w:r>
          </w:p>
          <w:p w:rsidR="00965D85" w:rsidRPr="00E22AD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E22AD9">
              <w:rPr>
                <w:rFonts w:ascii="Calibri" w:eastAsiaTheme="minorEastAsia" w:hAnsi="Calibri" w:cs="Calibri"/>
                <w:i/>
                <w:iCs/>
                <w:color w:val="FFFFFF"/>
                <w:sz w:val="20"/>
                <w:lang w:eastAsia="en-AU"/>
              </w:rPr>
              <w:t>estimate</w:t>
            </w:r>
          </w:p>
        </w:tc>
      </w:tr>
      <w:tr w:rsidR="00965D85" w:rsidRPr="00E22AD9" w:rsidTr="008B46DF">
        <w:tc>
          <w:tcPr>
            <w:tcW w:w="3544" w:type="dxa"/>
            <w:tcBorders>
              <w:top w:val="nil"/>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Balance of investment in PNFC and PFC sectors at beginning of period</w:t>
            </w:r>
          </w:p>
        </w:tc>
        <w:tc>
          <w:tcPr>
            <w:tcW w:w="844"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82 181.0</w:t>
            </w:r>
          </w:p>
        </w:tc>
        <w:tc>
          <w:tcPr>
            <w:tcW w:w="845"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82 181.0</w:t>
            </w:r>
          </w:p>
        </w:tc>
        <w:tc>
          <w:tcPr>
            <w:tcW w:w="844"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80 405.0</w:t>
            </w:r>
          </w:p>
        </w:tc>
        <w:tc>
          <w:tcPr>
            <w:tcW w:w="845"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81 908.6</w:t>
            </w:r>
          </w:p>
        </w:tc>
        <w:tc>
          <w:tcPr>
            <w:tcW w:w="845"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83 365.6</w:t>
            </w:r>
          </w:p>
        </w:tc>
      </w:tr>
      <w:tr w:rsidR="00965D85" w:rsidRPr="00E22AD9" w:rsidTr="008B46DF">
        <w:tc>
          <w:tcPr>
            <w:tcW w:w="3544" w:type="dxa"/>
            <w:tcBorders>
              <w:top w:val="nil"/>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Net contributions to other sectors by owner</w:t>
            </w:r>
          </w:p>
        </w:tc>
        <w:tc>
          <w:tcPr>
            <w:tcW w:w="844"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249.1</w:t>
            </w:r>
          </w:p>
        </w:tc>
        <w:tc>
          <w:tcPr>
            <w:tcW w:w="845"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(1 532.5)</w:t>
            </w:r>
          </w:p>
        </w:tc>
        <w:tc>
          <w:tcPr>
            <w:tcW w:w="844"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1 768.3</w:t>
            </w:r>
          </w:p>
        </w:tc>
        <w:tc>
          <w:tcPr>
            <w:tcW w:w="845"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1 035.7</w:t>
            </w:r>
          </w:p>
        </w:tc>
        <w:tc>
          <w:tcPr>
            <w:tcW w:w="845"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2 514.0</w:t>
            </w:r>
          </w:p>
        </w:tc>
      </w:tr>
      <w:tr w:rsidR="00965D85" w:rsidRPr="00E22AD9" w:rsidTr="008B46DF">
        <w:tc>
          <w:tcPr>
            <w:tcW w:w="3544"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Revaluation gain/(loss) for period</w:t>
            </w:r>
          </w:p>
        </w:tc>
        <w:tc>
          <w:tcPr>
            <w:tcW w:w="844"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1.5</w:t>
            </w:r>
          </w:p>
        </w:tc>
        <w:tc>
          <w:tcPr>
            <w:tcW w:w="845"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(243.6)</w:t>
            </w:r>
          </w:p>
        </w:tc>
        <w:tc>
          <w:tcPr>
            <w:tcW w:w="844"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(264.7)</w:t>
            </w:r>
          </w:p>
        </w:tc>
        <w:tc>
          <w:tcPr>
            <w:tcW w:w="845"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421.3</w:t>
            </w:r>
          </w:p>
        </w:tc>
        <w:tc>
          <w:tcPr>
            <w:tcW w:w="845"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(70.0)</w:t>
            </w:r>
          </w:p>
        </w:tc>
      </w:tr>
      <w:tr w:rsidR="00965D85" w:rsidRPr="00E22AD9" w:rsidTr="008B46DF">
        <w:tc>
          <w:tcPr>
            <w:tcW w:w="3544" w:type="dxa"/>
            <w:tcBorders>
              <w:top w:val="single" w:sz="6" w:space="0" w:color="000000"/>
              <w:left w:val="nil"/>
              <w:bottom w:val="single" w:sz="12" w:space="0" w:color="000000"/>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Investment in other sector entities at end of period</w:t>
            </w:r>
          </w:p>
        </w:tc>
        <w:tc>
          <w:tcPr>
            <w:tcW w:w="844" w:type="dxa"/>
            <w:tcBorders>
              <w:top w:val="single" w:sz="6" w:space="0" w:color="000000"/>
              <w:left w:val="nil"/>
              <w:bottom w:val="single" w:sz="12"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82 431.6</w:t>
            </w:r>
          </w:p>
        </w:tc>
        <w:tc>
          <w:tcPr>
            <w:tcW w:w="845" w:type="dxa"/>
            <w:tcBorders>
              <w:top w:val="single" w:sz="6" w:space="0" w:color="000000"/>
              <w:left w:val="nil"/>
              <w:bottom w:val="single" w:sz="12"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80 405.0</w:t>
            </w:r>
          </w:p>
        </w:tc>
        <w:tc>
          <w:tcPr>
            <w:tcW w:w="844" w:type="dxa"/>
            <w:tcBorders>
              <w:top w:val="single" w:sz="6" w:space="0" w:color="000000"/>
              <w:left w:val="nil"/>
              <w:bottom w:val="single" w:sz="12"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81 908.6</w:t>
            </w:r>
          </w:p>
        </w:tc>
        <w:tc>
          <w:tcPr>
            <w:tcW w:w="845" w:type="dxa"/>
            <w:tcBorders>
              <w:top w:val="single" w:sz="6" w:space="0" w:color="000000"/>
              <w:left w:val="nil"/>
              <w:bottom w:val="single" w:sz="12"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83 365.6</w:t>
            </w:r>
          </w:p>
        </w:tc>
        <w:tc>
          <w:tcPr>
            <w:tcW w:w="845" w:type="dxa"/>
            <w:tcBorders>
              <w:top w:val="single" w:sz="6" w:space="0" w:color="000000"/>
              <w:left w:val="nil"/>
              <w:bottom w:val="single" w:sz="12"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85 809.5</w:t>
            </w:r>
          </w:p>
        </w:tc>
      </w:tr>
    </w:tbl>
    <w:p w:rsidR="00965D85" w:rsidRDefault="00965D85" w:rsidP="005559F8">
      <w:pPr>
        <w:rPr>
          <w:lang w:eastAsia="en-AU"/>
        </w:rPr>
      </w:pPr>
    </w:p>
    <w:p w:rsidR="00965D85" w:rsidRDefault="00965D85" w:rsidP="008B46DF">
      <w:pPr>
        <w:rPr>
          <w:lang w:eastAsia="en-AU"/>
        </w:rPr>
      </w:pPr>
    </w:p>
    <w:p w:rsidR="00965D85" w:rsidRDefault="00965D85" w:rsidP="008B46DF">
      <w:pPr>
        <w:pStyle w:val="Heading2Notes"/>
        <w:rPr>
          <w:rFonts w:ascii="Times New Roman" w:hAnsi="Times New Roman"/>
          <w:i/>
          <w:sz w:val="20"/>
          <w:lang w:eastAsia="en-AU"/>
        </w:rPr>
      </w:pPr>
      <w:bookmarkStart w:id="63" w:name="_Toc436138921"/>
      <w:r w:rsidRPr="003878BE">
        <w:rPr>
          <w:lang w:eastAsia="en-AU"/>
        </w:rPr>
        <w:t xml:space="preserve">Note 15: </w:t>
      </w:r>
      <w:r w:rsidRPr="003878BE">
        <w:rPr>
          <w:lang w:eastAsia="en-AU"/>
        </w:rPr>
        <w:tab/>
        <w:t>Net acquisition of non</w:t>
      </w:r>
      <w:r>
        <w:rPr>
          <w:lang w:eastAsia="en-AU"/>
        </w:rPr>
        <w:noBreakHyphen/>
      </w:r>
      <w:r w:rsidRPr="003878BE">
        <w:rPr>
          <w:lang w:eastAsia="en-AU"/>
        </w:rPr>
        <w:t>financial assets from transactions</w:t>
      </w:r>
      <w:bookmarkEnd w:id="63"/>
    </w:p>
    <w:tbl>
      <w:tblPr>
        <w:tblW w:w="7767" w:type="dxa"/>
        <w:tblInd w:w="28" w:type="dxa"/>
        <w:tblLayout w:type="fixed"/>
        <w:tblCellMar>
          <w:left w:w="28" w:type="dxa"/>
          <w:right w:w="28" w:type="dxa"/>
        </w:tblCellMar>
        <w:tblLook w:val="0000" w:firstRow="0" w:lastRow="0" w:firstColumn="0" w:lastColumn="0" w:noHBand="0" w:noVBand="0"/>
      </w:tblPr>
      <w:tblGrid>
        <w:gridCol w:w="3544"/>
        <w:gridCol w:w="844"/>
        <w:gridCol w:w="845"/>
        <w:gridCol w:w="844"/>
        <w:gridCol w:w="845"/>
        <w:gridCol w:w="845"/>
      </w:tblGrid>
      <w:tr w:rsidR="00965D85" w:rsidRPr="00E22AD9" w:rsidTr="008B46DF">
        <w:trPr>
          <w:tblHeader/>
        </w:trPr>
        <w:tc>
          <w:tcPr>
            <w:tcW w:w="7767" w:type="dxa"/>
            <w:gridSpan w:val="6"/>
            <w:tcBorders>
              <w:top w:val="nil"/>
              <w:left w:val="nil"/>
              <w:bottom w:val="nil"/>
              <w:right w:val="nil"/>
            </w:tcBorders>
          </w:tcPr>
          <w:p w:rsidR="00965D85" w:rsidRPr="00E22AD9" w:rsidRDefault="00965D85" w:rsidP="008B46DF">
            <w:pPr>
              <w:pStyle w:val="million"/>
              <w:rPr>
                <w:rFonts w:eastAsiaTheme="minorEastAsia" w:cs="Calibri"/>
                <w:iCs/>
                <w:color w:val="000000"/>
                <w:sz w:val="20"/>
                <w:lang w:eastAsia="en-AU"/>
              </w:rPr>
            </w:pPr>
            <w:r w:rsidRPr="00E22AD9">
              <w:rPr>
                <w:rFonts w:eastAsiaTheme="minorEastAsia"/>
                <w:lang w:eastAsia="en-AU"/>
              </w:rPr>
              <w:t>($ million)</w:t>
            </w:r>
          </w:p>
        </w:tc>
      </w:tr>
      <w:tr w:rsidR="00965D85" w:rsidRPr="00E22AD9" w:rsidTr="008B46DF">
        <w:trPr>
          <w:trHeight w:val="488"/>
          <w:tblHeader/>
        </w:trPr>
        <w:tc>
          <w:tcPr>
            <w:tcW w:w="3544" w:type="dxa"/>
            <w:tcBorders>
              <w:top w:val="nil"/>
              <w:left w:val="nil"/>
              <w:right w:val="nil"/>
            </w:tcBorders>
            <w:shd w:val="solid" w:color="000000" w:fill="auto"/>
          </w:tcPr>
          <w:p w:rsidR="00965D85" w:rsidRPr="00E22AD9" w:rsidRDefault="00965D85" w:rsidP="008B46DF">
            <w:pPr>
              <w:autoSpaceDE w:val="0"/>
              <w:autoSpaceDN w:val="0"/>
              <w:adjustRightInd w:val="0"/>
              <w:spacing w:after="0"/>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 xml:space="preserve"> </w:t>
            </w:r>
          </w:p>
          <w:p w:rsidR="00965D85" w:rsidRPr="00E22AD9" w:rsidRDefault="00965D85" w:rsidP="008B46DF">
            <w:pPr>
              <w:autoSpaceDE w:val="0"/>
              <w:autoSpaceDN w:val="0"/>
              <w:adjustRightInd w:val="0"/>
              <w:spacing w:after="0"/>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 xml:space="preserve"> </w:t>
            </w:r>
          </w:p>
        </w:tc>
        <w:tc>
          <w:tcPr>
            <w:tcW w:w="844" w:type="dxa"/>
            <w:tcBorders>
              <w:top w:val="nil"/>
              <w:left w:val="nil"/>
              <w:right w:val="nil"/>
            </w:tcBorders>
            <w:shd w:val="solid" w:color="000000" w:fill="auto"/>
          </w:tcPr>
          <w:p w:rsidR="00965D85" w:rsidRPr="00E22AD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E22AD9">
              <w:rPr>
                <w:rFonts w:ascii="Calibri" w:eastAsiaTheme="minorEastAsia" w:hAnsi="Calibri" w:cs="Calibri"/>
                <w:i/>
                <w:iCs/>
                <w:color w:val="FFFFFF"/>
                <w:sz w:val="20"/>
                <w:lang w:eastAsia="en-AU"/>
              </w:rPr>
              <w:t>2015</w:t>
            </w:r>
            <w:r>
              <w:rPr>
                <w:rFonts w:ascii="Calibri" w:eastAsiaTheme="minorEastAsia" w:hAnsi="Calibri" w:cs="Calibri"/>
                <w:i/>
                <w:iCs/>
                <w:color w:val="FFFFFF"/>
                <w:sz w:val="20"/>
                <w:lang w:eastAsia="en-AU"/>
              </w:rPr>
              <w:noBreakHyphen/>
            </w:r>
            <w:r w:rsidRPr="00E22AD9">
              <w:rPr>
                <w:rFonts w:ascii="Calibri" w:eastAsiaTheme="minorEastAsia" w:hAnsi="Calibri" w:cs="Calibri"/>
                <w:i/>
                <w:iCs/>
                <w:color w:val="FFFFFF"/>
                <w:sz w:val="20"/>
                <w:lang w:eastAsia="en-AU"/>
              </w:rPr>
              <w:t xml:space="preserve">16 </w:t>
            </w:r>
          </w:p>
          <w:p w:rsidR="00965D85" w:rsidRPr="00E22AD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E22AD9">
              <w:rPr>
                <w:rFonts w:ascii="Calibri" w:eastAsiaTheme="minorEastAsia" w:hAnsi="Calibri" w:cs="Calibri"/>
                <w:i/>
                <w:iCs/>
                <w:color w:val="FFFFFF"/>
                <w:sz w:val="20"/>
                <w:lang w:eastAsia="en-AU"/>
              </w:rPr>
              <w:t>budget</w:t>
            </w:r>
          </w:p>
        </w:tc>
        <w:tc>
          <w:tcPr>
            <w:tcW w:w="845" w:type="dxa"/>
            <w:tcBorders>
              <w:top w:val="nil"/>
              <w:left w:val="nil"/>
              <w:right w:val="nil"/>
            </w:tcBorders>
            <w:shd w:val="solid" w:color="000000" w:fill="auto"/>
          </w:tcPr>
          <w:p w:rsidR="00965D85" w:rsidRPr="00E22AD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E22AD9">
              <w:rPr>
                <w:rFonts w:ascii="Calibri" w:eastAsiaTheme="minorEastAsia" w:hAnsi="Calibri" w:cs="Calibri"/>
                <w:i/>
                <w:iCs/>
                <w:color w:val="FFFFFF"/>
                <w:sz w:val="20"/>
                <w:lang w:eastAsia="en-AU"/>
              </w:rPr>
              <w:t>2015</w:t>
            </w:r>
            <w:r>
              <w:rPr>
                <w:rFonts w:ascii="Calibri" w:eastAsiaTheme="minorEastAsia" w:hAnsi="Calibri" w:cs="Calibri"/>
                <w:i/>
                <w:iCs/>
                <w:color w:val="FFFFFF"/>
                <w:sz w:val="20"/>
                <w:lang w:eastAsia="en-AU"/>
              </w:rPr>
              <w:noBreakHyphen/>
            </w:r>
            <w:r w:rsidRPr="00E22AD9">
              <w:rPr>
                <w:rFonts w:ascii="Calibri" w:eastAsiaTheme="minorEastAsia" w:hAnsi="Calibri" w:cs="Calibri"/>
                <w:i/>
                <w:iCs/>
                <w:color w:val="FFFFFF"/>
                <w:sz w:val="20"/>
                <w:lang w:eastAsia="en-AU"/>
              </w:rPr>
              <w:t xml:space="preserve">16 </w:t>
            </w:r>
          </w:p>
          <w:p w:rsidR="00965D85" w:rsidRPr="00E22AD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E22AD9">
              <w:rPr>
                <w:rFonts w:ascii="Calibri" w:eastAsiaTheme="minorEastAsia" w:hAnsi="Calibri" w:cs="Calibri"/>
                <w:i/>
                <w:iCs/>
                <w:color w:val="FFFFFF"/>
                <w:sz w:val="20"/>
                <w:lang w:eastAsia="en-AU"/>
              </w:rPr>
              <w:t>revised</w:t>
            </w:r>
          </w:p>
        </w:tc>
        <w:tc>
          <w:tcPr>
            <w:tcW w:w="844" w:type="dxa"/>
            <w:tcBorders>
              <w:top w:val="nil"/>
              <w:left w:val="nil"/>
              <w:right w:val="nil"/>
            </w:tcBorders>
            <w:shd w:val="solid" w:color="000000" w:fill="auto"/>
          </w:tcPr>
          <w:p w:rsidR="00965D85" w:rsidRPr="00E22AD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E22AD9">
              <w:rPr>
                <w:rFonts w:ascii="Calibri" w:eastAsiaTheme="minorEastAsia" w:hAnsi="Calibri" w:cs="Calibri"/>
                <w:i/>
                <w:iCs/>
                <w:color w:val="FFFFFF"/>
                <w:sz w:val="20"/>
                <w:lang w:eastAsia="en-AU"/>
              </w:rPr>
              <w:t>2016</w:t>
            </w:r>
            <w:r>
              <w:rPr>
                <w:rFonts w:ascii="Calibri" w:eastAsiaTheme="minorEastAsia" w:hAnsi="Calibri" w:cs="Calibri"/>
                <w:i/>
                <w:iCs/>
                <w:color w:val="FFFFFF"/>
                <w:sz w:val="20"/>
                <w:lang w:eastAsia="en-AU"/>
              </w:rPr>
              <w:noBreakHyphen/>
            </w:r>
            <w:r w:rsidRPr="00E22AD9">
              <w:rPr>
                <w:rFonts w:ascii="Calibri" w:eastAsiaTheme="minorEastAsia" w:hAnsi="Calibri" w:cs="Calibri"/>
                <w:i/>
                <w:iCs/>
                <w:color w:val="FFFFFF"/>
                <w:sz w:val="20"/>
                <w:lang w:eastAsia="en-AU"/>
              </w:rPr>
              <w:t xml:space="preserve">17 </w:t>
            </w:r>
          </w:p>
          <w:p w:rsidR="00965D85" w:rsidRPr="00E22AD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E22AD9">
              <w:rPr>
                <w:rFonts w:ascii="Calibri" w:eastAsiaTheme="minorEastAsia" w:hAnsi="Calibri" w:cs="Calibri"/>
                <w:i/>
                <w:iCs/>
                <w:color w:val="FFFFFF"/>
                <w:sz w:val="20"/>
                <w:lang w:eastAsia="en-AU"/>
              </w:rPr>
              <w:t>estimate</w:t>
            </w:r>
          </w:p>
        </w:tc>
        <w:tc>
          <w:tcPr>
            <w:tcW w:w="845" w:type="dxa"/>
            <w:tcBorders>
              <w:top w:val="nil"/>
              <w:left w:val="nil"/>
              <w:right w:val="nil"/>
            </w:tcBorders>
            <w:shd w:val="solid" w:color="000000" w:fill="auto"/>
          </w:tcPr>
          <w:p w:rsidR="00965D85" w:rsidRPr="00E22AD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E22AD9">
              <w:rPr>
                <w:rFonts w:ascii="Calibri" w:eastAsiaTheme="minorEastAsia" w:hAnsi="Calibri" w:cs="Calibri"/>
                <w:i/>
                <w:iCs/>
                <w:color w:val="FFFFFF"/>
                <w:sz w:val="20"/>
                <w:lang w:eastAsia="en-AU"/>
              </w:rPr>
              <w:t>2017</w:t>
            </w:r>
            <w:r>
              <w:rPr>
                <w:rFonts w:ascii="Calibri" w:eastAsiaTheme="minorEastAsia" w:hAnsi="Calibri" w:cs="Calibri"/>
                <w:i/>
                <w:iCs/>
                <w:color w:val="FFFFFF"/>
                <w:sz w:val="20"/>
                <w:lang w:eastAsia="en-AU"/>
              </w:rPr>
              <w:noBreakHyphen/>
            </w:r>
            <w:r w:rsidRPr="00E22AD9">
              <w:rPr>
                <w:rFonts w:ascii="Calibri" w:eastAsiaTheme="minorEastAsia" w:hAnsi="Calibri" w:cs="Calibri"/>
                <w:i/>
                <w:iCs/>
                <w:color w:val="FFFFFF"/>
                <w:sz w:val="20"/>
                <w:lang w:eastAsia="en-AU"/>
              </w:rPr>
              <w:t xml:space="preserve">18 </w:t>
            </w:r>
          </w:p>
          <w:p w:rsidR="00965D85" w:rsidRPr="00E22AD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E22AD9">
              <w:rPr>
                <w:rFonts w:ascii="Calibri" w:eastAsiaTheme="minorEastAsia" w:hAnsi="Calibri" w:cs="Calibri"/>
                <w:i/>
                <w:iCs/>
                <w:color w:val="FFFFFF"/>
                <w:sz w:val="20"/>
                <w:lang w:eastAsia="en-AU"/>
              </w:rPr>
              <w:t>estimate</w:t>
            </w:r>
          </w:p>
        </w:tc>
        <w:tc>
          <w:tcPr>
            <w:tcW w:w="845" w:type="dxa"/>
            <w:tcBorders>
              <w:top w:val="nil"/>
              <w:left w:val="nil"/>
              <w:right w:val="nil"/>
            </w:tcBorders>
            <w:shd w:val="solid" w:color="000000" w:fill="auto"/>
          </w:tcPr>
          <w:p w:rsidR="00965D85" w:rsidRPr="00E22AD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E22AD9">
              <w:rPr>
                <w:rFonts w:ascii="Calibri" w:eastAsiaTheme="minorEastAsia" w:hAnsi="Calibri" w:cs="Calibri"/>
                <w:i/>
                <w:iCs/>
                <w:color w:val="FFFFFF"/>
                <w:sz w:val="20"/>
                <w:lang w:eastAsia="en-AU"/>
              </w:rPr>
              <w:t>2018</w:t>
            </w:r>
            <w:r>
              <w:rPr>
                <w:rFonts w:ascii="Calibri" w:eastAsiaTheme="minorEastAsia" w:hAnsi="Calibri" w:cs="Calibri"/>
                <w:i/>
                <w:iCs/>
                <w:color w:val="FFFFFF"/>
                <w:sz w:val="20"/>
                <w:lang w:eastAsia="en-AU"/>
              </w:rPr>
              <w:noBreakHyphen/>
            </w:r>
            <w:r w:rsidRPr="00E22AD9">
              <w:rPr>
                <w:rFonts w:ascii="Calibri" w:eastAsiaTheme="minorEastAsia" w:hAnsi="Calibri" w:cs="Calibri"/>
                <w:i/>
                <w:iCs/>
                <w:color w:val="FFFFFF"/>
                <w:sz w:val="20"/>
                <w:lang w:eastAsia="en-AU"/>
              </w:rPr>
              <w:t xml:space="preserve">19 </w:t>
            </w:r>
          </w:p>
          <w:p w:rsidR="00965D85" w:rsidRPr="00E22AD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E22AD9">
              <w:rPr>
                <w:rFonts w:ascii="Calibri" w:eastAsiaTheme="minorEastAsia" w:hAnsi="Calibri" w:cs="Calibri"/>
                <w:i/>
                <w:iCs/>
                <w:color w:val="FFFFFF"/>
                <w:sz w:val="20"/>
                <w:lang w:eastAsia="en-AU"/>
              </w:rPr>
              <w:t>estimate</w:t>
            </w:r>
          </w:p>
        </w:tc>
      </w:tr>
      <w:tr w:rsidR="00965D85" w:rsidRPr="00E22AD9" w:rsidTr="008B46DF">
        <w:tc>
          <w:tcPr>
            <w:tcW w:w="3544" w:type="dxa"/>
            <w:tcBorders>
              <w:top w:val="nil"/>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Purchases of non</w:t>
            </w:r>
            <w:r>
              <w:rPr>
                <w:rFonts w:ascii="Calibri" w:eastAsiaTheme="minorEastAsia" w:hAnsi="Calibri" w:cs="Calibri"/>
                <w:color w:val="000000"/>
                <w:sz w:val="20"/>
                <w:lang w:eastAsia="en-AU"/>
              </w:rPr>
              <w:noBreakHyphen/>
            </w:r>
            <w:r w:rsidRPr="00E22AD9">
              <w:rPr>
                <w:rFonts w:ascii="Calibri" w:eastAsiaTheme="minorEastAsia" w:hAnsi="Calibri" w:cs="Calibri"/>
                <w:color w:val="000000"/>
                <w:sz w:val="20"/>
                <w:lang w:eastAsia="en-AU"/>
              </w:rPr>
              <w:t>financial assets (including change in inventories)</w:t>
            </w:r>
          </w:p>
        </w:tc>
        <w:tc>
          <w:tcPr>
            <w:tcW w:w="844"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4 551.7</w:t>
            </w:r>
          </w:p>
        </w:tc>
        <w:tc>
          <w:tcPr>
            <w:tcW w:w="845"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4 340.8</w:t>
            </w:r>
          </w:p>
        </w:tc>
        <w:tc>
          <w:tcPr>
            <w:tcW w:w="844"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5 915.4</w:t>
            </w:r>
          </w:p>
        </w:tc>
        <w:tc>
          <w:tcPr>
            <w:tcW w:w="845"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5 541.9</w:t>
            </w:r>
          </w:p>
        </w:tc>
        <w:tc>
          <w:tcPr>
            <w:tcW w:w="845"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5 028.9</w:t>
            </w:r>
          </w:p>
        </w:tc>
      </w:tr>
      <w:tr w:rsidR="00965D85" w:rsidRPr="00E22AD9" w:rsidTr="008B46DF">
        <w:tc>
          <w:tcPr>
            <w:tcW w:w="3544" w:type="dxa"/>
            <w:tcBorders>
              <w:top w:val="nil"/>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Less: Sales of non</w:t>
            </w:r>
            <w:r>
              <w:rPr>
                <w:rFonts w:ascii="Calibri" w:eastAsiaTheme="minorEastAsia" w:hAnsi="Calibri" w:cs="Calibri"/>
                <w:color w:val="000000"/>
                <w:sz w:val="20"/>
                <w:lang w:eastAsia="en-AU"/>
              </w:rPr>
              <w:noBreakHyphen/>
            </w:r>
            <w:r w:rsidRPr="00E22AD9">
              <w:rPr>
                <w:rFonts w:ascii="Calibri" w:eastAsiaTheme="minorEastAsia" w:hAnsi="Calibri" w:cs="Calibri"/>
                <w:color w:val="000000"/>
                <w:sz w:val="20"/>
                <w:lang w:eastAsia="en-AU"/>
              </w:rPr>
              <w:t>financial assets</w:t>
            </w:r>
          </w:p>
        </w:tc>
        <w:tc>
          <w:tcPr>
            <w:tcW w:w="844"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(318.4)</w:t>
            </w:r>
          </w:p>
        </w:tc>
        <w:tc>
          <w:tcPr>
            <w:tcW w:w="845"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(326.4)</w:t>
            </w:r>
          </w:p>
        </w:tc>
        <w:tc>
          <w:tcPr>
            <w:tcW w:w="844"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(514.2)</w:t>
            </w:r>
          </w:p>
        </w:tc>
        <w:tc>
          <w:tcPr>
            <w:tcW w:w="845"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(524.6)</w:t>
            </w:r>
          </w:p>
        </w:tc>
        <w:tc>
          <w:tcPr>
            <w:tcW w:w="845"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(325.3)</w:t>
            </w:r>
          </w:p>
        </w:tc>
      </w:tr>
      <w:tr w:rsidR="00965D85" w:rsidRPr="00E22AD9" w:rsidTr="008B46DF">
        <w:tc>
          <w:tcPr>
            <w:tcW w:w="3544" w:type="dxa"/>
            <w:tcBorders>
              <w:top w:val="nil"/>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Less: Depreciation and amortisation</w:t>
            </w:r>
          </w:p>
        </w:tc>
        <w:tc>
          <w:tcPr>
            <w:tcW w:w="844"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(2 576.9)</w:t>
            </w:r>
          </w:p>
        </w:tc>
        <w:tc>
          <w:tcPr>
            <w:tcW w:w="845"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(2 509.6)</w:t>
            </w:r>
          </w:p>
        </w:tc>
        <w:tc>
          <w:tcPr>
            <w:tcW w:w="844"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(2 656.9)</w:t>
            </w:r>
          </w:p>
        </w:tc>
        <w:tc>
          <w:tcPr>
            <w:tcW w:w="845"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(2 820.4)</w:t>
            </w:r>
          </w:p>
        </w:tc>
        <w:tc>
          <w:tcPr>
            <w:tcW w:w="845"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(3 069.6)</w:t>
            </w:r>
          </w:p>
        </w:tc>
      </w:tr>
      <w:tr w:rsidR="00965D85" w:rsidRPr="00E22AD9" w:rsidTr="008B46DF">
        <w:tc>
          <w:tcPr>
            <w:tcW w:w="3544"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20"/>
                <w:vertAlign w:val="superscript"/>
                <w:lang w:eastAsia="en-AU"/>
              </w:rPr>
            </w:pPr>
            <w:r w:rsidRPr="00E22AD9">
              <w:rPr>
                <w:rFonts w:ascii="Calibri" w:eastAsiaTheme="minorEastAsia" w:hAnsi="Calibri" w:cs="Calibri"/>
                <w:color w:val="000000"/>
                <w:sz w:val="20"/>
                <w:lang w:eastAsia="en-AU"/>
              </w:rPr>
              <w:t>Plus: Other movements in non</w:t>
            </w:r>
            <w:r>
              <w:rPr>
                <w:rFonts w:ascii="Calibri" w:eastAsiaTheme="minorEastAsia" w:hAnsi="Calibri" w:cs="Calibri"/>
                <w:color w:val="000000"/>
                <w:sz w:val="20"/>
                <w:lang w:eastAsia="en-AU"/>
              </w:rPr>
              <w:noBreakHyphen/>
            </w:r>
            <w:r w:rsidRPr="00E22AD9">
              <w:rPr>
                <w:rFonts w:ascii="Calibri" w:eastAsiaTheme="minorEastAsia" w:hAnsi="Calibri" w:cs="Calibri"/>
                <w:color w:val="000000"/>
                <w:sz w:val="20"/>
                <w:lang w:eastAsia="en-AU"/>
              </w:rPr>
              <w:t>financial assets</w:t>
            </w:r>
            <w:r w:rsidRPr="00E22AD9">
              <w:rPr>
                <w:rFonts w:ascii="Calibri" w:eastAsiaTheme="minorEastAsia" w:hAnsi="Calibri" w:cs="Calibri"/>
                <w:color w:val="000000"/>
                <w:sz w:val="20"/>
                <w:vertAlign w:val="superscript"/>
                <w:lang w:eastAsia="en-AU"/>
              </w:rPr>
              <w:t xml:space="preserve"> (a)</w:t>
            </w:r>
          </w:p>
        </w:tc>
        <w:tc>
          <w:tcPr>
            <w:tcW w:w="844"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(245.0)</w:t>
            </w:r>
          </w:p>
        </w:tc>
        <w:tc>
          <w:tcPr>
            <w:tcW w:w="845"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(107.6)</w:t>
            </w:r>
          </w:p>
        </w:tc>
        <w:tc>
          <w:tcPr>
            <w:tcW w:w="844"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(1 133.7)</w:t>
            </w:r>
          </w:p>
        </w:tc>
        <w:tc>
          <w:tcPr>
            <w:tcW w:w="845"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(1 344.5)</w:t>
            </w:r>
          </w:p>
        </w:tc>
        <w:tc>
          <w:tcPr>
            <w:tcW w:w="845"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(2 188.4)</w:t>
            </w:r>
          </w:p>
        </w:tc>
      </w:tr>
      <w:tr w:rsidR="00965D85" w:rsidRPr="00E22AD9" w:rsidTr="008B46DF">
        <w:tc>
          <w:tcPr>
            <w:tcW w:w="3544" w:type="dxa"/>
            <w:tcBorders>
              <w:top w:val="single" w:sz="6" w:space="0" w:color="000000"/>
              <w:left w:val="nil"/>
              <w:bottom w:val="single" w:sz="12" w:space="0" w:color="000000"/>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Total net acquisition of non</w:t>
            </w:r>
            <w:r>
              <w:rPr>
                <w:rFonts w:ascii="Calibri" w:eastAsiaTheme="minorEastAsia" w:hAnsi="Calibri" w:cs="Calibri"/>
                <w:b/>
                <w:bCs/>
                <w:color w:val="000000"/>
                <w:sz w:val="20"/>
                <w:lang w:eastAsia="en-AU"/>
              </w:rPr>
              <w:noBreakHyphen/>
            </w:r>
            <w:r w:rsidRPr="00E22AD9">
              <w:rPr>
                <w:rFonts w:ascii="Calibri" w:eastAsiaTheme="minorEastAsia" w:hAnsi="Calibri" w:cs="Calibri"/>
                <w:b/>
                <w:bCs/>
                <w:color w:val="000000"/>
                <w:sz w:val="20"/>
                <w:lang w:eastAsia="en-AU"/>
              </w:rPr>
              <w:t>financial assets from transactions</w:t>
            </w:r>
          </w:p>
        </w:tc>
        <w:tc>
          <w:tcPr>
            <w:tcW w:w="844" w:type="dxa"/>
            <w:tcBorders>
              <w:top w:val="single" w:sz="6" w:space="0" w:color="000000"/>
              <w:left w:val="nil"/>
              <w:bottom w:val="single" w:sz="12"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1 411.4</w:t>
            </w:r>
          </w:p>
        </w:tc>
        <w:tc>
          <w:tcPr>
            <w:tcW w:w="845" w:type="dxa"/>
            <w:tcBorders>
              <w:top w:val="single" w:sz="6" w:space="0" w:color="000000"/>
              <w:left w:val="nil"/>
              <w:bottom w:val="single" w:sz="12"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1 397.2</w:t>
            </w:r>
          </w:p>
        </w:tc>
        <w:tc>
          <w:tcPr>
            <w:tcW w:w="844" w:type="dxa"/>
            <w:tcBorders>
              <w:top w:val="single" w:sz="6" w:space="0" w:color="000000"/>
              <w:left w:val="nil"/>
              <w:bottom w:val="single" w:sz="12"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1 610.6</w:t>
            </w:r>
          </w:p>
        </w:tc>
        <w:tc>
          <w:tcPr>
            <w:tcW w:w="845" w:type="dxa"/>
            <w:tcBorders>
              <w:top w:val="single" w:sz="6" w:space="0" w:color="000000"/>
              <w:left w:val="nil"/>
              <w:bottom w:val="single" w:sz="12"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20"/>
                <w:lang w:eastAsia="en-AU"/>
              </w:rPr>
              <w:t>852.4</w:t>
            </w:r>
          </w:p>
        </w:tc>
        <w:tc>
          <w:tcPr>
            <w:tcW w:w="845" w:type="dxa"/>
            <w:tcBorders>
              <w:top w:val="single" w:sz="6" w:space="0" w:color="000000"/>
              <w:left w:val="nil"/>
              <w:bottom w:val="single" w:sz="12"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20"/>
                <w:lang w:eastAsia="en-AU"/>
              </w:rPr>
              <w:t>(554.4)</w:t>
            </w:r>
          </w:p>
        </w:tc>
      </w:tr>
    </w:tbl>
    <w:p w:rsidR="00965D85" w:rsidRDefault="00965D85" w:rsidP="008B46DF">
      <w:pPr>
        <w:pStyle w:val="Notes"/>
        <w:rPr>
          <w:lang w:eastAsia="en-AU"/>
        </w:rPr>
      </w:pPr>
      <w:r>
        <w:rPr>
          <w:lang w:eastAsia="en-AU"/>
        </w:rPr>
        <w:t>Note:</w:t>
      </w:r>
    </w:p>
    <w:p w:rsidR="00965D85" w:rsidRDefault="00965D85" w:rsidP="008B46DF">
      <w:pPr>
        <w:pStyle w:val="Notes"/>
        <w:rPr>
          <w:lang w:eastAsia="en-AU"/>
        </w:rPr>
      </w:pPr>
      <w:r>
        <w:rPr>
          <w:lang w:eastAsia="en-AU"/>
        </w:rPr>
        <w:t>(a)</w:t>
      </w:r>
      <w:r>
        <w:rPr>
          <w:lang w:eastAsia="en-AU"/>
        </w:rPr>
        <w:tab/>
        <w:t>The other movements in non</w:t>
      </w:r>
      <w:r>
        <w:rPr>
          <w:lang w:eastAsia="en-AU"/>
        </w:rPr>
        <w:noBreakHyphen/>
        <w:t>financial assets predominantly includes the transfer of fixed assets to other sectors of government and the recognition of finance lease arrangements.</w:t>
      </w:r>
    </w:p>
    <w:p w:rsidR="00965D85" w:rsidRDefault="00965D85">
      <w:pPr>
        <w:spacing w:after="0"/>
        <w:rPr>
          <w:rFonts w:ascii="Calibri" w:hAnsi="Calibri"/>
          <w:b/>
          <w:kern w:val="28"/>
          <w:sz w:val="26"/>
          <w:szCs w:val="22"/>
          <w:lang w:eastAsia="en-AU"/>
        </w:rPr>
      </w:pPr>
      <w:r>
        <w:rPr>
          <w:lang w:eastAsia="en-AU"/>
        </w:rPr>
        <w:br w:type="page"/>
      </w:r>
    </w:p>
    <w:p w:rsidR="00965D85" w:rsidRDefault="00965D85" w:rsidP="008B46DF">
      <w:pPr>
        <w:pStyle w:val="Heading2Notes"/>
        <w:rPr>
          <w:rFonts w:ascii="Times New Roman" w:hAnsi="Times New Roman"/>
          <w:sz w:val="20"/>
          <w:lang w:eastAsia="en-AU"/>
        </w:rPr>
      </w:pPr>
      <w:bookmarkStart w:id="64" w:name="_Toc436138922"/>
      <w:r w:rsidRPr="003878BE">
        <w:rPr>
          <w:lang w:eastAsia="en-AU"/>
        </w:rPr>
        <w:lastRenderedPageBreak/>
        <w:t xml:space="preserve">Note 16: </w:t>
      </w:r>
      <w:r w:rsidRPr="003878BE">
        <w:rPr>
          <w:lang w:eastAsia="en-AU"/>
        </w:rPr>
        <w:tab/>
        <w:t>Advances paid and investments, loans and placements</w:t>
      </w:r>
      <w:bookmarkEnd w:id="64"/>
    </w:p>
    <w:tbl>
      <w:tblPr>
        <w:tblW w:w="7765" w:type="dxa"/>
        <w:tblInd w:w="28" w:type="dxa"/>
        <w:tblLayout w:type="fixed"/>
        <w:tblCellMar>
          <w:left w:w="28" w:type="dxa"/>
          <w:right w:w="28" w:type="dxa"/>
        </w:tblCellMar>
        <w:tblLook w:val="0000" w:firstRow="0" w:lastRow="0" w:firstColumn="0" w:lastColumn="0" w:noHBand="0" w:noVBand="0"/>
      </w:tblPr>
      <w:tblGrid>
        <w:gridCol w:w="3682"/>
        <w:gridCol w:w="816"/>
        <w:gridCol w:w="816"/>
        <w:gridCol w:w="816"/>
        <w:gridCol w:w="218"/>
        <w:gridCol w:w="283"/>
        <w:gridCol w:w="283"/>
        <w:gridCol w:w="32"/>
        <w:gridCol w:w="251"/>
        <w:gridCol w:w="283"/>
        <w:gridCol w:w="285"/>
      </w:tblGrid>
      <w:tr w:rsidR="00965D85" w:rsidRPr="00E22AD9" w:rsidTr="008B46DF">
        <w:trPr>
          <w:tblHeader/>
        </w:trPr>
        <w:tc>
          <w:tcPr>
            <w:tcW w:w="7765" w:type="dxa"/>
            <w:gridSpan w:val="11"/>
            <w:tcBorders>
              <w:top w:val="nil"/>
              <w:left w:val="nil"/>
              <w:bottom w:val="nil"/>
              <w:right w:val="nil"/>
            </w:tcBorders>
          </w:tcPr>
          <w:p w:rsidR="00965D85" w:rsidRPr="00E22AD9" w:rsidRDefault="00965D85" w:rsidP="008B46DF">
            <w:pPr>
              <w:pStyle w:val="million"/>
              <w:rPr>
                <w:rFonts w:eastAsiaTheme="minorEastAsia" w:cs="Calibri"/>
                <w:iCs/>
                <w:color w:val="000000"/>
                <w:sz w:val="20"/>
                <w:lang w:eastAsia="en-AU"/>
              </w:rPr>
            </w:pPr>
            <w:r w:rsidRPr="00E22AD9">
              <w:rPr>
                <w:rFonts w:eastAsiaTheme="minorEastAsia"/>
                <w:lang w:eastAsia="en-AU"/>
              </w:rPr>
              <w:t>($ million)</w:t>
            </w:r>
          </w:p>
        </w:tc>
      </w:tr>
      <w:tr w:rsidR="00965D85" w:rsidRPr="00E22AD9" w:rsidTr="008B46DF">
        <w:trPr>
          <w:trHeight w:val="488"/>
          <w:tblHeader/>
        </w:trPr>
        <w:tc>
          <w:tcPr>
            <w:tcW w:w="3682" w:type="dxa"/>
            <w:tcBorders>
              <w:top w:val="nil"/>
              <w:left w:val="nil"/>
              <w:right w:val="nil"/>
            </w:tcBorders>
            <w:shd w:val="solid" w:color="000000" w:fill="auto"/>
          </w:tcPr>
          <w:p w:rsidR="00965D85" w:rsidRPr="00E22AD9" w:rsidRDefault="00965D85" w:rsidP="008B46DF">
            <w:pPr>
              <w:autoSpaceDE w:val="0"/>
              <w:autoSpaceDN w:val="0"/>
              <w:adjustRightInd w:val="0"/>
              <w:spacing w:after="0"/>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 xml:space="preserve"> </w:t>
            </w:r>
          </w:p>
          <w:p w:rsidR="00965D85" w:rsidRPr="00E22AD9" w:rsidRDefault="00965D85" w:rsidP="008B46DF">
            <w:pPr>
              <w:autoSpaceDE w:val="0"/>
              <w:autoSpaceDN w:val="0"/>
              <w:adjustRightInd w:val="0"/>
              <w:spacing w:after="0"/>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 xml:space="preserve"> </w:t>
            </w:r>
          </w:p>
        </w:tc>
        <w:tc>
          <w:tcPr>
            <w:tcW w:w="816" w:type="dxa"/>
            <w:tcBorders>
              <w:top w:val="nil"/>
              <w:left w:val="nil"/>
              <w:right w:val="nil"/>
            </w:tcBorders>
            <w:shd w:val="solid" w:color="000000" w:fill="auto"/>
          </w:tcPr>
          <w:p w:rsidR="00965D85" w:rsidRPr="00E22AD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E22AD9">
              <w:rPr>
                <w:rFonts w:ascii="Calibri" w:eastAsiaTheme="minorEastAsia" w:hAnsi="Calibri" w:cs="Calibri"/>
                <w:i/>
                <w:iCs/>
                <w:color w:val="FFFFFF"/>
                <w:sz w:val="20"/>
                <w:lang w:eastAsia="en-AU"/>
              </w:rPr>
              <w:t>2016</w:t>
            </w:r>
          </w:p>
          <w:p w:rsidR="00965D85" w:rsidRPr="00E22AD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E22AD9">
              <w:rPr>
                <w:rFonts w:ascii="Calibri" w:eastAsiaTheme="minorEastAsia" w:hAnsi="Calibri" w:cs="Calibri"/>
                <w:i/>
                <w:iCs/>
                <w:color w:val="FFFFFF"/>
                <w:sz w:val="20"/>
                <w:lang w:eastAsia="en-AU"/>
              </w:rPr>
              <w:t>budget</w:t>
            </w:r>
          </w:p>
        </w:tc>
        <w:tc>
          <w:tcPr>
            <w:tcW w:w="816" w:type="dxa"/>
            <w:tcBorders>
              <w:top w:val="nil"/>
              <w:left w:val="nil"/>
              <w:right w:val="nil"/>
            </w:tcBorders>
            <w:shd w:val="solid" w:color="000000" w:fill="auto"/>
          </w:tcPr>
          <w:p w:rsidR="00965D85" w:rsidRPr="00E22AD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E22AD9">
              <w:rPr>
                <w:rFonts w:ascii="Calibri" w:eastAsiaTheme="minorEastAsia" w:hAnsi="Calibri" w:cs="Calibri"/>
                <w:i/>
                <w:iCs/>
                <w:color w:val="FFFFFF"/>
                <w:sz w:val="20"/>
                <w:lang w:eastAsia="en-AU"/>
              </w:rPr>
              <w:t>2016</w:t>
            </w:r>
          </w:p>
          <w:p w:rsidR="00965D85" w:rsidRPr="00E22AD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E22AD9">
              <w:rPr>
                <w:rFonts w:ascii="Calibri" w:eastAsiaTheme="minorEastAsia" w:hAnsi="Calibri" w:cs="Calibri"/>
                <w:i/>
                <w:iCs/>
                <w:color w:val="FFFFFF"/>
                <w:sz w:val="20"/>
                <w:lang w:eastAsia="en-AU"/>
              </w:rPr>
              <w:t>revised</w:t>
            </w:r>
          </w:p>
        </w:tc>
        <w:tc>
          <w:tcPr>
            <w:tcW w:w="816" w:type="dxa"/>
            <w:tcBorders>
              <w:top w:val="nil"/>
              <w:left w:val="nil"/>
              <w:right w:val="nil"/>
            </w:tcBorders>
            <w:shd w:val="solid" w:color="000000" w:fill="auto"/>
          </w:tcPr>
          <w:p w:rsidR="00965D85" w:rsidRPr="00E22AD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E22AD9">
              <w:rPr>
                <w:rFonts w:ascii="Calibri" w:eastAsiaTheme="minorEastAsia" w:hAnsi="Calibri" w:cs="Calibri"/>
                <w:i/>
                <w:iCs/>
                <w:color w:val="FFFFFF"/>
                <w:sz w:val="20"/>
                <w:lang w:eastAsia="en-AU"/>
              </w:rPr>
              <w:t>2017</w:t>
            </w:r>
          </w:p>
          <w:p w:rsidR="00965D85" w:rsidRPr="00E22AD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E22AD9">
              <w:rPr>
                <w:rFonts w:ascii="Calibri" w:eastAsiaTheme="minorEastAsia" w:hAnsi="Calibri" w:cs="Calibri"/>
                <w:i/>
                <w:iCs/>
                <w:color w:val="FFFFFF"/>
                <w:sz w:val="20"/>
                <w:lang w:eastAsia="en-AU"/>
              </w:rPr>
              <w:t>estimate</w:t>
            </w:r>
          </w:p>
        </w:tc>
        <w:tc>
          <w:tcPr>
            <w:tcW w:w="816" w:type="dxa"/>
            <w:gridSpan w:val="4"/>
            <w:tcBorders>
              <w:top w:val="nil"/>
              <w:left w:val="nil"/>
              <w:right w:val="nil"/>
            </w:tcBorders>
            <w:shd w:val="solid" w:color="000000" w:fill="auto"/>
          </w:tcPr>
          <w:p w:rsidR="00965D85" w:rsidRPr="00E22AD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E22AD9">
              <w:rPr>
                <w:rFonts w:ascii="Calibri" w:eastAsiaTheme="minorEastAsia" w:hAnsi="Calibri" w:cs="Calibri"/>
                <w:i/>
                <w:iCs/>
                <w:color w:val="FFFFFF"/>
                <w:sz w:val="20"/>
                <w:lang w:eastAsia="en-AU"/>
              </w:rPr>
              <w:t>2018</w:t>
            </w:r>
          </w:p>
          <w:p w:rsidR="00965D85" w:rsidRPr="00E22AD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E22AD9">
              <w:rPr>
                <w:rFonts w:ascii="Calibri" w:eastAsiaTheme="minorEastAsia" w:hAnsi="Calibri" w:cs="Calibri"/>
                <w:i/>
                <w:iCs/>
                <w:color w:val="FFFFFF"/>
                <w:sz w:val="20"/>
                <w:lang w:eastAsia="en-AU"/>
              </w:rPr>
              <w:t>estimate</w:t>
            </w:r>
          </w:p>
        </w:tc>
        <w:tc>
          <w:tcPr>
            <w:tcW w:w="819" w:type="dxa"/>
            <w:gridSpan w:val="3"/>
            <w:tcBorders>
              <w:top w:val="nil"/>
              <w:left w:val="nil"/>
              <w:right w:val="nil"/>
            </w:tcBorders>
            <w:shd w:val="solid" w:color="000000" w:fill="auto"/>
          </w:tcPr>
          <w:p w:rsidR="00965D85" w:rsidRPr="00E22AD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E22AD9">
              <w:rPr>
                <w:rFonts w:ascii="Calibri" w:eastAsiaTheme="minorEastAsia" w:hAnsi="Calibri" w:cs="Calibri"/>
                <w:i/>
                <w:iCs/>
                <w:color w:val="FFFFFF"/>
                <w:sz w:val="20"/>
                <w:lang w:eastAsia="en-AU"/>
              </w:rPr>
              <w:t>2019</w:t>
            </w:r>
          </w:p>
          <w:p w:rsidR="00965D85" w:rsidRPr="00E22AD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E22AD9">
              <w:rPr>
                <w:rFonts w:ascii="Calibri" w:eastAsiaTheme="minorEastAsia" w:hAnsi="Calibri" w:cs="Calibri"/>
                <w:i/>
                <w:iCs/>
                <w:color w:val="FFFFFF"/>
                <w:sz w:val="20"/>
                <w:lang w:eastAsia="en-AU"/>
              </w:rPr>
              <w:t>estimate</w:t>
            </w:r>
          </w:p>
        </w:tc>
      </w:tr>
      <w:tr w:rsidR="00965D85" w:rsidRPr="00E22AD9" w:rsidTr="008B46DF">
        <w:tc>
          <w:tcPr>
            <w:tcW w:w="6348" w:type="dxa"/>
            <w:gridSpan w:val="5"/>
            <w:tcBorders>
              <w:top w:val="nil"/>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Current advances paid and investments, loans and placements</w:t>
            </w:r>
          </w:p>
        </w:tc>
        <w:tc>
          <w:tcPr>
            <w:tcW w:w="283"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283"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283" w:type="dxa"/>
            <w:gridSpan w:val="2"/>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283"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285"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r>
      <w:tr w:rsidR="00965D85" w:rsidRPr="00E22AD9" w:rsidTr="008B46DF">
        <w:tc>
          <w:tcPr>
            <w:tcW w:w="3682" w:type="dxa"/>
            <w:tcBorders>
              <w:top w:val="nil"/>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Loans and advances paid</w:t>
            </w:r>
          </w:p>
        </w:tc>
        <w:tc>
          <w:tcPr>
            <w:tcW w:w="816"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45.1</w:t>
            </w:r>
          </w:p>
        </w:tc>
        <w:tc>
          <w:tcPr>
            <w:tcW w:w="816"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45.1</w:t>
            </w:r>
          </w:p>
        </w:tc>
        <w:tc>
          <w:tcPr>
            <w:tcW w:w="816"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52.3</w:t>
            </w:r>
          </w:p>
        </w:tc>
        <w:tc>
          <w:tcPr>
            <w:tcW w:w="816" w:type="dxa"/>
            <w:gridSpan w:val="4"/>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57.6</w:t>
            </w:r>
          </w:p>
        </w:tc>
        <w:tc>
          <w:tcPr>
            <w:tcW w:w="819" w:type="dxa"/>
            <w:gridSpan w:val="3"/>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60.5</w:t>
            </w:r>
          </w:p>
        </w:tc>
      </w:tr>
      <w:tr w:rsidR="00965D85" w:rsidRPr="00E22AD9" w:rsidTr="008B46DF">
        <w:tc>
          <w:tcPr>
            <w:tcW w:w="3682" w:type="dxa"/>
            <w:tcBorders>
              <w:top w:val="nil"/>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 xml:space="preserve">Equities and managed investment schemes </w:t>
            </w:r>
          </w:p>
        </w:tc>
        <w:tc>
          <w:tcPr>
            <w:tcW w:w="816"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974.1</w:t>
            </w:r>
          </w:p>
        </w:tc>
        <w:tc>
          <w:tcPr>
            <w:tcW w:w="816"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971.1</w:t>
            </w:r>
          </w:p>
        </w:tc>
        <w:tc>
          <w:tcPr>
            <w:tcW w:w="816"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979.2</w:t>
            </w:r>
          </w:p>
        </w:tc>
        <w:tc>
          <w:tcPr>
            <w:tcW w:w="816" w:type="dxa"/>
            <w:gridSpan w:val="4"/>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987.3</w:t>
            </w:r>
          </w:p>
        </w:tc>
        <w:tc>
          <w:tcPr>
            <w:tcW w:w="819" w:type="dxa"/>
            <w:gridSpan w:val="3"/>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995.3</w:t>
            </w:r>
          </w:p>
        </w:tc>
      </w:tr>
      <w:tr w:rsidR="00965D85" w:rsidRPr="00E22AD9" w:rsidTr="008B46DF">
        <w:tc>
          <w:tcPr>
            <w:tcW w:w="3682" w:type="dxa"/>
            <w:tcBorders>
              <w:top w:val="nil"/>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Australian dollar term deposits</w:t>
            </w:r>
          </w:p>
        </w:tc>
        <w:tc>
          <w:tcPr>
            <w:tcW w:w="816"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2 016.5</w:t>
            </w:r>
          </w:p>
        </w:tc>
        <w:tc>
          <w:tcPr>
            <w:tcW w:w="816"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2 006.5</w:t>
            </w:r>
          </w:p>
        </w:tc>
        <w:tc>
          <w:tcPr>
            <w:tcW w:w="816"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2 116.2</w:t>
            </w:r>
          </w:p>
        </w:tc>
        <w:tc>
          <w:tcPr>
            <w:tcW w:w="816" w:type="dxa"/>
            <w:gridSpan w:val="4"/>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2 218.8</w:t>
            </w:r>
          </w:p>
        </w:tc>
        <w:tc>
          <w:tcPr>
            <w:tcW w:w="819" w:type="dxa"/>
            <w:gridSpan w:val="3"/>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2 323.1</w:t>
            </w:r>
          </w:p>
        </w:tc>
      </w:tr>
      <w:tr w:rsidR="00965D85" w:rsidRPr="00E22AD9" w:rsidTr="008B46DF">
        <w:tc>
          <w:tcPr>
            <w:tcW w:w="3682" w:type="dxa"/>
            <w:tcBorders>
              <w:top w:val="nil"/>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Debt securities</w:t>
            </w:r>
          </w:p>
        </w:tc>
        <w:tc>
          <w:tcPr>
            <w:tcW w:w="816"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6.5</w:t>
            </w:r>
          </w:p>
        </w:tc>
        <w:tc>
          <w:tcPr>
            <w:tcW w:w="816"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6.5</w:t>
            </w:r>
          </w:p>
        </w:tc>
        <w:tc>
          <w:tcPr>
            <w:tcW w:w="816"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6.5</w:t>
            </w:r>
          </w:p>
        </w:tc>
        <w:tc>
          <w:tcPr>
            <w:tcW w:w="816" w:type="dxa"/>
            <w:gridSpan w:val="4"/>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6.5</w:t>
            </w:r>
          </w:p>
        </w:tc>
        <w:tc>
          <w:tcPr>
            <w:tcW w:w="819" w:type="dxa"/>
            <w:gridSpan w:val="3"/>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6.5</w:t>
            </w:r>
          </w:p>
        </w:tc>
      </w:tr>
      <w:tr w:rsidR="00965D85" w:rsidRPr="00E22AD9" w:rsidTr="008B46DF">
        <w:tc>
          <w:tcPr>
            <w:tcW w:w="3682"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Derivative financial instruments</w:t>
            </w:r>
          </w:p>
        </w:tc>
        <w:tc>
          <w:tcPr>
            <w:tcW w:w="816"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0.2</w:t>
            </w:r>
          </w:p>
        </w:tc>
        <w:tc>
          <w:tcPr>
            <w:tcW w:w="816"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0.2</w:t>
            </w:r>
          </w:p>
        </w:tc>
        <w:tc>
          <w:tcPr>
            <w:tcW w:w="816"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0.2</w:t>
            </w:r>
          </w:p>
        </w:tc>
        <w:tc>
          <w:tcPr>
            <w:tcW w:w="816" w:type="dxa"/>
            <w:gridSpan w:val="4"/>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0.2</w:t>
            </w:r>
          </w:p>
        </w:tc>
        <w:tc>
          <w:tcPr>
            <w:tcW w:w="819" w:type="dxa"/>
            <w:gridSpan w:val="3"/>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0.2</w:t>
            </w:r>
          </w:p>
        </w:tc>
      </w:tr>
      <w:tr w:rsidR="00965D85" w:rsidRPr="00E22AD9" w:rsidTr="008B46DF">
        <w:tc>
          <w:tcPr>
            <w:tcW w:w="3682" w:type="dxa"/>
            <w:tcBorders>
              <w:top w:val="single" w:sz="6" w:space="0" w:color="000000"/>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Total current advances paid and investments, loans and placements</w:t>
            </w:r>
          </w:p>
        </w:tc>
        <w:tc>
          <w:tcPr>
            <w:tcW w:w="816" w:type="dxa"/>
            <w:tcBorders>
              <w:top w:val="single" w:sz="6" w:space="0" w:color="000000"/>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3 042.5</w:t>
            </w:r>
          </w:p>
        </w:tc>
        <w:tc>
          <w:tcPr>
            <w:tcW w:w="816" w:type="dxa"/>
            <w:tcBorders>
              <w:top w:val="single" w:sz="6" w:space="0" w:color="000000"/>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3 029.5</w:t>
            </w:r>
          </w:p>
        </w:tc>
        <w:tc>
          <w:tcPr>
            <w:tcW w:w="816" w:type="dxa"/>
            <w:tcBorders>
              <w:top w:val="single" w:sz="6" w:space="0" w:color="000000"/>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3 154.4</w:t>
            </w:r>
          </w:p>
        </w:tc>
        <w:tc>
          <w:tcPr>
            <w:tcW w:w="816" w:type="dxa"/>
            <w:gridSpan w:val="4"/>
            <w:tcBorders>
              <w:top w:val="single" w:sz="6" w:space="0" w:color="000000"/>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3 270.4</w:t>
            </w:r>
          </w:p>
        </w:tc>
        <w:tc>
          <w:tcPr>
            <w:tcW w:w="819" w:type="dxa"/>
            <w:gridSpan w:val="3"/>
            <w:tcBorders>
              <w:top w:val="single" w:sz="6" w:space="0" w:color="000000"/>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3 385.7</w:t>
            </w:r>
          </w:p>
        </w:tc>
      </w:tr>
      <w:tr w:rsidR="00965D85" w:rsidRPr="00E22AD9" w:rsidTr="008B46DF">
        <w:tc>
          <w:tcPr>
            <w:tcW w:w="6348" w:type="dxa"/>
            <w:gridSpan w:val="5"/>
            <w:tcBorders>
              <w:top w:val="nil"/>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Non</w:t>
            </w:r>
            <w:r>
              <w:rPr>
                <w:rFonts w:ascii="Calibri" w:eastAsiaTheme="minorEastAsia" w:hAnsi="Calibri" w:cs="Calibri"/>
                <w:b/>
                <w:bCs/>
                <w:color w:val="000000"/>
                <w:sz w:val="20"/>
                <w:lang w:eastAsia="en-AU"/>
              </w:rPr>
              <w:noBreakHyphen/>
            </w:r>
            <w:r w:rsidRPr="00E22AD9">
              <w:rPr>
                <w:rFonts w:ascii="Calibri" w:eastAsiaTheme="minorEastAsia" w:hAnsi="Calibri" w:cs="Calibri"/>
                <w:b/>
                <w:bCs/>
                <w:color w:val="000000"/>
                <w:sz w:val="20"/>
                <w:lang w:eastAsia="en-AU"/>
              </w:rPr>
              <w:t>current advances paid and investments, loans and placements</w:t>
            </w:r>
          </w:p>
        </w:tc>
        <w:tc>
          <w:tcPr>
            <w:tcW w:w="283"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283"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283" w:type="dxa"/>
            <w:gridSpan w:val="2"/>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283"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285"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r>
      <w:tr w:rsidR="00965D85" w:rsidRPr="00E22AD9" w:rsidTr="008B46DF">
        <w:tc>
          <w:tcPr>
            <w:tcW w:w="3682" w:type="dxa"/>
            <w:tcBorders>
              <w:top w:val="nil"/>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Loans and advances paid</w:t>
            </w:r>
          </w:p>
        </w:tc>
        <w:tc>
          <w:tcPr>
            <w:tcW w:w="816"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4 479.4</w:t>
            </w:r>
          </w:p>
        </w:tc>
        <w:tc>
          <w:tcPr>
            <w:tcW w:w="816"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4 479.4</w:t>
            </w:r>
          </w:p>
        </w:tc>
        <w:tc>
          <w:tcPr>
            <w:tcW w:w="816"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4 435.9</w:t>
            </w:r>
          </w:p>
        </w:tc>
        <w:tc>
          <w:tcPr>
            <w:tcW w:w="816" w:type="dxa"/>
            <w:gridSpan w:val="4"/>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4 384.8</w:t>
            </w:r>
          </w:p>
        </w:tc>
        <w:tc>
          <w:tcPr>
            <w:tcW w:w="819" w:type="dxa"/>
            <w:gridSpan w:val="3"/>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4 330.3</w:t>
            </w:r>
          </w:p>
        </w:tc>
      </w:tr>
      <w:tr w:rsidR="00965D85" w:rsidRPr="00E22AD9" w:rsidTr="008B46DF">
        <w:tc>
          <w:tcPr>
            <w:tcW w:w="3682" w:type="dxa"/>
            <w:tcBorders>
              <w:top w:val="nil"/>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 xml:space="preserve">Equities and managed investment schemes </w:t>
            </w:r>
          </w:p>
        </w:tc>
        <w:tc>
          <w:tcPr>
            <w:tcW w:w="816"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277.5</w:t>
            </w:r>
          </w:p>
        </w:tc>
        <w:tc>
          <w:tcPr>
            <w:tcW w:w="816"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279.5</w:t>
            </w:r>
          </w:p>
        </w:tc>
        <w:tc>
          <w:tcPr>
            <w:tcW w:w="816"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284.1</w:t>
            </w:r>
          </w:p>
        </w:tc>
        <w:tc>
          <w:tcPr>
            <w:tcW w:w="816" w:type="dxa"/>
            <w:gridSpan w:val="4"/>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290.3</w:t>
            </w:r>
          </w:p>
        </w:tc>
        <w:tc>
          <w:tcPr>
            <w:tcW w:w="819" w:type="dxa"/>
            <w:gridSpan w:val="3"/>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295.9</w:t>
            </w:r>
          </w:p>
        </w:tc>
      </w:tr>
      <w:tr w:rsidR="00965D85" w:rsidRPr="00E22AD9" w:rsidTr="008B46DF">
        <w:tc>
          <w:tcPr>
            <w:tcW w:w="3682" w:type="dxa"/>
            <w:tcBorders>
              <w:top w:val="nil"/>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Australian dollar term deposits</w:t>
            </w:r>
          </w:p>
        </w:tc>
        <w:tc>
          <w:tcPr>
            <w:tcW w:w="816"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203.8</w:t>
            </w:r>
          </w:p>
        </w:tc>
        <w:tc>
          <w:tcPr>
            <w:tcW w:w="816"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203.8</w:t>
            </w:r>
          </w:p>
        </w:tc>
        <w:tc>
          <w:tcPr>
            <w:tcW w:w="816"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209.5</w:t>
            </w:r>
          </w:p>
        </w:tc>
        <w:tc>
          <w:tcPr>
            <w:tcW w:w="816" w:type="dxa"/>
            <w:gridSpan w:val="4"/>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215.3</w:t>
            </w:r>
          </w:p>
        </w:tc>
        <w:tc>
          <w:tcPr>
            <w:tcW w:w="819" w:type="dxa"/>
            <w:gridSpan w:val="3"/>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221.3</w:t>
            </w:r>
          </w:p>
        </w:tc>
      </w:tr>
      <w:tr w:rsidR="00965D85" w:rsidRPr="00E22AD9" w:rsidTr="008B46DF">
        <w:tc>
          <w:tcPr>
            <w:tcW w:w="3682"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Debt securities</w:t>
            </w:r>
          </w:p>
        </w:tc>
        <w:tc>
          <w:tcPr>
            <w:tcW w:w="816"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34.3</w:t>
            </w:r>
          </w:p>
        </w:tc>
        <w:tc>
          <w:tcPr>
            <w:tcW w:w="816"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34.3</w:t>
            </w:r>
          </w:p>
        </w:tc>
        <w:tc>
          <w:tcPr>
            <w:tcW w:w="816"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34.3</w:t>
            </w:r>
          </w:p>
        </w:tc>
        <w:tc>
          <w:tcPr>
            <w:tcW w:w="816" w:type="dxa"/>
            <w:gridSpan w:val="4"/>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34.3</w:t>
            </w:r>
          </w:p>
        </w:tc>
        <w:tc>
          <w:tcPr>
            <w:tcW w:w="819" w:type="dxa"/>
            <w:gridSpan w:val="3"/>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34.3</w:t>
            </w:r>
          </w:p>
        </w:tc>
      </w:tr>
      <w:tr w:rsidR="00965D85" w:rsidRPr="00E22AD9" w:rsidTr="008B46DF">
        <w:tc>
          <w:tcPr>
            <w:tcW w:w="3682" w:type="dxa"/>
            <w:tcBorders>
              <w:top w:val="single" w:sz="6" w:space="0" w:color="000000"/>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Total non</w:t>
            </w:r>
            <w:r>
              <w:rPr>
                <w:rFonts w:ascii="Calibri" w:eastAsiaTheme="minorEastAsia" w:hAnsi="Calibri" w:cs="Calibri"/>
                <w:b/>
                <w:bCs/>
                <w:color w:val="000000"/>
                <w:sz w:val="20"/>
                <w:lang w:eastAsia="en-AU"/>
              </w:rPr>
              <w:noBreakHyphen/>
            </w:r>
            <w:r w:rsidRPr="00E22AD9">
              <w:rPr>
                <w:rFonts w:ascii="Calibri" w:eastAsiaTheme="minorEastAsia" w:hAnsi="Calibri" w:cs="Calibri"/>
                <w:b/>
                <w:bCs/>
                <w:color w:val="000000"/>
                <w:sz w:val="20"/>
                <w:lang w:eastAsia="en-AU"/>
              </w:rPr>
              <w:t>current advances paid and investments, loans and placements</w:t>
            </w:r>
          </w:p>
        </w:tc>
        <w:tc>
          <w:tcPr>
            <w:tcW w:w="816" w:type="dxa"/>
            <w:tcBorders>
              <w:top w:val="single" w:sz="6" w:space="0" w:color="000000"/>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4 995.0</w:t>
            </w:r>
          </w:p>
        </w:tc>
        <w:tc>
          <w:tcPr>
            <w:tcW w:w="816" w:type="dxa"/>
            <w:tcBorders>
              <w:top w:val="single" w:sz="6" w:space="0" w:color="000000"/>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4 997.0</w:t>
            </w:r>
          </w:p>
        </w:tc>
        <w:tc>
          <w:tcPr>
            <w:tcW w:w="816" w:type="dxa"/>
            <w:tcBorders>
              <w:top w:val="single" w:sz="6" w:space="0" w:color="000000"/>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4 963.8</w:t>
            </w:r>
          </w:p>
        </w:tc>
        <w:tc>
          <w:tcPr>
            <w:tcW w:w="816" w:type="dxa"/>
            <w:gridSpan w:val="4"/>
            <w:tcBorders>
              <w:top w:val="single" w:sz="6" w:space="0" w:color="000000"/>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4 924.7</w:t>
            </w:r>
          </w:p>
        </w:tc>
        <w:tc>
          <w:tcPr>
            <w:tcW w:w="819" w:type="dxa"/>
            <w:gridSpan w:val="3"/>
            <w:tcBorders>
              <w:top w:val="single" w:sz="6" w:space="0" w:color="000000"/>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4 881.8</w:t>
            </w:r>
          </w:p>
        </w:tc>
      </w:tr>
      <w:tr w:rsidR="00965D85" w:rsidRPr="00E22AD9" w:rsidTr="008B46DF">
        <w:tc>
          <w:tcPr>
            <w:tcW w:w="3682" w:type="dxa"/>
            <w:tcBorders>
              <w:top w:val="single" w:sz="6" w:space="0" w:color="000000"/>
              <w:left w:val="nil"/>
              <w:bottom w:val="single" w:sz="12" w:space="0" w:color="000000"/>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Total advances paid and investments, loans and placements</w:t>
            </w:r>
          </w:p>
        </w:tc>
        <w:tc>
          <w:tcPr>
            <w:tcW w:w="816" w:type="dxa"/>
            <w:tcBorders>
              <w:top w:val="single" w:sz="6" w:space="0" w:color="000000"/>
              <w:left w:val="nil"/>
              <w:bottom w:val="single" w:sz="12"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8 037.5</w:t>
            </w:r>
          </w:p>
        </w:tc>
        <w:tc>
          <w:tcPr>
            <w:tcW w:w="816" w:type="dxa"/>
            <w:tcBorders>
              <w:top w:val="single" w:sz="6" w:space="0" w:color="000000"/>
              <w:left w:val="nil"/>
              <w:bottom w:val="single" w:sz="12"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8 026.5</w:t>
            </w:r>
          </w:p>
        </w:tc>
        <w:tc>
          <w:tcPr>
            <w:tcW w:w="816" w:type="dxa"/>
            <w:tcBorders>
              <w:top w:val="single" w:sz="6" w:space="0" w:color="000000"/>
              <w:left w:val="nil"/>
              <w:bottom w:val="single" w:sz="12"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8 118.3</w:t>
            </w:r>
          </w:p>
        </w:tc>
        <w:tc>
          <w:tcPr>
            <w:tcW w:w="816" w:type="dxa"/>
            <w:gridSpan w:val="4"/>
            <w:tcBorders>
              <w:top w:val="single" w:sz="6" w:space="0" w:color="000000"/>
              <w:left w:val="nil"/>
              <w:bottom w:val="single" w:sz="12"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8 195.1</w:t>
            </w:r>
          </w:p>
        </w:tc>
        <w:tc>
          <w:tcPr>
            <w:tcW w:w="819" w:type="dxa"/>
            <w:gridSpan w:val="3"/>
            <w:tcBorders>
              <w:top w:val="single" w:sz="6" w:space="0" w:color="000000"/>
              <w:left w:val="nil"/>
              <w:bottom w:val="single" w:sz="12"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8 267.5</w:t>
            </w:r>
          </w:p>
        </w:tc>
      </w:tr>
      <w:tr w:rsidR="00965D85" w:rsidRPr="00E22AD9" w:rsidTr="008B46DF">
        <w:tc>
          <w:tcPr>
            <w:tcW w:w="3682" w:type="dxa"/>
            <w:tcBorders>
              <w:top w:val="single" w:sz="12" w:space="0" w:color="000000"/>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Represented by:</w:t>
            </w:r>
          </w:p>
        </w:tc>
        <w:tc>
          <w:tcPr>
            <w:tcW w:w="816" w:type="dxa"/>
            <w:tcBorders>
              <w:top w:val="single" w:sz="12" w:space="0" w:color="000000"/>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816" w:type="dxa"/>
            <w:tcBorders>
              <w:top w:val="single" w:sz="12" w:space="0" w:color="000000"/>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816" w:type="dxa"/>
            <w:tcBorders>
              <w:top w:val="single" w:sz="12" w:space="0" w:color="000000"/>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816" w:type="dxa"/>
            <w:gridSpan w:val="4"/>
            <w:tcBorders>
              <w:top w:val="single" w:sz="12" w:space="0" w:color="000000"/>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819" w:type="dxa"/>
            <w:gridSpan w:val="3"/>
            <w:tcBorders>
              <w:top w:val="single" w:sz="12" w:space="0" w:color="000000"/>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r>
      <w:tr w:rsidR="00965D85" w:rsidRPr="00E22AD9" w:rsidTr="008B46DF">
        <w:tc>
          <w:tcPr>
            <w:tcW w:w="3682" w:type="dxa"/>
            <w:tcBorders>
              <w:top w:val="nil"/>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Advances paid</w:t>
            </w:r>
          </w:p>
        </w:tc>
        <w:tc>
          <w:tcPr>
            <w:tcW w:w="816"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4 524.5</w:t>
            </w:r>
          </w:p>
        </w:tc>
        <w:tc>
          <w:tcPr>
            <w:tcW w:w="816"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4 524.5</w:t>
            </w:r>
          </w:p>
        </w:tc>
        <w:tc>
          <w:tcPr>
            <w:tcW w:w="816"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4 488.2</w:t>
            </w:r>
          </w:p>
        </w:tc>
        <w:tc>
          <w:tcPr>
            <w:tcW w:w="816" w:type="dxa"/>
            <w:gridSpan w:val="4"/>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4 442.4</w:t>
            </w:r>
          </w:p>
        </w:tc>
        <w:tc>
          <w:tcPr>
            <w:tcW w:w="819" w:type="dxa"/>
            <w:gridSpan w:val="3"/>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4 390.9</w:t>
            </w:r>
          </w:p>
        </w:tc>
      </w:tr>
      <w:tr w:rsidR="00965D85" w:rsidRPr="00E22AD9" w:rsidTr="008B46DF">
        <w:tc>
          <w:tcPr>
            <w:tcW w:w="3682" w:type="dxa"/>
            <w:tcBorders>
              <w:top w:val="nil"/>
              <w:left w:val="nil"/>
              <w:bottom w:val="single" w:sz="12" w:space="0" w:color="000000"/>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Investments, loans and placements</w:t>
            </w:r>
          </w:p>
        </w:tc>
        <w:tc>
          <w:tcPr>
            <w:tcW w:w="816" w:type="dxa"/>
            <w:tcBorders>
              <w:top w:val="nil"/>
              <w:left w:val="nil"/>
              <w:bottom w:val="single" w:sz="12"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3 513.0</w:t>
            </w:r>
          </w:p>
        </w:tc>
        <w:tc>
          <w:tcPr>
            <w:tcW w:w="816" w:type="dxa"/>
            <w:tcBorders>
              <w:top w:val="nil"/>
              <w:left w:val="nil"/>
              <w:bottom w:val="single" w:sz="12"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3 502.0</w:t>
            </w:r>
          </w:p>
        </w:tc>
        <w:tc>
          <w:tcPr>
            <w:tcW w:w="816" w:type="dxa"/>
            <w:tcBorders>
              <w:top w:val="nil"/>
              <w:left w:val="nil"/>
              <w:bottom w:val="single" w:sz="12"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3 630.0</w:t>
            </w:r>
          </w:p>
        </w:tc>
        <w:tc>
          <w:tcPr>
            <w:tcW w:w="816" w:type="dxa"/>
            <w:gridSpan w:val="4"/>
            <w:tcBorders>
              <w:top w:val="nil"/>
              <w:left w:val="nil"/>
              <w:bottom w:val="single" w:sz="12"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3 752.7</w:t>
            </w:r>
          </w:p>
        </w:tc>
        <w:tc>
          <w:tcPr>
            <w:tcW w:w="819" w:type="dxa"/>
            <w:gridSpan w:val="3"/>
            <w:tcBorders>
              <w:top w:val="nil"/>
              <w:left w:val="nil"/>
              <w:bottom w:val="single" w:sz="12"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3 876.6</w:t>
            </w:r>
          </w:p>
        </w:tc>
      </w:tr>
    </w:tbl>
    <w:p w:rsidR="00965D85" w:rsidRDefault="00965D85" w:rsidP="008B46DF">
      <w:pPr>
        <w:rPr>
          <w:lang w:eastAsia="en-AU"/>
        </w:rPr>
      </w:pPr>
    </w:p>
    <w:p w:rsidR="00965D85" w:rsidRDefault="00965D85">
      <w:pPr>
        <w:spacing w:after="0"/>
        <w:rPr>
          <w:rFonts w:ascii="Calibri" w:hAnsi="Calibri"/>
          <w:b/>
          <w:kern w:val="28"/>
          <w:sz w:val="26"/>
          <w:szCs w:val="22"/>
          <w:lang w:eastAsia="en-AU"/>
        </w:rPr>
      </w:pPr>
      <w:r>
        <w:rPr>
          <w:lang w:eastAsia="en-AU"/>
        </w:rPr>
        <w:br w:type="page"/>
      </w:r>
    </w:p>
    <w:p w:rsidR="00965D85" w:rsidRDefault="00965D85" w:rsidP="008B46DF">
      <w:pPr>
        <w:pStyle w:val="Heading2Notes"/>
        <w:rPr>
          <w:rFonts w:ascii="Times New Roman" w:hAnsi="Times New Roman"/>
          <w:sz w:val="20"/>
          <w:lang w:eastAsia="en-AU"/>
        </w:rPr>
      </w:pPr>
      <w:bookmarkStart w:id="65" w:name="_Toc436138923"/>
      <w:r>
        <w:rPr>
          <w:lang w:eastAsia="en-AU"/>
        </w:rPr>
        <w:lastRenderedPageBreak/>
        <w:t>Note 17:</w:t>
      </w:r>
      <w:r>
        <w:rPr>
          <w:lang w:eastAsia="en-AU"/>
        </w:rPr>
        <w:tab/>
        <w:t>Land, buildings, infrastructure, plant and equipment</w:t>
      </w:r>
      <w:bookmarkEnd w:id="65"/>
      <w:r>
        <w:rPr>
          <w:lang w:eastAsia="en-AU"/>
        </w:rPr>
        <w:t xml:space="preserve"> </w:t>
      </w:r>
    </w:p>
    <w:tbl>
      <w:tblPr>
        <w:tblW w:w="7797" w:type="dxa"/>
        <w:tblInd w:w="28" w:type="dxa"/>
        <w:tblLayout w:type="fixed"/>
        <w:tblCellMar>
          <w:left w:w="28" w:type="dxa"/>
          <w:right w:w="28" w:type="dxa"/>
        </w:tblCellMar>
        <w:tblLook w:val="0000" w:firstRow="0" w:lastRow="0" w:firstColumn="0" w:lastColumn="0" w:noHBand="0" w:noVBand="0"/>
      </w:tblPr>
      <w:tblGrid>
        <w:gridCol w:w="3119"/>
        <w:gridCol w:w="935"/>
        <w:gridCol w:w="936"/>
        <w:gridCol w:w="935"/>
        <w:gridCol w:w="936"/>
        <w:gridCol w:w="936"/>
      </w:tblGrid>
      <w:tr w:rsidR="00965D85" w:rsidRPr="00E22AD9" w:rsidTr="008B46DF">
        <w:trPr>
          <w:tblHeader/>
        </w:trPr>
        <w:tc>
          <w:tcPr>
            <w:tcW w:w="7797" w:type="dxa"/>
            <w:gridSpan w:val="6"/>
            <w:tcBorders>
              <w:top w:val="nil"/>
              <w:left w:val="nil"/>
              <w:bottom w:val="nil"/>
              <w:right w:val="nil"/>
            </w:tcBorders>
          </w:tcPr>
          <w:p w:rsidR="00965D85" w:rsidRPr="00E22AD9" w:rsidRDefault="00965D85" w:rsidP="008B46DF">
            <w:pPr>
              <w:pStyle w:val="million"/>
              <w:rPr>
                <w:rFonts w:eastAsiaTheme="minorEastAsia" w:cs="Calibri"/>
                <w:iCs/>
                <w:color w:val="000000"/>
                <w:sz w:val="20"/>
                <w:lang w:eastAsia="en-AU"/>
              </w:rPr>
            </w:pPr>
            <w:r w:rsidRPr="00E22AD9">
              <w:rPr>
                <w:rFonts w:eastAsiaTheme="minorEastAsia"/>
                <w:lang w:eastAsia="en-AU"/>
              </w:rPr>
              <w:t>($ million)</w:t>
            </w:r>
          </w:p>
        </w:tc>
      </w:tr>
      <w:tr w:rsidR="00965D85" w:rsidRPr="00E22AD9" w:rsidTr="008B46DF">
        <w:trPr>
          <w:trHeight w:val="488"/>
          <w:tblHeader/>
        </w:trPr>
        <w:tc>
          <w:tcPr>
            <w:tcW w:w="3119" w:type="dxa"/>
            <w:tcBorders>
              <w:top w:val="nil"/>
              <w:left w:val="nil"/>
              <w:right w:val="nil"/>
            </w:tcBorders>
            <w:shd w:val="solid" w:color="000000" w:fill="auto"/>
          </w:tcPr>
          <w:p w:rsidR="00965D85" w:rsidRPr="00E22AD9" w:rsidRDefault="00965D85" w:rsidP="008B46DF">
            <w:pPr>
              <w:pStyle w:val="million"/>
              <w:rPr>
                <w:rFonts w:eastAsiaTheme="minorEastAsia"/>
                <w:sz w:val="20"/>
                <w:lang w:eastAsia="en-AU"/>
              </w:rPr>
            </w:pPr>
            <w:r w:rsidRPr="00E22AD9">
              <w:rPr>
                <w:rFonts w:eastAsiaTheme="minorEastAsia"/>
                <w:sz w:val="20"/>
                <w:lang w:eastAsia="en-AU"/>
              </w:rPr>
              <w:t xml:space="preserve"> </w:t>
            </w:r>
          </w:p>
          <w:p w:rsidR="00965D85" w:rsidRPr="00E22AD9" w:rsidRDefault="00965D85" w:rsidP="008B46DF">
            <w:pPr>
              <w:autoSpaceDE w:val="0"/>
              <w:autoSpaceDN w:val="0"/>
              <w:adjustRightInd w:val="0"/>
              <w:spacing w:after="0"/>
              <w:rPr>
                <w:rFonts w:eastAsiaTheme="minorEastAsia"/>
                <w:sz w:val="20"/>
                <w:lang w:eastAsia="en-AU"/>
              </w:rPr>
            </w:pPr>
            <w:r w:rsidRPr="00E22AD9">
              <w:rPr>
                <w:rFonts w:ascii="Calibri" w:eastAsiaTheme="minorEastAsia" w:hAnsi="Calibri" w:cs="Calibri"/>
                <w:color w:val="000000"/>
                <w:sz w:val="20"/>
                <w:lang w:eastAsia="en-AU"/>
              </w:rPr>
              <w:t xml:space="preserve"> </w:t>
            </w:r>
          </w:p>
        </w:tc>
        <w:tc>
          <w:tcPr>
            <w:tcW w:w="935" w:type="dxa"/>
            <w:tcBorders>
              <w:top w:val="nil"/>
              <w:left w:val="nil"/>
              <w:right w:val="nil"/>
            </w:tcBorders>
            <w:shd w:val="solid" w:color="000000" w:fill="auto"/>
          </w:tcPr>
          <w:p w:rsidR="00965D85" w:rsidRPr="00E22AD9" w:rsidRDefault="00965D85" w:rsidP="008B46DF">
            <w:pPr>
              <w:pStyle w:val="million"/>
              <w:jc w:val="right"/>
              <w:rPr>
                <w:rFonts w:eastAsiaTheme="minorEastAsia"/>
                <w:iCs/>
                <w:color w:val="FFFFFF"/>
                <w:sz w:val="20"/>
                <w:lang w:eastAsia="en-AU"/>
              </w:rPr>
            </w:pPr>
            <w:r w:rsidRPr="00E22AD9">
              <w:rPr>
                <w:rFonts w:eastAsiaTheme="minorEastAsia"/>
                <w:iCs/>
                <w:color w:val="FFFFFF"/>
                <w:sz w:val="20"/>
                <w:lang w:eastAsia="en-AU"/>
              </w:rPr>
              <w:t>2016</w:t>
            </w:r>
          </w:p>
          <w:p w:rsidR="00965D85" w:rsidRPr="00E22AD9" w:rsidRDefault="00965D85" w:rsidP="008B46DF">
            <w:pPr>
              <w:autoSpaceDE w:val="0"/>
              <w:autoSpaceDN w:val="0"/>
              <w:adjustRightInd w:val="0"/>
              <w:spacing w:after="0"/>
              <w:jc w:val="right"/>
              <w:rPr>
                <w:rFonts w:eastAsiaTheme="minorEastAsia"/>
                <w:iCs/>
                <w:color w:val="FFFFFF"/>
                <w:sz w:val="20"/>
                <w:lang w:eastAsia="en-AU"/>
              </w:rPr>
            </w:pPr>
            <w:r w:rsidRPr="00E22AD9">
              <w:rPr>
                <w:rFonts w:ascii="Calibri" w:eastAsiaTheme="minorEastAsia" w:hAnsi="Calibri" w:cs="Calibri"/>
                <w:i/>
                <w:iCs/>
                <w:color w:val="FFFFFF"/>
                <w:sz w:val="20"/>
                <w:lang w:eastAsia="en-AU"/>
              </w:rPr>
              <w:t>budget</w:t>
            </w:r>
          </w:p>
        </w:tc>
        <w:tc>
          <w:tcPr>
            <w:tcW w:w="936" w:type="dxa"/>
            <w:tcBorders>
              <w:top w:val="nil"/>
              <w:left w:val="nil"/>
              <w:right w:val="nil"/>
            </w:tcBorders>
            <w:shd w:val="solid" w:color="000000" w:fill="auto"/>
          </w:tcPr>
          <w:p w:rsidR="00965D85" w:rsidRPr="00E22AD9" w:rsidRDefault="00965D85" w:rsidP="008B46DF">
            <w:pPr>
              <w:pStyle w:val="million"/>
              <w:jc w:val="right"/>
              <w:rPr>
                <w:rFonts w:eastAsiaTheme="minorEastAsia"/>
                <w:iCs/>
                <w:color w:val="FFFFFF"/>
                <w:sz w:val="20"/>
                <w:lang w:eastAsia="en-AU"/>
              </w:rPr>
            </w:pPr>
            <w:r w:rsidRPr="00E22AD9">
              <w:rPr>
                <w:rFonts w:eastAsiaTheme="minorEastAsia"/>
                <w:iCs/>
                <w:color w:val="FFFFFF"/>
                <w:sz w:val="20"/>
                <w:lang w:eastAsia="en-AU"/>
              </w:rPr>
              <w:t>2016</w:t>
            </w:r>
          </w:p>
          <w:p w:rsidR="00965D85" w:rsidRPr="00E22AD9" w:rsidRDefault="00965D85" w:rsidP="008B46DF">
            <w:pPr>
              <w:autoSpaceDE w:val="0"/>
              <w:autoSpaceDN w:val="0"/>
              <w:adjustRightInd w:val="0"/>
              <w:spacing w:after="0"/>
              <w:jc w:val="right"/>
              <w:rPr>
                <w:rFonts w:eastAsiaTheme="minorEastAsia"/>
                <w:iCs/>
                <w:color w:val="FFFFFF"/>
                <w:sz w:val="20"/>
                <w:lang w:eastAsia="en-AU"/>
              </w:rPr>
            </w:pPr>
            <w:r w:rsidRPr="00E22AD9">
              <w:rPr>
                <w:rFonts w:ascii="Calibri" w:eastAsiaTheme="minorEastAsia" w:hAnsi="Calibri" w:cs="Calibri"/>
                <w:i/>
                <w:iCs/>
                <w:color w:val="FFFFFF"/>
                <w:sz w:val="20"/>
                <w:lang w:eastAsia="en-AU"/>
              </w:rPr>
              <w:t>revised</w:t>
            </w:r>
          </w:p>
        </w:tc>
        <w:tc>
          <w:tcPr>
            <w:tcW w:w="935" w:type="dxa"/>
            <w:tcBorders>
              <w:top w:val="nil"/>
              <w:left w:val="nil"/>
              <w:right w:val="nil"/>
            </w:tcBorders>
            <w:shd w:val="solid" w:color="000000" w:fill="auto"/>
          </w:tcPr>
          <w:p w:rsidR="00965D85" w:rsidRPr="00E22AD9" w:rsidRDefault="00965D85" w:rsidP="008B46DF">
            <w:pPr>
              <w:pStyle w:val="million"/>
              <w:jc w:val="right"/>
              <w:rPr>
                <w:rFonts w:eastAsiaTheme="minorEastAsia"/>
                <w:iCs/>
                <w:color w:val="FFFFFF"/>
                <w:sz w:val="20"/>
                <w:lang w:eastAsia="en-AU"/>
              </w:rPr>
            </w:pPr>
            <w:r w:rsidRPr="00E22AD9">
              <w:rPr>
                <w:rFonts w:eastAsiaTheme="minorEastAsia"/>
                <w:iCs/>
                <w:color w:val="FFFFFF"/>
                <w:sz w:val="20"/>
                <w:lang w:eastAsia="en-AU"/>
              </w:rPr>
              <w:t>2017</w:t>
            </w:r>
          </w:p>
          <w:p w:rsidR="00965D85" w:rsidRPr="00E22AD9" w:rsidRDefault="00965D85" w:rsidP="008B46DF">
            <w:pPr>
              <w:autoSpaceDE w:val="0"/>
              <w:autoSpaceDN w:val="0"/>
              <w:adjustRightInd w:val="0"/>
              <w:spacing w:after="0"/>
              <w:jc w:val="right"/>
              <w:rPr>
                <w:rFonts w:eastAsiaTheme="minorEastAsia"/>
                <w:iCs/>
                <w:color w:val="FFFFFF"/>
                <w:sz w:val="20"/>
                <w:lang w:eastAsia="en-AU"/>
              </w:rPr>
            </w:pPr>
            <w:r w:rsidRPr="00E22AD9">
              <w:rPr>
                <w:rFonts w:ascii="Calibri" w:eastAsiaTheme="minorEastAsia" w:hAnsi="Calibri" w:cs="Calibri"/>
                <w:i/>
                <w:iCs/>
                <w:color w:val="FFFFFF"/>
                <w:sz w:val="20"/>
                <w:lang w:eastAsia="en-AU"/>
              </w:rPr>
              <w:t xml:space="preserve"> estimate</w:t>
            </w:r>
          </w:p>
        </w:tc>
        <w:tc>
          <w:tcPr>
            <w:tcW w:w="936" w:type="dxa"/>
            <w:tcBorders>
              <w:top w:val="nil"/>
              <w:left w:val="nil"/>
              <w:right w:val="nil"/>
            </w:tcBorders>
            <w:shd w:val="solid" w:color="000000" w:fill="auto"/>
          </w:tcPr>
          <w:p w:rsidR="00965D85" w:rsidRPr="00E22AD9" w:rsidRDefault="00965D85" w:rsidP="008B46DF">
            <w:pPr>
              <w:pStyle w:val="million"/>
              <w:jc w:val="right"/>
              <w:rPr>
                <w:rFonts w:eastAsiaTheme="minorEastAsia"/>
                <w:iCs/>
                <w:color w:val="FFFFFF"/>
                <w:sz w:val="20"/>
                <w:lang w:eastAsia="en-AU"/>
              </w:rPr>
            </w:pPr>
            <w:r w:rsidRPr="00E22AD9">
              <w:rPr>
                <w:rFonts w:eastAsiaTheme="minorEastAsia"/>
                <w:iCs/>
                <w:color w:val="FFFFFF"/>
                <w:sz w:val="20"/>
                <w:lang w:eastAsia="en-AU"/>
              </w:rPr>
              <w:t>2018</w:t>
            </w:r>
          </w:p>
          <w:p w:rsidR="00965D85" w:rsidRPr="00E22AD9" w:rsidRDefault="00965D85" w:rsidP="008B46DF">
            <w:pPr>
              <w:autoSpaceDE w:val="0"/>
              <w:autoSpaceDN w:val="0"/>
              <w:adjustRightInd w:val="0"/>
              <w:spacing w:after="0"/>
              <w:jc w:val="right"/>
              <w:rPr>
                <w:rFonts w:eastAsiaTheme="minorEastAsia"/>
                <w:iCs/>
                <w:color w:val="FFFFFF"/>
                <w:sz w:val="20"/>
                <w:lang w:eastAsia="en-AU"/>
              </w:rPr>
            </w:pPr>
            <w:r w:rsidRPr="00E22AD9">
              <w:rPr>
                <w:rFonts w:ascii="Calibri" w:eastAsiaTheme="minorEastAsia" w:hAnsi="Calibri" w:cs="Calibri"/>
                <w:i/>
                <w:iCs/>
                <w:color w:val="FFFFFF"/>
                <w:sz w:val="20"/>
                <w:lang w:eastAsia="en-AU"/>
              </w:rPr>
              <w:t>estimate</w:t>
            </w:r>
          </w:p>
        </w:tc>
        <w:tc>
          <w:tcPr>
            <w:tcW w:w="936" w:type="dxa"/>
            <w:tcBorders>
              <w:top w:val="nil"/>
              <w:left w:val="nil"/>
              <w:right w:val="nil"/>
            </w:tcBorders>
            <w:shd w:val="solid" w:color="000000" w:fill="auto"/>
          </w:tcPr>
          <w:p w:rsidR="00965D85" w:rsidRPr="00E22AD9" w:rsidRDefault="00965D85" w:rsidP="008B46DF">
            <w:pPr>
              <w:pStyle w:val="million"/>
              <w:jc w:val="right"/>
              <w:rPr>
                <w:rFonts w:eastAsiaTheme="minorEastAsia"/>
                <w:iCs/>
                <w:color w:val="FFFFFF"/>
                <w:sz w:val="20"/>
                <w:lang w:eastAsia="en-AU"/>
              </w:rPr>
            </w:pPr>
            <w:r w:rsidRPr="00E22AD9">
              <w:rPr>
                <w:rFonts w:eastAsiaTheme="minorEastAsia"/>
                <w:iCs/>
                <w:color w:val="FFFFFF"/>
                <w:sz w:val="20"/>
                <w:lang w:eastAsia="en-AU"/>
              </w:rPr>
              <w:t>2019</w:t>
            </w:r>
          </w:p>
          <w:p w:rsidR="00965D85" w:rsidRPr="00E22AD9" w:rsidRDefault="00965D85" w:rsidP="008B46DF">
            <w:pPr>
              <w:autoSpaceDE w:val="0"/>
              <w:autoSpaceDN w:val="0"/>
              <w:adjustRightInd w:val="0"/>
              <w:spacing w:after="0"/>
              <w:jc w:val="right"/>
              <w:rPr>
                <w:rFonts w:eastAsiaTheme="minorEastAsia"/>
                <w:iCs/>
                <w:color w:val="FFFFFF"/>
                <w:sz w:val="20"/>
                <w:lang w:eastAsia="en-AU"/>
              </w:rPr>
            </w:pPr>
            <w:r w:rsidRPr="00E22AD9">
              <w:rPr>
                <w:rFonts w:ascii="Calibri" w:eastAsiaTheme="minorEastAsia" w:hAnsi="Calibri" w:cs="Calibri"/>
                <w:i/>
                <w:iCs/>
                <w:color w:val="FFFFFF"/>
                <w:sz w:val="20"/>
                <w:lang w:eastAsia="en-AU"/>
              </w:rPr>
              <w:t>estimate</w:t>
            </w:r>
          </w:p>
        </w:tc>
      </w:tr>
      <w:tr w:rsidR="00965D85" w:rsidRPr="00E22AD9" w:rsidTr="008B46DF">
        <w:tc>
          <w:tcPr>
            <w:tcW w:w="3119" w:type="dxa"/>
            <w:tcBorders>
              <w:top w:val="nil"/>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Buildings</w:t>
            </w:r>
          </w:p>
        </w:tc>
        <w:tc>
          <w:tcPr>
            <w:tcW w:w="935"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26 225.1</w:t>
            </w:r>
          </w:p>
        </w:tc>
        <w:tc>
          <w:tcPr>
            <w:tcW w:w="936"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26 095.7</w:t>
            </w:r>
          </w:p>
        </w:tc>
        <w:tc>
          <w:tcPr>
            <w:tcW w:w="935"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26 431.2</w:t>
            </w:r>
          </w:p>
        </w:tc>
        <w:tc>
          <w:tcPr>
            <w:tcW w:w="936"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29 007.6</w:t>
            </w:r>
          </w:p>
        </w:tc>
        <w:tc>
          <w:tcPr>
            <w:tcW w:w="936"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29 126.8</w:t>
            </w:r>
          </w:p>
        </w:tc>
      </w:tr>
      <w:tr w:rsidR="00965D85" w:rsidRPr="00E22AD9" w:rsidTr="008B46DF">
        <w:tc>
          <w:tcPr>
            <w:tcW w:w="3119" w:type="dxa"/>
            <w:tcBorders>
              <w:top w:val="nil"/>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Buildings leasehold</w:t>
            </w:r>
          </w:p>
        </w:tc>
        <w:tc>
          <w:tcPr>
            <w:tcW w:w="935"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3 462.6</w:t>
            </w:r>
          </w:p>
        </w:tc>
        <w:tc>
          <w:tcPr>
            <w:tcW w:w="936"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3 460.7</w:t>
            </w:r>
          </w:p>
        </w:tc>
        <w:tc>
          <w:tcPr>
            <w:tcW w:w="935"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4 386.2</w:t>
            </w:r>
          </w:p>
        </w:tc>
        <w:tc>
          <w:tcPr>
            <w:tcW w:w="936"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5 252.4</w:t>
            </w:r>
          </w:p>
        </w:tc>
        <w:tc>
          <w:tcPr>
            <w:tcW w:w="936"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5 154.3</w:t>
            </w:r>
          </w:p>
        </w:tc>
      </w:tr>
      <w:tr w:rsidR="00965D85" w:rsidRPr="00E22AD9" w:rsidTr="008B46DF">
        <w:tc>
          <w:tcPr>
            <w:tcW w:w="3119" w:type="dxa"/>
            <w:tcBorders>
              <w:top w:val="nil"/>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Land and national parks</w:t>
            </w:r>
          </w:p>
        </w:tc>
        <w:tc>
          <w:tcPr>
            <w:tcW w:w="935"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41 071.8</w:t>
            </w:r>
          </w:p>
        </w:tc>
        <w:tc>
          <w:tcPr>
            <w:tcW w:w="936"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41 119.9</w:t>
            </w:r>
          </w:p>
        </w:tc>
        <w:tc>
          <w:tcPr>
            <w:tcW w:w="935"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40 926.9</w:t>
            </w:r>
          </w:p>
        </w:tc>
        <w:tc>
          <w:tcPr>
            <w:tcW w:w="936"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43 837.0</w:t>
            </w:r>
          </w:p>
        </w:tc>
        <w:tc>
          <w:tcPr>
            <w:tcW w:w="936"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43 822.8</w:t>
            </w:r>
          </w:p>
        </w:tc>
      </w:tr>
      <w:tr w:rsidR="00965D85" w:rsidRPr="00E22AD9" w:rsidTr="008B46DF">
        <w:tc>
          <w:tcPr>
            <w:tcW w:w="3119" w:type="dxa"/>
            <w:tcBorders>
              <w:top w:val="nil"/>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Infrastructure systems</w:t>
            </w:r>
          </w:p>
        </w:tc>
        <w:tc>
          <w:tcPr>
            <w:tcW w:w="935"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1 314.2</w:t>
            </w:r>
          </w:p>
        </w:tc>
        <w:tc>
          <w:tcPr>
            <w:tcW w:w="936"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1 325.1</w:t>
            </w:r>
          </w:p>
        </w:tc>
        <w:tc>
          <w:tcPr>
            <w:tcW w:w="935"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1 353.0</w:t>
            </w:r>
          </w:p>
        </w:tc>
        <w:tc>
          <w:tcPr>
            <w:tcW w:w="936"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1 341.9</w:t>
            </w:r>
          </w:p>
        </w:tc>
        <w:tc>
          <w:tcPr>
            <w:tcW w:w="936"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1 322.1</w:t>
            </w:r>
          </w:p>
        </w:tc>
      </w:tr>
      <w:tr w:rsidR="00965D85" w:rsidRPr="00E22AD9" w:rsidTr="008B46DF">
        <w:tc>
          <w:tcPr>
            <w:tcW w:w="3119" w:type="dxa"/>
            <w:tcBorders>
              <w:top w:val="nil"/>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Plant, equipment and vehicles</w:t>
            </w:r>
          </w:p>
        </w:tc>
        <w:tc>
          <w:tcPr>
            <w:tcW w:w="935"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2 382.2</w:t>
            </w:r>
          </w:p>
        </w:tc>
        <w:tc>
          <w:tcPr>
            <w:tcW w:w="936"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2 492.8</w:t>
            </w:r>
          </w:p>
        </w:tc>
        <w:tc>
          <w:tcPr>
            <w:tcW w:w="935"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2 291.0</w:t>
            </w:r>
          </w:p>
        </w:tc>
        <w:tc>
          <w:tcPr>
            <w:tcW w:w="936"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1 961.8</w:t>
            </w:r>
          </w:p>
        </w:tc>
        <w:tc>
          <w:tcPr>
            <w:tcW w:w="936"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1 567.3</w:t>
            </w:r>
          </w:p>
        </w:tc>
      </w:tr>
      <w:tr w:rsidR="00965D85" w:rsidRPr="00E22AD9" w:rsidTr="008B46DF">
        <w:tc>
          <w:tcPr>
            <w:tcW w:w="3119" w:type="dxa"/>
            <w:tcBorders>
              <w:top w:val="nil"/>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Roads and road networks</w:t>
            </w:r>
          </w:p>
        </w:tc>
        <w:tc>
          <w:tcPr>
            <w:tcW w:w="935"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21 940.7</w:t>
            </w:r>
          </w:p>
        </w:tc>
        <w:tc>
          <w:tcPr>
            <w:tcW w:w="936"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21 784.4</w:t>
            </w:r>
          </w:p>
        </w:tc>
        <w:tc>
          <w:tcPr>
            <w:tcW w:w="935"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22 575.0</w:t>
            </w:r>
          </w:p>
        </w:tc>
        <w:tc>
          <w:tcPr>
            <w:tcW w:w="936"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25 521.3</w:t>
            </w:r>
          </w:p>
        </w:tc>
        <w:tc>
          <w:tcPr>
            <w:tcW w:w="936"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25 709.4</w:t>
            </w:r>
          </w:p>
        </w:tc>
      </w:tr>
      <w:tr w:rsidR="00965D85" w:rsidRPr="00E22AD9" w:rsidTr="008B46DF">
        <w:tc>
          <w:tcPr>
            <w:tcW w:w="3119" w:type="dxa"/>
            <w:tcBorders>
              <w:top w:val="nil"/>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Earthworks</w:t>
            </w:r>
          </w:p>
        </w:tc>
        <w:tc>
          <w:tcPr>
            <w:tcW w:w="935"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7 831.0</w:t>
            </w:r>
          </w:p>
        </w:tc>
        <w:tc>
          <w:tcPr>
            <w:tcW w:w="936"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7 954.3</w:t>
            </w:r>
          </w:p>
        </w:tc>
        <w:tc>
          <w:tcPr>
            <w:tcW w:w="935"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8 112.7</w:t>
            </w:r>
          </w:p>
        </w:tc>
        <w:tc>
          <w:tcPr>
            <w:tcW w:w="936"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9 335.0</w:t>
            </w:r>
          </w:p>
        </w:tc>
        <w:tc>
          <w:tcPr>
            <w:tcW w:w="936"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9 501.7</w:t>
            </w:r>
          </w:p>
        </w:tc>
      </w:tr>
      <w:tr w:rsidR="00965D85" w:rsidRPr="00E22AD9" w:rsidTr="008B46DF">
        <w:tc>
          <w:tcPr>
            <w:tcW w:w="3119"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Cultural assets</w:t>
            </w:r>
          </w:p>
        </w:tc>
        <w:tc>
          <w:tcPr>
            <w:tcW w:w="935"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5 505.8</w:t>
            </w:r>
          </w:p>
        </w:tc>
        <w:tc>
          <w:tcPr>
            <w:tcW w:w="936"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5 500.9</w:t>
            </w:r>
          </w:p>
        </w:tc>
        <w:tc>
          <w:tcPr>
            <w:tcW w:w="935"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5 857.6</w:t>
            </w:r>
          </w:p>
        </w:tc>
        <w:tc>
          <w:tcPr>
            <w:tcW w:w="936"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5 841.9</w:t>
            </w:r>
          </w:p>
        </w:tc>
        <w:tc>
          <w:tcPr>
            <w:tcW w:w="936"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5 822.6</w:t>
            </w:r>
          </w:p>
        </w:tc>
      </w:tr>
      <w:tr w:rsidR="00965D85" w:rsidRPr="00E22AD9" w:rsidTr="008B46DF">
        <w:tc>
          <w:tcPr>
            <w:tcW w:w="3119" w:type="dxa"/>
            <w:tcBorders>
              <w:top w:val="single" w:sz="6" w:space="0" w:color="000000"/>
              <w:left w:val="nil"/>
              <w:bottom w:val="single" w:sz="12" w:space="0" w:color="000000"/>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Total land, buildings, infrastructure, plant and equipment</w:t>
            </w:r>
          </w:p>
        </w:tc>
        <w:tc>
          <w:tcPr>
            <w:tcW w:w="935" w:type="dxa"/>
            <w:tcBorders>
              <w:top w:val="single" w:sz="6" w:space="0" w:color="000000"/>
              <w:left w:val="nil"/>
              <w:bottom w:val="single" w:sz="12"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109 733.4</w:t>
            </w:r>
          </w:p>
        </w:tc>
        <w:tc>
          <w:tcPr>
            <w:tcW w:w="936" w:type="dxa"/>
            <w:tcBorders>
              <w:top w:val="single" w:sz="6" w:space="0" w:color="000000"/>
              <w:left w:val="nil"/>
              <w:bottom w:val="single" w:sz="12"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109 733.9</w:t>
            </w:r>
          </w:p>
        </w:tc>
        <w:tc>
          <w:tcPr>
            <w:tcW w:w="935" w:type="dxa"/>
            <w:tcBorders>
              <w:top w:val="single" w:sz="6" w:space="0" w:color="000000"/>
              <w:left w:val="nil"/>
              <w:bottom w:val="single" w:sz="12"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111 933.6</w:t>
            </w:r>
          </w:p>
        </w:tc>
        <w:tc>
          <w:tcPr>
            <w:tcW w:w="936" w:type="dxa"/>
            <w:tcBorders>
              <w:top w:val="single" w:sz="6" w:space="0" w:color="000000"/>
              <w:left w:val="nil"/>
              <w:bottom w:val="single" w:sz="12"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122 099.0</w:t>
            </w:r>
          </w:p>
        </w:tc>
        <w:tc>
          <w:tcPr>
            <w:tcW w:w="936" w:type="dxa"/>
            <w:tcBorders>
              <w:top w:val="single" w:sz="6" w:space="0" w:color="000000"/>
              <w:left w:val="nil"/>
              <w:bottom w:val="single" w:sz="12"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122 027.1</w:t>
            </w:r>
          </w:p>
        </w:tc>
      </w:tr>
    </w:tbl>
    <w:p w:rsidR="00965D85" w:rsidRDefault="00965D85" w:rsidP="008B46DF">
      <w:pPr>
        <w:rPr>
          <w:lang w:eastAsia="en-AU"/>
        </w:rPr>
      </w:pPr>
    </w:p>
    <w:p w:rsidR="00965D85" w:rsidRDefault="00965D85" w:rsidP="008B46DF">
      <w:pPr>
        <w:rPr>
          <w:lang w:eastAsia="en-AU"/>
        </w:rPr>
      </w:pPr>
    </w:p>
    <w:p w:rsidR="00965D85" w:rsidRPr="00E22AD9" w:rsidRDefault="00965D85" w:rsidP="008B46DF">
      <w:pPr>
        <w:pStyle w:val="Heading2Notes"/>
        <w:rPr>
          <w:rFonts w:ascii="Times New Roman" w:hAnsi="Times New Roman"/>
          <w:b w:val="0"/>
          <w:kern w:val="0"/>
          <w:sz w:val="20"/>
          <w:szCs w:val="20"/>
          <w:lang w:eastAsia="en-AU"/>
        </w:rPr>
      </w:pPr>
      <w:bookmarkStart w:id="66" w:name="_Toc436138924"/>
      <w:r w:rsidRPr="003878BE">
        <w:rPr>
          <w:lang w:eastAsia="en-AU"/>
        </w:rPr>
        <w:t>Note 18</w:t>
      </w:r>
      <w:r>
        <w:rPr>
          <w:lang w:eastAsia="en-AU"/>
        </w:rPr>
        <w:t>:</w:t>
      </w:r>
      <w:r w:rsidRPr="003878BE">
        <w:rPr>
          <w:lang w:eastAsia="en-AU"/>
        </w:rPr>
        <w:t xml:space="preserve"> </w:t>
      </w:r>
      <w:r w:rsidRPr="003878BE">
        <w:rPr>
          <w:lang w:eastAsia="en-AU"/>
        </w:rPr>
        <w:tab/>
        <w:t>Reconciliation of movements in land, buildings, infrastructure, plant and equipment</w:t>
      </w:r>
      <w:r w:rsidRPr="007831BF">
        <w:rPr>
          <w:vertAlign w:val="superscript"/>
          <w:lang w:eastAsia="en-AU"/>
        </w:rPr>
        <w:t>(a)</w:t>
      </w:r>
      <w:bookmarkEnd w:id="66"/>
    </w:p>
    <w:tbl>
      <w:tblPr>
        <w:tblW w:w="7797" w:type="dxa"/>
        <w:tblInd w:w="28" w:type="dxa"/>
        <w:tblLayout w:type="fixed"/>
        <w:tblCellMar>
          <w:left w:w="28" w:type="dxa"/>
          <w:right w:w="28" w:type="dxa"/>
        </w:tblCellMar>
        <w:tblLook w:val="0000" w:firstRow="0" w:lastRow="0" w:firstColumn="0" w:lastColumn="0" w:noHBand="0" w:noVBand="0"/>
      </w:tblPr>
      <w:tblGrid>
        <w:gridCol w:w="3119"/>
        <w:gridCol w:w="935"/>
        <w:gridCol w:w="936"/>
        <w:gridCol w:w="935"/>
        <w:gridCol w:w="936"/>
        <w:gridCol w:w="936"/>
      </w:tblGrid>
      <w:tr w:rsidR="00965D85" w:rsidRPr="00E22AD9" w:rsidTr="008B46DF">
        <w:trPr>
          <w:tblHeader/>
        </w:trPr>
        <w:tc>
          <w:tcPr>
            <w:tcW w:w="7797" w:type="dxa"/>
            <w:gridSpan w:val="6"/>
            <w:tcBorders>
              <w:top w:val="nil"/>
              <w:left w:val="nil"/>
              <w:right w:val="nil"/>
            </w:tcBorders>
          </w:tcPr>
          <w:p w:rsidR="00965D85" w:rsidRPr="00E22AD9" w:rsidRDefault="00965D85" w:rsidP="008B46DF">
            <w:pPr>
              <w:pStyle w:val="million"/>
              <w:rPr>
                <w:rFonts w:eastAsiaTheme="minorEastAsia" w:cs="Calibri"/>
                <w:iCs/>
                <w:color w:val="000000"/>
                <w:sz w:val="20"/>
                <w:lang w:eastAsia="en-AU"/>
              </w:rPr>
            </w:pPr>
            <w:r w:rsidRPr="00E22AD9">
              <w:rPr>
                <w:rFonts w:eastAsiaTheme="minorEastAsia"/>
                <w:lang w:eastAsia="en-AU"/>
              </w:rPr>
              <w:t>($ million)</w:t>
            </w:r>
          </w:p>
        </w:tc>
      </w:tr>
      <w:tr w:rsidR="00965D85" w:rsidRPr="00E22AD9" w:rsidTr="008B46DF">
        <w:trPr>
          <w:trHeight w:val="503"/>
          <w:tblHeader/>
        </w:trPr>
        <w:tc>
          <w:tcPr>
            <w:tcW w:w="3119" w:type="dxa"/>
            <w:tcBorders>
              <w:top w:val="single" w:sz="6" w:space="0" w:color="auto"/>
              <w:left w:val="nil"/>
              <w:right w:val="nil"/>
            </w:tcBorders>
            <w:shd w:val="solid" w:color="000000" w:fill="auto"/>
          </w:tcPr>
          <w:p w:rsidR="00965D85" w:rsidRPr="00E22AD9" w:rsidRDefault="00965D85" w:rsidP="008B46DF">
            <w:pPr>
              <w:autoSpaceDE w:val="0"/>
              <w:autoSpaceDN w:val="0"/>
              <w:adjustRightInd w:val="0"/>
              <w:spacing w:after="0"/>
              <w:rPr>
                <w:rFonts w:ascii="Calibri" w:eastAsiaTheme="minorEastAsia" w:hAnsi="Calibri" w:cs="Calibri"/>
                <w:color w:val="FFFFFF"/>
                <w:sz w:val="20"/>
                <w:lang w:eastAsia="en-AU"/>
              </w:rPr>
            </w:pPr>
            <w:r w:rsidRPr="00E22AD9">
              <w:rPr>
                <w:rFonts w:ascii="Calibri" w:eastAsiaTheme="minorEastAsia" w:hAnsi="Calibri" w:cs="Calibri"/>
                <w:color w:val="FFFFFF"/>
                <w:sz w:val="20"/>
                <w:lang w:eastAsia="en-AU"/>
              </w:rPr>
              <w:t xml:space="preserve"> </w:t>
            </w:r>
          </w:p>
          <w:p w:rsidR="00965D85" w:rsidRPr="00E22AD9" w:rsidRDefault="00965D85" w:rsidP="008B46DF">
            <w:pPr>
              <w:autoSpaceDE w:val="0"/>
              <w:autoSpaceDN w:val="0"/>
              <w:adjustRightInd w:val="0"/>
              <w:spacing w:after="0"/>
              <w:rPr>
                <w:rFonts w:ascii="Calibri" w:eastAsiaTheme="minorEastAsia" w:hAnsi="Calibri" w:cs="Calibri"/>
                <w:color w:val="FFFFFF"/>
                <w:sz w:val="20"/>
                <w:lang w:eastAsia="en-AU"/>
              </w:rPr>
            </w:pPr>
            <w:r w:rsidRPr="00E22AD9">
              <w:rPr>
                <w:rFonts w:ascii="Calibri" w:eastAsiaTheme="minorEastAsia" w:hAnsi="Calibri" w:cs="Calibri"/>
                <w:color w:val="FFFFFF"/>
                <w:sz w:val="20"/>
                <w:lang w:eastAsia="en-AU"/>
              </w:rPr>
              <w:t xml:space="preserve"> </w:t>
            </w:r>
          </w:p>
        </w:tc>
        <w:tc>
          <w:tcPr>
            <w:tcW w:w="935" w:type="dxa"/>
            <w:tcBorders>
              <w:top w:val="single" w:sz="6" w:space="0" w:color="auto"/>
              <w:left w:val="nil"/>
              <w:right w:val="nil"/>
            </w:tcBorders>
            <w:shd w:val="solid" w:color="000000" w:fill="auto"/>
          </w:tcPr>
          <w:p w:rsidR="00965D85" w:rsidRPr="00E22AD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E22AD9">
              <w:rPr>
                <w:rFonts w:ascii="Calibri" w:eastAsiaTheme="minorEastAsia" w:hAnsi="Calibri" w:cs="Calibri"/>
                <w:i/>
                <w:iCs/>
                <w:color w:val="FFFFFF"/>
                <w:sz w:val="20"/>
                <w:lang w:eastAsia="en-AU"/>
              </w:rPr>
              <w:t>2015</w:t>
            </w:r>
            <w:r>
              <w:rPr>
                <w:rFonts w:ascii="Calibri" w:eastAsiaTheme="minorEastAsia" w:hAnsi="Calibri" w:cs="Calibri"/>
                <w:i/>
                <w:iCs/>
                <w:color w:val="FFFFFF"/>
                <w:sz w:val="20"/>
                <w:lang w:eastAsia="en-AU"/>
              </w:rPr>
              <w:noBreakHyphen/>
            </w:r>
            <w:r w:rsidRPr="00E22AD9">
              <w:rPr>
                <w:rFonts w:ascii="Calibri" w:eastAsiaTheme="minorEastAsia" w:hAnsi="Calibri" w:cs="Calibri"/>
                <w:i/>
                <w:iCs/>
                <w:color w:val="FFFFFF"/>
                <w:sz w:val="20"/>
                <w:lang w:eastAsia="en-AU"/>
              </w:rPr>
              <w:t>16</w:t>
            </w:r>
          </w:p>
          <w:p w:rsidR="00965D85" w:rsidRPr="00E22AD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E22AD9">
              <w:rPr>
                <w:rFonts w:ascii="Calibri" w:eastAsiaTheme="minorEastAsia" w:hAnsi="Calibri" w:cs="Calibri"/>
                <w:i/>
                <w:iCs/>
                <w:color w:val="FFFFFF"/>
                <w:sz w:val="20"/>
                <w:lang w:eastAsia="en-AU"/>
              </w:rPr>
              <w:t>budget</w:t>
            </w:r>
          </w:p>
        </w:tc>
        <w:tc>
          <w:tcPr>
            <w:tcW w:w="936" w:type="dxa"/>
            <w:tcBorders>
              <w:top w:val="single" w:sz="6" w:space="0" w:color="auto"/>
              <w:left w:val="nil"/>
              <w:right w:val="nil"/>
            </w:tcBorders>
            <w:shd w:val="solid" w:color="000000" w:fill="auto"/>
          </w:tcPr>
          <w:p w:rsidR="00965D85" w:rsidRPr="00E22AD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E22AD9">
              <w:rPr>
                <w:rFonts w:ascii="Calibri" w:eastAsiaTheme="minorEastAsia" w:hAnsi="Calibri" w:cs="Calibri"/>
                <w:i/>
                <w:iCs/>
                <w:color w:val="FFFFFF"/>
                <w:sz w:val="20"/>
                <w:lang w:eastAsia="en-AU"/>
              </w:rPr>
              <w:t>2015</w:t>
            </w:r>
            <w:r>
              <w:rPr>
                <w:rFonts w:ascii="Calibri" w:eastAsiaTheme="minorEastAsia" w:hAnsi="Calibri" w:cs="Calibri"/>
                <w:i/>
                <w:iCs/>
                <w:color w:val="FFFFFF"/>
                <w:sz w:val="20"/>
                <w:lang w:eastAsia="en-AU"/>
              </w:rPr>
              <w:noBreakHyphen/>
            </w:r>
            <w:r w:rsidRPr="00E22AD9">
              <w:rPr>
                <w:rFonts w:ascii="Calibri" w:eastAsiaTheme="minorEastAsia" w:hAnsi="Calibri" w:cs="Calibri"/>
                <w:i/>
                <w:iCs/>
                <w:color w:val="FFFFFF"/>
                <w:sz w:val="20"/>
                <w:lang w:eastAsia="en-AU"/>
              </w:rPr>
              <w:t>16</w:t>
            </w:r>
          </w:p>
          <w:p w:rsidR="00965D85" w:rsidRPr="00E22AD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E22AD9">
              <w:rPr>
                <w:rFonts w:ascii="Calibri" w:eastAsiaTheme="minorEastAsia" w:hAnsi="Calibri" w:cs="Calibri"/>
                <w:i/>
                <w:iCs/>
                <w:color w:val="FFFFFF"/>
                <w:sz w:val="20"/>
                <w:lang w:eastAsia="en-AU"/>
              </w:rPr>
              <w:t>revised</w:t>
            </w:r>
          </w:p>
        </w:tc>
        <w:tc>
          <w:tcPr>
            <w:tcW w:w="935" w:type="dxa"/>
            <w:tcBorders>
              <w:top w:val="single" w:sz="6" w:space="0" w:color="auto"/>
              <w:left w:val="nil"/>
              <w:right w:val="nil"/>
            </w:tcBorders>
            <w:shd w:val="solid" w:color="000000" w:fill="auto"/>
          </w:tcPr>
          <w:p w:rsidR="00965D85" w:rsidRPr="00E22AD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E22AD9">
              <w:rPr>
                <w:rFonts w:ascii="Calibri" w:eastAsiaTheme="minorEastAsia" w:hAnsi="Calibri" w:cs="Calibri"/>
                <w:i/>
                <w:iCs/>
                <w:color w:val="FFFFFF"/>
                <w:sz w:val="20"/>
                <w:lang w:eastAsia="en-AU"/>
              </w:rPr>
              <w:t>2016</w:t>
            </w:r>
            <w:r>
              <w:rPr>
                <w:rFonts w:ascii="Calibri" w:eastAsiaTheme="minorEastAsia" w:hAnsi="Calibri" w:cs="Calibri"/>
                <w:i/>
                <w:iCs/>
                <w:color w:val="FFFFFF"/>
                <w:sz w:val="20"/>
                <w:lang w:eastAsia="en-AU"/>
              </w:rPr>
              <w:noBreakHyphen/>
            </w:r>
            <w:r w:rsidRPr="00E22AD9">
              <w:rPr>
                <w:rFonts w:ascii="Calibri" w:eastAsiaTheme="minorEastAsia" w:hAnsi="Calibri" w:cs="Calibri"/>
                <w:i/>
                <w:iCs/>
                <w:color w:val="FFFFFF"/>
                <w:sz w:val="20"/>
                <w:lang w:eastAsia="en-AU"/>
              </w:rPr>
              <w:t>17</w:t>
            </w:r>
          </w:p>
          <w:p w:rsidR="00965D85" w:rsidRPr="00E22AD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E22AD9">
              <w:rPr>
                <w:rFonts w:ascii="Calibri" w:eastAsiaTheme="minorEastAsia" w:hAnsi="Calibri" w:cs="Calibri"/>
                <w:i/>
                <w:iCs/>
                <w:color w:val="FFFFFF"/>
                <w:sz w:val="20"/>
                <w:lang w:eastAsia="en-AU"/>
              </w:rPr>
              <w:t>estimate</w:t>
            </w:r>
          </w:p>
        </w:tc>
        <w:tc>
          <w:tcPr>
            <w:tcW w:w="936" w:type="dxa"/>
            <w:tcBorders>
              <w:top w:val="single" w:sz="6" w:space="0" w:color="auto"/>
              <w:left w:val="nil"/>
              <w:right w:val="nil"/>
            </w:tcBorders>
            <w:shd w:val="solid" w:color="000000" w:fill="auto"/>
          </w:tcPr>
          <w:p w:rsidR="00965D85" w:rsidRPr="00E22AD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E22AD9">
              <w:rPr>
                <w:rFonts w:ascii="Calibri" w:eastAsiaTheme="minorEastAsia" w:hAnsi="Calibri" w:cs="Calibri"/>
                <w:i/>
                <w:iCs/>
                <w:color w:val="FFFFFF"/>
                <w:sz w:val="20"/>
                <w:lang w:eastAsia="en-AU"/>
              </w:rPr>
              <w:t>2017</w:t>
            </w:r>
            <w:r>
              <w:rPr>
                <w:rFonts w:ascii="Calibri" w:eastAsiaTheme="minorEastAsia" w:hAnsi="Calibri" w:cs="Calibri"/>
                <w:i/>
                <w:iCs/>
                <w:color w:val="FFFFFF"/>
                <w:sz w:val="20"/>
                <w:lang w:eastAsia="en-AU"/>
              </w:rPr>
              <w:noBreakHyphen/>
            </w:r>
            <w:r w:rsidRPr="00E22AD9">
              <w:rPr>
                <w:rFonts w:ascii="Calibri" w:eastAsiaTheme="minorEastAsia" w:hAnsi="Calibri" w:cs="Calibri"/>
                <w:i/>
                <w:iCs/>
                <w:color w:val="FFFFFF"/>
                <w:sz w:val="20"/>
                <w:lang w:eastAsia="en-AU"/>
              </w:rPr>
              <w:t>18</w:t>
            </w:r>
          </w:p>
          <w:p w:rsidR="00965D85" w:rsidRPr="00E22AD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E22AD9">
              <w:rPr>
                <w:rFonts w:ascii="Calibri" w:eastAsiaTheme="minorEastAsia" w:hAnsi="Calibri" w:cs="Calibri"/>
                <w:i/>
                <w:iCs/>
                <w:color w:val="FFFFFF"/>
                <w:sz w:val="20"/>
                <w:lang w:eastAsia="en-AU"/>
              </w:rPr>
              <w:t>estimate</w:t>
            </w:r>
          </w:p>
        </w:tc>
        <w:tc>
          <w:tcPr>
            <w:tcW w:w="936" w:type="dxa"/>
            <w:tcBorders>
              <w:top w:val="single" w:sz="6" w:space="0" w:color="auto"/>
              <w:left w:val="nil"/>
              <w:right w:val="nil"/>
            </w:tcBorders>
            <w:shd w:val="solid" w:color="000000" w:fill="auto"/>
          </w:tcPr>
          <w:p w:rsidR="00965D85" w:rsidRPr="00E22AD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E22AD9">
              <w:rPr>
                <w:rFonts w:ascii="Calibri" w:eastAsiaTheme="minorEastAsia" w:hAnsi="Calibri" w:cs="Calibri"/>
                <w:i/>
                <w:iCs/>
                <w:color w:val="FFFFFF"/>
                <w:sz w:val="20"/>
                <w:lang w:eastAsia="en-AU"/>
              </w:rPr>
              <w:t>2018</w:t>
            </w:r>
            <w:r>
              <w:rPr>
                <w:rFonts w:ascii="Calibri" w:eastAsiaTheme="minorEastAsia" w:hAnsi="Calibri" w:cs="Calibri"/>
                <w:i/>
                <w:iCs/>
                <w:color w:val="FFFFFF"/>
                <w:sz w:val="20"/>
                <w:lang w:eastAsia="en-AU"/>
              </w:rPr>
              <w:noBreakHyphen/>
            </w:r>
            <w:r w:rsidRPr="00E22AD9">
              <w:rPr>
                <w:rFonts w:ascii="Calibri" w:eastAsiaTheme="minorEastAsia" w:hAnsi="Calibri" w:cs="Calibri"/>
                <w:i/>
                <w:iCs/>
                <w:color w:val="FFFFFF"/>
                <w:sz w:val="20"/>
                <w:lang w:eastAsia="en-AU"/>
              </w:rPr>
              <w:t>19</w:t>
            </w:r>
          </w:p>
          <w:p w:rsidR="00965D85" w:rsidRPr="00E22AD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E22AD9">
              <w:rPr>
                <w:rFonts w:ascii="Calibri" w:eastAsiaTheme="minorEastAsia" w:hAnsi="Calibri" w:cs="Calibri"/>
                <w:i/>
                <w:iCs/>
                <w:color w:val="FFFFFF"/>
                <w:sz w:val="20"/>
                <w:lang w:eastAsia="en-AU"/>
              </w:rPr>
              <w:t>estimate</w:t>
            </w:r>
          </w:p>
        </w:tc>
      </w:tr>
      <w:tr w:rsidR="00965D85" w:rsidRPr="00E22AD9" w:rsidTr="008B46DF">
        <w:tc>
          <w:tcPr>
            <w:tcW w:w="3119" w:type="dxa"/>
            <w:tcBorders>
              <w:top w:val="single" w:sz="6" w:space="0" w:color="auto"/>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 xml:space="preserve">Carrying amount at the start of the year </w:t>
            </w:r>
          </w:p>
        </w:tc>
        <w:tc>
          <w:tcPr>
            <w:tcW w:w="935" w:type="dxa"/>
            <w:tcBorders>
              <w:top w:val="single" w:sz="6" w:space="0" w:color="auto"/>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107 586.4</w:t>
            </w:r>
          </w:p>
        </w:tc>
        <w:tc>
          <w:tcPr>
            <w:tcW w:w="936" w:type="dxa"/>
            <w:tcBorders>
              <w:top w:val="single" w:sz="6" w:space="0" w:color="auto"/>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107 586.4</w:t>
            </w:r>
          </w:p>
        </w:tc>
        <w:tc>
          <w:tcPr>
            <w:tcW w:w="935" w:type="dxa"/>
            <w:tcBorders>
              <w:top w:val="single" w:sz="6" w:space="0" w:color="auto"/>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109 733.9</w:t>
            </w:r>
          </w:p>
        </w:tc>
        <w:tc>
          <w:tcPr>
            <w:tcW w:w="936" w:type="dxa"/>
            <w:tcBorders>
              <w:top w:val="single" w:sz="6" w:space="0" w:color="auto"/>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111 933.6</w:t>
            </w:r>
          </w:p>
        </w:tc>
        <w:tc>
          <w:tcPr>
            <w:tcW w:w="936" w:type="dxa"/>
            <w:tcBorders>
              <w:top w:val="single" w:sz="6" w:space="0" w:color="auto"/>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122 099.0</w:t>
            </w:r>
          </w:p>
        </w:tc>
      </w:tr>
      <w:tr w:rsidR="00965D85" w:rsidRPr="00E22AD9" w:rsidTr="008B46DF">
        <w:tc>
          <w:tcPr>
            <w:tcW w:w="3119" w:type="dxa"/>
            <w:tcBorders>
              <w:top w:val="nil"/>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20"/>
                <w:vertAlign w:val="superscript"/>
                <w:lang w:eastAsia="en-AU"/>
              </w:rPr>
            </w:pPr>
            <w:r w:rsidRPr="00E22AD9">
              <w:rPr>
                <w:rFonts w:ascii="Calibri" w:eastAsiaTheme="minorEastAsia" w:hAnsi="Calibri" w:cs="Calibri"/>
                <w:color w:val="000000"/>
                <w:sz w:val="20"/>
                <w:lang w:eastAsia="en-AU"/>
              </w:rPr>
              <w:t xml:space="preserve">Additions </w:t>
            </w:r>
            <w:r w:rsidRPr="00E22AD9">
              <w:rPr>
                <w:rFonts w:ascii="Calibri" w:eastAsiaTheme="minorEastAsia" w:hAnsi="Calibri" w:cs="Calibri"/>
                <w:color w:val="000000"/>
                <w:sz w:val="20"/>
                <w:vertAlign w:val="superscript"/>
                <w:lang w:eastAsia="en-AU"/>
              </w:rPr>
              <w:t>(b)</w:t>
            </w:r>
          </w:p>
        </w:tc>
        <w:tc>
          <w:tcPr>
            <w:tcW w:w="935"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5 469.0</w:t>
            </w:r>
          </w:p>
        </w:tc>
        <w:tc>
          <w:tcPr>
            <w:tcW w:w="936"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5 241.0</w:t>
            </w:r>
          </w:p>
        </w:tc>
        <w:tc>
          <w:tcPr>
            <w:tcW w:w="935"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6 369.9</w:t>
            </w:r>
          </w:p>
        </w:tc>
        <w:tc>
          <w:tcPr>
            <w:tcW w:w="936"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6 211.5</w:t>
            </w:r>
          </w:p>
        </w:tc>
        <w:tc>
          <w:tcPr>
            <w:tcW w:w="936"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5 032.3</w:t>
            </w:r>
          </w:p>
        </w:tc>
      </w:tr>
      <w:tr w:rsidR="00965D85" w:rsidRPr="00E22AD9" w:rsidTr="008B46DF">
        <w:tc>
          <w:tcPr>
            <w:tcW w:w="3119" w:type="dxa"/>
            <w:tcBorders>
              <w:top w:val="nil"/>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Disposals at written down value</w:t>
            </w:r>
          </w:p>
        </w:tc>
        <w:tc>
          <w:tcPr>
            <w:tcW w:w="935"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(263.4)</w:t>
            </w:r>
          </w:p>
        </w:tc>
        <w:tc>
          <w:tcPr>
            <w:tcW w:w="936"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(260.1)</w:t>
            </w:r>
          </w:p>
        </w:tc>
        <w:tc>
          <w:tcPr>
            <w:tcW w:w="935"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(472.8)</w:t>
            </w:r>
          </w:p>
        </w:tc>
        <w:tc>
          <w:tcPr>
            <w:tcW w:w="936"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(400.0)</w:t>
            </w:r>
          </w:p>
        </w:tc>
        <w:tc>
          <w:tcPr>
            <w:tcW w:w="936"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(232.2)</w:t>
            </w:r>
          </w:p>
        </w:tc>
      </w:tr>
      <w:tr w:rsidR="00965D85" w:rsidRPr="00E22AD9" w:rsidTr="008B46DF">
        <w:tc>
          <w:tcPr>
            <w:tcW w:w="3119" w:type="dxa"/>
            <w:tcBorders>
              <w:top w:val="nil"/>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Revaluations</w:t>
            </w:r>
          </w:p>
        </w:tc>
        <w:tc>
          <w:tcPr>
            <w:tcW w:w="935"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748.1</w:t>
            </w:r>
          </w:p>
        </w:tc>
        <w:tc>
          <w:tcPr>
            <w:tcW w:w="936"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748.1</w:t>
            </w:r>
          </w:p>
        </w:tc>
        <w:tc>
          <w:tcPr>
            <w:tcW w:w="935"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513.0</w:t>
            </w:r>
          </w:p>
        </w:tc>
        <w:tc>
          <w:tcPr>
            <w:tcW w:w="936"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9 129.8</w:t>
            </w:r>
          </w:p>
        </w:tc>
        <w:tc>
          <w:tcPr>
            <w:tcW w:w="936"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421.8</w:t>
            </w:r>
          </w:p>
        </w:tc>
      </w:tr>
      <w:tr w:rsidR="00965D85" w:rsidRPr="00E22AD9" w:rsidTr="008B46DF">
        <w:tc>
          <w:tcPr>
            <w:tcW w:w="3119" w:type="dxa"/>
            <w:tcBorders>
              <w:top w:val="nil"/>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20"/>
                <w:vertAlign w:val="superscript"/>
                <w:lang w:eastAsia="en-AU"/>
              </w:rPr>
            </w:pPr>
            <w:r w:rsidRPr="00E22AD9">
              <w:rPr>
                <w:rFonts w:ascii="Calibri" w:eastAsiaTheme="minorEastAsia" w:hAnsi="Calibri" w:cs="Calibri"/>
                <w:color w:val="000000"/>
                <w:sz w:val="20"/>
                <w:lang w:eastAsia="en-AU"/>
              </w:rPr>
              <w:t xml:space="preserve">Asset transfers </w:t>
            </w:r>
            <w:r w:rsidRPr="00E22AD9">
              <w:rPr>
                <w:rFonts w:ascii="Calibri" w:eastAsiaTheme="minorEastAsia" w:hAnsi="Calibri" w:cs="Calibri"/>
                <w:color w:val="000000"/>
                <w:sz w:val="20"/>
                <w:vertAlign w:val="superscript"/>
                <w:lang w:eastAsia="en-AU"/>
              </w:rPr>
              <w:t>(c)</w:t>
            </w:r>
          </w:p>
        </w:tc>
        <w:tc>
          <w:tcPr>
            <w:tcW w:w="935"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(1 323.9)</w:t>
            </w:r>
          </w:p>
        </w:tc>
        <w:tc>
          <w:tcPr>
            <w:tcW w:w="936"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(1 197.6)</w:t>
            </w:r>
          </w:p>
        </w:tc>
        <w:tc>
          <w:tcPr>
            <w:tcW w:w="935"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(1 670.0)</w:t>
            </w:r>
          </w:p>
        </w:tc>
        <w:tc>
          <w:tcPr>
            <w:tcW w:w="936"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(2 079.1)</w:t>
            </w:r>
          </w:p>
        </w:tc>
        <w:tc>
          <w:tcPr>
            <w:tcW w:w="936"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(2 334.0)</w:t>
            </w:r>
          </w:p>
        </w:tc>
      </w:tr>
      <w:tr w:rsidR="00965D85" w:rsidRPr="00E22AD9" w:rsidTr="008B46DF">
        <w:tc>
          <w:tcPr>
            <w:tcW w:w="3119" w:type="dxa"/>
            <w:tcBorders>
              <w:top w:val="nil"/>
              <w:left w:val="nil"/>
              <w:bottom w:val="single" w:sz="6" w:space="0" w:color="auto"/>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Depreciation</w:t>
            </w:r>
          </w:p>
        </w:tc>
        <w:tc>
          <w:tcPr>
            <w:tcW w:w="935" w:type="dxa"/>
            <w:tcBorders>
              <w:top w:val="nil"/>
              <w:left w:val="nil"/>
              <w:bottom w:val="single" w:sz="6" w:space="0" w:color="auto"/>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(2 482.8)</w:t>
            </w:r>
          </w:p>
        </w:tc>
        <w:tc>
          <w:tcPr>
            <w:tcW w:w="936" w:type="dxa"/>
            <w:tcBorders>
              <w:top w:val="nil"/>
              <w:left w:val="nil"/>
              <w:bottom w:val="single" w:sz="6" w:space="0" w:color="auto"/>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(2 383.9)</w:t>
            </w:r>
          </w:p>
        </w:tc>
        <w:tc>
          <w:tcPr>
            <w:tcW w:w="935" w:type="dxa"/>
            <w:tcBorders>
              <w:top w:val="nil"/>
              <w:left w:val="nil"/>
              <w:bottom w:val="single" w:sz="6" w:space="0" w:color="auto"/>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(2 540.4)</w:t>
            </w:r>
          </w:p>
        </w:tc>
        <w:tc>
          <w:tcPr>
            <w:tcW w:w="936" w:type="dxa"/>
            <w:tcBorders>
              <w:top w:val="nil"/>
              <w:left w:val="nil"/>
              <w:bottom w:val="single" w:sz="6" w:space="0" w:color="auto"/>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(2 696.8)</w:t>
            </w:r>
          </w:p>
        </w:tc>
        <w:tc>
          <w:tcPr>
            <w:tcW w:w="936" w:type="dxa"/>
            <w:tcBorders>
              <w:top w:val="nil"/>
              <w:left w:val="nil"/>
              <w:bottom w:val="single" w:sz="6" w:space="0" w:color="auto"/>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(2 959.8)</w:t>
            </w:r>
          </w:p>
        </w:tc>
      </w:tr>
      <w:tr w:rsidR="00965D85" w:rsidRPr="00E22AD9" w:rsidTr="008B46DF">
        <w:tc>
          <w:tcPr>
            <w:tcW w:w="3119" w:type="dxa"/>
            <w:tcBorders>
              <w:top w:val="single" w:sz="6" w:space="0" w:color="auto"/>
              <w:left w:val="nil"/>
              <w:bottom w:val="single" w:sz="12" w:space="0" w:color="auto"/>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Carrying amount at the end of the year</w:t>
            </w:r>
          </w:p>
        </w:tc>
        <w:tc>
          <w:tcPr>
            <w:tcW w:w="935" w:type="dxa"/>
            <w:tcBorders>
              <w:top w:val="single" w:sz="6" w:space="0" w:color="auto"/>
              <w:left w:val="nil"/>
              <w:bottom w:val="single" w:sz="12" w:space="0" w:color="auto"/>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109 733.4</w:t>
            </w:r>
          </w:p>
        </w:tc>
        <w:tc>
          <w:tcPr>
            <w:tcW w:w="936" w:type="dxa"/>
            <w:tcBorders>
              <w:top w:val="single" w:sz="6" w:space="0" w:color="auto"/>
              <w:left w:val="nil"/>
              <w:bottom w:val="single" w:sz="12" w:space="0" w:color="auto"/>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109 733.9</w:t>
            </w:r>
          </w:p>
        </w:tc>
        <w:tc>
          <w:tcPr>
            <w:tcW w:w="935" w:type="dxa"/>
            <w:tcBorders>
              <w:top w:val="single" w:sz="6" w:space="0" w:color="auto"/>
              <w:left w:val="nil"/>
              <w:bottom w:val="single" w:sz="12" w:space="0" w:color="auto"/>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111 933.6</w:t>
            </w:r>
          </w:p>
        </w:tc>
        <w:tc>
          <w:tcPr>
            <w:tcW w:w="936" w:type="dxa"/>
            <w:tcBorders>
              <w:top w:val="single" w:sz="6" w:space="0" w:color="auto"/>
              <w:left w:val="nil"/>
              <w:bottom w:val="single" w:sz="12" w:space="0" w:color="auto"/>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122 099.0</w:t>
            </w:r>
          </w:p>
        </w:tc>
        <w:tc>
          <w:tcPr>
            <w:tcW w:w="936" w:type="dxa"/>
            <w:tcBorders>
              <w:top w:val="single" w:sz="6" w:space="0" w:color="auto"/>
              <w:left w:val="nil"/>
              <w:bottom w:val="single" w:sz="12" w:space="0" w:color="auto"/>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122 027.1</w:t>
            </w:r>
          </w:p>
        </w:tc>
      </w:tr>
    </w:tbl>
    <w:p w:rsidR="00965D85" w:rsidRDefault="00965D85" w:rsidP="008B46DF">
      <w:pPr>
        <w:pStyle w:val="Notes"/>
        <w:rPr>
          <w:lang w:eastAsia="en-AU"/>
        </w:rPr>
      </w:pPr>
      <w:r w:rsidRPr="00466FED">
        <w:t>Notes</w:t>
      </w:r>
      <w:r>
        <w:rPr>
          <w:lang w:eastAsia="en-AU"/>
        </w:rPr>
        <w:t>:</w:t>
      </w:r>
    </w:p>
    <w:p w:rsidR="00965D85" w:rsidRDefault="00965D85" w:rsidP="008B46DF">
      <w:pPr>
        <w:pStyle w:val="Notes"/>
        <w:rPr>
          <w:lang w:eastAsia="en-AU"/>
        </w:rPr>
      </w:pPr>
      <w:r>
        <w:rPr>
          <w:lang w:eastAsia="en-AU"/>
        </w:rPr>
        <w:t>(a)</w:t>
      </w:r>
      <w:r>
        <w:rPr>
          <w:lang w:eastAsia="en-AU"/>
        </w:rPr>
        <w:tab/>
        <w:t>The reconciliation of movements comprises land and buildings, infrastructure systems, plant, equipment, vehicles, roads, road infrastructure and cultural assets and excludes intangible assets, investment properties and other non</w:t>
      </w:r>
      <w:r>
        <w:rPr>
          <w:lang w:eastAsia="en-AU"/>
        </w:rPr>
        <w:noBreakHyphen/>
        <w:t>financial assets.</w:t>
      </w:r>
    </w:p>
    <w:p w:rsidR="00965D85" w:rsidRDefault="00965D85" w:rsidP="008B46DF">
      <w:pPr>
        <w:pStyle w:val="Notes"/>
        <w:rPr>
          <w:lang w:eastAsia="en-AU"/>
        </w:rPr>
      </w:pPr>
      <w:r>
        <w:rPr>
          <w:lang w:eastAsia="en-AU"/>
        </w:rPr>
        <w:t>(b)</w:t>
      </w:r>
      <w:r>
        <w:rPr>
          <w:lang w:eastAsia="en-AU"/>
        </w:rPr>
        <w:tab/>
        <w:t>Includes assets acquired under finance lease arrangements.</w:t>
      </w:r>
    </w:p>
    <w:p w:rsidR="00965D85" w:rsidRDefault="00965D85" w:rsidP="008B46DF">
      <w:pPr>
        <w:pStyle w:val="Notes"/>
        <w:rPr>
          <w:lang w:eastAsia="en-AU"/>
        </w:rPr>
      </w:pPr>
      <w:r>
        <w:rPr>
          <w:lang w:eastAsia="en-AU"/>
        </w:rPr>
        <w:t>(c)</w:t>
      </w:r>
      <w:r>
        <w:rPr>
          <w:lang w:eastAsia="en-AU"/>
        </w:rPr>
        <w:tab/>
        <w:t>Represents the transfer of assets to the public non</w:t>
      </w:r>
      <w:r>
        <w:rPr>
          <w:lang w:eastAsia="en-AU"/>
        </w:rPr>
        <w:noBreakHyphen/>
        <w:t>financial corporations sector.</w:t>
      </w:r>
    </w:p>
    <w:p w:rsidR="00965D85" w:rsidRDefault="00965D85">
      <w:pPr>
        <w:spacing w:after="0"/>
        <w:rPr>
          <w:rFonts w:ascii="Calibri" w:hAnsi="Calibri"/>
          <w:b/>
          <w:kern w:val="28"/>
          <w:sz w:val="26"/>
          <w:szCs w:val="22"/>
          <w:lang w:eastAsia="en-AU"/>
        </w:rPr>
      </w:pPr>
      <w:r>
        <w:rPr>
          <w:lang w:eastAsia="en-AU"/>
        </w:rPr>
        <w:br w:type="page"/>
      </w:r>
    </w:p>
    <w:p w:rsidR="00965D85" w:rsidRDefault="00965D85" w:rsidP="008B46DF">
      <w:pPr>
        <w:pStyle w:val="Heading2Notes"/>
        <w:rPr>
          <w:rFonts w:ascii="Times New Roman" w:hAnsi="Times New Roman"/>
          <w:sz w:val="20"/>
          <w:lang w:eastAsia="en-AU"/>
        </w:rPr>
      </w:pPr>
      <w:bookmarkStart w:id="67" w:name="_Toc436138925"/>
      <w:r w:rsidRPr="003878BE">
        <w:rPr>
          <w:lang w:eastAsia="en-AU"/>
        </w:rPr>
        <w:lastRenderedPageBreak/>
        <w:t xml:space="preserve">Note 19: </w:t>
      </w:r>
      <w:r w:rsidRPr="003878BE">
        <w:rPr>
          <w:lang w:eastAsia="en-AU"/>
        </w:rPr>
        <w:tab/>
        <w:t>Other non</w:t>
      </w:r>
      <w:r>
        <w:rPr>
          <w:lang w:eastAsia="en-AU"/>
        </w:rPr>
        <w:noBreakHyphen/>
      </w:r>
      <w:r w:rsidRPr="003878BE">
        <w:rPr>
          <w:lang w:eastAsia="en-AU"/>
        </w:rPr>
        <w:t>financial assets</w:t>
      </w:r>
      <w:bookmarkEnd w:id="67"/>
    </w:p>
    <w:tbl>
      <w:tblPr>
        <w:tblW w:w="7767" w:type="dxa"/>
        <w:tblInd w:w="28" w:type="dxa"/>
        <w:tblLayout w:type="fixed"/>
        <w:tblCellMar>
          <w:left w:w="28" w:type="dxa"/>
          <w:right w:w="28" w:type="dxa"/>
        </w:tblCellMar>
        <w:tblLook w:val="0000" w:firstRow="0" w:lastRow="0" w:firstColumn="0" w:lastColumn="0" w:noHBand="0" w:noVBand="0"/>
      </w:tblPr>
      <w:tblGrid>
        <w:gridCol w:w="3402"/>
        <w:gridCol w:w="873"/>
        <w:gridCol w:w="873"/>
        <w:gridCol w:w="873"/>
        <w:gridCol w:w="873"/>
        <w:gridCol w:w="873"/>
      </w:tblGrid>
      <w:tr w:rsidR="00965D85" w:rsidRPr="00E22AD9" w:rsidTr="008B46DF">
        <w:trPr>
          <w:tblHeader/>
        </w:trPr>
        <w:tc>
          <w:tcPr>
            <w:tcW w:w="7767" w:type="dxa"/>
            <w:gridSpan w:val="6"/>
            <w:tcBorders>
              <w:top w:val="nil"/>
              <w:left w:val="nil"/>
              <w:bottom w:val="nil"/>
              <w:right w:val="nil"/>
            </w:tcBorders>
          </w:tcPr>
          <w:p w:rsidR="00965D85" w:rsidRPr="00E22AD9" w:rsidRDefault="00965D85" w:rsidP="008B46DF">
            <w:pPr>
              <w:pStyle w:val="million"/>
              <w:rPr>
                <w:rFonts w:eastAsiaTheme="minorEastAsia" w:cs="Calibri"/>
                <w:iCs/>
                <w:color w:val="000000"/>
                <w:sz w:val="20"/>
                <w:lang w:eastAsia="en-AU"/>
              </w:rPr>
            </w:pPr>
            <w:r w:rsidRPr="00E22AD9">
              <w:rPr>
                <w:rFonts w:eastAsiaTheme="minorEastAsia"/>
                <w:lang w:eastAsia="en-AU"/>
              </w:rPr>
              <w:t>($ million)</w:t>
            </w:r>
          </w:p>
        </w:tc>
      </w:tr>
      <w:tr w:rsidR="00965D85" w:rsidRPr="00E22AD9" w:rsidTr="008B46DF">
        <w:trPr>
          <w:trHeight w:val="488"/>
          <w:tblHeader/>
        </w:trPr>
        <w:tc>
          <w:tcPr>
            <w:tcW w:w="3402" w:type="dxa"/>
            <w:tcBorders>
              <w:top w:val="nil"/>
              <w:left w:val="nil"/>
              <w:right w:val="nil"/>
            </w:tcBorders>
            <w:shd w:val="solid" w:color="000000" w:fill="auto"/>
          </w:tcPr>
          <w:p w:rsidR="00965D85" w:rsidRPr="00E22AD9" w:rsidRDefault="00965D85" w:rsidP="008B46DF">
            <w:pPr>
              <w:autoSpaceDE w:val="0"/>
              <w:autoSpaceDN w:val="0"/>
              <w:adjustRightInd w:val="0"/>
              <w:spacing w:after="0"/>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 xml:space="preserve"> </w:t>
            </w:r>
          </w:p>
          <w:p w:rsidR="00965D85" w:rsidRPr="00E22AD9" w:rsidRDefault="00965D85" w:rsidP="008B46DF">
            <w:pPr>
              <w:autoSpaceDE w:val="0"/>
              <w:autoSpaceDN w:val="0"/>
              <w:adjustRightInd w:val="0"/>
              <w:spacing w:after="0"/>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 xml:space="preserve"> </w:t>
            </w:r>
          </w:p>
        </w:tc>
        <w:tc>
          <w:tcPr>
            <w:tcW w:w="873" w:type="dxa"/>
            <w:tcBorders>
              <w:top w:val="nil"/>
              <w:left w:val="nil"/>
              <w:right w:val="nil"/>
            </w:tcBorders>
            <w:shd w:val="solid" w:color="000000" w:fill="auto"/>
          </w:tcPr>
          <w:p w:rsidR="00965D85" w:rsidRPr="00E22AD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E22AD9">
              <w:rPr>
                <w:rFonts w:ascii="Calibri" w:eastAsiaTheme="minorEastAsia" w:hAnsi="Calibri" w:cs="Calibri"/>
                <w:i/>
                <w:iCs/>
                <w:color w:val="FFFFFF"/>
                <w:sz w:val="20"/>
                <w:lang w:eastAsia="en-AU"/>
              </w:rPr>
              <w:t>2016</w:t>
            </w:r>
          </w:p>
          <w:p w:rsidR="00965D85" w:rsidRPr="00E22AD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E22AD9">
              <w:rPr>
                <w:rFonts w:ascii="Calibri" w:eastAsiaTheme="minorEastAsia" w:hAnsi="Calibri" w:cs="Calibri"/>
                <w:i/>
                <w:iCs/>
                <w:color w:val="FFFFFF"/>
                <w:sz w:val="20"/>
                <w:lang w:eastAsia="en-AU"/>
              </w:rPr>
              <w:t>budget</w:t>
            </w:r>
          </w:p>
        </w:tc>
        <w:tc>
          <w:tcPr>
            <w:tcW w:w="873" w:type="dxa"/>
            <w:tcBorders>
              <w:top w:val="nil"/>
              <w:left w:val="nil"/>
              <w:right w:val="nil"/>
            </w:tcBorders>
            <w:shd w:val="solid" w:color="000000" w:fill="auto"/>
          </w:tcPr>
          <w:p w:rsidR="00965D85" w:rsidRPr="00E22AD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E22AD9">
              <w:rPr>
                <w:rFonts w:ascii="Calibri" w:eastAsiaTheme="minorEastAsia" w:hAnsi="Calibri" w:cs="Calibri"/>
                <w:i/>
                <w:iCs/>
                <w:color w:val="FFFFFF"/>
                <w:sz w:val="20"/>
                <w:lang w:eastAsia="en-AU"/>
              </w:rPr>
              <w:t>2016</w:t>
            </w:r>
          </w:p>
          <w:p w:rsidR="00965D85" w:rsidRPr="00E22AD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E22AD9">
              <w:rPr>
                <w:rFonts w:ascii="Calibri" w:eastAsiaTheme="minorEastAsia" w:hAnsi="Calibri" w:cs="Calibri"/>
                <w:i/>
                <w:iCs/>
                <w:color w:val="FFFFFF"/>
                <w:sz w:val="20"/>
                <w:lang w:eastAsia="en-AU"/>
              </w:rPr>
              <w:t>revised</w:t>
            </w:r>
          </w:p>
        </w:tc>
        <w:tc>
          <w:tcPr>
            <w:tcW w:w="873" w:type="dxa"/>
            <w:tcBorders>
              <w:top w:val="nil"/>
              <w:left w:val="nil"/>
              <w:right w:val="nil"/>
            </w:tcBorders>
            <w:shd w:val="solid" w:color="000000" w:fill="auto"/>
          </w:tcPr>
          <w:p w:rsidR="00965D85" w:rsidRPr="00E22AD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E22AD9">
              <w:rPr>
                <w:rFonts w:ascii="Calibri" w:eastAsiaTheme="minorEastAsia" w:hAnsi="Calibri" w:cs="Calibri"/>
                <w:i/>
                <w:iCs/>
                <w:color w:val="FFFFFF"/>
                <w:sz w:val="20"/>
                <w:lang w:eastAsia="en-AU"/>
              </w:rPr>
              <w:t>2017</w:t>
            </w:r>
          </w:p>
          <w:p w:rsidR="00965D85" w:rsidRPr="00E22AD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E22AD9">
              <w:rPr>
                <w:rFonts w:ascii="Calibri" w:eastAsiaTheme="minorEastAsia" w:hAnsi="Calibri" w:cs="Calibri"/>
                <w:i/>
                <w:iCs/>
                <w:color w:val="FFFFFF"/>
                <w:sz w:val="20"/>
                <w:lang w:eastAsia="en-AU"/>
              </w:rPr>
              <w:t xml:space="preserve"> estimate</w:t>
            </w:r>
          </w:p>
        </w:tc>
        <w:tc>
          <w:tcPr>
            <w:tcW w:w="873" w:type="dxa"/>
            <w:tcBorders>
              <w:top w:val="nil"/>
              <w:left w:val="nil"/>
              <w:right w:val="nil"/>
            </w:tcBorders>
            <w:shd w:val="solid" w:color="000000" w:fill="auto"/>
          </w:tcPr>
          <w:p w:rsidR="00965D85" w:rsidRPr="00E22AD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E22AD9">
              <w:rPr>
                <w:rFonts w:ascii="Calibri" w:eastAsiaTheme="minorEastAsia" w:hAnsi="Calibri" w:cs="Calibri"/>
                <w:i/>
                <w:iCs/>
                <w:color w:val="FFFFFF"/>
                <w:sz w:val="20"/>
                <w:lang w:eastAsia="en-AU"/>
              </w:rPr>
              <w:t>2018</w:t>
            </w:r>
          </w:p>
          <w:p w:rsidR="00965D85" w:rsidRPr="00E22AD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E22AD9">
              <w:rPr>
                <w:rFonts w:ascii="Calibri" w:eastAsiaTheme="minorEastAsia" w:hAnsi="Calibri" w:cs="Calibri"/>
                <w:i/>
                <w:iCs/>
                <w:color w:val="FFFFFF"/>
                <w:sz w:val="20"/>
                <w:lang w:eastAsia="en-AU"/>
              </w:rPr>
              <w:t>estimate</w:t>
            </w:r>
          </w:p>
        </w:tc>
        <w:tc>
          <w:tcPr>
            <w:tcW w:w="873" w:type="dxa"/>
            <w:tcBorders>
              <w:top w:val="nil"/>
              <w:left w:val="nil"/>
              <w:right w:val="nil"/>
            </w:tcBorders>
            <w:shd w:val="solid" w:color="000000" w:fill="auto"/>
          </w:tcPr>
          <w:p w:rsidR="00965D85" w:rsidRPr="00E22AD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E22AD9">
              <w:rPr>
                <w:rFonts w:ascii="Calibri" w:eastAsiaTheme="minorEastAsia" w:hAnsi="Calibri" w:cs="Calibri"/>
                <w:i/>
                <w:iCs/>
                <w:color w:val="FFFFFF"/>
                <w:sz w:val="20"/>
                <w:lang w:eastAsia="en-AU"/>
              </w:rPr>
              <w:t>2019</w:t>
            </w:r>
          </w:p>
          <w:p w:rsidR="00965D85" w:rsidRPr="00E22AD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E22AD9">
              <w:rPr>
                <w:rFonts w:ascii="Calibri" w:eastAsiaTheme="minorEastAsia" w:hAnsi="Calibri" w:cs="Calibri"/>
                <w:i/>
                <w:iCs/>
                <w:color w:val="FFFFFF"/>
                <w:sz w:val="20"/>
                <w:lang w:eastAsia="en-AU"/>
              </w:rPr>
              <w:t>estimate</w:t>
            </w:r>
          </w:p>
        </w:tc>
      </w:tr>
      <w:tr w:rsidR="00965D85" w:rsidRPr="00E22AD9" w:rsidTr="008B46DF">
        <w:tc>
          <w:tcPr>
            <w:tcW w:w="3402" w:type="dxa"/>
            <w:tcBorders>
              <w:top w:val="nil"/>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 xml:space="preserve">Intangible produced assets </w:t>
            </w:r>
          </w:p>
        </w:tc>
        <w:tc>
          <w:tcPr>
            <w:tcW w:w="873"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1 337.2</w:t>
            </w:r>
          </w:p>
        </w:tc>
        <w:tc>
          <w:tcPr>
            <w:tcW w:w="873"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1 365.7</w:t>
            </w:r>
          </w:p>
        </w:tc>
        <w:tc>
          <w:tcPr>
            <w:tcW w:w="873"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1 410.9</w:t>
            </w:r>
          </w:p>
        </w:tc>
        <w:tc>
          <w:tcPr>
            <w:tcW w:w="873"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1 432.1</w:t>
            </w:r>
          </w:p>
        </w:tc>
        <w:tc>
          <w:tcPr>
            <w:tcW w:w="873"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1 501.8</w:t>
            </w:r>
          </w:p>
        </w:tc>
      </w:tr>
      <w:tr w:rsidR="00965D85" w:rsidRPr="00E22AD9" w:rsidTr="008B46DF">
        <w:tc>
          <w:tcPr>
            <w:tcW w:w="3402" w:type="dxa"/>
            <w:tcBorders>
              <w:top w:val="nil"/>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Accumulated depreciation</w:t>
            </w:r>
          </w:p>
        </w:tc>
        <w:tc>
          <w:tcPr>
            <w:tcW w:w="873"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(796.4)</w:t>
            </w:r>
          </w:p>
        </w:tc>
        <w:tc>
          <w:tcPr>
            <w:tcW w:w="873"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(813.5)</w:t>
            </w:r>
          </w:p>
        </w:tc>
        <w:tc>
          <w:tcPr>
            <w:tcW w:w="873"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(920.7)</w:t>
            </w:r>
          </w:p>
        </w:tc>
        <w:tc>
          <w:tcPr>
            <w:tcW w:w="873"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(1 034.5)</w:t>
            </w:r>
          </w:p>
        </w:tc>
        <w:tc>
          <w:tcPr>
            <w:tcW w:w="873"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(1 137.8)</w:t>
            </w:r>
          </w:p>
        </w:tc>
      </w:tr>
      <w:tr w:rsidR="00965D85" w:rsidRPr="00E22AD9" w:rsidTr="008B46DF">
        <w:tc>
          <w:tcPr>
            <w:tcW w:w="3402" w:type="dxa"/>
            <w:tcBorders>
              <w:top w:val="nil"/>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Intangible non</w:t>
            </w:r>
            <w:r>
              <w:rPr>
                <w:rFonts w:ascii="Calibri" w:eastAsiaTheme="minorEastAsia" w:hAnsi="Calibri" w:cs="Calibri"/>
                <w:color w:val="000000"/>
                <w:sz w:val="20"/>
                <w:lang w:eastAsia="en-AU"/>
              </w:rPr>
              <w:noBreakHyphen/>
            </w:r>
            <w:r w:rsidRPr="00E22AD9">
              <w:rPr>
                <w:rFonts w:ascii="Calibri" w:eastAsiaTheme="minorEastAsia" w:hAnsi="Calibri" w:cs="Calibri"/>
                <w:color w:val="000000"/>
                <w:sz w:val="20"/>
                <w:lang w:eastAsia="en-AU"/>
              </w:rPr>
              <w:t xml:space="preserve">produced assets </w:t>
            </w:r>
          </w:p>
        </w:tc>
        <w:tc>
          <w:tcPr>
            <w:tcW w:w="873"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153.8</w:t>
            </w:r>
          </w:p>
        </w:tc>
        <w:tc>
          <w:tcPr>
            <w:tcW w:w="873"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153.8</w:t>
            </w:r>
          </w:p>
        </w:tc>
        <w:tc>
          <w:tcPr>
            <w:tcW w:w="873"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153.8</w:t>
            </w:r>
          </w:p>
        </w:tc>
        <w:tc>
          <w:tcPr>
            <w:tcW w:w="873"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153.8</w:t>
            </w:r>
          </w:p>
        </w:tc>
        <w:tc>
          <w:tcPr>
            <w:tcW w:w="873"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153.8</w:t>
            </w:r>
          </w:p>
        </w:tc>
      </w:tr>
      <w:tr w:rsidR="00965D85" w:rsidRPr="00E22AD9" w:rsidTr="008B46DF">
        <w:tc>
          <w:tcPr>
            <w:tcW w:w="3402"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Accumulated amortisation</w:t>
            </w:r>
          </w:p>
        </w:tc>
        <w:tc>
          <w:tcPr>
            <w:tcW w:w="873"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(69.1)</w:t>
            </w:r>
          </w:p>
        </w:tc>
        <w:tc>
          <w:tcPr>
            <w:tcW w:w="873"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(70.0)</w:t>
            </w:r>
          </w:p>
        </w:tc>
        <w:tc>
          <w:tcPr>
            <w:tcW w:w="873"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(71.0)</w:t>
            </w:r>
          </w:p>
        </w:tc>
        <w:tc>
          <w:tcPr>
            <w:tcW w:w="873"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(72.0)</w:t>
            </w:r>
          </w:p>
        </w:tc>
        <w:tc>
          <w:tcPr>
            <w:tcW w:w="873"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(72.9)</w:t>
            </w:r>
          </w:p>
        </w:tc>
      </w:tr>
      <w:tr w:rsidR="00965D85" w:rsidRPr="00E22AD9" w:rsidTr="008B46DF">
        <w:tc>
          <w:tcPr>
            <w:tcW w:w="3402" w:type="dxa"/>
            <w:tcBorders>
              <w:top w:val="single" w:sz="6" w:space="0" w:color="000000"/>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 xml:space="preserve">Total intangibles </w:t>
            </w:r>
          </w:p>
        </w:tc>
        <w:tc>
          <w:tcPr>
            <w:tcW w:w="873" w:type="dxa"/>
            <w:tcBorders>
              <w:top w:val="single" w:sz="6" w:space="0" w:color="000000"/>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20"/>
                <w:lang w:eastAsia="en-AU"/>
              </w:rPr>
              <w:t>625.4</w:t>
            </w:r>
          </w:p>
        </w:tc>
        <w:tc>
          <w:tcPr>
            <w:tcW w:w="873" w:type="dxa"/>
            <w:tcBorders>
              <w:top w:val="single" w:sz="6" w:space="0" w:color="000000"/>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20"/>
                <w:lang w:eastAsia="en-AU"/>
              </w:rPr>
              <w:t>635.9</w:t>
            </w:r>
          </w:p>
        </w:tc>
        <w:tc>
          <w:tcPr>
            <w:tcW w:w="873" w:type="dxa"/>
            <w:tcBorders>
              <w:top w:val="single" w:sz="6" w:space="0" w:color="000000"/>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20"/>
                <w:lang w:eastAsia="en-AU"/>
              </w:rPr>
              <w:t>572.9</w:t>
            </w:r>
          </w:p>
        </w:tc>
        <w:tc>
          <w:tcPr>
            <w:tcW w:w="873" w:type="dxa"/>
            <w:tcBorders>
              <w:top w:val="single" w:sz="6" w:space="0" w:color="000000"/>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20"/>
                <w:lang w:eastAsia="en-AU"/>
              </w:rPr>
              <w:t>479.4</w:t>
            </w:r>
          </w:p>
        </w:tc>
        <w:tc>
          <w:tcPr>
            <w:tcW w:w="873" w:type="dxa"/>
            <w:tcBorders>
              <w:top w:val="single" w:sz="6" w:space="0" w:color="000000"/>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20"/>
                <w:lang w:eastAsia="en-AU"/>
              </w:rPr>
              <w:t>444.9</w:t>
            </w:r>
          </w:p>
        </w:tc>
      </w:tr>
      <w:tr w:rsidR="00965D85" w:rsidRPr="00E22AD9" w:rsidTr="008B46DF">
        <w:tc>
          <w:tcPr>
            <w:tcW w:w="3402" w:type="dxa"/>
            <w:tcBorders>
              <w:top w:val="nil"/>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Investment properties</w:t>
            </w:r>
          </w:p>
        </w:tc>
        <w:tc>
          <w:tcPr>
            <w:tcW w:w="873"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62.1</w:t>
            </w:r>
          </w:p>
        </w:tc>
        <w:tc>
          <w:tcPr>
            <w:tcW w:w="873"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54.5</w:t>
            </w:r>
          </w:p>
        </w:tc>
        <w:tc>
          <w:tcPr>
            <w:tcW w:w="873"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51.9</w:t>
            </w:r>
          </w:p>
        </w:tc>
        <w:tc>
          <w:tcPr>
            <w:tcW w:w="873"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51.9</w:t>
            </w:r>
          </w:p>
        </w:tc>
        <w:tc>
          <w:tcPr>
            <w:tcW w:w="873"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51.1</w:t>
            </w:r>
          </w:p>
        </w:tc>
      </w:tr>
      <w:tr w:rsidR="00965D85" w:rsidRPr="00E22AD9" w:rsidTr="008B46DF">
        <w:tc>
          <w:tcPr>
            <w:tcW w:w="3402" w:type="dxa"/>
            <w:tcBorders>
              <w:top w:val="nil"/>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Biological assets</w:t>
            </w:r>
          </w:p>
        </w:tc>
        <w:tc>
          <w:tcPr>
            <w:tcW w:w="873"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5.0</w:t>
            </w:r>
          </w:p>
        </w:tc>
        <w:tc>
          <w:tcPr>
            <w:tcW w:w="873"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5.0</w:t>
            </w:r>
          </w:p>
        </w:tc>
        <w:tc>
          <w:tcPr>
            <w:tcW w:w="873"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6.6</w:t>
            </w:r>
          </w:p>
        </w:tc>
        <w:tc>
          <w:tcPr>
            <w:tcW w:w="873"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8.1</w:t>
            </w:r>
          </w:p>
        </w:tc>
        <w:tc>
          <w:tcPr>
            <w:tcW w:w="873"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9.6</w:t>
            </w:r>
          </w:p>
        </w:tc>
      </w:tr>
      <w:tr w:rsidR="00965D85" w:rsidRPr="00E22AD9" w:rsidTr="008B46DF">
        <w:tc>
          <w:tcPr>
            <w:tcW w:w="3402"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Other assets</w:t>
            </w:r>
          </w:p>
        </w:tc>
        <w:tc>
          <w:tcPr>
            <w:tcW w:w="873"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284.7</w:t>
            </w:r>
          </w:p>
        </w:tc>
        <w:tc>
          <w:tcPr>
            <w:tcW w:w="873"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284.3</w:t>
            </w:r>
          </w:p>
        </w:tc>
        <w:tc>
          <w:tcPr>
            <w:tcW w:w="873"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301.3</w:t>
            </w:r>
          </w:p>
        </w:tc>
        <w:tc>
          <w:tcPr>
            <w:tcW w:w="873"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218.0</w:t>
            </w:r>
          </w:p>
        </w:tc>
        <w:tc>
          <w:tcPr>
            <w:tcW w:w="873"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187.6</w:t>
            </w:r>
          </w:p>
        </w:tc>
      </w:tr>
      <w:tr w:rsidR="00965D85" w:rsidRPr="00E22AD9" w:rsidTr="008B46DF">
        <w:tc>
          <w:tcPr>
            <w:tcW w:w="3402" w:type="dxa"/>
            <w:tcBorders>
              <w:top w:val="single" w:sz="6" w:space="0" w:color="000000"/>
              <w:left w:val="nil"/>
              <w:bottom w:val="single" w:sz="12" w:space="0" w:color="000000"/>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Total other non</w:t>
            </w:r>
            <w:r>
              <w:rPr>
                <w:rFonts w:ascii="Calibri" w:eastAsiaTheme="minorEastAsia" w:hAnsi="Calibri" w:cs="Calibri"/>
                <w:b/>
                <w:bCs/>
                <w:color w:val="000000"/>
                <w:sz w:val="20"/>
                <w:lang w:eastAsia="en-AU"/>
              </w:rPr>
              <w:noBreakHyphen/>
            </w:r>
            <w:r w:rsidRPr="00E22AD9">
              <w:rPr>
                <w:rFonts w:ascii="Calibri" w:eastAsiaTheme="minorEastAsia" w:hAnsi="Calibri" w:cs="Calibri"/>
                <w:b/>
                <w:bCs/>
                <w:color w:val="000000"/>
                <w:sz w:val="20"/>
                <w:lang w:eastAsia="en-AU"/>
              </w:rPr>
              <w:t>financial assets</w:t>
            </w:r>
          </w:p>
        </w:tc>
        <w:tc>
          <w:tcPr>
            <w:tcW w:w="873" w:type="dxa"/>
            <w:tcBorders>
              <w:top w:val="single" w:sz="6" w:space="0" w:color="000000"/>
              <w:left w:val="nil"/>
              <w:bottom w:val="single" w:sz="12"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20"/>
                <w:lang w:eastAsia="en-AU"/>
              </w:rPr>
              <w:t>977.2</w:t>
            </w:r>
          </w:p>
        </w:tc>
        <w:tc>
          <w:tcPr>
            <w:tcW w:w="873" w:type="dxa"/>
            <w:tcBorders>
              <w:top w:val="single" w:sz="6" w:space="0" w:color="000000"/>
              <w:left w:val="nil"/>
              <w:bottom w:val="single" w:sz="12"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20"/>
                <w:lang w:eastAsia="en-AU"/>
              </w:rPr>
              <w:t>979.8</w:t>
            </w:r>
          </w:p>
        </w:tc>
        <w:tc>
          <w:tcPr>
            <w:tcW w:w="873" w:type="dxa"/>
            <w:tcBorders>
              <w:top w:val="single" w:sz="6" w:space="0" w:color="000000"/>
              <w:left w:val="nil"/>
              <w:bottom w:val="single" w:sz="12"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20"/>
                <w:lang w:eastAsia="en-AU"/>
              </w:rPr>
              <w:t>932.7</w:t>
            </w:r>
          </w:p>
        </w:tc>
        <w:tc>
          <w:tcPr>
            <w:tcW w:w="873" w:type="dxa"/>
            <w:tcBorders>
              <w:top w:val="single" w:sz="6" w:space="0" w:color="000000"/>
              <w:left w:val="nil"/>
              <w:bottom w:val="single" w:sz="12"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20"/>
                <w:lang w:eastAsia="en-AU"/>
              </w:rPr>
              <w:t>757.4</w:t>
            </w:r>
          </w:p>
        </w:tc>
        <w:tc>
          <w:tcPr>
            <w:tcW w:w="873" w:type="dxa"/>
            <w:tcBorders>
              <w:top w:val="single" w:sz="6" w:space="0" w:color="000000"/>
              <w:left w:val="nil"/>
              <w:bottom w:val="single" w:sz="12"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20"/>
                <w:lang w:eastAsia="en-AU"/>
              </w:rPr>
              <w:t>693.3</w:t>
            </w:r>
          </w:p>
        </w:tc>
      </w:tr>
    </w:tbl>
    <w:p w:rsidR="00965D85" w:rsidRDefault="00965D85" w:rsidP="008B46DF">
      <w:pPr>
        <w:rPr>
          <w:lang w:eastAsia="en-AU"/>
        </w:rPr>
      </w:pPr>
    </w:p>
    <w:p w:rsidR="00965D85" w:rsidRDefault="00965D85" w:rsidP="008B46DF">
      <w:pPr>
        <w:rPr>
          <w:lang w:eastAsia="en-AU"/>
        </w:rPr>
      </w:pPr>
    </w:p>
    <w:p w:rsidR="00965D85" w:rsidRDefault="00965D85" w:rsidP="008B46DF">
      <w:pPr>
        <w:pStyle w:val="Heading2Notes"/>
        <w:rPr>
          <w:lang w:eastAsia="en-AU"/>
        </w:rPr>
      </w:pPr>
      <w:bookmarkStart w:id="68" w:name="_Toc436138926"/>
      <w:r>
        <w:rPr>
          <w:lang w:eastAsia="en-AU"/>
        </w:rPr>
        <w:t>Note 20:</w:t>
      </w:r>
      <w:r>
        <w:rPr>
          <w:lang w:eastAsia="en-AU"/>
        </w:rPr>
        <w:tab/>
        <w:t>Assets classified by government purpose and by department</w:t>
      </w:r>
      <w:bookmarkEnd w:id="68"/>
    </w:p>
    <w:p w:rsidR="00965D85" w:rsidRDefault="00965D85" w:rsidP="008B46DF">
      <w:pPr>
        <w:pStyle w:val="Heading5"/>
        <w:rPr>
          <w:rFonts w:ascii="Times New Roman" w:hAnsi="Times New Roman"/>
          <w:i/>
          <w:sz w:val="20"/>
          <w:lang w:eastAsia="en-AU"/>
        </w:rPr>
      </w:pPr>
      <w:r>
        <w:rPr>
          <w:lang w:eastAsia="en-AU"/>
        </w:rPr>
        <w:t>(a)</w:t>
      </w:r>
      <w:r>
        <w:rPr>
          <w:lang w:eastAsia="en-AU"/>
        </w:rPr>
        <w:tab/>
        <w:t>Purchases of non</w:t>
      </w:r>
      <w:r>
        <w:rPr>
          <w:lang w:eastAsia="en-AU"/>
        </w:rPr>
        <w:noBreakHyphen/>
        <w:t>financial assets by government purpose classification</w:t>
      </w:r>
      <w:r w:rsidRPr="00D35108">
        <w:rPr>
          <w:vertAlign w:val="superscript"/>
          <w:lang w:eastAsia="en-AU"/>
        </w:rPr>
        <w:t>(a)</w:t>
      </w:r>
    </w:p>
    <w:tbl>
      <w:tblPr>
        <w:tblW w:w="7767" w:type="dxa"/>
        <w:tblInd w:w="28" w:type="dxa"/>
        <w:tblLayout w:type="fixed"/>
        <w:tblCellMar>
          <w:left w:w="28" w:type="dxa"/>
          <w:right w:w="28" w:type="dxa"/>
        </w:tblCellMar>
        <w:tblLook w:val="0000" w:firstRow="0" w:lastRow="0" w:firstColumn="0" w:lastColumn="0" w:noHBand="0" w:noVBand="0"/>
      </w:tblPr>
      <w:tblGrid>
        <w:gridCol w:w="3402"/>
        <w:gridCol w:w="873"/>
        <w:gridCol w:w="873"/>
        <w:gridCol w:w="873"/>
        <w:gridCol w:w="873"/>
        <w:gridCol w:w="873"/>
      </w:tblGrid>
      <w:tr w:rsidR="00965D85" w:rsidRPr="00E22AD9" w:rsidTr="008B46DF">
        <w:trPr>
          <w:tblHeader/>
        </w:trPr>
        <w:tc>
          <w:tcPr>
            <w:tcW w:w="7767" w:type="dxa"/>
            <w:gridSpan w:val="6"/>
            <w:tcBorders>
              <w:top w:val="nil"/>
              <w:left w:val="nil"/>
              <w:bottom w:val="nil"/>
              <w:right w:val="nil"/>
            </w:tcBorders>
          </w:tcPr>
          <w:p w:rsidR="00965D85" w:rsidRPr="00E22AD9" w:rsidRDefault="00965D85" w:rsidP="008B46DF">
            <w:pPr>
              <w:pStyle w:val="million"/>
              <w:rPr>
                <w:rFonts w:eastAsiaTheme="minorEastAsia" w:cs="Calibri"/>
                <w:iCs/>
                <w:color w:val="000000"/>
                <w:sz w:val="20"/>
                <w:lang w:eastAsia="en-AU"/>
              </w:rPr>
            </w:pPr>
            <w:r w:rsidRPr="00E22AD9">
              <w:rPr>
                <w:rFonts w:eastAsiaTheme="minorEastAsia"/>
                <w:lang w:eastAsia="en-AU"/>
              </w:rPr>
              <w:t>($ million)</w:t>
            </w:r>
          </w:p>
        </w:tc>
      </w:tr>
      <w:tr w:rsidR="00965D85" w:rsidRPr="00E22AD9" w:rsidTr="008B46DF">
        <w:trPr>
          <w:trHeight w:val="503"/>
          <w:tblHeader/>
        </w:trPr>
        <w:tc>
          <w:tcPr>
            <w:tcW w:w="3402" w:type="dxa"/>
            <w:tcBorders>
              <w:top w:val="single" w:sz="6" w:space="0" w:color="auto"/>
              <w:left w:val="nil"/>
              <w:right w:val="nil"/>
            </w:tcBorders>
            <w:shd w:val="solid" w:color="000000" w:fill="auto"/>
          </w:tcPr>
          <w:p w:rsidR="00965D85" w:rsidRPr="00E22AD9" w:rsidRDefault="00965D85" w:rsidP="008B46DF">
            <w:pPr>
              <w:autoSpaceDE w:val="0"/>
              <w:autoSpaceDN w:val="0"/>
              <w:adjustRightInd w:val="0"/>
              <w:spacing w:after="0"/>
              <w:rPr>
                <w:rFonts w:ascii="Calibri" w:eastAsiaTheme="minorEastAsia" w:hAnsi="Calibri" w:cs="Calibri"/>
                <w:color w:val="FFFFFF"/>
                <w:sz w:val="20"/>
                <w:lang w:eastAsia="en-AU"/>
              </w:rPr>
            </w:pPr>
            <w:r w:rsidRPr="00E22AD9">
              <w:rPr>
                <w:rFonts w:ascii="Calibri" w:eastAsiaTheme="minorEastAsia" w:hAnsi="Calibri" w:cs="Calibri"/>
                <w:color w:val="FFFFFF"/>
                <w:sz w:val="20"/>
                <w:lang w:eastAsia="en-AU"/>
              </w:rPr>
              <w:t xml:space="preserve"> </w:t>
            </w:r>
          </w:p>
          <w:p w:rsidR="00965D85" w:rsidRPr="00E22AD9" w:rsidRDefault="00965D85" w:rsidP="008B46DF">
            <w:pPr>
              <w:autoSpaceDE w:val="0"/>
              <w:autoSpaceDN w:val="0"/>
              <w:adjustRightInd w:val="0"/>
              <w:spacing w:after="0"/>
              <w:rPr>
                <w:rFonts w:ascii="Calibri" w:eastAsiaTheme="minorEastAsia" w:hAnsi="Calibri" w:cs="Calibri"/>
                <w:color w:val="FFFFFF"/>
                <w:sz w:val="20"/>
                <w:lang w:eastAsia="en-AU"/>
              </w:rPr>
            </w:pPr>
            <w:r w:rsidRPr="00E22AD9">
              <w:rPr>
                <w:rFonts w:ascii="Calibri" w:eastAsiaTheme="minorEastAsia" w:hAnsi="Calibri" w:cs="Calibri"/>
                <w:color w:val="FFFFFF"/>
                <w:sz w:val="20"/>
                <w:lang w:eastAsia="en-AU"/>
              </w:rPr>
              <w:t xml:space="preserve"> </w:t>
            </w:r>
          </w:p>
        </w:tc>
        <w:tc>
          <w:tcPr>
            <w:tcW w:w="873" w:type="dxa"/>
            <w:tcBorders>
              <w:top w:val="single" w:sz="6" w:space="0" w:color="auto"/>
              <w:left w:val="nil"/>
              <w:right w:val="nil"/>
            </w:tcBorders>
            <w:shd w:val="solid" w:color="000000" w:fill="auto"/>
          </w:tcPr>
          <w:p w:rsidR="00965D85" w:rsidRPr="00E22AD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E22AD9">
              <w:rPr>
                <w:rFonts w:ascii="Calibri" w:eastAsiaTheme="minorEastAsia" w:hAnsi="Calibri" w:cs="Calibri"/>
                <w:i/>
                <w:iCs/>
                <w:color w:val="FFFFFF"/>
                <w:sz w:val="20"/>
                <w:lang w:eastAsia="en-AU"/>
              </w:rPr>
              <w:t>2015</w:t>
            </w:r>
            <w:r>
              <w:rPr>
                <w:rFonts w:ascii="Calibri" w:eastAsiaTheme="minorEastAsia" w:hAnsi="Calibri" w:cs="Calibri"/>
                <w:i/>
                <w:iCs/>
                <w:color w:val="FFFFFF"/>
                <w:sz w:val="20"/>
                <w:lang w:eastAsia="en-AU"/>
              </w:rPr>
              <w:noBreakHyphen/>
            </w:r>
            <w:r w:rsidRPr="00E22AD9">
              <w:rPr>
                <w:rFonts w:ascii="Calibri" w:eastAsiaTheme="minorEastAsia" w:hAnsi="Calibri" w:cs="Calibri"/>
                <w:i/>
                <w:iCs/>
                <w:color w:val="FFFFFF"/>
                <w:sz w:val="20"/>
                <w:lang w:eastAsia="en-AU"/>
              </w:rPr>
              <w:t>16</w:t>
            </w:r>
          </w:p>
          <w:p w:rsidR="00965D85" w:rsidRPr="00E22AD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E22AD9">
              <w:rPr>
                <w:rFonts w:ascii="Calibri" w:eastAsiaTheme="minorEastAsia" w:hAnsi="Calibri" w:cs="Calibri"/>
                <w:i/>
                <w:iCs/>
                <w:color w:val="FFFFFF"/>
                <w:sz w:val="20"/>
                <w:lang w:eastAsia="en-AU"/>
              </w:rPr>
              <w:t>budget</w:t>
            </w:r>
          </w:p>
        </w:tc>
        <w:tc>
          <w:tcPr>
            <w:tcW w:w="873" w:type="dxa"/>
            <w:tcBorders>
              <w:top w:val="single" w:sz="6" w:space="0" w:color="auto"/>
              <w:left w:val="nil"/>
              <w:right w:val="nil"/>
            </w:tcBorders>
            <w:shd w:val="solid" w:color="000000" w:fill="auto"/>
          </w:tcPr>
          <w:p w:rsidR="00965D85" w:rsidRPr="00E22AD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E22AD9">
              <w:rPr>
                <w:rFonts w:ascii="Calibri" w:eastAsiaTheme="minorEastAsia" w:hAnsi="Calibri" w:cs="Calibri"/>
                <w:i/>
                <w:iCs/>
                <w:color w:val="FFFFFF"/>
                <w:sz w:val="20"/>
                <w:lang w:eastAsia="en-AU"/>
              </w:rPr>
              <w:t>2015</w:t>
            </w:r>
            <w:r>
              <w:rPr>
                <w:rFonts w:ascii="Calibri" w:eastAsiaTheme="minorEastAsia" w:hAnsi="Calibri" w:cs="Calibri"/>
                <w:i/>
                <w:iCs/>
                <w:color w:val="FFFFFF"/>
                <w:sz w:val="20"/>
                <w:lang w:eastAsia="en-AU"/>
              </w:rPr>
              <w:noBreakHyphen/>
            </w:r>
            <w:r w:rsidRPr="00E22AD9">
              <w:rPr>
                <w:rFonts w:ascii="Calibri" w:eastAsiaTheme="minorEastAsia" w:hAnsi="Calibri" w:cs="Calibri"/>
                <w:i/>
                <w:iCs/>
                <w:color w:val="FFFFFF"/>
                <w:sz w:val="20"/>
                <w:lang w:eastAsia="en-AU"/>
              </w:rPr>
              <w:t>16</w:t>
            </w:r>
          </w:p>
          <w:p w:rsidR="00965D85" w:rsidRPr="00E22AD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E22AD9">
              <w:rPr>
                <w:rFonts w:ascii="Calibri" w:eastAsiaTheme="minorEastAsia" w:hAnsi="Calibri" w:cs="Calibri"/>
                <w:i/>
                <w:iCs/>
                <w:color w:val="FFFFFF"/>
                <w:sz w:val="20"/>
                <w:lang w:eastAsia="en-AU"/>
              </w:rPr>
              <w:t>revised</w:t>
            </w:r>
          </w:p>
        </w:tc>
        <w:tc>
          <w:tcPr>
            <w:tcW w:w="873" w:type="dxa"/>
            <w:tcBorders>
              <w:top w:val="single" w:sz="6" w:space="0" w:color="auto"/>
              <w:left w:val="nil"/>
              <w:right w:val="nil"/>
            </w:tcBorders>
            <w:shd w:val="solid" w:color="000000" w:fill="auto"/>
          </w:tcPr>
          <w:p w:rsidR="00965D85" w:rsidRPr="00E22AD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E22AD9">
              <w:rPr>
                <w:rFonts w:ascii="Calibri" w:eastAsiaTheme="minorEastAsia" w:hAnsi="Calibri" w:cs="Calibri"/>
                <w:i/>
                <w:iCs/>
                <w:color w:val="FFFFFF"/>
                <w:sz w:val="20"/>
                <w:lang w:eastAsia="en-AU"/>
              </w:rPr>
              <w:t>2016</w:t>
            </w:r>
            <w:r>
              <w:rPr>
                <w:rFonts w:ascii="Calibri" w:eastAsiaTheme="minorEastAsia" w:hAnsi="Calibri" w:cs="Calibri"/>
                <w:i/>
                <w:iCs/>
                <w:color w:val="FFFFFF"/>
                <w:sz w:val="20"/>
                <w:lang w:eastAsia="en-AU"/>
              </w:rPr>
              <w:noBreakHyphen/>
            </w:r>
            <w:r w:rsidRPr="00E22AD9">
              <w:rPr>
                <w:rFonts w:ascii="Calibri" w:eastAsiaTheme="minorEastAsia" w:hAnsi="Calibri" w:cs="Calibri"/>
                <w:i/>
                <w:iCs/>
                <w:color w:val="FFFFFF"/>
                <w:sz w:val="20"/>
                <w:lang w:eastAsia="en-AU"/>
              </w:rPr>
              <w:t>17</w:t>
            </w:r>
          </w:p>
          <w:p w:rsidR="00965D85" w:rsidRPr="00E22AD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E22AD9">
              <w:rPr>
                <w:rFonts w:ascii="Calibri" w:eastAsiaTheme="minorEastAsia" w:hAnsi="Calibri" w:cs="Calibri"/>
                <w:i/>
                <w:iCs/>
                <w:color w:val="FFFFFF"/>
                <w:sz w:val="20"/>
                <w:lang w:eastAsia="en-AU"/>
              </w:rPr>
              <w:t>estimate</w:t>
            </w:r>
          </w:p>
        </w:tc>
        <w:tc>
          <w:tcPr>
            <w:tcW w:w="873" w:type="dxa"/>
            <w:tcBorders>
              <w:top w:val="single" w:sz="6" w:space="0" w:color="auto"/>
              <w:left w:val="nil"/>
              <w:right w:val="nil"/>
            </w:tcBorders>
            <w:shd w:val="solid" w:color="000000" w:fill="auto"/>
          </w:tcPr>
          <w:p w:rsidR="00965D85" w:rsidRPr="00E22AD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E22AD9">
              <w:rPr>
                <w:rFonts w:ascii="Calibri" w:eastAsiaTheme="minorEastAsia" w:hAnsi="Calibri" w:cs="Calibri"/>
                <w:i/>
                <w:iCs/>
                <w:color w:val="FFFFFF"/>
                <w:sz w:val="20"/>
                <w:lang w:eastAsia="en-AU"/>
              </w:rPr>
              <w:t>2017</w:t>
            </w:r>
            <w:r>
              <w:rPr>
                <w:rFonts w:ascii="Calibri" w:eastAsiaTheme="minorEastAsia" w:hAnsi="Calibri" w:cs="Calibri"/>
                <w:i/>
                <w:iCs/>
                <w:color w:val="FFFFFF"/>
                <w:sz w:val="20"/>
                <w:lang w:eastAsia="en-AU"/>
              </w:rPr>
              <w:noBreakHyphen/>
            </w:r>
            <w:r w:rsidRPr="00E22AD9">
              <w:rPr>
                <w:rFonts w:ascii="Calibri" w:eastAsiaTheme="minorEastAsia" w:hAnsi="Calibri" w:cs="Calibri"/>
                <w:i/>
                <w:iCs/>
                <w:color w:val="FFFFFF"/>
                <w:sz w:val="20"/>
                <w:lang w:eastAsia="en-AU"/>
              </w:rPr>
              <w:t>18</w:t>
            </w:r>
          </w:p>
          <w:p w:rsidR="00965D85" w:rsidRPr="00E22AD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E22AD9">
              <w:rPr>
                <w:rFonts w:ascii="Calibri" w:eastAsiaTheme="minorEastAsia" w:hAnsi="Calibri" w:cs="Calibri"/>
                <w:i/>
                <w:iCs/>
                <w:color w:val="FFFFFF"/>
                <w:sz w:val="20"/>
                <w:lang w:eastAsia="en-AU"/>
              </w:rPr>
              <w:t>estimate</w:t>
            </w:r>
          </w:p>
        </w:tc>
        <w:tc>
          <w:tcPr>
            <w:tcW w:w="873" w:type="dxa"/>
            <w:tcBorders>
              <w:top w:val="single" w:sz="6" w:space="0" w:color="auto"/>
              <w:left w:val="nil"/>
              <w:right w:val="nil"/>
            </w:tcBorders>
            <w:shd w:val="solid" w:color="000000" w:fill="auto"/>
          </w:tcPr>
          <w:p w:rsidR="00965D85" w:rsidRPr="00E22AD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E22AD9">
              <w:rPr>
                <w:rFonts w:ascii="Calibri" w:eastAsiaTheme="minorEastAsia" w:hAnsi="Calibri" w:cs="Calibri"/>
                <w:i/>
                <w:iCs/>
                <w:color w:val="FFFFFF"/>
                <w:sz w:val="20"/>
                <w:lang w:eastAsia="en-AU"/>
              </w:rPr>
              <w:t>2018</w:t>
            </w:r>
            <w:r>
              <w:rPr>
                <w:rFonts w:ascii="Calibri" w:eastAsiaTheme="minorEastAsia" w:hAnsi="Calibri" w:cs="Calibri"/>
                <w:i/>
                <w:iCs/>
                <w:color w:val="FFFFFF"/>
                <w:sz w:val="20"/>
                <w:lang w:eastAsia="en-AU"/>
              </w:rPr>
              <w:noBreakHyphen/>
            </w:r>
            <w:r w:rsidRPr="00E22AD9">
              <w:rPr>
                <w:rFonts w:ascii="Calibri" w:eastAsiaTheme="minorEastAsia" w:hAnsi="Calibri" w:cs="Calibri"/>
                <w:i/>
                <w:iCs/>
                <w:color w:val="FFFFFF"/>
                <w:sz w:val="20"/>
                <w:lang w:eastAsia="en-AU"/>
              </w:rPr>
              <w:t>19</w:t>
            </w:r>
          </w:p>
          <w:p w:rsidR="00965D85" w:rsidRPr="00E22AD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E22AD9">
              <w:rPr>
                <w:rFonts w:ascii="Calibri" w:eastAsiaTheme="minorEastAsia" w:hAnsi="Calibri" w:cs="Calibri"/>
                <w:i/>
                <w:iCs/>
                <w:color w:val="FFFFFF"/>
                <w:sz w:val="20"/>
                <w:lang w:eastAsia="en-AU"/>
              </w:rPr>
              <w:t>estimate</w:t>
            </w:r>
          </w:p>
        </w:tc>
      </w:tr>
      <w:tr w:rsidR="00965D85" w:rsidRPr="00E22AD9" w:rsidTr="008B46DF">
        <w:tc>
          <w:tcPr>
            <w:tcW w:w="3402" w:type="dxa"/>
            <w:tcBorders>
              <w:top w:val="single" w:sz="6" w:space="0" w:color="auto"/>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General public services</w:t>
            </w:r>
          </w:p>
        </w:tc>
        <w:tc>
          <w:tcPr>
            <w:tcW w:w="873" w:type="dxa"/>
            <w:tcBorders>
              <w:top w:val="single" w:sz="6" w:space="0" w:color="auto"/>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127.5</w:t>
            </w:r>
          </w:p>
        </w:tc>
        <w:tc>
          <w:tcPr>
            <w:tcW w:w="873" w:type="dxa"/>
            <w:tcBorders>
              <w:top w:val="single" w:sz="6" w:space="0" w:color="auto"/>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147.6</w:t>
            </w:r>
          </w:p>
        </w:tc>
        <w:tc>
          <w:tcPr>
            <w:tcW w:w="873" w:type="dxa"/>
            <w:tcBorders>
              <w:top w:val="single" w:sz="6" w:space="0" w:color="auto"/>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548.2</w:t>
            </w:r>
          </w:p>
        </w:tc>
        <w:tc>
          <w:tcPr>
            <w:tcW w:w="873" w:type="dxa"/>
            <w:tcBorders>
              <w:top w:val="single" w:sz="6" w:space="0" w:color="auto"/>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466.6</w:t>
            </w:r>
          </w:p>
        </w:tc>
        <w:tc>
          <w:tcPr>
            <w:tcW w:w="873" w:type="dxa"/>
            <w:tcBorders>
              <w:top w:val="single" w:sz="6" w:space="0" w:color="auto"/>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555.9</w:t>
            </w:r>
          </w:p>
        </w:tc>
      </w:tr>
      <w:tr w:rsidR="00965D85" w:rsidRPr="00E22AD9" w:rsidTr="008B46DF">
        <w:tc>
          <w:tcPr>
            <w:tcW w:w="3402" w:type="dxa"/>
            <w:tcBorders>
              <w:top w:val="nil"/>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Public order and safety</w:t>
            </w:r>
          </w:p>
        </w:tc>
        <w:tc>
          <w:tcPr>
            <w:tcW w:w="873"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799.0</w:t>
            </w:r>
          </w:p>
        </w:tc>
        <w:tc>
          <w:tcPr>
            <w:tcW w:w="873"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862.5</w:t>
            </w:r>
          </w:p>
        </w:tc>
        <w:tc>
          <w:tcPr>
            <w:tcW w:w="873"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407.7</w:t>
            </w:r>
          </w:p>
        </w:tc>
        <w:tc>
          <w:tcPr>
            <w:tcW w:w="873"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558.7</w:t>
            </w:r>
          </w:p>
        </w:tc>
        <w:tc>
          <w:tcPr>
            <w:tcW w:w="873"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197.0</w:t>
            </w:r>
          </w:p>
        </w:tc>
      </w:tr>
      <w:tr w:rsidR="00965D85" w:rsidRPr="00E22AD9" w:rsidTr="008B46DF">
        <w:tc>
          <w:tcPr>
            <w:tcW w:w="3402" w:type="dxa"/>
            <w:tcBorders>
              <w:top w:val="nil"/>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Education</w:t>
            </w:r>
          </w:p>
        </w:tc>
        <w:tc>
          <w:tcPr>
            <w:tcW w:w="873"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493.4</w:t>
            </w:r>
          </w:p>
        </w:tc>
        <w:tc>
          <w:tcPr>
            <w:tcW w:w="873"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487.5</w:t>
            </w:r>
          </w:p>
        </w:tc>
        <w:tc>
          <w:tcPr>
            <w:tcW w:w="873"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519.8</w:t>
            </w:r>
          </w:p>
        </w:tc>
        <w:tc>
          <w:tcPr>
            <w:tcW w:w="873"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259.8</w:t>
            </w:r>
          </w:p>
        </w:tc>
        <w:tc>
          <w:tcPr>
            <w:tcW w:w="873"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255.1</w:t>
            </w:r>
          </w:p>
        </w:tc>
      </w:tr>
      <w:tr w:rsidR="00965D85" w:rsidRPr="00E22AD9" w:rsidTr="008B46DF">
        <w:tc>
          <w:tcPr>
            <w:tcW w:w="3402" w:type="dxa"/>
            <w:tcBorders>
              <w:top w:val="nil"/>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Health</w:t>
            </w:r>
          </w:p>
        </w:tc>
        <w:tc>
          <w:tcPr>
            <w:tcW w:w="873"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692.4</w:t>
            </w:r>
          </w:p>
        </w:tc>
        <w:tc>
          <w:tcPr>
            <w:tcW w:w="873"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722.0</w:t>
            </w:r>
          </w:p>
        </w:tc>
        <w:tc>
          <w:tcPr>
            <w:tcW w:w="873"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1 043.1</w:t>
            </w:r>
          </w:p>
        </w:tc>
        <w:tc>
          <w:tcPr>
            <w:tcW w:w="873"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406.1</w:t>
            </w:r>
          </w:p>
        </w:tc>
        <w:tc>
          <w:tcPr>
            <w:tcW w:w="873"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275.7</w:t>
            </w:r>
          </w:p>
        </w:tc>
      </w:tr>
      <w:tr w:rsidR="00965D85" w:rsidRPr="00E22AD9" w:rsidTr="008B46DF">
        <w:tc>
          <w:tcPr>
            <w:tcW w:w="3402" w:type="dxa"/>
            <w:tcBorders>
              <w:top w:val="nil"/>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Social security and welfare</w:t>
            </w:r>
          </w:p>
        </w:tc>
        <w:tc>
          <w:tcPr>
            <w:tcW w:w="873"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114.0</w:t>
            </w:r>
          </w:p>
        </w:tc>
        <w:tc>
          <w:tcPr>
            <w:tcW w:w="873"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106.7</w:t>
            </w:r>
          </w:p>
        </w:tc>
        <w:tc>
          <w:tcPr>
            <w:tcW w:w="873"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79.8</w:t>
            </w:r>
          </w:p>
        </w:tc>
        <w:tc>
          <w:tcPr>
            <w:tcW w:w="873"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68.2</w:t>
            </w:r>
          </w:p>
        </w:tc>
        <w:tc>
          <w:tcPr>
            <w:tcW w:w="873"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67.1</w:t>
            </w:r>
          </w:p>
        </w:tc>
      </w:tr>
      <w:tr w:rsidR="00965D85" w:rsidRPr="00E22AD9" w:rsidTr="008B46DF">
        <w:tc>
          <w:tcPr>
            <w:tcW w:w="3402" w:type="dxa"/>
            <w:tcBorders>
              <w:top w:val="nil"/>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Housing and community amenities</w:t>
            </w:r>
          </w:p>
        </w:tc>
        <w:tc>
          <w:tcPr>
            <w:tcW w:w="873"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42.3</w:t>
            </w:r>
          </w:p>
        </w:tc>
        <w:tc>
          <w:tcPr>
            <w:tcW w:w="873"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58.2</w:t>
            </w:r>
          </w:p>
        </w:tc>
        <w:tc>
          <w:tcPr>
            <w:tcW w:w="873"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58.8</w:t>
            </w:r>
          </w:p>
        </w:tc>
        <w:tc>
          <w:tcPr>
            <w:tcW w:w="873"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39.1</w:t>
            </w:r>
          </w:p>
        </w:tc>
        <w:tc>
          <w:tcPr>
            <w:tcW w:w="873"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29.0</w:t>
            </w:r>
          </w:p>
        </w:tc>
      </w:tr>
      <w:tr w:rsidR="00965D85" w:rsidRPr="00E22AD9" w:rsidTr="008B46DF">
        <w:tc>
          <w:tcPr>
            <w:tcW w:w="3402" w:type="dxa"/>
            <w:tcBorders>
              <w:top w:val="nil"/>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Recreation and culture</w:t>
            </w:r>
          </w:p>
        </w:tc>
        <w:tc>
          <w:tcPr>
            <w:tcW w:w="873"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120.9</w:t>
            </w:r>
          </w:p>
        </w:tc>
        <w:tc>
          <w:tcPr>
            <w:tcW w:w="873"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103.4</w:t>
            </w:r>
          </w:p>
        </w:tc>
        <w:tc>
          <w:tcPr>
            <w:tcW w:w="873"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92.6</w:t>
            </w:r>
          </w:p>
        </w:tc>
        <w:tc>
          <w:tcPr>
            <w:tcW w:w="873"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39.8</w:t>
            </w:r>
          </w:p>
        </w:tc>
        <w:tc>
          <w:tcPr>
            <w:tcW w:w="873"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60.9</w:t>
            </w:r>
          </w:p>
        </w:tc>
      </w:tr>
      <w:tr w:rsidR="00965D85" w:rsidRPr="00E22AD9" w:rsidTr="008B46DF">
        <w:tc>
          <w:tcPr>
            <w:tcW w:w="3402" w:type="dxa"/>
            <w:tcBorders>
              <w:top w:val="nil"/>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Fuel and energy</w:t>
            </w:r>
          </w:p>
        </w:tc>
        <w:tc>
          <w:tcPr>
            <w:tcW w:w="873"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3.0</w:t>
            </w:r>
          </w:p>
        </w:tc>
        <w:tc>
          <w:tcPr>
            <w:tcW w:w="873"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3.0</w:t>
            </w:r>
          </w:p>
        </w:tc>
        <w:tc>
          <w:tcPr>
            <w:tcW w:w="873"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2.7</w:t>
            </w:r>
          </w:p>
        </w:tc>
        <w:tc>
          <w:tcPr>
            <w:tcW w:w="873"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2.7</w:t>
            </w:r>
          </w:p>
        </w:tc>
        <w:tc>
          <w:tcPr>
            <w:tcW w:w="873"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2.6</w:t>
            </w:r>
          </w:p>
        </w:tc>
      </w:tr>
      <w:tr w:rsidR="00965D85" w:rsidRPr="00E22AD9" w:rsidTr="008B46DF">
        <w:tc>
          <w:tcPr>
            <w:tcW w:w="3402" w:type="dxa"/>
            <w:tcBorders>
              <w:top w:val="nil"/>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Agriculture, forestry, fishing, and hunting</w:t>
            </w:r>
          </w:p>
        </w:tc>
        <w:tc>
          <w:tcPr>
            <w:tcW w:w="873"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17.5</w:t>
            </w:r>
          </w:p>
        </w:tc>
        <w:tc>
          <w:tcPr>
            <w:tcW w:w="873"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68.8</w:t>
            </w:r>
          </w:p>
        </w:tc>
        <w:tc>
          <w:tcPr>
            <w:tcW w:w="873"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42.1</w:t>
            </w:r>
          </w:p>
        </w:tc>
        <w:tc>
          <w:tcPr>
            <w:tcW w:w="873"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42.1</w:t>
            </w:r>
          </w:p>
        </w:tc>
        <w:tc>
          <w:tcPr>
            <w:tcW w:w="873"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42.1</w:t>
            </w:r>
          </w:p>
        </w:tc>
      </w:tr>
      <w:tr w:rsidR="00965D85" w:rsidRPr="00E22AD9" w:rsidTr="008B46DF">
        <w:tc>
          <w:tcPr>
            <w:tcW w:w="3402" w:type="dxa"/>
            <w:tcBorders>
              <w:top w:val="nil"/>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Transport and communications</w:t>
            </w:r>
          </w:p>
        </w:tc>
        <w:tc>
          <w:tcPr>
            <w:tcW w:w="873"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2 365.6</w:t>
            </w:r>
          </w:p>
        </w:tc>
        <w:tc>
          <w:tcPr>
            <w:tcW w:w="873"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2 361.5</w:t>
            </w:r>
          </w:p>
        </w:tc>
        <w:tc>
          <w:tcPr>
            <w:tcW w:w="873"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2 804.0</w:t>
            </w:r>
          </w:p>
        </w:tc>
        <w:tc>
          <w:tcPr>
            <w:tcW w:w="873"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2 810.6</w:t>
            </w:r>
          </w:p>
        </w:tc>
        <w:tc>
          <w:tcPr>
            <w:tcW w:w="873"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2 523.3</w:t>
            </w:r>
          </w:p>
        </w:tc>
      </w:tr>
      <w:tr w:rsidR="00965D85" w:rsidRPr="00E22AD9" w:rsidTr="008B46DF">
        <w:tc>
          <w:tcPr>
            <w:tcW w:w="3402" w:type="dxa"/>
            <w:tcBorders>
              <w:top w:val="nil"/>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Other economic affairs</w:t>
            </w:r>
          </w:p>
        </w:tc>
        <w:tc>
          <w:tcPr>
            <w:tcW w:w="873"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131.2</w:t>
            </w:r>
          </w:p>
        </w:tc>
        <w:tc>
          <w:tcPr>
            <w:tcW w:w="873"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112.5</w:t>
            </w:r>
          </w:p>
        </w:tc>
        <w:tc>
          <w:tcPr>
            <w:tcW w:w="873"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112.3</w:t>
            </w:r>
          </w:p>
        </w:tc>
        <w:tc>
          <w:tcPr>
            <w:tcW w:w="873"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104.7</w:t>
            </w:r>
          </w:p>
        </w:tc>
        <w:tc>
          <w:tcPr>
            <w:tcW w:w="873"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17.8</w:t>
            </w:r>
          </w:p>
        </w:tc>
      </w:tr>
      <w:tr w:rsidR="00965D85" w:rsidRPr="00E22AD9" w:rsidTr="008B46DF">
        <w:tc>
          <w:tcPr>
            <w:tcW w:w="3402" w:type="dxa"/>
            <w:tcBorders>
              <w:top w:val="nil"/>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 xml:space="preserve">Other purposes </w:t>
            </w:r>
          </w:p>
        </w:tc>
        <w:tc>
          <w:tcPr>
            <w:tcW w:w="873"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1.0</w:t>
            </w:r>
          </w:p>
        </w:tc>
        <w:tc>
          <w:tcPr>
            <w:tcW w:w="873"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1.0</w:t>
            </w:r>
          </w:p>
        </w:tc>
        <w:tc>
          <w:tcPr>
            <w:tcW w:w="873"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0.9</w:t>
            </w:r>
          </w:p>
        </w:tc>
        <w:tc>
          <w:tcPr>
            <w:tcW w:w="873"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0.9</w:t>
            </w:r>
          </w:p>
        </w:tc>
        <w:tc>
          <w:tcPr>
            <w:tcW w:w="873"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0.9</w:t>
            </w:r>
          </w:p>
        </w:tc>
      </w:tr>
      <w:tr w:rsidR="00965D85" w:rsidRPr="00E22AD9" w:rsidTr="008B46DF">
        <w:tc>
          <w:tcPr>
            <w:tcW w:w="3402" w:type="dxa"/>
            <w:tcBorders>
              <w:top w:val="nil"/>
              <w:left w:val="nil"/>
              <w:bottom w:val="single" w:sz="6" w:space="0" w:color="auto"/>
              <w:right w:val="nil"/>
            </w:tcBorders>
            <w:shd w:val="clear" w:color="000000"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20"/>
                <w:vertAlign w:val="superscript"/>
                <w:lang w:eastAsia="en-AU"/>
              </w:rPr>
            </w:pPr>
            <w:r w:rsidRPr="00E22AD9">
              <w:rPr>
                <w:rFonts w:ascii="Calibri" w:eastAsiaTheme="minorEastAsia" w:hAnsi="Calibri" w:cs="Calibri"/>
                <w:color w:val="000000"/>
                <w:sz w:val="20"/>
                <w:lang w:eastAsia="en-AU"/>
              </w:rPr>
              <w:t>Not allocated by purpose</w:t>
            </w:r>
            <w:r w:rsidRPr="00E22AD9">
              <w:rPr>
                <w:rFonts w:ascii="Calibri" w:eastAsiaTheme="minorEastAsia" w:hAnsi="Calibri" w:cs="Calibri"/>
                <w:color w:val="000000"/>
                <w:sz w:val="20"/>
                <w:vertAlign w:val="superscript"/>
                <w:lang w:eastAsia="en-AU"/>
              </w:rPr>
              <w:t>(b)</w:t>
            </w:r>
          </w:p>
        </w:tc>
        <w:tc>
          <w:tcPr>
            <w:tcW w:w="873" w:type="dxa"/>
            <w:tcBorders>
              <w:top w:val="nil"/>
              <w:left w:val="nil"/>
              <w:bottom w:val="single" w:sz="6" w:space="0" w:color="auto"/>
              <w:right w:val="nil"/>
            </w:tcBorders>
            <w:shd w:val="clear" w:color="000000"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(356.1)</w:t>
            </w:r>
          </w:p>
        </w:tc>
        <w:tc>
          <w:tcPr>
            <w:tcW w:w="873" w:type="dxa"/>
            <w:tcBorders>
              <w:top w:val="nil"/>
              <w:left w:val="nil"/>
              <w:bottom w:val="single" w:sz="6" w:space="0" w:color="auto"/>
              <w:right w:val="nil"/>
            </w:tcBorders>
            <w:shd w:val="clear" w:color="000000"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(693.9)</w:t>
            </w:r>
          </w:p>
        </w:tc>
        <w:tc>
          <w:tcPr>
            <w:tcW w:w="873" w:type="dxa"/>
            <w:tcBorders>
              <w:top w:val="nil"/>
              <w:left w:val="nil"/>
              <w:bottom w:val="single" w:sz="6" w:space="0" w:color="auto"/>
              <w:right w:val="nil"/>
            </w:tcBorders>
            <w:shd w:val="clear" w:color="000000"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203.5</w:t>
            </w:r>
          </w:p>
        </w:tc>
        <w:tc>
          <w:tcPr>
            <w:tcW w:w="873" w:type="dxa"/>
            <w:tcBorders>
              <w:top w:val="nil"/>
              <w:left w:val="nil"/>
              <w:bottom w:val="single" w:sz="6" w:space="0" w:color="auto"/>
              <w:right w:val="nil"/>
            </w:tcBorders>
            <w:shd w:val="clear" w:color="000000"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742.6</w:t>
            </w:r>
          </w:p>
        </w:tc>
        <w:tc>
          <w:tcPr>
            <w:tcW w:w="873" w:type="dxa"/>
            <w:tcBorders>
              <w:top w:val="nil"/>
              <w:left w:val="nil"/>
              <w:bottom w:val="single" w:sz="6" w:space="0" w:color="auto"/>
              <w:right w:val="nil"/>
            </w:tcBorders>
            <w:shd w:val="clear" w:color="000000"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1 001.7</w:t>
            </w:r>
          </w:p>
        </w:tc>
      </w:tr>
      <w:tr w:rsidR="00965D85" w:rsidRPr="00E22AD9" w:rsidTr="008B46DF">
        <w:tc>
          <w:tcPr>
            <w:tcW w:w="3402" w:type="dxa"/>
            <w:tcBorders>
              <w:top w:val="single" w:sz="6" w:space="0" w:color="auto"/>
              <w:left w:val="nil"/>
              <w:bottom w:val="single" w:sz="12" w:space="0" w:color="auto"/>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Total purchases of non</w:t>
            </w:r>
            <w:r>
              <w:rPr>
                <w:rFonts w:ascii="Calibri" w:eastAsiaTheme="minorEastAsia" w:hAnsi="Calibri" w:cs="Calibri"/>
                <w:b/>
                <w:bCs/>
                <w:color w:val="000000"/>
                <w:sz w:val="20"/>
                <w:lang w:eastAsia="en-AU"/>
              </w:rPr>
              <w:noBreakHyphen/>
            </w:r>
            <w:r w:rsidRPr="00E22AD9">
              <w:rPr>
                <w:rFonts w:ascii="Calibri" w:eastAsiaTheme="minorEastAsia" w:hAnsi="Calibri" w:cs="Calibri"/>
                <w:b/>
                <w:bCs/>
                <w:color w:val="000000"/>
                <w:sz w:val="20"/>
                <w:lang w:eastAsia="en-AU"/>
              </w:rPr>
              <w:t>financial assets</w:t>
            </w:r>
          </w:p>
        </w:tc>
        <w:tc>
          <w:tcPr>
            <w:tcW w:w="873" w:type="dxa"/>
            <w:tcBorders>
              <w:top w:val="single" w:sz="6" w:space="0" w:color="auto"/>
              <w:left w:val="nil"/>
              <w:bottom w:val="single" w:sz="12" w:space="0" w:color="auto"/>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4 551.7</w:t>
            </w:r>
          </w:p>
        </w:tc>
        <w:tc>
          <w:tcPr>
            <w:tcW w:w="873" w:type="dxa"/>
            <w:tcBorders>
              <w:top w:val="single" w:sz="6" w:space="0" w:color="auto"/>
              <w:left w:val="nil"/>
              <w:bottom w:val="single" w:sz="12" w:space="0" w:color="auto"/>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4 340.8</w:t>
            </w:r>
          </w:p>
        </w:tc>
        <w:tc>
          <w:tcPr>
            <w:tcW w:w="873" w:type="dxa"/>
            <w:tcBorders>
              <w:top w:val="single" w:sz="6" w:space="0" w:color="auto"/>
              <w:left w:val="nil"/>
              <w:bottom w:val="single" w:sz="12" w:space="0" w:color="auto"/>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5 915.4</w:t>
            </w:r>
          </w:p>
        </w:tc>
        <w:tc>
          <w:tcPr>
            <w:tcW w:w="873" w:type="dxa"/>
            <w:tcBorders>
              <w:top w:val="single" w:sz="6" w:space="0" w:color="auto"/>
              <w:left w:val="nil"/>
              <w:bottom w:val="single" w:sz="12" w:space="0" w:color="auto"/>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5 541.9</w:t>
            </w:r>
          </w:p>
        </w:tc>
        <w:tc>
          <w:tcPr>
            <w:tcW w:w="873" w:type="dxa"/>
            <w:tcBorders>
              <w:top w:val="single" w:sz="6" w:space="0" w:color="auto"/>
              <w:left w:val="nil"/>
              <w:bottom w:val="single" w:sz="12" w:space="0" w:color="auto"/>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5 028.9</w:t>
            </w:r>
          </w:p>
        </w:tc>
      </w:tr>
    </w:tbl>
    <w:p w:rsidR="00965D85" w:rsidRDefault="00965D85" w:rsidP="008B46DF">
      <w:pPr>
        <w:pStyle w:val="Notes"/>
        <w:rPr>
          <w:lang w:eastAsia="en-AU"/>
        </w:rPr>
      </w:pPr>
      <w:r>
        <w:rPr>
          <w:lang w:eastAsia="en-AU"/>
        </w:rPr>
        <w:t>Notes:</w:t>
      </w:r>
    </w:p>
    <w:p w:rsidR="00965D85" w:rsidRDefault="00965D85" w:rsidP="008B46DF">
      <w:pPr>
        <w:pStyle w:val="Notes"/>
        <w:rPr>
          <w:lang w:eastAsia="en-AU"/>
        </w:rPr>
      </w:pPr>
      <w:r>
        <w:rPr>
          <w:lang w:eastAsia="en-AU"/>
        </w:rPr>
        <w:t>(a)</w:t>
      </w:r>
      <w:r>
        <w:rPr>
          <w:lang w:eastAsia="en-AU"/>
        </w:rPr>
        <w:tab/>
      </w:r>
      <w:r w:rsidRPr="006A00FB">
        <w:rPr>
          <w:lang w:eastAsia="en-AU"/>
        </w:rPr>
        <w:t>Note 41 of the 2014</w:t>
      </w:r>
      <w:r>
        <w:rPr>
          <w:lang w:eastAsia="en-AU"/>
        </w:rPr>
        <w:noBreakHyphen/>
      </w:r>
      <w:r w:rsidRPr="006A00FB">
        <w:rPr>
          <w:lang w:eastAsia="en-AU"/>
        </w:rPr>
        <w:t>15</w:t>
      </w:r>
      <w:r>
        <w:rPr>
          <w:lang w:eastAsia="en-AU"/>
        </w:rPr>
        <w:t xml:space="preserve"> </w:t>
      </w:r>
      <w:r w:rsidRPr="00DC0089">
        <w:rPr>
          <w:i w:val="0"/>
          <w:lang w:eastAsia="en-AU"/>
        </w:rPr>
        <w:t>Financial Report</w:t>
      </w:r>
      <w:r>
        <w:rPr>
          <w:lang w:eastAsia="en-AU"/>
        </w:rPr>
        <w:t xml:space="preserve"> for the State of Victoria provides definitions and descriptions of government purpose classifications.</w:t>
      </w:r>
    </w:p>
    <w:p w:rsidR="00965D85" w:rsidRDefault="00965D85" w:rsidP="008B46DF">
      <w:pPr>
        <w:pStyle w:val="Notes"/>
        <w:rPr>
          <w:lang w:eastAsia="en-AU"/>
        </w:rPr>
      </w:pPr>
      <w:r>
        <w:rPr>
          <w:lang w:eastAsia="en-AU"/>
        </w:rPr>
        <w:t>(b)</w:t>
      </w:r>
      <w:r>
        <w:rPr>
          <w:lang w:eastAsia="en-AU"/>
        </w:rPr>
        <w:tab/>
        <w:t>Estimated amount available to be allocated to departments and projects in future budgets, including for major capital investment. This includes departmental spending, which may be subject to carryover.</w:t>
      </w:r>
    </w:p>
    <w:p w:rsidR="00965D85" w:rsidRDefault="00965D85" w:rsidP="008B46DF">
      <w:pPr>
        <w:rPr>
          <w:lang w:eastAsia="en-AU"/>
        </w:rPr>
      </w:pPr>
    </w:p>
    <w:p w:rsidR="00965D85" w:rsidRDefault="00965D85" w:rsidP="008B46DF">
      <w:pPr>
        <w:rPr>
          <w:lang w:eastAsia="en-AU"/>
        </w:rPr>
      </w:pPr>
    </w:p>
    <w:p w:rsidR="00965D85" w:rsidRDefault="00965D85">
      <w:pPr>
        <w:spacing w:after="0"/>
        <w:rPr>
          <w:rFonts w:ascii="Calibri" w:eastAsiaTheme="minorEastAsia" w:hAnsi="Calibri"/>
          <w:b/>
          <w:kern w:val="28"/>
          <w:sz w:val="26"/>
          <w:szCs w:val="22"/>
          <w:lang w:eastAsia="en-AU"/>
        </w:rPr>
      </w:pPr>
      <w:r>
        <w:rPr>
          <w:rFonts w:eastAsiaTheme="minorEastAsia"/>
          <w:lang w:eastAsia="en-AU"/>
        </w:rPr>
        <w:br w:type="page"/>
      </w:r>
    </w:p>
    <w:p w:rsidR="00965D85" w:rsidRDefault="00965D85" w:rsidP="008B46DF">
      <w:pPr>
        <w:pStyle w:val="Heading2NotesContd"/>
        <w:rPr>
          <w:rFonts w:eastAsiaTheme="minorEastAsia"/>
          <w:i/>
          <w:lang w:eastAsia="en-AU"/>
        </w:rPr>
      </w:pPr>
      <w:r>
        <w:rPr>
          <w:rFonts w:eastAsiaTheme="minorEastAsia"/>
          <w:lang w:eastAsia="en-AU"/>
        </w:rPr>
        <w:lastRenderedPageBreak/>
        <w:t>Note 20:</w:t>
      </w:r>
      <w:r>
        <w:rPr>
          <w:rFonts w:eastAsiaTheme="minorEastAsia"/>
          <w:lang w:eastAsia="en-AU"/>
        </w:rPr>
        <w:tab/>
        <w:t xml:space="preserve">Assets classified by government purpose and by department </w:t>
      </w:r>
      <w:r w:rsidRPr="0052324C">
        <w:rPr>
          <w:rFonts w:eastAsiaTheme="minorEastAsia"/>
          <w:i/>
          <w:lang w:eastAsia="en-AU"/>
        </w:rPr>
        <w:t>(continued)</w:t>
      </w:r>
    </w:p>
    <w:p w:rsidR="00965D85" w:rsidRDefault="00965D85" w:rsidP="008B46DF">
      <w:pPr>
        <w:pStyle w:val="Heading5"/>
        <w:rPr>
          <w:rFonts w:ascii="Times New Roman" w:hAnsi="Times New Roman"/>
          <w:i/>
          <w:sz w:val="20"/>
          <w:lang w:eastAsia="en-AU"/>
        </w:rPr>
      </w:pPr>
      <w:r w:rsidRPr="003878BE">
        <w:rPr>
          <w:lang w:eastAsia="en-AU"/>
        </w:rPr>
        <w:t xml:space="preserve">(b) </w:t>
      </w:r>
      <w:r w:rsidRPr="003878BE">
        <w:rPr>
          <w:lang w:eastAsia="en-AU"/>
        </w:rPr>
        <w:tab/>
        <w:t>Purchase of non</w:t>
      </w:r>
      <w:r>
        <w:rPr>
          <w:lang w:eastAsia="en-AU"/>
        </w:rPr>
        <w:noBreakHyphen/>
      </w:r>
      <w:r w:rsidRPr="003878BE">
        <w:rPr>
          <w:lang w:eastAsia="en-AU"/>
        </w:rPr>
        <w:t>financial assets by department</w:t>
      </w:r>
      <w:r w:rsidRPr="00466FED">
        <w:rPr>
          <w:vertAlign w:val="superscript"/>
          <w:lang w:eastAsia="en-AU"/>
        </w:rPr>
        <w:t>(a)</w:t>
      </w:r>
    </w:p>
    <w:tbl>
      <w:tblPr>
        <w:tblW w:w="7797" w:type="dxa"/>
        <w:tblInd w:w="28" w:type="dxa"/>
        <w:tblLayout w:type="fixed"/>
        <w:tblCellMar>
          <w:left w:w="28" w:type="dxa"/>
          <w:right w:w="28" w:type="dxa"/>
        </w:tblCellMar>
        <w:tblLook w:val="0000" w:firstRow="0" w:lastRow="0" w:firstColumn="0" w:lastColumn="0" w:noHBand="0" w:noVBand="0"/>
      </w:tblPr>
      <w:tblGrid>
        <w:gridCol w:w="3402"/>
        <w:gridCol w:w="879"/>
        <w:gridCol w:w="879"/>
        <w:gridCol w:w="879"/>
        <w:gridCol w:w="879"/>
        <w:gridCol w:w="879"/>
      </w:tblGrid>
      <w:tr w:rsidR="00965D85" w:rsidRPr="00E22AD9" w:rsidTr="008B46DF">
        <w:trPr>
          <w:tblHeader/>
        </w:trPr>
        <w:tc>
          <w:tcPr>
            <w:tcW w:w="7797" w:type="dxa"/>
            <w:gridSpan w:val="6"/>
            <w:tcBorders>
              <w:top w:val="nil"/>
              <w:left w:val="nil"/>
              <w:bottom w:val="nil"/>
              <w:right w:val="nil"/>
            </w:tcBorders>
          </w:tcPr>
          <w:p w:rsidR="00965D85" w:rsidRPr="00E22AD9" w:rsidRDefault="00965D85" w:rsidP="008B46DF">
            <w:pPr>
              <w:pStyle w:val="million"/>
              <w:rPr>
                <w:rFonts w:eastAsiaTheme="minorEastAsia" w:cs="Calibri"/>
                <w:iCs/>
                <w:color w:val="000000"/>
                <w:sz w:val="20"/>
                <w:lang w:eastAsia="en-AU"/>
              </w:rPr>
            </w:pPr>
            <w:r w:rsidRPr="00E22AD9">
              <w:rPr>
                <w:rFonts w:eastAsiaTheme="minorEastAsia"/>
                <w:lang w:eastAsia="en-AU"/>
              </w:rPr>
              <w:t>($ million)</w:t>
            </w:r>
          </w:p>
        </w:tc>
      </w:tr>
      <w:tr w:rsidR="00965D85" w:rsidRPr="004E5DCF" w:rsidTr="008B46DF">
        <w:trPr>
          <w:trHeight w:val="467"/>
          <w:tblHeader/>
        </w:trPr>
        <w:tc>
          <w:tcPr>
            <w:tcW w:w="3402" w:type="dxa"/>
            <w:tcBorders>
              <w:top w:val="nil"/>
              <w:left w:val="nil"/>
              <w:right w:val="nil"/>
            </w:tcBorders>
            <w:shd w:val="solid" w:color="000000" w:fill="auto"/>
          </w:tcPr>
          <w:p w:rsidR="00965D85" w:rsidRPr="004E5DCF" w:rsidRDefault="00965D85" w:rsidP="008B46DF">
            <w:pPr>
              <w:pStyle w:val="million"/>
              <w:rPr>
                <w:rFonts w:eastAsiaTheme="minorEastAsia"/>
                <w:sz w:val="20"/>
                <w:szCs w:val="20"/>
                <w:lang w:eastAsia="en-AU"/>
              </w:rPr>
            </w:pPr>
            <w:r w:rsidRPr="004E5DCF">
              <w:rPr>
                <w:rFonts w:eastAsiaTheme="minorEastAsia"/>
                <w:sz w:val="20"/>
                <w:szCs w:val="20"/>
                <w:lang w:eastAsia="en-AU"/>
              </w:rPr>
              <w:t xml:space="preserve"> </w:t>
            </w:r>
          </w:p>
          <w:p w:rsidR="00965D85" w:rsidRPr="004E5DCF" w:rsidRDefault="00965D85" w:rsidP="008B46DF">
            <w:pPr>
              <w:autoSpaceDE w:val="0"/>
              <w:autoSpaceDN w:val="0"/>
              <w:adjustRightInd w:val="0"/>
              <w:spacing w:after="0"/>
              <w:rPr>
                <w:rFonts w:eastAsiaTheme="minorEastAsia"/>
                <w:sz w:val="20"/>
                <w:lang w:eastAsia="en-AU"/>
              </w:rPr>
            </w:pPr>
            <w:r w:rsidRPr="004E5DCF">
              <w:rPr>
                <w:rFonts w:ascii="Calibri" w:eastAsiaTheme="minorEastAsia" w:hAnsi="Calibri" w:cs="Calibri"/>
                <w:i/>
                <w:iCs/>
                <w:color w:val="FFFFFF"/>
                <w:sz w:val="20"/>
                <w:lang w:eastAsia="en-AU"/>
              </w:rPr>
              <w:t xml:space="preserve"> </w:t>
            </w:r>
          </w:p>
        </w:tc>
        <w:tc>
          <w:tcPr>
            <w:tcW w:w="879" w:type="dxa"/>
            <w:tcBorders>
              <w:top w:val="nil"/>
              <w:left w:val="nil"/>
              <w:right w:val="nil"/>
            </w:tcBorders>
            <w:shd w:val="solid" w:color="000000" w:fill="auto"/>
          </w:tcPr>
          <w:p w:rsidR="00965D85" w:rsidRPr="004E5DCF" w:rsidRDefault="00965D85" w:rsidP="008B46DF">
            <w:pPr>
              <w:pStyle w:val="million"/>
              <w:jc w:val="right"/>
              <w:rPr>
                <w:rFonts w:eastAsiaTheme="minorEastAsia"/>
                <w:sz w:val="20"/>
                <w:szCs w:val="20"/>
                <w:lang w:eastAsia="en-AU"/>
              </w:rPr>
            </w:pPr>
            <w:r w:rsidRPr="004E5DCF">
              <w:rPr>
                <w:rFonts w:eastAsiaTheme="minorEastAsia"/>
                <w:sz w:val="20"/>
                <w:szCs w:val="20"/>
                <w:lang w:eastAsia="en-AU"/>
              </w:rPr>
              <w:t>2015</w:t>
            </w:r>
            <w:r w:rsidRPr="004E5DCF">
              <w:rPr>
                <w:rFonts w:eastAsiaTheme="minorEastAsia"/>
                <w:sz w:val="20"/>
                <w:szCs w:val="20"/>
                <w:lang w:eastAsia="en-AU"/>
              </w:rPr>
              <w:noBreakHyphen/>
              <w:t>16</w:t>
            </w:r>
          </w:p>
          <w:p w:rsidR="00965D85" w:rsidRPr="004E5DCF" w:rsidRDefault="00965D85" w:rsidP="008B46DF">
            <w:pPr>
              <w:autoSpaceDE w:val="0"/>
              <w:autoSpaceDN w:val="0"/>
              <w:adjustRightInd w:val="0"/>
              <w:spacing w:after="0"/>
              <w:jc w:val="right"/>
              <w:rPr>
                <w:rFonts w:eastAsiaTheme="minorEastAsia"/>
                <w:sz w:val="20"/>
                <w:lang w:eastAsia="en-AU"/>
              </w:rPr>
            </w:pPr>
            <w:r w:rsidRPr="004E5DCF">
              <w:rPr>
                <w:rFonts w:ascii="Calibri" w:eastAsiaTheme="minorEastAsia" w:hAnsi="Calibri" w:cs="Calibri"/>
                <w:i/>
                <w:iCs/>
                <w:color w:val="FFFFFF"/>
                <w:sz w:val="20"/>
                <w:lang w:eastAsia="en-AU"/>
              </w:rPr>
              <w:t>budget</w:t>
            </w:r>
          </w:p>
        </w:tc>
        <w:tc>
          <w:tcPr>
            <w:tcW w:w="879" w:type="dxa"/>
            <w:tcBorders>
              <w:top w:val="nil"/>
              <w:left w:val="nil"/>
              <w:right w:val="nil"/>
            </w:tcBorders>
            <w:shd w:val="solid" w:color="000000" w:fill="auto"/>
          </w:tcPr>
          <w:p w:rsidR="00965D85" w:rsidRPr="004E5DCF" w:rsidRDefault="00965D85" w:rsidP="008B46DF">
            <w:pPr>
              <w:pStyle w:val="million"/>
              <w:jc w:val="right"/>
              <w:rPr>
                <w:rFonts w:eastAsiaTheme="minorEastAsia"/>
                <w:sz w:val="20"/>
                <w:szCs w:val="20"/>
                <w:lang w:eastAsia="en-AU"/>
              </w:rPr>
            </w:pPr>
            <w:r w:rsidRPr="004E5DCF">
              <w:rPr>
                <w:rFonts w:eastAsiaTheme="minorEastAsia"/>
                <w:sz w:val="20"/>
                <w:szCs w:val="20"/>
                <w:lang w:eastAsia="en-AU"/>
              </w:rPr>
              <w:t>2015</w:t>
            </w:r>
            <w:r w:rsidRPr="004E5DCF">
              <w:rPr>
                <w:rFonts w:eastAsiaTheme="minorEastAsia"/>
                <w:sz w:val="20"/>
                <w:szCs w:val="20"/>
                <w:lang w:eastAsia="en-AU"/>
              </w:rPr>
              <w:noBreakHyphen/>
              <w:t>16</w:t>
            </w:r>
          </w:p>
          <w:p w:rsidR="00965D85" w:rsidRPr="004E5DCF" w:rsidRDefault="00965D85" w:rsidP="008B46DF">
            <w:pPr>
              <w:autoSpaceDE w:val="0"/>
              <w:autoSpaceDN w:val="0"/>
              <w:adjustRightInd w:val="0"/>
              <w:spacing w:after="0"/>
              <w:jc w:val="right"/>
              <w:rPr>
                <w:rFonts w:eastAsiaTheme="minorEastAsia"/>
                <w:sz w:val="20"/>
                <w:lang w:eastAsia="en-AU"/>
              </w:rPr>
            </w:pPr>
            <w:r w:rsidRPr="004E5DCF">
              <w:rPr>
                <w:rFonts w:ascii="Calibri" w:eastAsiaTheme="minorEastAsia" w:hAnsi="Calibri" w:cs="Calibri"/>
                <w:i/>
                <w:iCs/>
                <w:color w:val="FFFFFF"/>
                <w:sz w:val="20"/>
                <w:lang w:eastAsia="en-AU"/>
              </w:rPr>
              <w:t>revised</w:t>
            </w:r>
          </w:p>
        </w:tc>
        <w:tc>
          <w:tcPr>
            <w:tcW w:w="879" w:type="dxa"/>
            <w:tcBorders>
              <w:top w:val="nil"/>
              <w:left w:val="nil"/>
              <w:right w:val="nil"/>
            </w:tcBorders>
            <w:shd w:val="solid" w:color="000000" w:fill="auto"/>
          </w:tcPr>
          <w:p w:rsidR="00965D85" w:rsidRPr="004E5DCF" w:rsidRDefault="00965D85" w:rsidP="008B46DF">
            <w:pPr>
              <w:pStyle w:val="million"/>
              <w:jc w:val="right"/>
              <w:rPr>
                <w:rFonts w:eastAsiaTheme="minorEastAsia"/>
                <w:sz w:val="20"/>
                <w:szCs w:val="20"/>
                <w:lang w:eastAsia="en-AU"/>
              </w:rPr>
            </w:pPr>
            <w:r w:rsidRPr="004E5DCF">
              <w:rPr>
                <w:rFonts w:eastAsiaTheme="minorEastAsia"/>
                <w:sz w:val="20"/>
                <w:szCs w:val="20"/>
                <w:lang w:eastAsia="en-AU"/>
              </w:rPr>
              <w:t>2016</w:t>
            </w:r>
            <w:r w:rsidRPr="004E5DCF">
              <w:rPr>
                <w:rFonts w:eastAsiaTheme="minorEastAsia"/>
                <w:sz w:val="20"/>
                <w:szCs w:val="20"/>
                <w:lang w:eastAsia="en-AU"/>
              </w:rPr>
              <w:noBreakHyphen/>
              <w:t>17</w:t>
            </w:r>
          </w:p>
          <w:p w:rsidR="00965D85" w:rsidRPr="004E5DCF" w:rsidRDefault="00965D85" w:rsidP="008B46DF">
            <w:pPr>
              <w:autoSpaceDE w:val="0"/>
              <w:autoSpaceDN w:val="0"/>
              <w:adjustRightInd w:val="0"/>
              <w:spacing w:after="0"/>
              <w:jc w:val="right"/>
              <w:rPr>
                <w:rFonts w:eastAsiaTheme="minorEastAsia"/>
                <w:sz w:val="20"/>
                <w:lang w:eastAsia="en-AU"/>
              </w:rPr>
            </w:pPr>
            <w:r w:rsidRPr="004E5DCF">
              <w:rPr>
                <w:rFonts w:ascii="Calibri" w:eastAsiaTheme="minorEastAsia" w:hAnsi="Calibri" w:cs="Calibri"/>
                <w:i/>
                <w:iCs/>
                <w:color w:val="FFFFFF"/>
                <w:sz w:val="20"/>
                <w:lang w:eastAsia="en-AU"/>
              </w:rPr>
              <w:t>estimate</w:t>
            </w:r>
          </w:p>
        </w:tc>
        <w:tc>
          <w:tcPr>
            <w:tcW w:w="879" w:type="dxa"/>
            <w:tcBorders>
              <w:top w:val="nil"/>
              <w:left w:val="nil"/>
              <w:right w:val="nil"/>
            </w:tcBorders>
            <w:shd w:val="solid" w:color="000000" w:fill="auto"/>
          </w:tcPr>
          <w:p w:rsidR="00965D85" w:rsidRPr="004E5DCF" w:rsidRDefault="00965D85" w:rsidP="008B46DF">
            <w:pPr>
              <w:pStyle w:val="million"/>
              <w:jc w:val="right"/>
              <w:rPr>
                <w:rFonts w:eastAsiaTheme="minorEastAsia"/>
                <w:sz w:val="20"/>
                <w:szCs w:val="20"/>
                <w:lang w:eastAsia="en-AU"/>
              </w:rPr>
            </w:pPr>
            <w:r w:rsidRPr="004E5DCF">
              <w:rPr>
                <w:rFonts w:eastAsiaTheme="minorEastAsia"/>
                <w:sz w:val="20"/>
                <w:szCs w:val="20"/>
                <w:lang w:eastAsia="en-AU"/>
              </w:rPr>
              <w:t>2017</w:t>
            </w:r>
            <w:r w:rsidRPr="004E5DCF">
              <w:rPr>
                <w:rFonts w:eastAsiaTheme="minorEastAsia"/>
                <w:sz w:val="20"/>
                <w:szCs w:val="20"/>
                <w:lang w:eastAsia="en-AU"/>
              </w:rPr>
              <w:noBreakHyphen/>
              <w:t>18</w:t>
            </w:r>
          </w:p>
          <w:p w:rsidR="00965D85" w:rsidRPr="004E5DCF" w:rsidRDefault="00965D85" w:rsidP="008B46DF">
            <w:pPr>
              <w:autoSpaceDE w:val="0"/>
              <w:autoSpaceDN w:val="0"/>
              <w:adjustRightInd w:val="0"/>
              <w:spacing w:after="0"/>
              <w:jc w:val="right"/>
              <w:rPr>
                <w:rFonts w:eastAsiaTheme="minorEastAsia"/>
                <w:sz w:val="20"/>
                <w:lang w:eastAsia="en-AU"/>
              </w:rPr>
            </w:pPr>
            <w:r w:rsidRPr="004E5DCF">
              <w:rPr>
                <w:rFonts w:ascii="Calibri" w:eastAsiaTheme="minorEastAsia" w:hAnsi="Calibri" w:cs="Calibri"/>
                <w:i/>
                <w:iCs/>
                <w:color w:val="FFFFFF"/>
                <w:sz w:val="20"/>
                <w:lang w:eastAsia="en-AU"/>
              </w:rPr>
              <w:t>estimate</w:t>
            </w:r>
          </w:p>
        </w:tc>
        <w:tc>
          <w:tcPr>
            <w:tcW w:w="879" w:type="dxa"/>
            <w:tcBorders>
              <w:top w:val="nil"/>
              <w:left w:val="nil"/>
              <w:right w:val="nil"/>
            </w:tcBorders>
            <w:shd w:val="solid" w:color="000000" w:fill="auto"/>
          </w:tcPr>
          <w:p w:rsidR="00965D85" w:rsidRPr="004E5DCF" w:rsidRDefault="00965D85" w:rsidP="008B46DF">
            <w:pPr>
              <w:pStyle w:val="million"/>
              <w:jc w:val="right"/>
              <w:rPr>
                <w:rFonts w:eastAsiaTheme="minorEastAsia"/>
                <w:sz w:val="20"/>
                <w:szCs w:val="20"/>
                <w:lang w:eastAsia="en-AU"/>
              </w:rPr>
            </w:pPr>
            <w:r w:rsidRPr="004E5DCF">
              <w:rPr>
                <w:rFonts w:eastAsiaTheme="minorEastAsia"/>
                <w:sz w:val="20"/>
                <w:szCs w:val="20"/>
                <w:lang w:eastAsia="en-AU"/>
              </w:rPr>
              <w:t>2018</w:t>
            </w:r>
            <w:r w:rsidRPr="004E5DCF">
              <w:rPr>
                <w:rFonts w:eastAsiaTheme="minorEastAsia"/>
                <w:sz w:val="20"/>
                <w:szCs w:val="20"/>
                <w:lang w:eastAsia="en-AU"/>
              </w:rPr>
              <w:noBreakHyphen/>
              <w:t>19</w:t>
            </w:r>
          </w:p>
          <w:p w:rsidR="00965D85" w:rsidRPr="004E5DCF" w:rsidRDefault="00965D85" w:rsidP="008B46DF">
            <w:pPr>
              <w:autoSpaceDE w:val="0"/>
              <w:autoSpaceDN w:val="0"/>
              <w:adjustRightInd w:val="0"/>
              <w:spacing w:after="0"/>
              <w:jc w:val="right"/>
              <w:rPr>
                <w:rFonts w:eastAsiaTheme="minorEastAsia"/>
                <w:sz w:val="20"/>
                <w:lang w:eastAsia="en-AU"/>
              </w:rPr>
            </w:pPr>
            <w:r w:rsidRPr="004E5DCF">
              <w:rPr>
                <w:rFonts w:ascii="Calibri" w:eastAsiaTheme="minorEastAsia" w:hAnsi="Calibri" w:cs="Calibri"/>
                <w:i/>
                <w:iCs/>
                <w:color w:val="FFFFFF"/>
                <w:sz w:val="20"/>
                <w:lang w:eastAsia="en-AU"/>
              </w:rPr>
              <w:t>estimate</w:t>
            </w:r>
          </w:p>
        </w:tc>
      </w:tr>
      <w:tr w:rsidR="00965D85" w:rsidRPr="00E22AD9" w:rsidTr="008B46DF">
        <w:tc>
          <w:tcPr>
            <w:tcW w:w="3402" w:type="dxa"/>
            <w:tcBorders>
              <w:top w:val="single" w:sz="6" w:space="0" w:color="auto"/>
              <w:left w:val="nil"/>
              <w:right w:val="nil"/>
            </w:tcBorders>
            <w:shd w:val="clear" w:color="000000"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Economic Development, Jobs, Transport and Resources</w:t>
            </w:r>
          </w:p>
        </w:tc>
        <w:tc>
          <w:tcPr>
            <w:tcW w:w="879" w:type="dxa"/>
            <w:tcBorders>
              <w:top w:val="single" w:sz="6" w:space="0" w:color="auto"/>
              <w:left w:val="nil"/>
              <w:right w:val="nil"/>
            </w:tcBorders>
            <w:shd w:val="clear" w:color="000000"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2 193.7</w:t>
            </w:r>
          </w:p>
        </w:tc>
        <w:tc>
          <w:tcPr>
            <w:tcW w:w="879" w:type="dxa"/>
            <w:tcBorders>
              <w:top w:val="single" w:sz="6" w:space="0" w:color="auto"/>
              <w:left w:val="nil"/>
              <w:right w:val="nil"/>
            </w:tcBorders>
            <w:shd w:val="clear" w:color="000000"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2 330.9</w:t>
            </w:r>
          </w:p>
        </w:tc>
        <w:tc>
          <w:tcPr>
            <w:tcW w:w="879" w:type="dxa"/>
            <w:tcBorders>
              <w:top w:val="single" w:sz="6" w:space="0" w:color="auto"/>
              <w:left w:val="nil"/>
              <w:right w:val="nil"/>
            </w:tcBorders>
            <w:shd w:val="clear" w:color="000000"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2 246.3</w:t>
            </w:r>
          </w:p>
        </w:tc>
        <w:tc>
          <w:tcPr>
            <w:tcW w:w="879" w:type="dxa"/>
            <w:tcBorders>
              <w:top w:val="single" w:sz="6" w:space="0" w:color="auto"/>
              <w:left w:val="nil"/>
              <w:right w:val="nil"/>
            </w:tcBorders>
            <w:shd w:val="clear" w:color="000000"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1 458.6</w:t>
            </w:r>
          </w:p>
        </w:tc>
        <w:tc>
          <w:tcPr>
            <w:tcW w:w="879" w:type="dxa"/>
            <w:tcBorders>
              <w:top w:val="single" w:sz="6" w:space="0" w:color="auto"/>
              <w:left w:val="nil"/>
              <w:right w:val="nil"/>
            </w:tcBorders>
            <w:shd w:val="clear" w:color="000000"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783.6</w:t>
            </w:r>
          </w:p>
        </w:tc>
      </w:tr>
      <w:tr w:rsidR="00965D85" w:rsidRPr="00E22AD9" w:rsidTr="008B46DF">
        <w:tc>
          <w:tcPr>
            <w:tcW w:w="3402" w:type="dxa"/>
            <w:tcBorders>
              <w:top w:val="nil"/>
              <w:left w:val="nil"/>
              <w:right w:val="nil"/>
            </w:tcBorders>
            <w:shd w:val="clear" w:color="000000"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Education and Training</w:t>
            </w:r>
          </w:p>
        </w:tc>
        <w:tc>
          <w:tcPr>
            <w:tcW w:w="879" w:type="dxa"/>
            <w:tcBorders>
              <w:top w:val="nil"/>
              <w:left w:val="nil"/>
              <w:right w:val="nil"/>
            </w:tcBorders>
            <w:shd w:val="clear" w:color="000000"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487.6</w:t>
            </w:r>
          </w:p>
        </w:tc>
        <w:tc>
          <w:tcPr>
            <w:tcW w:w="879" w:type="dxa"/>
            <w:tcBorders>
              <w:top w:val="nil"/>
              <w:left w:val="nil"/>
              <w:right w:val="nil"/>
            </w:tcBorders>
            <w:shd w:val="clear" w:color="000000"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481.7</w:t>
            </w:r>
          </w:p>
        </w:tc>
        <w:tc>
          <w:tcPr>
            <w:tcW w:w="879" w:type="dxa"/>
            <w:tcBorders>
              <w:top w:val="nil"/>
              <w:left w:val="nil"/>
              <w:right w:val="nil"/>
            </w:tcBorders>
            <w:shd w:val="clear" w:color="000000"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514.6</w:t>
            </w:r>
          </w:p>
        </w:tc>
        <w:tc>
          <w:tcPr>
            <w:tcW w:w="879" w:type="dxa"/>
            <w:tcBorders>
              <w:top w:val="nil"/>
              <w:left w:val="nil"/>
              <w:right w:val="nil"/>
            </w:tcBorders>
            <w:shd w:val="clear" w:color="000000"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254.6</w:t>
            </w:r>
          </w:p>
        </w:tc>
        <w:tc>
          <w:tcPr>
            <w:tcW w:w="879" w:type="dxa"/>
            <w:tcBorders>
              <w:top w:val="nil"/>
              <w:left w:val="nil"/>
              <w:right w:val="nil"/>
            </w:tcBorders>
            <w:shd w:val="clear" w:color="000000"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249.9</w:t>
            </w:r>
          </w:p>
        </w:tc>
      </w:tr>
      <w:tr w:rsidR="00965D85" w:rsidRPr="00E22AD9" w:rsidTr="008B46DF">
        <w:tc>
          <w:tcPr>
            <w:tcW w:w="3402" w:type="dxa"/>
            <w:tcBorders>
              <w:top w:val="nil"/>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Environment, Land, Water and Planning</w:t>
            </w:r>
          </w:p>
        </w:tc>
        <w:tc>
          <w:tcPr>
            <w:tcW w:w="879"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60.8</w:t>
            </w:r>
          </w:p>
        </w:tc>
        <w:tc>
          <w:tcPr>
            <w:tcW w:w="879"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97.9</w:t>
            </w:r>
          </w:p>
        </w:tc>
        <w:tc>
          <w:tcPr>
            <w:tcW w:w="879"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83.2</w:t>
            </w:r>
          </w:p>
        </w:tc>
        <w:tc>
          <w:tcPr>
            <w:tcW w:w="879"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57.7</w:t>
            </w:r>
          </w:p>
        </w:tc>
        <w:tc>
          <w:tcPr>
            <w:tcW w:w="879"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48.0</w:t>
            </w:r>
          </w:p>
        </w:tc>
      </w:tr>
      <w:tr w:rsidR="00965D85" w:rsidRPr="00E22AD9" w:rsidTr="008B46DF">
        <w:tc>
          <w:tcPr>
            <w:tcW w:w="3402" w:type="dxa"/>
            <w:tcBorders>
              <w:top w:val="nil"/>
              <w:left w:val="nil"/>
              <w:right w:val="nil"/>
            </w:tcBorders>
            <w:shd w:val="clear" w:color="000000"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Health and Human Services</w:t>
            </w:r>
          </w:p>
        </w:tc>
        <w:tc>
          <w:tcPr>
            <w:tcW w:w="879" w:type="dxa"/>
            <w:tcBorders>
              <w:top w:val="nil"/>
              <w:left w:val="nil"/>
              <w:right w:val="nil"/>
            </w:tcBorders>
            <w:shd w:val="clear" w:color="000000"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873.4</w:t>
            </w:r>
          </w:p>
        </w:tc>
        <w:tc>
          <w:tcPr>
            <w:tcW w:w="879" w:type="dxa"/>
            <w:tcBorders>
              <w:top w:val="nil"/>
              <w:left w:val="nil"/>
              <w:right w:val="nil"/>
            </w:tcBorders>
            <w:shd w:val="clear" w:color="000000"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895.7</w:t>
            </w:r>
          </w:p>
        </w:tc>
        <w:tc>
          <w:tcPr>
            <w:tcW w:w="879" w:type="dxa"/>
            <w:tcBorders>
              <w:top w:val="nil"/>
              <w:left w:val="nil"/>
              <w:right w:val="nil"/>
            </w:tcBorders>
            <w:shd w:val="clear" w:color="000000"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1 113.1</w:t>
            </w:r>
          </w:p>
        </w:tc>
        <w:tc>
          <w:tcPr>
            <w:tcW w:w="879" w:type="dxa"/>
            <w:tcBorders>
              <w:top w:val="nil"/>
              <w:left w:val="nil"/>
              <w:right w:val="nil"/>
            </w:tcBorders>
            <w:shd w:val="clear" w:color="000000"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387.6</w:t>
            </w:r>
          </w:p>
        </w:tc>
        <w:tc>
          <w:tcPr>
            <w:tcW w:w="879" w:type="dxa"/>
            <w:tcBorders>
              <w:top w:val="nil"/>
              <w:left w:val="nil"/>
              <w:right w:val="nil"/>
            </w:tcBorders>
            <w:shd w:val="clear" w:color="000000"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234.1</w:t>
            </w:r>
          </w:p>
        </w:tc>
      </w:tr>
      <w:tr w:rsidR="00965D85" w:rsidRPr="00E22AD9" w:rsidTr="008B46DF">
        <w:tc>
          <w:tcPr>
            <w:tcW w:w="3402" w:type="dxa"/>
            <w:tcBorders>
              <w:top w:val="nil"/>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Justice and Regulation</w:t>
            </w:r>
          </w:p>
        </w:tc>
        <w:tc>
          <w:tcPr>
            <w:tcW w:w="879"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567.3</w:t>
            </w:r>
          </w:p>
        </w:tc>
        <w:tc>
          <w:tcPr>
            <w:tcW w:w="879"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619.9</w:t>
            </w:r>
          </w:p>
        </w:tc>
        <w:tc>
          <w:tcPr>
            <w:tcW w:w="879"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242.1</w:t>
            </w:r>
          </w:p>
        </w:tc>
        <w:tc>
          <w:tcPr>
            <w:tcW w:w="879"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435.4</w:t>
            </w:r>
          </w:p>
        </w:tc>
        <w:tc>
          <w:tcPr>
            <w:tcW w:w="879"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86.6</w:t>
            </w:r>
          </w:p>
        </w:tc>
      </w:tr>
      <w:tr w:rsidR="00965D85" w:rsidRPr="00E22AD9" w:rsidTr="008B46DF">
        <w:tc>
          <w:tcPr>
            <w:tcW w:w="3402" w:type="dxa"/>
            <w:tcBorders>
              <w:top w:val="nil"/>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Premier and Cabinet</w:t>
            </w:r>
          </w:p>
        </w:tc>
        <w:tc>
          <w:tcPr>
            <w:tcW w:w="879"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15.5</w:t>
            </w:r>
          </w:p>
        </w:tc>
        <w:tc>
          <w:tcPr>
            <w:tcW w:w="879"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17.9</w:t>
            </w:r>
          </w:p>
        </w:tc>
        <w:tc>
          <w:tcPr>
            <w:tcW w:w="879"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14.5</w:t>
            </w:r>
          </w:p>
        </w:tc>
        <w:tc>
          <w:tcPr>
            <w:tcW w:w="879"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12.5</w:t>
            </w:r>
          </w:p>
        </w:tc>
        <w:tc>
          <w:tcPr>
            <w:tcW w:w="879"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12.5</w:t>
            </w:r>
          </w:p>
        </w:tc>
      </w:tr>
      <w:tr w:rsidR="00965D85" w:rsidRPr="00E22AD9" w:rsidTr="008B46DF">
        <w:tc>
          <w:tcPr>
            <w:tcW w:w="3402" w:type="dxa"/>
            <w:tcBorders>
              <w:top w:val="nil"/>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Treasury and Finance</w:t>
            </w:r>
          </w:p>
        </w:tc>
        <w:tc>
          <w:tcPr>
            <w:tcW w:w="879"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37.6</w:t>
            </w:r>
          </w:p>
        </w:tc>
        <w:tc>
          <w:tcPr>
            <w:tcW w:w="879"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38.0</w:t>
            </w:r>
          </w:p>
        </w:tc>
        <w:tc>
          <w:tcPr>
            <w:tcW w:w="879"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55.5</w:t>
            </w:r>
          </w:p>
        </w:tc>
        <w:tc>
          <w:tcPr>
            <w:tcW w:w="879"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39.3</w:t>
            </w:r>
          </w:p>
        </w:tc>
        <w:tc>
          <w:tcPr>
            <w:tcW w:w="879"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77.0</w:t>
            </w:r>
          </w:p>
        </w:tc>
      </w:tr>
      <w:tr w:rsidR="00965D85" w:rsidRPr="00E22AD9" w:rsidTr="008B46DF">
        <w:tc>
          <w:tcPr>
            <w:tcW w:w="3402" w:type="dxa"/>
            <w:tcBorders>
              <w:top w:val="nil"/>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Parliament</w:t>
            </w:r>
          </w:p>
        </w:tc>
        <w:tc>
          <w:tcPr>
            <w:tcW w:w="879"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5.4</w:t>
            </w:r>
          </w:p>
        </w:tc>
        <w:tc>
          <w:tcPr>
            <w:tcW w:w="879"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17.2</w:t>
            </w:r>
          </w:p>
        </w:tc>
        <w:tc>
          <w:tcPr>
            <w:tcW w:w="879"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1.8</w:t>
            </w:r>
          </w:p>
        </w:tc>
        <w:tc>
          <w:tcPr>
            <w:tcW w:w="879"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1.8</w:t>
            </w:r>
          </w:p>
        </w:tc>
        <w:tc>
          <w:tcPr>
            <w:tcW w:w="879"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1.8</w:t>
            </w:r>
          </w:p>
        </w:tc>
      </w:tr>
      <w:tr w:rsidR="00965D85" w:rsidRPr="00E22AD9" w:rsidTr="008B46DF">
        <w:tc>
          <w:tcPr>
            <w:tcW w:w="3402" w:type="dxa"/>
            <w:tcBorders>
              <w:top w:val="nil"/>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Courts</w:t>
            </w:r>
          </w:p>
        </w:tc>
        <w:tc>
          <w:tcPr>
            <w:tcW w:w="879"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53.4</w:t>
            </w:r>
          </w:p>
        </w:tc>
        <w:tc>
          <w:tcPr>
            <w:tcW w:w="879"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37.0</w:t>
            </w:r>
          </w:p>
        </w:tc>
        <w:tc>
          <w:tcPr>
            <w:tcW w:w="879"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44.2</w:t>
            </w:r>
          </w:p>
        </w:tc>
        <w:tc>
          <w:tcPr>
            <w:tcW w:w="879"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23.4</w:t>
            </w:r>
          </w:p>
        </w:tc>
        <w:tc>
          <w:tcPr>
            <w:tcW w:w="879"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5.8</w:t>
            </w:r>
          </w:p>
        </w:tc>
      </w:tr>
      <w:tr w:rsidR="00965D85" w:rsidRPr="00E22AD9" w:rsidTr="008B46DF">
        <w:tc>
          <w:tcPr>
            <w:tcW w:w="3402" w:type="dxa"/>
            <w:tcBorders>
              <w:top w:val="nil"/>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20"/>
                <w:vertAlign w:val="superscript"/>
                <w:lang w:eastAsia="en-AU"/>
              </w:rPr>
            </w:pPr>
            <w:r w:rsidRPr="00E22AD9">
              <w:rPr>
                <w:rFonts w:ascii="Calibri" w:eastAsiaTheme="minorEastAsia" w:hAnsi="Calibri" w:cs="Calibri"/>
                <w:color w:val="000000"/>
                <w:sz w:val="20"/>
                <w:lang w:eastAsia="en-AU"/>
              </w:rPr>
              <w:t>Regulatory bodies and other part funded agencies</w:t>
            </w:r>
            <w:r w:rsidRPr="00E22AD9">
              <w:rPr>
                <w:rFonts w:ascii="Calibri" w:eastAsiaTheme="minorEastAsia" w:hAnsi="Calibri" w:cs="Calibri"/>
                <w:color w:val="000000"/>
                <w:sz w:val="20"/>
                <w:vertAlign w:val="superscript"/>
                <w:lang w:eastAsia="en-AU"/>
              </w:rPr>
              <w:t>(a)</w:t>
            </w:r>
          </w:p>
        </w:tc>
        <w:tc>
          <w:tcPr>
            <w:tcW w:w="879"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168.2</w:t>
            </w:r>
          </w:p>
        </w:tc>
        <w:tc>
          <w:tcPr>
            <w:tcW w:w="879"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174.2</w:t>
            </w:r>
          </w:p>
        </w:tc>
        <w:tc>
          <w:tcPr>
            <w:tcW w:w="879"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100.4</w:t>
            </w:r>
          </w:p>
        </w:tc>
        <w:tc>
          <w:tcPr>
            <w:tcW w:w="879"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86.6</w:t>
            </w:r>
          </w:p>
        </w:tc>
        <w:tc>
          <w:tcPr>
            <w:tcW w:w="879"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86.0</w:t>
            </w:r>
          </w:p>
        </w:tc>
      </w:tr>
      <w:tr w:rsidR="00965D85" w:rsidRPr="00E22AD9" w:rsidTr="008B46DF">
        <w:tc>
          <w:tcPr>
            <w:tcW w:w="3402" w:type="dxa"/>
            <w:tcBorders>
              <w:top w:val="nil"/>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20"/>
                <w:vertAlign w:val="superscript"/>
                <w:lang w:eastAsia="en-AU"/>
              </w:rPr>
            </w:pPr>
            <w:r w:rsidRPr="00E22AD9">
              <w:rPr>
                <w:rFonts w:ascii="Calibri" w:eastAsiaTheme="minorEastAsia" w:hAnsi="Calibri" w:cs="Calibri"/>
                <w:color w:val="000000"/>
                <w:sz w:val="20"/>
                <w:lang w:eastAsia="en-AU"/>
              </w:rPr>
              <w:t>Contingencies not allocated to departments</w:t>
            </w:r>
            <w:r w:rsidRPr="00E22AD9">
              <w:rPr>
                <w:rFonts w:ascii="Calibri" w:eastAsiaTheme="minorEastAsia" w:hAnsi="Calibri" w:cs="Calibri"/>
                <w:color w:val="000000"/>
                <w:sz w:val="20"/>
                <w:vertAlign w:val="superscript"/>
                <w:lang w:eastAsia="en-AU"/>
              </w:rPr>
              <w:t>(b)</w:t>
            </w:r>
          </w:p>
        </w:tc>
        <w:tc>
          <w:tcPr>
            <w:tcW w:w="879"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478.1</w:t>
            </w:r>
          </w:p>
        </w:tc>
        <w:tc>
          <w:tcPr>
            <w:tcW w:w="879"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449.1</w:t>
            </w:r>
          </w:p>
        </w:tc>
        <w:tc>
          <w:tcPr>
            <w:tcW w:w="879"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1 709.6</w:t>
            </w:r>
          </w:p>
        </w:tc>
        <w:tc>
          <w:tcPr>
            <w:tcW w:w="879"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2 875.3</w:t>
            </w:r>
          </w:p>
        </w:tc>
        <w:tc>
          <w:tcPr>
            <w:tcW w:w="879"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3 555.1</w:t>
            </w:r>
          </w:p>
        </w:tc>
      </w:tr>
      <w:tr w:rsidR="00965D85" w:rsidRPr="00E22AD9" w:rsidTr="008B46DF">
        <w:tc>
          <w:tcPr>
            <w:tcW w:w="3402" w:type="dxa"/>
            <w:tcBorders>
              <w:top w:val="nil"/>
              <w:left w:val="nil"/>
              <w:bottom w:val="single" w:sz="6" w:space="0" w:color="auto"/>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20"/>
                <w:vertAlign w:val="superscript"/>
                <w:lang w:eastAsia="en-AU"/>
              </w:rPr>
            </w:pPr>
            <w:r w:rsidRPr="00E22AD9">
              <w:rPr>
                <w:rFonts w:ascii="Calibri" w:eastAsiaTheme="minorEastAsia" w:hAnsi="Calibri" w:cs="Calibri"/>
                <w:color w:val="000000"/>
                <w:sz w:val="20"/>
                <w:lang w:eastAsia="en-AU"/>
              </w:rPr>
              <w:t>Adjustments</w:t>
            </w:r>
            <w:r w:rsidRPr="00E22AD9">
              <w:rPr>
                <w:rFonts w:ascii="Calibri" w:eastAsiaTheme="minorEastAsia" w:hAnsi="Calibri" w:cs="Calibri"/>
                <w:color w:val="000000"/>
                <w:sz w:val="20"/>
                <w:vertAlign w:val="superscript"/>
                <w:lang w:eastAsia="en-AU"/>
              </w:rPr>
              <w:t>(c)</w:t>
            </w:r>
          </w:p>
        </w:tc>
        <w:tc>
          <w:tcPr>
            <w:tcW w:w="879" w:type="dxa"/>
            <w:tcBorders>
              <w:top w:val="nil"/>
              <w:left w:val="nil"/>
              <w:bottom w:val="single" w:sz="6" w:space="0" w:color="auto"/>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(389.4)</w:t>
            </w:r>
          </w:p>
        </w:tc>
        <w:tc>
          <w:tcPr>
            <w:tcW w:w="879" w:type="dxa"/>
            <w:tcBorders>
              <w:top w:val="nil"/>
              <w:left w:val="nil"/>
              <w:bottom w:val="single" w:sz="6" w:space="0" w:color="auto"/>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(818.8)</w:t>
            </w:r>
          </w:p>
        </w:tc>
        <w:tc>
          <w:tcPr>
            <w:tcW w:w="879" w:type="dxa"/>
            <w:tcBorders>
              <w:top w:val="nil"/>
              <w:left w:val="nil"/>
              <w:bottom w:val="single" w:sz="6" w:space="0" w:color="auto"/>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(209.8)</w:t>
            </w:r>
          </w:p>
        </w:tc>
        <w:tc>
          <w:tcPr>
            <w:tcW w:w="879" w:type="dxa"/>
            <w:tcBorders>
              <w:top w:val="nil"/>
              <w:left w:val="nil"/>
              <w:bottom w:val="single" w:sz="6" w:space="0" w:color="auto"/>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(90.9)</w:t>
            </w:r>
          </w:p>
        </w:tc>
        <w:tc>
          <w:tcPr>
            <w:tcW w:w="879" w:type="dxa"/>
            <w:tcBorders>
              <w:top w:val="nil"/>
              <w:left w:val="nil"/>
              <w:bottom w:val="single" w:sz="6" w:space="0" w:color="auto"/>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(111.4)</w:t>
            </w:r>
          </w:p>
        </w:tc>
      </w:tr>
      <w:tr w:rsidR="00965D85" w:rsidRPr="00E22AD9" w:rsidTr="008B46DF">
        <w:tc>
          <w:tcPr>
            <w:tcW w:w="3402" w:type="dxa"/>
            <w:tcBorders>
              <w:top w:val="single" w:sz="6" w:space="0" w:color="auto"/>
              <w:left w:val="nil"/>
              <w:bottom w:val="single" w:sz="12" w:space="0" w:color="auto"/>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Total purchases of non</w:t>
            </w:r>
            <w:r>
              <w:rPr>
                <w:rFonts w:ascii="Calibri" w:eastAsiaTheme="minorEastAsia" w:hAnsi="Calibri" w:cs="Calibri"/>
                <w:b/>
                <w:bCs/>
                <w:color w:val="000000"/>
                <w:sz w:val="20"/>
                <w:lang w:eastAsia="en-AU"/>
              </w:rPr>
              <w:noBreakHyphen/>
            </w:r>
            <w:r w:rsidRPr="00E22AD9">
              <w:rPr>
                <w:rFonts w:ascii="Calibri" w:eastAsiaTheme="minorEastAsia" w:hAnsi="Calibri" w:cs="Calibri"/>
                <w:b/>
                <w:bCs/>
                <w:color w:val="000000"/>
                <w:sz w:val="20"/>
                <w:lang w:eastAsia="en-AU"/>
              </w:rPr>
              <w:t>financial assets</w:t>
            </w:r>
          </w:p>
        </w:tc>
        <w:tc>
          <w:tcPr>
            <w:tcW w:w="879" w:type="dxa"/>
            <w:tcBorders>
              <w:top w:val="single" w:sz="6" w:space="0" w:color="auto"/>
              <w:left w:val="nil"/>
              <w:bottom w:val="single" w:sz="12" w:space="0" w:color="auto"/>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4 551.7</w:t>
            </w:r>
          </w:p>
        </w:tc>
        <w:tc>
          <w:tcPr>
            <w:tcW w:w="879" w:type="dxa"/>
            <w:tcBorders>
              <w:top w:val="single" w:sz="6" w:space="0" w:color="auto"/>
              <w:left w:val="nil"/>
              <w:bottom w:val="single" w:sz="12" w:space="0" w:color="auto"/>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4 340.8</w:t>
            </w:r>
          </w:p>
        </w:tc>
        <w:tc>
          <w:tcPr>
            <w:tcW w:w="879" w:type="dxa"/>
            <w:tcBorders>
              <w:top w:val="single" w:sz="6" w:space="0" w:color="auto"/>
              <w:left w:val="nil"/>
              <w:bottom w:val="single" w:sz="12" w:space="0" w:color="auto"/>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5 915.4</w:t>
            </w:r>
          </w:p>
        </w:tc>
        <w:tc>
          <w:tcPr>
            <w:tcW w:w="879" w:type="dxa"/>
            <w:tcBorders>
              <w:top w:val="single" w:sz="6" w:space="0" w:color="auto"/>
              <w:left w:val="nil"/>
              <w:bottom w:val="single" w:sz="12" w:space="0" w:color="auto"/>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5 541.9</w:t>
            </w:r>
          </w:p>
        </w:tc>
        <w:tc>
          <w:tcPr>
            <w:tcW w:w="879" w:type="dxa"/>
            <w:tcBorders>
              <w:top w:val="single" w:sz="6" w:space="0" w:color="auto"/>
              <w:left w:val="nil"/>
              <w:bottom w:val="single" w:sz="12" w:space="0" w:color="auto"/>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5 028.9</w:t>
            </w:r>
          </w:p>
        </w:tc>
      </w:tr>
    </w:tbl>
    <w:p w:rsidR="00965D85" w:rsidRDefault="00965D85" w:rsidP="008B46DF">
      <w:pPr>
        <w:pStyle w:val="Notes"/>
        <w:rPr>
          <w:lang w:eastAsia="en-AU"/>
        </w:rPr>
      </w:pPr>
      <w:r>
        <w:rPr>
          <w:lang w:eastAsia="en-AU"/>
        </w:rPr>
        <w:t>Notes:</w:t>
      </w:r>
    </w:p>
    <w:p w:rsidR="00965D85" w:rsidRDefault="00965D85" w:rsidP="008B46DF">
      <w:pPr>
        <w:pStyle w:val="Notes"/>
        <w:rPr>
          <w:lang w:eastAsia="en-AU"/>
        </w:rPr>
      </w:pPr>
      <w:r>
        <w:rPr>
          <w:lang w:eastAsia="en-AU"/>
        </w:rPr>
        <w:t>(a)</w:t>
      </w:r>
      <w:r>
        <w:rPr>
          <w:lang w:eastAsia="en-AU"/>
        </w:rPr>
        <w:tab/>
        <w:t>Other general government sector agencies not allocated to departmental portfolios.</w:t>
      </w:r>
    </w:p>
    <w:p w:rsidR="00965D85" w:rsidRDefault="00965D85" w:rsidP="008B46DF">
      <w:pPr>
        <w:pStyle w:val="Notes"/>
        <w:rPr>
          <w:lang w:eastAsia="en-AU"/>
        </w:rPr>
      </w:pPr>
      <w:r>
        <w:rPr>
          <w:lang w:eastAsia="en-AU"/>
        </w:rPr>
        <w:t>(b)</w:t>
      </w:r>
      <w:r>
        <w:rPr>
          <w:lang w:eastAsia="en-AU"/>
        </w:rPr>
        <w:tab/>
        <w:t>Note 20(c) provides a breakdown of the general government asset contingencies not allocated to departments.</w:t>
      </w:r>
    </w:p>
    <w:p w:rsidR="00965D85" w:rsidRDefault="00965D85" w:rsidP="008B46DF">
      <w:pPr>
        <w:pStyle w:val="Notes"/>
        <w:rPr>
          <w:lang w:eastAsia="en-AU"/>
        </w:rPr>
      </w:pPr>
      <w:r>
        <w:rPr>
          <w:lang w:eastAsia="en-AU"/>
        </w:rPr>
        <w:t>(c)</w:t>
      </w:r>
      <w:r>
        <w:rPr>
          <w:lang w:eastAsia="en-AU"/>
        </w:rPr>
        <w:tab/>
        <w:t>Mainly comprises estimated departmental underspend which may be subject to carryover and estimated outer budget agency underspend.</w:t>
      </w:r>
    </w:p>
    <w:p w:rsidR="00965D85" w:rsidRDefault="00965D85" w:rsidP="008B46DF">
      <w:pPr>
        <w:rPr>
          <w:lang w:eastAsia="en-AU"/>
        </w:rPr>
      </w:pPr>
    </w:p>
    <w:p w:rsidR="00965D85" w:rsidRDefault="00965D85" w:rsidP="008B46DF">
      <w:pPr>
        <w:rPr>
          <w:lang w:eastAsia="en-AU"/>
        </w:rPr>
      </w:pPr>
    </w:p>
    <w:p w:rsidR="00965D85" w:rsidRDefault="00965D85" w:rsidP="008B46DF">
      <w:pPr>
        <w:pStyle w:val="Heading5"/>
        <w:rPr>
          <w:rFonts w:ascii="Times New Roman" w:hAnsi="Times New Roman"/>
          <w:i/>
          <w:sz w:val="20"/>
          <w:lang w:eastAsia="en-AU"/>
        </w:rPr>
      </w:pPr>
      <w:r w:rsidRPr="003878BE">
        <w:rPr>
          <w:lang w:eastAsia="en-AU"/>
        </w:rPr>
        <w:t xml:space="preserve">(c) </w:t>
      </w:r>
      <w:r w:rsidRPr="003878BE">
        <w:rPr>
          <w:lang w:eastAsia="en-AU"/>
        </w:rPr>
        <w:tab/>
        <w:t>General government asset contingencies not allocated to departments</w:t>
      </w:r>
    </w:p>
    <w:tbl>
      <w:tblPr>
        <w:tblW w:w="7797" w:type="dxa"/>
        <w:tblInd w:w="28" w:type="dxa"/>
        <w:tblLayout w:type="fixed"/>
        <w:tblCellMar>
          <w:left w:w="28" w:type="dxa"/>
          <w:right w:w="28" w:type="dxa"/>
        </w:tblCellMar>
        <w:tblLook w:val="0000" w:firstRow="0" w:lastRow="0" w:firstColumn="0" w:lastColumn="0" w:noHBand="0" w:noVBand="0"/>
      </w:tblPr>
      <w:tblGrid>
        <w:gridCol w:w="3544"/>
        <w:gridCol w:w="850"/>
        <w:gridCol w:w="851"/>
        <w:gridCol w:w="850"/>
        <w:gridCol w:w="851"/>
        <w:gridCol w:w="851"/>
      </w:tblGrid>
      <w:tr w:rsidR="00965D85" w:rsidRPr="00E22AD9" w:rsidTr="008B46DF">
        <w:trPr>
          <w:tblHeader/>
        </w:trPr>
        <w:tc>
          <w:tcPr>
            <w:tcW w:w="7797" w:type="dxa"/>
            <w:gridSpan w:val="6"/>
            <w:tcBorders>
              <w:top w:val="nil"/>
              <w:left w:val="nil"/>
              <w:bottom w:val="nil"/>
              <w:right w:val="nil"/>
            </w:tcBorders>
          </w:tcPr>
          <w:p w:rsidR="00965D85" w:rsidRPr="00E22AD9" w:rsidRDefault="00965D85" w:rsidP="008B46DF">
            <w:pPr>
              <w:pStyle w:val="million"/>
              <w:rPr>
                <w:rFonts w:eastAsiaTheme="minorEastAsia" w:cs="Calibri"/>
                <w:iCs/>
                <w:color w:val="000000"/>
                <w:sz w:val="20"/>
                <w:lang w:eastAsia="en-AU"/>
              </w:rPr>
            </w:pPr>
            <w:r w:rsidRPr="00E22AD9">
              <w:rPr>
                <w:rFonts w:eastAsiaTheme="minorEastAsia"/>
                <w:lang w:eastAsia="en-AU"/>
              </w:rPr>
              <w:t>($ million)</w:t>
            </w:r>
          </w:p>
        </w:tc>
      </w:tr>
      <w:tr w:rsidR="00965D85" w:rsidRPr="00E22AD9" w:rsidTr="008B46DF">
        <w:trPr>
          <w:trHeight w:val="488"/>
          <w:tblHeader/>
        </w:trPr>
        <w:tc>
          <w:tcPr>
            <w:tcW w:w="3544" w:type="dxa"/>
            <w:tcBorders>
              <w:top w:val="nil"/>
              <w:left w:val="nil"/>
              <w:right w:val="nil"/>
            </w:tcBorders>
            <w:shd w:val="solid" w:color="000000" w:fill="auto"/>
          </w:tcPr>
          <w:p w:rsidR="00965D85" w:rsidRPr="00E22AD9" w:rsidRDefault="00965D85" w:rsidP="008B46DF">
            <w:pPr>
              <w:pStyle w:val="million"/>
              <w:rPr>
                <w:rFonts w:eastAsiaTheme="minorEastAsia"/>
                <w:sz w:val="20"/>
                <w:lang w:eastAsia="en-AU"/>
              </w:rPr>
            </w:pPr>
            <w:r w:rsidRPr="00E22AD9">
              <w:rPr>
                <w:rFonts w:eastAsiaTheme="minorEastAsia"/>
                <w:sz w:val="20"/>
                <w:lang w:eastAsia="en-AU"/>
              </w:rPr>
              <w:t xml:space="preserve"> </w:t>
            </w:r>
          </w:p>
          <w:p w:rsidR="00965D85" w:rsidRPr="00E22AD9" w:rsidRDefault="00965D85" w:rsidP="008B46DF">
            <w:pPr>
              <w:autoSpaceDE w:val="0"/>
              <w:autoSpaceDN w:val="0"/>
              <w:adjustRightInd w:val="0"/>
              <w:spacing w:after="0"/>
              <w:rPr>
                <w:rFonts w:eastAsiaTheme="minorEastAsia"/>
                <w:sz w:val="20"/>
                <w:lang w:eastAsia="en-AU"/>
              </w:rPr>
            </w:pPr>
            <w:r w:rsidRPr="00E22AD9">
              <w:rPr>
                <w:rFonts w:ascii="Calibri" w:eastAsiaTheme="minorEastAsia" w:hAnsi="Calibri" w:cs="Calibri"/>
                <w:i/>
                <w:iCs/>
                <w:color w:val="FFFFFF"/>
                <w:sz w:val="20"/>
                <w:lang w:eastAsia="en-AU"/>
              </w:rPr>
              <w:t xml:space="preserve"> </w:t>
            </w:r>
          </w:p>
        </w:tc>
        <w:tc>
          <w:tcPr>
            <w:tcW w:w="850" w:type="dxa"/>
            <w:tcBorders>
              <w:top w:val="nil"/>
              <w:left w:val="nil"/>
              <w:right w:val="nil"/>
            </w:tcBorders>
            <w:shd w:val="solid" w:color="000000" w:fill="auto"/>
          </w:tcPr>
          <w:p w:rsidR="00965D85" w:rsidRPr="00E22AD9" w:rsidRDefault="00965D85" w:rsidP="008B46DF">
            <w:pPr>
              <w:pStyle w:val="million"/>
              <w:jc w:val="right"/>
              <w:rPr>
                <w:rFonts w:eastAsiaTheme="minorEastAsia"/>
                <w:sz w:val="20"/>
                <w:lang w:eastAsia="en-AU"/>
              </w:rPr>
            </w:pPr>
            <w:r w:rsidRPr="00E22AD9">
              <w:rPr>
                <w:rFonts w:eastAsiaTheme="minorEastAsia"/>
                <w:sz w:val="20"/>
                <w:lang w:eastAsia="en-AU"/>
              </w:rPr>
              <w:t>2015</w:t>
            </w:r>
            <w:r>
              <w:rPr>
                <w:rFonts w:eastAsiaTheme="minorEastAsia"/>
                <w:sz w:val="20"/>
                <w:lang w:eastAsia="en-AU"/>
              </w:rPr>
              <w:noBreakHyphen/>
            </w:r>
            <w:r w:rsidRPr="00E22AD9">
              <w:rPr>
                <w:rFonts w:eastAsiaTheme="minorEastAsia"/>
                <w:sz w:val="20"/>
                <w:lang w:eastAsia="en-AU"/>
              </w:rPr>
              <w:t>16</w:t>
            </w:r>
          </w:p>
          <w:p w:rsidR="00965D85" w:rsidRPr="00E22AD9" w:rsidRDefault="00965D85" w:rsidP="008B46DF">
            <w:pPr>
              <w:autoSpaceDE w:val="0"/>
              <w:autoSpaceDN w:val="0"/>
              <w:adjustRightInd w:val="0"/>
              <w:spacing w:after="0"/>
              <w:jc w:val="right"/>
              <w:rPr>
                <w:rFonts w:eastAsiaTheme="minorEastAsia"/>
                <w:sz w:val="20"/>
                <w:lang w:eastAsia="en-AU"/>
              </w:rPr>
            </w:pPr>
            <w:r w:rsidRPr="00E22AD9">
              <w:rPr>
                <w:rFonts w:ascii="Calibri" w:eastAsiaTheme="minorEastAsia" w:hAnsi="Calibri" w:cs="Calibri"/>
                <w:i/>
                <w:iCs/>
                <w:color w:val="FFFFFF"/>
                <w:sz w:val="20"/>
                <w:lang w:eastAsia="en-AU"/>
              </w:rPr>
              <w:t>budget</w:t>
            </w:r>
          </w:p>
        </w:tc>
        <w:tc>
          <w:tcPr>
            <w:tcW w:w="851" w:type="dxa"/>
            <w:tcBorders>
              <w:top w:val="nil"/>
              <w:left w:val="nil"/>
              <w:right w:val="nil"/>
            </w:tcBorders>
            <w:shd w:val="solid" w:color="000000" w:fill="auto"/>
          </w:tcPr>
          <w:p w:rsidR="00965D85" w:rsidRPr="00E22AD9" w:rsidRDefault="00965D85" w:rsidP="008B46DF">
            <w:pPr>
              <w:pStyle w:val="million"/>
              <w:jc w:val="right"/>
              <w:rPr>
                <w:rFonts w:eastAsiaTheme="minorEastAsia"/>
                <w:sz w:val="20"/>
                <w:lang w:eastAsia="en-AU"/>
              </w:rPr>
            </w:pPr>
            <w:r w:rsidRPr="00E22AD9">
              <w:rPr>
                <w:rFonts w:eastAsiaTheme="minorEastAsia"/>
                <w:sz w:val="20"/>
                <w:lang w:eastAsia="en-AU"/>
              </w:rPr>
              <w:t>2015</w:t>
            </w:r>
            <w:r>
              <w:rPr>
                <w:rFonts w:eastAsiaTheme="minorEastAsia"/>
                <w:sz w:val="20"/>
                <w:lang w:eastAsia="en-AU"/>
              </w:rPr>
              <w:noBreakHyphen/>
            </w:r>
            <w:r w:rsidRPr="00E22AD9">
              <w:rPr>
                <w:rFonts w:eastAsiaTheme="minorEastAsia"/>
                <w:sz w:val="20"/>
                <w:lang w:eastAsia="en-AU"/>
              </w:rPr>
              <w:t>16</w:t>
            </w:r>
          </w:p>
          <w:p w:rsidR="00965D85" w:rsidRPr="00E22AD9" w:rsidRDefault="00965D85" w:rsidP="008B46DF">
            <w:pPr>
              <w:autoSpaceDE w:val="0"/>
              <w:autoSpaceDN w:val="0"/>
              <w:adjustRightInd w:val="0"/>
              <w:spacing w:after="0"/>
              <w:jc w:val="right"/>
              <w:rPr>
                <w:rFonts w:eastAsiaTheme="minorEastAsia"/>
                <w:sz w:val="20"/>
                <w:lang w:eastAsia="en-AU"/>
              </w:rPr>
            </w:pPr>
            <w:r w:rsidRPr="00E22AD9">
              <w:rPr>
                <w:rFonts w:ascii="Calibri" w:eastAsiaTheme="minorEastAsia" w:hAnsi="Calibri" w:cs="Calibri"/>
                <w:i/>
                <w:iCs/>
                <w:color w:val="FFFFFF"/>
                <w:sz w:val="20"/>
                <w:lang w:eastAsia="en-AU"/>
              </w:rPr>
              <w:t>revised</w:t>
            </w:r>
          </w:p>
        </w:tc>
        <w:tc>
          <w:tcPr>
            <w:tcW w:w="850" w:type="dxa"/>
            <w:tcBorders>
              <w:top w:val="nil"/>
              <w:left w:val="nil"/>
              <w:right w:val="nil"/>
            </w:tcBorders>
            <w:shd w:val="solid" w:color="000000" w:fill="auto"/>
          </w:tcPr>
          <w:p w:rsidR="00965D85" w:rsidRPr="00E22AD9" w:rsidRDefault="00965D85" w:rsidP="008B46DF">
            <w:pPr>
              <w:pStyle w:val="million"/>
              <w:jc w:val="right"/>
              <w:rPr>
                <w:rFonts w:eastAsiaTheme="minorEastAsia"/>
                <w:sz w:val="20"/>
                <w:lang w:eastAsia="en-AU"/>
              </w:rPr>
            </w:pPr>
            <w:r w:rsidRPr="00E22AD9">
              <w:rPr>
                <w:rFonts w:eastAsiaTheme="minorEastAsia"/>
                <w:sz w:val="20"/>
                <w:lang w:eastAsia="en-AU"/>
              </w:rPr>
              <w:t>2016</w:t>
            </w:r>
            <w:r>
              <w:rPr>
                <w:rFonts w:eastAsiaTheme="minorEastAsia"/>
                <w:sz w:val="20"/>
                <w:lang w:eastAsia="en-AU"/>
              </w:rPr>
              <w:noBreakHyphen/>
            </w:r>
            <w:r w:rsidRPr="00E22AD9">
              <w:rPr>
                <w:rFonts w:eastAsiaTheme="minorEastAsia"/>
                <w:sz w:val="20"/>
                <w:lang w:eastAsia="en-AU"/>
              </w:rPr>
              <w:t>17</w:t>
            </w:r>
          </w:p>
          <w:p w:rsidR="00965D85" w:rsidRPr="00E22AD9" w:rsidRDefault="00965D85" w:rsidP="008B46DF">
            <w:pPr>
              <w:autoSpaceDE w:val="0"/>
              <w:autoSpaceDN w:val="0"/>
              <w:adjustRightInd w:val="0"/>
              <w:spacing w:after="0"/>
              <w:jc w:val="right"/>
              <w:rPr>
                <w:rFonts w:eastAsiaTheme="minorEastAsia"/>
                <w:sz w:val="20"/>
                <w:lang w:eastAsia="en-AU"/>
              </w:rPr>
            </w:pPr>
            <w:r w:rsidRPr="00E22AD9">
              <w:rPr>
                <w:rFonts w:ascii="Calibri" w:eastAsiaTheme="minorEastAsia" w:hAnsi="Calibri" w:cs="Calibri"/>
                <w:i/>
                <w:iCs/>
                <w:color w:val="FFFFFF"/>
                <w:sz w:val="20"/>
                <w:lang w:eastAsia="en-AU"/>
              </w:rPr>
              <w:t>estimate</w:t>
            </w:r>
          </w:p>
        </w:tc>
        <w:tc>
          <w:tcPr>
            <w:tcW w:w="851" w:type="dxa"/>
            <w:tcBorders>
              <w:top w:val="nil"/>
              <w:left w:val="nil"/>
              <w:right w:val="nil"/>
            </w:tcBorders>
            <w:shd w:val="solid" w:color="000000" w:fill="auto"/>
          </w:tcPr>
          <w:p w:rsidR="00965D85" w:rsidRPr="00E22AD9" w:rsidRDefault="00965D85" w:rsidP="008B46DF">
            <w:pPr>
              <w:pStyle w:val="million"/>
              <w:jc w:val="right"/>
              <w:rPr>
                <w:rFonts w:eastAsiaTheme="minorEastAsia"/>
                <w:sz w:val="20"/>
                <w:lang w:eastAsia="en-AU"/>
              </w:rPr>
            </w:pPr>
            <w:r w:rsidRPr="00E22AD9">
              <w:rPr>
                <w:rFonts w:eastAsiaTheme="minorEastAsia"/>
                <w:sz w:val="20"/>
                <w:lang w:eastAsia="en-AU"/>
              </w:rPr>
              <w:t>2017</w:t>
            </w:r>
            <w:r>
              <w:rPr>
                <w:rFonts w:eastAsiaTheme="minorEastAsia"/>
                <w:sz w:val="20"/>
                <w:lang w:eastAsia="en-AU"/>
              </w:rPr>
              <w:noBreakHyphen/>
            </w:r>
            <w:r w:rsidRPr="00E22AD9">
              <w:rPr>
                <w:rFonts w:eastAsiaTheme="minorEastAsia"/>
                <w:sz w:val="20"/>
                <w:lang w:eastAsia="en-AU"/>
              </w:rPr>
              <w:t>18</w:t>
            </w:r>
          </w:p>
          <w:p w:rsidR="00965D85" w:rsidRPr="00E22AD9" w:rsidRDefault="00965D85" w:rsidP="008B46DF">
            <w:pPr>
              <w:autoSpaceDE w:val="0"/>
              <w:autoSpaceDN w:val="0"/>
              <w:adjustRightInd w:val="0"/>
              <w:spacing w:after="0"/>
              <w:jc w:val="right"/>
              <w:rPr>
                <w:rFonts w:eastAsiaTheme="minorEastAsia"/>
                <w:sz w:val="20"/>
                <w:lang w:eastAsia="en-AU"/>
              </w:rPr>
            </w:pPr>
            <w:r w:rsidRPr="00E22AD9">
              <w:rPr>
                <w:rFonts w:ascii="Calibri" w:eastAsiaTheme="minorEastAsia" w:hAnsi="Calibri" w:cs="Calibri"/>
                <w:i/>
                <w:iCs/>
                <w:color w:val="FFFFFF"/>
                <w:sz w:val="20"/>
                <w:lang w:eastAsia="en-AU"/>
              </w:rPr>
              <w:t>estimate</w:t>
            </w:r>
          </w:p>
        </w:tc>
        <w:tc>
          <w:tcPr>
            <w:tcW w:w="851" w:type="dxa"/>
            <w:tcBorders>
              <w:top w:val="nil"/>
              <w:left w:val="nil"/>
              <w:right w:val="nil"/>
            </w:tcBorders>
            <w:shd w:val="solid" w:color="000000" w:fill="auto"/>
          </w:tcPr>
          <w:p w:rsidR="00965D85" w:rsidRPr="00E22AD9" w:rsidRDefault="00965D85" w:rsidP="008B46DF">
            <w:pPr>
              <w:pStyle w:val="million"/>
              <w:jc w:val="right"/>
              <w:rPr>
                <w:rFonts w:eastAsiaTheme="minorEastAsia"/>
                <w:sz w:val="20"/>
                <w:lang w:eastAsia="en-AU"/>
              </w:rPr>
            </w:pPr>
            <w:r w:rsidRPr="00E22AD9">
              <w:rPr>
                <w:rFonts w:eastAsiaTheme="minorEastAsia"/>
                <w:sz w:val="20"/>
                <w:lang w:eastAsia="en-AU"/>
              </w:rPr>
              <w:t>2018</w:t>
            </w:r>
            <w:r>
              <w:rPr>
                <w:rFonts w:eastAsiaTheme="minorEastAsia"/>
                <w:sz w:val="20"/>
                <w:lang w:eastAsia="en-AU"/>
              </w:rPr>
              <w:noBreakHyphen/>
            </w:r>
            <w:r w:rsidRPr="00E22AD9">
              <w:rPr>
                <w:rFonts w:eastAsiaTheme="minorEastAsia"/>
                <w:sz w:val="20"/>
                <w:lang w:eastAsia="en-AU"/>
              </w:rPr>
              <w:t>19</w:t>
            </w:r>
          </w:p>
          <w:p w:rsidR="00965D85" w:rsidRPr="00E22AD9" w:rsidRDefault="00965D85" w:rsidP="008B46DF">
            <w:pPr>
              <w:autoSpaceDE w:val="0"/>
              <w:autoSpaceDN w:val="0"/>
              <w:adjustRightInd w:val="0"/>
              <w:spacing w:after="0"/>
              <w:jc w:val="right"/>
              <w:rPr>
                <w:rFonts w:eastAsiaTheme="minorEastAsia"/>
                <w:sz w:val="20"/>
                <w:lang w:eastAsia="en-AU"/>
              </w:rPr>
            </w:pPr>
            <w:r w:rsidRPr="00E22AD9">
              <w:rPr>
                <w:rFonts w:ascii="Calibri" w:eastAsiaTheme="minorEastAsia" w:hAnsi="Calibri" w:cs="Calibri"/>
                <w:i/>
                <w:iCs/>
                <w:color w:val="FFFFFF"/>
                <w:sz w:val="20"/>
                <w:lang w:eastAsia="en-AU"/>
              </w:rPr>
              <w:t>estimate</w:t>
            </w:r>
          </w:p>
        </w:tc>
      </w:tr>
      <w:tr w:rsidR="00965D85" w:rsidRPr="00E22AD9" w:rsidTr="008B46DF">
        <w:tc>
          <w:tcPr>
            <w:tcW w:w="3544" w:type="dxa"/>
            <w:tcBorders>
              <w:top w:val="single" w:sz="6" w:space="0" w:color="auto"/>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20"/>
                <w:vertAlign w:val="superscript"/>
                <w:lang w:eastAsia="en-AU"/>
              </w:rPr>
            </w:pPr>
            <w:r w:rsidRPr="00E22AD9">
              <w:rPr>
                <w:rFonts w:ascii="Calibri" w:eastAsiaTheme="minorEastAsia" w:hAnsi="Calibri" w:cs="Calibri"/>
                <w:color w:val="000000"/>
                <w:sz w:val="20"/>
                <w:lang w:eastAsia="en-AU"/>
              </w:rPr>
              <w:t>Decisions made but not yet allocated</w:t>
            </w:r>
            <w:r w:rsidRPr="00E22AD9">
              <w:rPr>
                <w:rFonts w:ascii="Calibri" w:eastAsiaTheme="minorEastAsia" w:hAnsi="Calibri" w:cs="Calibri"/>
                <w:color w:val="000000"/>
                <w:sz w:val="20"/>
                <w:vertAlign w:val="superscript"/>
                <w:lang w:eastAsia="en-AU"/>
              </w:rPr>
              <w:t>(a)</w:t>
            </w:r>
          </w:p>
        </w:tc>
        <w:tc>
          <w:tcPr>
            <w:tcW w:w="850" w:type="dxa"/>
            <w:tcBorders>
              <w:top w:val="single" w:sz="6" w:space="0" w:color="auto"/>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478.1</w:t>
            </w:r>
          </w:p>
        </w:tc>
        <w:tc>
          <w:tcPr>
            <w:tcW w:w="851" w:type="dxa"/>
            <w:tcBorders>
              <w:top w:val="single" w:sz="6" w:space="0" w:color="auto"/>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449.1</w:t>
            </w:r>
          </w:p>
        </w:tc>
        <w:tc>
          <w:tcPr>
            <w:tcW w:w="850" w:type="dxa"/>
            <w:tcBorders>
              <w:top w:val="single" w:sz="6" w:space="0" w:color="auto"/>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1 409.6</w:t>
            </w:r>
          </w:p>
        </w:tc>
        <w:tc>
          <w:tcPr>
            <w:tcW w:w="851" w:type="dxa"/>
            <w:tcBorders>
              <w:top w:val="single" w:sz="6" w:space="0" w:color="auto"/>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2 175.3</w:t>
            </w:r>
          </w:p>
        </w:tc>
        <w:tc>
          <w:tcPr>
            <w:tcW w:w="851" w:type="dxa"/>
            <w:tcBorders>
              <w:top w:val="single" w:sz="6" w:space="0" w:color="auto"/>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2 555.1</w:t>
            </w:r>
          </w:p>
        </w:tc>
      </w:tr>
      <w:tr w:rsidR="00965D85" w:rsidRPr="00E22AD9" w:rsidTr="008B46DF">
        <w:tc>
          <w:tcPr>
            <w:tcW w:w="3544" w:type="dxa"/>
            <w:tcBorders>
              <w:top w:val="nil"/>
              <w:left w:val="nil"/>
              <w:bottom w:val="single" w:sz="6" w:space="0" w:color="auto"/>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20"/>
                <w:vertAlign w:val="superscript"/>
                <w:lang w:eastAsia="en-AU"/>
              </w:rPr>
            </w:pPr>
            <w:r w:rsidRPr="00E22AD9">
              <w:rPr>
                <w:rFonts w:ascii="Calibri" w:eastAsiaTheme="minorEastAsia" w:hAnsi="Calibri" w:cs="Calibri"/>
                <w:color w:val="000000"/>
                <w:sz w:val="20"/>
                <w:lang w:eastAsia="en-AU"/>
              </w:rPr>
              <w:t>Funding not allocated to specific purposes</w:t>
            </w:r>
            <w:r w:rsidRPr="00E22AD9">
              <w:rPr>
                <w:rFonts w:ascii="Calibri" w:eastAsiaTheme="minorEastAsia" w:hAnsi="Calibri" w:cs="Calibri"/>
                <w:color w:val="000000"/>
                <w:sz w:val="20"/>
                <w:vertAlign w:val="superscript"/>
                <w:lang w:eastAsia="en-AU"/>
              </w:rPr>
              <w:t>(b)</w:t>
            </w:r>
          </w:p>
        </w:tc>
        <w:tc>
          <w:tcPr>
            <w:tcW w:w="850" w:type="dxa"/>
            <w:tcBorders>
              <w:top w:val="nil"/>
              <w:left w:val="nil"/>
              <w:bottom w:val="single" w:sz="6" w:space="0" w:color="auto"/>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w:t>
            </w:r>
          </w:p>
        </w:tc>
        <w:tc>
          <w:tcPr>
            <w:tcW w:w="851" w:type="dxa"/>
            <w:tcBorders>
              <w:top w:val="nil"/>
              <w:left w:val="nil"/>
              <w:bottom w:val="single" w:sz="6" w:space="0" w:color="auto"/>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w:t>
            </w:r>
          </w:p>
        </w:tc>
        <w:tc>
          <w:tcPr>
            <w:tcW w:w="850" w:type="dxa"/>
            <w:tcBorders>
              <w:top w:val="nil"/>
              <w:left w:val="nil"/>
              <w:bottom w:val="single" w:sz="6" w:space="0" w:color="auto"/>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300.0</w:t>
            </w:r>
          </w:p>
        </w:tc>
        <w:tc>
          <w:tcPr>
            <w:tcW w:w="851" w:type="dxa"/>
            <w:tcBorders>
              <w:top w:val="nil"/>
              <w:left w:val="nil"/>
              <w:bottom w:val="single" w:sz="6" w:space="0" w:color="auto"/>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700.0</w:t>
            </w:r>
          </w:p>
        </w:tc>
        <w:tc>
          <w:tcPr>
            <w:tcW w:w="851" w:type="dxa"/>
            <w:tcBorders>
              <w:top w:val="nil"/>
              <w:left w:val="nil"/>
              <w:bottom w:val="single" w:sz="6" w:space="0" w:color="auto"/>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1 000.0</w:t>
            </w:r>
          </w:p>
        </w:tc>
      </w:tr>
      <w:tr w:rsidR="00965D85" w:rsidRPr="00E22AD9" w:rsidTr="008B46DF">
        <w:tc>
          <w:tcPr>
            <w:tcW w:w="3544" w:type="dxa"/>
            <w:tcBorders>
              <w:top w:val="single" w:sz="6" w:space="0" w:color="auto"/>
              <w:left w:val="nil"/>
              <w:bottom w:val="single" w:sz="12" w:space="0" w:color="auto"/>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Total general government asset contingencies</w:t>
            </w:r>
          </w:p>
        </w:tc>
        <w:tc>
          <w:tcPr>
            <w:tcW w:w="850" w:type="dxa"/>
            <w:tcBorders>
              <w:top w:val="single" w:sz="6" w:space="0" w:color="auto"/>
              <w:left w:val="nil"/>
              <w:bottom w:val="single" w:sz="12" w:space="0" w:color="auto"/>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20"/>
                <w:lang w:eastAsia="en-AU"/>
              </w:rPr>
              <w:t>478.1</w:t>
            </w:r>
          </w:p>
        </w:tc>
        <w:tc>
          <w:tcPr>
            <w:tcW w:w="851" w:type="dxa"/>
            <w:tcBorders>
              <w:top w:val="single" w:sz="6" w:space="0" w:color="auto"/>
              <w:left w:val="nil"/>
              <w:bottom w:val="single" w:sz="12" w:space="0" w:color="auto"/>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20"/>
                <w:lang w:eastAsia="en-AU"/>
              </w:rPr>
              <w:t>449.1</w:t>
            </w:r>
          </w:p>
        </w:tc>
        <w:tc>
          <w:tcPr>
            <w:tcW w:w="850" w:type="dxa"/>
            <w:tcBorders>
              <w:top w:val="single" w:sz="6" w:space="0" w:color="auto"/>
              <w:left w:val="nil"/>
              <w:bottom w:val="single" w:sz="12" w:space="0" w:color="auto"/>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1 709.6</w:t>
            </w:r>
          </w:p>
        </w:tc>
        <w:tc>
          <w:tcPr>
            <w:tcW w:w="851" w:type="dxa"/>
            <w:tcBorders>
              <w:top w:val="single" w:sz="6" w:space="0" w:color="auto"/>
              <w:left w:val="nil"/>
              <w:bottom w:val="single" w:sz="12" w:space="0" w:color="auto"/>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2 875.3</w:t>
            </w:r>
          </w:p>
        </w:tc>
        <w:tc>
          <w:tcPr>
            <w:tcW w:w="851" w:type="dxa"/>
            <w:tcBorders>
              <w:top w:val="single" w:sz="6" w:space="0" w:color="auto"/>
              <w:left w:val="nil"/>
              <w:bottom w:val="single" w:sz="12" w:space="0" w:color="auto"/>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3 555.1</w:t>
            </w:r>
          </w:p>
        </w:tc>
      </w:tr>
    </w:tbl>
    <w:p w:rsidR="00965D85" w:rsidRDefault="00965D85" w:rsidP="008B46DF">
      <w:pPr>
        <w:pStyle w:val="Notes"/>
        <w:ind w:left="0" w:firstLine="0"/>
        <w:rPr>
          <w:lang w:eastAsia="en-AU"/>
        </w:rPr>
      </w:pPr>
      <w:r>
        <w:rPr>
          <w:lang w:eastAsia="en-AU"/>
        </w:rPr>
        <w:t>Notes:</w:t>
      </w:r>
    </w:p>
    <w:p w:rsidR="00965D85" w:rsidRDefault="00965D85" w:rsidP="008B46DF">
      <w:pPr>
        <w:pStyle w:val="Notes"/>
        <w:rPr>
          <w:lang w:eastAsia="en-AU"/>
        </w:rPr>
      </w:pPr>
      <w:r>
        <w:rPr>
          <w:lang w:eastAsia="en-AU"/>
        </w:rPr>
        <w:t>(a)</w:t>
      </w:r>
      <w:r>
        <w:rPr>
          <w:lang w:eastAsia="en-AU"/>
        </w:rPr>
        <w:tab/>
        <w:t>A provision to account for asset policy decisions for which the funding has yet to be allocated to departments and provision for election commitments to be funded in future budgets.</w:t>
      </w:r>
    </w:p>
    <w:p w:rsidR="00965D85" w:rsidRDefault="00965D85" w:rsidP="008B46DF">
      <w:pPr>
        <w:pStyle w:val="Notes"/>
        <w:rPr>
          <w:lang w:eastAsia="en-AU"/>
        </w:rPr>
      </w:pPr>
      <w:r>
        <w:rPr>
          <w:lang w:eastAsia="en-AU"/>
        </w:rPr>
        <w:t>(b)</w:t>
      </w:r>
      <w:r>
        <w:rPr>
          <w:lang w:eastAsia="en-AU"/>
        </w:rPr>
        <w:tab/>
        <w:t>An unallocated provision available for future government asset investment decisions.</w:t>
      </w:r>
    </w:p>
    <w:p w:rsidR="00965D85" w:rsidRDefault="00965D85" w:rsidP="008B46DF">
      <w:pPr>
        <w:rPr>
          <w:lang w:eastAsia="en-AU"/>
        </w:rPr>
      </w:pPr>
    </w:p>
    <w:p w:rsidR="00965D85" w:rsidRDefault="00965D85">
      <w:pPr>
        <w:spacing w:after="0"/>
        <w:rPr>
          <w:lang w:eastAsia="en-AU"/>
        </w:rPr>
      </w:pPr>
      <w:r>
        <w:rPr>
          <w:lang w:eastAsia="en-AU"/>
        </w:rPr>
        <w:br w:type="page"/>
      </w:r>
    </w:p>
    <w:p w:rsidR="00965D85" w:rsidRDefault="00965D85" w:rsidP="008B46DF">
      <w:pPr>
        <w:pStyle w:val="Heading2NotesContd"/>
        <w:rPr>
          <w:i/>
          <w:lang w:eastAsia="en-AU"/>
        </w:rPr>
      </w:pPr>
      <w:r>
        <w:rPr>
          <w:rFonts w:eastAsiaTheme="minorEastAsia"/>
          <w:lang w:eastAsia="en-AU"/>
        </w:rPr>
        <w:lastRenderedPageBreak/>
        <w:t>Note 20:</w:t>
      </w:r>
      <w:r>
        <w:rPr>
          <w:rFonts w:eastAsiaTheme="minorEastAsia"/>
          <w:lang w:eastAsia="en-AU"/>
        </w:rPr>
        <w:tab/>
        <w:t>Assets classified by government purpose and by department</w:t>
      </w:r>
      <w:r>
        <w:rPr>
          <w:lang w:eastAsia="en-AU"/>
        </w:rPr>
        <w:t xml:space="preserve"> </w:t>
      </w:r>
      <w:r w:rsidRPr="0052324C">
        <w:rPr>
          <w:i/>
          <w:lang w:eastAsia="en-AU"/>
        </w:rPr>
        <w:t>(continued)</w:t>
      </w:r>
    </w:p>
    <w:p w:rsidR="00965D85" w:rsidRDefault="00965D85" w:rsidP="008B46DF">
      <w:pPr>
        <w:pStyle w:val="Heading5"/>
        <w:rPr>
          <w:rFonts w:ascii="Times New Roman" w:hAnsi="Times New Roman"/>
          <w:i/>
          <w:sz w:val="20"/>
          <w:lang w:eastAsia="en-AU"/>
        </w:rPr>
      </w:pPr>
      <w:r w:rsidRPr="003878BE">
        <w:rPr>
          <w:lang w:eastAsia="en-AU"/>
        </w:rPr>
        <w:t xml:space="preserve">(d) </w:t>
      </w:r>
      <w:r w:rsidRPr="003878BE">
        <w:rPr>
          <w:lang w:eastAsia="en-AU"/>
        </w:rPr>
        <w:tab/>
        <w:t>Total assets by government purpose classification</w:t>
      </w:r>
      <w:r w:rsidRPr="00466FED">
        <w:rPr>
          <w:vertAlign w:val="superscript"/>
          <w:lang w:eastAsia="en-AU"/>
        </w:rPr>
        <w:t>(a)</w:t>
      </w:r>
    </w:p>
    <w:tbl>
      <w:tblPr>
        <w:tblW w:w="7797" w:type="dxa"/>
        <w:tblInd w:w="28" w:type="dxa"/>
        <w:tblLayout w:type="fixed"/>
        <w:tblCellMar>
          <w:left w:w="28" w:type="dxa"/>
          <w:right w:w="28" w:type="dxa"/>
        </w:tblCellMar>
        <w:tblLook w:val="0000" w:firstRow="0" w:lastRow="0" w:firstColumn="0" w:lastColumn="0" w:noHBand="0" w:noVBand="0"/>
      </w:tblPr>
      <w:tblGrid>
        <w:gridCol w:w="3261"/>
        <w:gridCol w:w="141"/>
        <w:gridCol w:w="766"/>
        <w:gridCol w:w="907"/>
        <w:gridCol w:w="907"/>
        <w:gridCol w:w="907"/>
        <w:gridCol w:w="908"/>
      </w:tblGrid>
      <w:tr w:rsidR="00965D85" w:rsidRPr="00E22AD9" w:rsidTr="008B46DF">
        <w:trPr>
          <w:tblHeader/>
        </w:trPr>
        <w:tc>
          <w:tcPr>
            <w:tcW w:w="7797" w:type="dxa"/>
            <w:gridSpan w:val="7"/>
            <w:tcBorders>
              <w:top w:val="nil"/>
              <w:left w:val="nil"/>
              <w:bottom w:val="nil"/>
              <w:right w:val="nil"/>
            </w:tcBorders>
          </w:tcPr>
          <w:p w:rsidR="00965D85" w:rsidRPr="00E22AD9" w:rsidRDefault="00965D85" w:rsidP="008B46DF">
            <w:pPr>
              <w:pStyle w:val="million"/>
              <w:rPr>
                <w:rFonts w:eastAsiaTheme="minorEastAsia" w:cs="Calibri"/>
                <w:iCs/>
                <w:color w:val="000000"/>
                <w:sz w:val="20"/>
                <w:lang w:eastAsia="en-AU"/>
              </w:rPr>
            </w:pPr>
            <w:r w:rsidRPr="00E22AD9">
              <w:rPr>
                <w:rFonts w:eastAsiaTheme="minorEastAsia"/>
                <w:lang w:eastAsia="en-AU"/>
              </w:rPr>
              <w:t>($ million)</w:t>
            </w:r>
          </w:p>
        </w:tc>
      </w:tr>
      <w:tr w:rsidR="00965D85" w:rsidRPr="00E22AD9" w:rsidTr="008B46DF">
        <w:trPr>
          <w:trHeight w:val="488"/>
          <w:tblHeader/>
        </w:trPr>
        <w:tc>
          <w:tcPr>
            <w:tcW w:w="3261" w:type="dxa"/>
            <w:tcBorders>
              <w:top w:val="nil"/>
              <w:left w:val="nil"/>
              <w:right w:val="nil"/>
            </w:tcBorders>
            <w:shd w:val="solid" w:color="000000" w:fill="auto"/>
          </w:tcPr>
          <w:p w:rsidR="00965D85" w:rsidRPr="00E22AD9" w:rsidRDefault="00965D85" w:rsidP="008B46DF">
            <w:pPr>
              <w:pStyle w:val="million"/>
              <w:rPr>
                <w:rFonts w:eastAsiaTheme="minorEastAsia"/>
                <w:sz w:val="20"/>
                <w:lang w:eastAsia="en-AU"/>
              </w:rPr>
            </w:pPr>
            <w:r w:rsidRPr="00E22AD9">
              <w:rPr>
                <w:rFonts w:eastAsiaTheme="minorEastAsia"/>
                <w:sz w:val="20"/>
                <w:lang w:eastAsia="en-AU"/>
              </w:rPr>
              <w:t xml:space="preserve"> </w:t>
            </w:r>
          </w:p>
          <w:p w:rsidR="00965D85" w:rsidRPr="00E22AD9" w:rsidRDefault="00965D85" w:rsidP="008B46DF">
            <w:pPr>
              <w:autoSpaceDE w:val="0"/>
              <w:autoSpaceDN w:val="0"/>
              <w:adjustRightInd w:val="0"/>
              <w:spacing w:after="0"/>
              <w:rPr>
                <w:rFonts w:eastAsiaTheme="minorEastAsia"/>
                <w:sz w:val="20"/>
                <w:lang w:eastAsia="en-AU"/>
              </w:rPr>
            </w:pPr>
            <w:r w:rsidRPr="00E22AD9">
              <w:rPr>
                <w:rFonts w:ascii="Calibri" w:eastAsiaTheme="minorEastAsia" w:hAnsi="Calibri" w:cs="Calibri"/>
                <w:color w:val="FFFFFF"/>
                <w:sz w:val="20"/>
                <w:lang w:eastAsia="en-AU"/>
              </w:rPr>
              <w:t xml:space="preserve"> </w:t>
            </w:r>
          </w:p>
        </w:tc>
        <w:tc>
          <w:tcPr>
            <w:tcW w:w="907" w:type="dxa"/>
            <w:gridSpan w:val="2"/>
            <w:tcBorders>
              <w:top w:val="nil"/>
              <w:left w:val="nil"/>
              <w:right w:val="nil"/>
            </w:tcBorders>
            <w:shd w:val="solid" w:color="000000" w:fill="auto"/>
          </w:tcPr>
          <w:p w:rsidR="00965D85" w:rsidRPr="00E22AD9" w:rsidRDefault="00965D85" w:rsidP="008B46DF">
            <w:pPr>
              <w:pStyle w:val="million"/>
              <w:jc w:val="right"/>
              <w:rPr>
                <w:rFonts w:eastAsiaTheme="minorEastAsia"/>
                <w:iCs/>
                <w:sz w:val="20"/>
                <w:lang w:eastAsia="en-AU"/>
              </w:rPr>
            </w:pPr>
            <w:r w:rsidRPr="00E22AD9">
              <w:rPr>
                <w:rFonts w:eastAsiaTheme="minorEastAsia"/>
                <w:iCs/>
                <w:sz w:val="20"/>
                <w:lang w:eastAsia="en-AU"/>
              </w:rPr>
              <w:t>2016</w:t>
            </w:r>
          </w:p>
          <w:p w:rsidR="00965D85" w:rsidRPr="00E22AD9" w:rsidRDefault="00965D85" w:rsidP="008B46DF">
            <w:pPr>
              <w:autoSpaceDE w:val="0"/>
              <w:autoSpaceDN w:val="0"/>
              <w:adjustRightInd w:val="0"/>
              <w:spacing w:after="0"/>
              <w:jc w:val="right"/>
              <w:rPr>
                <w:rFonts w:eastAsiaTheme="minorEastAsia"/>
                <w:iCs/>
                <w:sz w:val="20"/>
                <w:lang w:eastAsia="en-AU"/>
              </w:rPr>
            </w:pPr>
            <w:r w:rsidRPr="00E22AD9">
              <w:rPr>
                <w:rFonts w:ascii="Calibri" w:eastAsiaTheme="minorEastAsia" w:hAnsi="Calibri" w:cs="Calibri"/>
                <w:i/>
                <w:iCs/>
                <w:color w:val="FFFFFF"/>
                <w:sz w:val="20"/>
                <w:lang w:eastAsia="en-AU"/>
              </w:rPr>
              <w:t>budget</w:t>
            </w:r>
          </w:p>
        </w:tc>
        <w:tc>
          <w:tcPr>
            <w:tcW w:w="907" w:type="dxa"/>
            <w:tcBorders>
              <w:top w:val="nil"/>
              <w:left w:val="nil"/>
              <w:right w:val="nil"/>
            </w:tcBorders>
            <w:shd w:val="solid" w:color="000000" w:fill="auto"/>
          </w:tcPr>
          <w:p w:rsidR="00965D85" w:rsidRPr="00E22AD9" w:rsidRDefault="00965D85" w:rsidP="008B46DF">
            <w:pPr>
              <w:pStyle w:val="million"/>
              <w:jc w:val="right"/>
              <w:rPr>
                <w:rFonts w:eastAsiaTheme="minorEastAsia"/>
                <w:iCs/>
                <w:sz w:val="20"/>
                <w:lang w:eastAsia="en-AU"/>
              </w:rPr>
            </w:pPr>
            <w:r w:rsidRPr="00E22AD9">
              <w:rPr>
                <w:rFonts w:eastAsiaTheme="minorEastAsia"/>
                <w:iCs/>
                <w:sz w:val="20"/>
                <w:lang w:eastAsia="en-AU"/>
              </w:rPr>
              <w:t>2016</w:t>
            </w:r>
          </w:p>
          <w:p w:rsidR="00965D85" w:rsidRPr="00E22AD9" w:rsidRDefault="00965D85" w:rsidP="008B46DF">
            <w:pPr>
              <w:autoSpaceDE w:val="0"/>
              <w:autoSpaceDN w:val="0"/>
              <w:adjustRightInd w:val="0"/>
              <w:spacing w:after="0"/>
              <w:jc w:val="right"/>
              <w:rPr>
                <w:rFonts w:eastAsiaTheme="minorEastAsia"/>
                <w:iCs/>
                <w:sz w:val="20"/>
                <w:lang w:eastAsia="en-AU"/>
              </w:rPr>
            </w:pPr>
            <w:r w:rsidRPr="00E22AD9">
              <w:rPr>
                <w:rFonts w:ascii="Calibri" w:eastAsiaTheme="minorEastAsia" w:hAnsi="Calibri" w:cs="Calibri"/>
                <w:i/>
                <w:iCs/>
                <w:color w:val="FFFFFF"/>
                <w:sz w:val="20"/>
                <w:lang w:eastAsia="en-AU"/>
              </w:rPr>
              <w:t>revised</w:t>
            </w:r>
          </w:p>
        </w:tc>
        <w:tc>
          <w:tcPr>
            <w:tcW w:w="907" w:type="dxa"/>
            <w:tcBorders>
              <w:top w:val="nil"/>
              <w:left w:val="nil"/>
              <w:right w:val="nil"/>
            </w:tcBorders>
            <w:shd w:val="solid" w:color="000000" w:fill="auto"/>
          </w:tcPr>
          <w:p w:rsidR="00965D85" w:rsidRPr="00E22AD9" w:rsidRDefault="00965D85" w:rsidP="008B46DF">
            <w:pPr>
              <w:pStyle w:val="million"/>
              <w:jc w:val="right"/>
              <w:rPr>
                <w:rFonts w:eastAsiaTheme="minorEastAsia"/>
                <w:iCs/>
                <w:sz w:val="20"/>
                <w:lang w:eastAsia="en-AU"/>
              </w:rPr>
            </w:pPr>
            <w:r w:rsidRPr="00E22AD9">
              <w:rPr>
                <w:rFonts w:eastAsiaTheme="minorEastAsia"/>
                <w:iCs/>
                <w:sz w:val="20"/>
                <w:lang w:eastAsia="en-AU"/>
              </w:rPr>
              <w:t>2017</w:t>
            </w:r>
          </w:p>
          <w:p w:rsidR="00965D85" w:rsidRPr="00E22AD9" w:rsidRDefault="00965D85" w:rsidP="008B46DF">
            <w:pPr>
              <w:autoSpaceDE w:val="0"/>
              <w:autoSpaceDN w:val="0"/>
              <w:adjustRightInd w:val="0"/>
              <w:spacing w:after="0"/>
              <w:jc w:val="right"/>
              <w:rPr>
                <w:rFonts w:eastAsiaTheme="minorEastAsia"/>
                <w:iCs/>
                <w:sz w:val="20"/>
                <w:lang w:eastAsia="en-AU"/>
              </w:rPr>
            </w:pPr>
            <w:r w:rsidRPr="00E22AD9">
              <w:rPr>
                <w:rFonts w:ascii="Calibri" w:eastAsiaTheme="minorEastAsia" w:hAnsi="Calibri" w:cs="Calibri"/>
                <w:i/>
                <w:iCs/>
                <w:color w:val="FFFFFF"/>
                <w:sz w:val="20"/>
                <w:lang w:eastAsia="en-AU"/>
              </w:rPr>
              <w:t>estimate</w:t>
            </w:r>
          </w:p>
        </w:tc>
        <w:tc>
          <w:tcPr>
            <w:tcW w:w="907" w:type="dxa"/>
            <w:tcBorders>
              <w:top w:val="nil"/>
              <w:left w:val="nil"/>
              <w:right w:val="nil"/>
            </w:tcBorders>
            <w:shd w:val="solid" w:color="000000" w:fill="auto"/>
          </w:tcPr>
          <w:p w:rsidR="00965D85" w:rsidRPr="00E22AD9" w:rsidRDefault="00965D85" w:rsidP="008B46DF">
            <w:pPr>
              <w:pStyle w:val="million"/>
              <w:jc w:val="right"/>
              <w:rPr>
                <w:rFonts w:eastAsiaTheme="minorEastAsia"/>
                <w:iCs/>
                <w:sz w:val="20"/>
                <w:lang w:eastAsia="en-AU"/>
              </w:rPr>
            </w:pPr>
            <w:r w:rsidRPr="00E22AD9">
              <w:rPr>
                <w:rFonts w:eastAsiaTheme="minorEastAsia"/>
                <w:iCs/>
                <w:sz w:val="20"/>
                <w:lang w:eastAsia="en-AU"/>
              </w:rPr>
              <w:t>2018</w:t>
            </w:r>
          </w:p>
          <w:p w:rsidR="00965D85" w:rsidRPr="00E22AD9" w:rsidRDefault="00965D85" w:rsidP="008B46DF">
            <w:pPr>
              <w:autoSpaceDE w:val="0"/>
              <w:autoSpaceDN w:val="0"/>
              <w:adjustRightInd w:val="0"/>
              <w:spacing w:after="0"/>
              <w:jc w:val="right"/>
              <w:rPr>
                <w:rFonts w:eastAsiaTheme="minorEastAsia"/>
                <w:iCs/>
                <w:sz w:val="20"/>
                <w:lang w:eastAsia="en-AU"/>
              </w:rPr>
            </w:pPr>
            <w:r w:rsidRPr="00E22AD9">
              <w:rPr>
                <w:rFonts w:ascii="Calibri" w:eastAsiaTheme="minorEastAsia" w:hAnsi="Calibri" w:cs="Calibri"/>
                <w:i/>
                <w:iCs/>
                <w:color w:val="FFFFFF"/>
                <w:sz w:val="20"/>
                <w:lang w:eastAsia="en-AU"/>
              </w:rPr>
              <w:t>estimate</w:t>
            </w:r>
          </w:p>
        </w:tc>
        <w:tc>
          <w:tcPr>
            <w:tcW w:w="908" w:type="dxa"/>
            <w:tcBorders>
              <w:top w:val="nil"/>
              <w:left w:val="nil"/>
              <w:right w:val="nil"/>
            </w:tcBorders>
            <w:shd w:val="solid" w:color="000000" w:fill="auto"/>
          </w:tcPr>
          <w:p w:rsidR="00965D85" w:rsidRPr="00E22AD9" w:rsidRDefault="00965D85" w:rsidP="008B46DF">
            <w:pPr>
              <w:pStyle w:val="million"/>
              <w:jc w:val="right"/>
              <w:rPr>
                <w:rFonts w:eastAsiaTheme="minorEastAsia"/>
                <w:iCs/>
                <w:sz w:val="20"/>
                <w:lang w:eastAsia="en-AU"/>
              </w:rPr>
            </w:pPr>
            <w:r w:rsidRPr="00E22AD9">
              <w:rPr>
                <w:rFonts w:eastAsiaTheme="minorEastAsia"/>
                <w:iCs/>
                <w:sz w:val="20"/>
                <w:lang w:eastAsia="en-AU"/>
              </w:rPr>
              <w:t>2019</w:t>
            </w:r>
          </w:p>
          <w:p w:rsidR="00965D85" w:rsidRPr="00E22AD9" w:rsidRDefault="00965D85" w:rsidP="008B46DF">
            <w:pPr>
              <w:autoSpaceDE w:val="0"/>
              <w:autoSpaceDN w:val="0"/>
              <w:adjustRightInd w:val="0"/>
              <w:spacing w:after="0"/>
              <w:jc w:val="right"/>
              <w:rPr>
                <w:rFonts w:eastAsiaTheme="minorEastAsia"/>
                <w:iCs/>
                <w:sz w:val="20"/>
                <w:lang w:eastAsia="en-AU"/>
              </w:rPr>
            </w:pPr>
            <w:r w:rsidRPr="00E22AD9">
              <w:rPr>
                <w:rFonts w:ascii="Calibri" w:eastAsiaTheme="minorEastAsia" w:hAnsi="Calibri" w:cs="Calibri"/>
                <w:i/>
                <w:iCs/>
                <w:color w:val="FFFFFF"/>
                <w:sz w:val="20"/>
                <w:lang w:eastAsia="en-AU"/>
              </w:rPr>
              <w:t>estimate</w:t>
            </w:r>
          </w:p>
        </w:tc>
      </w:tr>
      <w:tr w:rsidR="00965D85" w:rsidRPr="00E22AD9" w:rsidTr="008B46DF">
        <w:tc>
          <w:tcPr>
            <w:tcW w:w="3261" w:type="dxa"/>
            <w:tcBorders>
              <w:top w:val="single" w:sz="6" w:space="0" w:color="auto"/>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General public services</w:t>
            </w:r>
          </w:p>
        </w:tc>
        <w:tc>
          <w:tcPr>
            <w:tcW w:w="907" w:type="dxa"/>
            <w:gridSpan w:val="2"/>
            <w:tcBorders>
              <w:top w:val="single" w:sz="6" w:space="0" w:color="auto"/>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318.0</w:t>
            </w:r>
          </w:p>
        </w:tc>
        <w:tc>
          <w:tcPr>
            <w:tcW w:w="907" w:type="dxa"/>
            <w:tcBorders>
              <w:top w:val="single" w:sz="6" w:space="0" w:color="auto"/>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332.7</w:t>
            </w:r>
          </w:p>
        </w:tc>
        <w:tc>
          <w:tcPr>
            <w:tcW w:w="907" w:type="dxa"/>
            <w:tcBorders>
              <w:top w:val="single" w:sz="6" w:space="0" w:color="auto"/>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215.3</w:t>
            </w:r>
          </w:p>
        </w:tc>
        <w:tc>
          <w:tcPr>
            <w:tcW w:w="907" w:type="dxa"/>
            <w:tcBorders>
              <w:top w:val="single" w:sz="6" w:space="0" w:color="auto"/>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141.3</w:t>
            </w:r>
          </w:p>
        </w:tc>
        <w:tc>
          <w:tcPr>
            <w:tcW w:w="908" w:type="dxa"/>
            <w:tcBorders>
              <w:top w:val="single" w:sz="6" w:space="0" w:color="auto"/>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117.7</w:t>
            </w:r>
          </w:p>
        </w:tc>
      </w:tr>
      <w:tr w:rsidR="00965D85" w:rsidRPr="00E22AD9" w:rsidTr="008B46DF">
        <w:tc>
          <w:tcPr>
            <w:tcW w:w="3261" w:type="dxa"/>
            <w:tcBorders>
              <w:top w:val="nil"/>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Public order and safety</w:t>
            </w:r>
          </w:p>
        </w:tc>
        <w:tc>
          <w:tcPr>
            <w:tcW w:w="907" w:type="dxa"/>
            <w:gridSpan w:val="2"/>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9 312.9</w:t>
            </w:r>
          </w:p>
        </w:tc>
        <w:tc>
          <w:tcPr>
            <w:tcW w:w="907"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9 359.3</w:t>
            </w:r>
          </w:p>
        </w:tc>
        <w:tc>
          <w:tcPr>
            <w:tcW w:w="907"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8 801.0</w:t>
            </w:r>
          </w:p>
        </w:tc>
        <w:tc>
          <w:tcPr>
            <w:tcW w:w="907"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9 452.8</w:t>
            </w:r>
          </w:p>
        </w:tc>
        <w:tc>
          <w:tcPr>
            <w:tcW w:w="908"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9 255.0</w:t>
            </w:r>
          </w:p>
        </w:tc>
      </w:tr>
      <w:tr w:rsidR="00965D85" w:rsidRPr="00E22AD9" w:rsidTr="008B46DF">
        <w:tc>
          <w:tcPr>
            <w:tcW w:w="3261" w:type="dxa"/>
            <w:tcBorders>
              <w:top w:val="nil"/>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Education</w:t>
            </w:r>
          </w:p>
        </w:tc>
        <w:tc>
          <w:tcPr>
            <w:tcW w:w="907" w:type="dxa"/>
            <w:gridSpan w:val="2"/>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19 114.3</w:t>
            </w:r>
          </w:p>
        </w:tc>
        <w:tc>
          <w:tcPr>
            <w:tcW w:w="907"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19 137.4</w:t>
            </w:r>
          </w:p>
        </w:tc>
        <w:tc>
          <w:tcPr>
            <w:tcW w:w="907"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18 224.6</w:t>
            </w:r>
          </w:p>
        </w:tc>
        <w:tc>
          <w:tcPr>
            <w:tcW w:w="907"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17 855.6</w:t>
            </w:r>
          </w:p>
        </w:tc>
        <w:tc>
          <w:tcPr>
            <w:tcW w:w="908"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17 077.1</w:t>
            </w:r>
          </w:p>
        </w:tc>
      </w:tr>
      <w:tr w:rsidR="00965D85" w:rsidRPr="00E22AD9" w:rsidTr="008B46DF">
        <w:tc>
          <w:tcPr>
            <w:tcW w:w="3261" w:type="dxa"/>
            <w:tcBorders>
              <w:top w:val="nil"/>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Health</w:t>
            </w:r>
          </w:p>
        </w:tc>
        <w:tc>
          <w:tcPr>
            <w:tcW w:w="907" w:type="dxa"/>
            <w:gridSpan w:val="2"/>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13 382.3</w:t>
            </w:r>
          </w:p>
        </w:tc>
        <w:tc>
          <w:tcPr>
            <w:tcW w:w="907"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13 411.7</w:t>
            </w:r>
          </w:p>
        </w:tc>
        <w:tc>
          <w:tcPr>
            <w:tcW w:w="907"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13 808.9</w:t>
            </w:r>
          </w:p>
        </w:tc>
        <w:tc>
          <w:tcPr>
            <w:tcW w:w="907"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13 193.1</w:t>
            </w:r>
          </w:p>
        </w:tc>
        <w:tc>
          <w:tcPr>
            <w:tcW w:w="908"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12 423.0</w:t>
            </w:r>
          </w:p>
        </w:tc>
      </w:tr>
      <w:tr w:rsidR="00965D85" w:rsidRPr="00E22AD9" w:rsidTr="008B46DF">
        <w:tc>
          <w:tcPr>
            <w:tcW w:w="3261" w:type="dxa"/>
            <w:tcBorders>
              <w:top w:val="nil"/>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Social security and welfare</w:t>
            </w:r>
          </w:p>
        </w:tc>
        <w:tc>
          <w:tcPr>
            <w:tcW w:w="907" w:type="dxa"/>
            <w:gridSpan w:val="2"/>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1 898.7</w:t>
            </w:r>
          </w:p>
        </w:tc>
        <w:tc>
          <w:tcPr>
            <w:tcW w:w="907"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1 891.4</w:t>
            </w:r>
          </w:p>
        </w:tc>
        <w:tc>
          <w:tcPr>
            <w:tcW w:w="907"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1 915.3</w:t>
            </w:r>
          </w:p>
        </w:tc>
        <w:tc>
          <w:tcPr>
            <w:tcW w:w="907"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1 927.5</w:t>
            </w:r>
          </w:p>
        </w:tc>
        <w:tc>
          <w:tcPr>
            <w:tcW w:w="908"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1 938.7</w:t>
            </w:r>
          </w:p>
        </w:tc>
      </w:tr>
      <w:tr w:rsidR="00965D85" w:rsidRPr="00E22AD9" w:rsidTr="008B46DF">
        <w:tc>
          <w:tcPr>
            <w:tcW w:w="3261" w:type="dxa"/>
            <w:tcBorders>
              <w:top w:val="nil"/>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Housing and community amenities</w:t>
            </w:r>
          </w:p>
        </w:tc>
        <w:tc>
          <w:tcPr>
            <w:tcW w:w="907" w:type="dxa"/>
            <w:gridSpan w:val="2"/>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7 153.1</w:t>
            </w:r>
          </w:p>
        </w:tc>
        <w:tc>
          <w:tcPr>
            <w:tcW w:w="907"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7 169.0</w:t>
            </w:r>
          </w:p>
        </w:tc>
        <w:tc>
          <w:tcPr>
            <w:tcW w:w="907"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7 108.6</w:t>
            </w:r>
          </w:p>
        </w:tc>
        <w:tc>
          <w:tcPr>
            <w:tcW w:w="907"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6 946.0</w:t>
            </w:r>
          </w:p>
        </w:tc>
        <w:tc>
          <w:tcPr>
            <w:tcW w:w="908"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6 858.3</w:t>
            </w:r>
          </w:p>
        </w:tc>
      </w:tr>
      <w:tr w:rsidR="00965D85" w:rsidRPr="00E22AD9" w:rsidTr="008B46DF">
        <w:tc>
          <w:tcPr>
            <w:tcW w:w="3261" w:type="dxa"/>
            <w:tcBorders>
              <w:top w:val="nil"/>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Recreation and culture</w:t>
            </w:r>
          </w:p>
        </w:tc>
        <w:tc>
          <w:tcPr>
            <w:tcW w:w="907" w:type="dxa"/>
            <w:gridSpan w:val="2"/>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8 447.9</w:t>
            </w:r>
          </w:p>
        </w:tc>
        <w:tc>
          <w:tcPr>
            <w:tcW w:w="907"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8 430.2</w:t>
            </w:r>
          </w:p>
        </w:tc>
        <w:tc>
          <w:tcPr>
            <w:tcW w:w="907"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8 455.5</w:t>
            </w:r>
          </w:p>
        </w:tc>
        <w:tc>
          <w:tcPr>
            <w:tcW w:w="907"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8 426.0</w:t>
            </w:r>
          </w:p>
        </w:tc>
        <w:tc>
          <w:tcPr>
            <w:tcW w:w="908"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8 416.3</w:t>
            </w:r>
          </w:p>
        </w:tc>
      </w:tr>
      <w:tr w:rsidR="00965D85" w:rsidRPr="00E22AD9" w:rsidTr="008B46DF">
        <w:tc>
          <w:tcPr>
            <w:tcW w:w="3261" w:type="dxa"/>
            <w:tcBorders>
              <w:top w:val="nil"/>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Fuel and energy</w:t>
            </w:r>
          </w:p>
        </w:tc>
        <w:tc>
          <w:tcPr>
            <w:tcW w:w="907" w:type="dxa"/>
            <w:gridSpan w:val="2"/>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11.1</w:t>
            </w:r>
          </w:p>
        </w:tc>
        <w:tc>
          <w:tcPr>
            <w:tcW w:w="907"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11.1</w:t>
            </w:r>
          </w:p>
        </w:tc>
        <w:tc>
          <w:tcPr>
            <w:tcW w:w="907"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11.6</w:t>
            </w:r>
          </w:p>
        </w:tc>
        <w:tc>
          <w:tcPr>
            <w:tcW w:w="907"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12.1</w:t>
            </w:r>
          </w:p>
        </w:tc>
        <w:tc>
          <w:tcPr>
            <w:tcW w:w="908"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12.5</w:t>
            </w:r>
          </w:p>
        </w:tc>
      </w:tr>
      <w:tr w:rsidR="00965D85" w:rsidRPr="00E22AD9" w:rsidTr="008B46DF">
        <w:tc>
          <w:tcPr>
            <w:tcW w:w="3402" w:type="dxa"/>
            <w:gridSpan w:val="2"/>
            <w:tcBorders>
              <w:top w:val="nil"/>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Agriculture, forestry, fishing, and hunting</w:t>
            </w:r>
          </w:p>
        </w:tc>
        <w:tc>
          <w:tcPr>
            <w:tcW w:w="766"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686.3</w:t>
            </w:r>
          </w:p>
        </w:tc>
        <w:tc>
          <w:tcPr>
            <w:tcW w:w="907"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737.6</w:t>
            </w:r>
          </w:p>
        </w:tc>
        <w:tc>
          <w:tcPr>
            <w:tcW w:w="907"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747.4</w:t>
            </w:r>
          </w:p>
        </w:tc>
        <w:tc>
          <w:tcPr>
            <w:tcW w:w="907"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757.2</w:t>
            </w:r>
          </w:p>
        </w:tc>
        <w:tc>
          <w:tcPr>
            <w:tcW w:w="908"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767.0</w:t>
            </w:r>
          </w:p>
        </w:tc>
      </w:tr>
      <w:tr w:rsidR="00965D85" w:rsidRPr="00E22AD9" w:rsidTr="008B46DF">
        <w:tc>
          <w:tcPr>
            <w:tcW w:w="3261" w:type="dxa"/>
            <w:tcBorders>
              <w:top w:val="nil"/>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Transport and communications</w:t>
            </w:r>
          </w:p>
        </w:tc>
        <w:tc>
          <w:tcPr>
            <w:tcW w:w="907" w:type="dxa"/>
            <w:gridSpan w:val="2"/>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49 534.0</w:t>
            </w:r>
          </w:p>
        </w:tc>
        <w:tc>
          <w:tcPr>
            <w:tcW w:w="907"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49 771.3</w:t>
            </w:r>
          </w:p>
        </w:tc>
        <w:tc>
          <w:tcPr>
            <w:tcW w:w="907"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50 378.2</w:t>
            </w:r>
          </w:p>
        </w:tc>
        <w:tc>
          <w:tcPr>
            <w:tcW w:w="907"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55 713.2</w:t>
            </w:r>
          </w:p>
        </w:tc>
        <w:tc>
          <w:tcPr>
            <w:tcW w:w="908"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55 254.0</w:t>
            </w:r>
          </w:p>
        </w:tc>
      </w:tr>
      <w:tr w:rsidR="00965D85" w:rsidRPr="00E22AD9" w:rsidTr="008B46DF">
        <w:tc>
          <w:tcPr>
            <w:tcW w:w="3261" w:type="dxa"/>
            <w:tcBorders>
              <w:top w:val="nil"/>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Other economic affairs</w:t>
            </w:r>
          </w:p>
        </w:tc>
        <w:tc>
          <w:tcPr>
            <w:tcW w:w="907" w:type="dxa"/>
            <w:gridSpan w:val="2"/>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690.1</w:t>
            </w:r>
          </w:p>
        </w:tc>
        <w:tc>
          <w:tcPr>
            <w:tcW w:w="907"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703.2</w:t>
            </w:r>
          </w:p>
        </w:tc>
        <w:tc>
          <w:tcPr>
            <w:tcW w:w="907"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821.8</w:t>
            </w:r>
          </w:p>
        </w:tc>
        <w:tc>
          <w:tcPr>
            <w:tcW w:w="907"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925.8</w:t>
            </w:r>
          </w:p>
        </w:tc>
        <w:tc>
          <w:tcPr>
            <w:tcW w:w="908"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933.6</w:t>
            </w:r>
          </w:p>
        </w:tc>
      </w:tr>
      <w:tr w:rsidR="00965D85" w:rsidRPr="00E22AD9" w:rsidTr="008B46DF">
        <w:tc>
          <w:tcPr>
            <w:tcW w:w="3261" w:type="dxa"/>
            <w:tcBorders>
              <w:top w:val="nil"/>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 xml:space="preserve">Other purposes </w:t>
            </w:r>
          </w:p>
        </w:tc>
        <w:tc>
          <w:tcPr>
            <w:tcW w:w="907" w:type="dxa"/>
            <w:gridSpan w:val="2"/>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2.4</w:t>
            </w:r>
          </w:p>
        </w:tc>
        <w:tc>
          <w:tcPr>
            <w:tcW w:w="907"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2.4</w:t>
            </w:r>
          </w:p>
        </w:tc>
        <w:tc>
          <w:tcPr>
            <w:tcW w:w="907"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2.5</w:t>
            </w:r>
          </w:p>
        </w:tc>
        <w:tc>
          <w:tcPr>
            <w:tcW w:w="907"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2.5</w:t>
            </w:r>
          </w:p>
        </w:tc>
        <w:tc>
          <w:tcPr>
            <w:tcW w:w="908"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2.6</w:t>
            </w:r>
          </w:p>
        </w:tc>
      </w:tr>
      <w:tr w:rsidR="00965D85" w:rsidRPr="00E22AD9" w:rsidTr="008B46DF">
        <w:tc>
          <w:tcPr>
            <w:tcW w:w="3261" w:type="dxa"/>
            <w:tcBorders>
              <w:top w:val="nil"/>
              <w:left w:val="nil"/>
              <w:bottom w:val="single" w:sz="6" w:space="0" w:color="auto"/>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20"/>
                <w:vertAlign w:val="superscript"/>
                <w:lang w:eastAsia="en-AU"/>
              </w:rPr>
            </w:pPr>
            <w:r w:rsidRPr="00E22AD9">
              <w:rPr>
                <w:rFonts w:ascii="Calibri" w:eastAsiaTheme="minorEastAsia" w:hAnsi="Calibri" w:cs="Calibri"/>
                <w:color w:val="000000"/>
                <w:sz w:val="20"/>
                <w:lang w:eastAsia="en-AU"/>
              </w:rPr>
              <w:t>Not allocated by purpose</w:t>
            </w:r>
            <w:r w:rsidRPr="00E22AD9">
              <w:rPr>
                <w:rFonts w:ascii="Calibri" w:eastAsiaTheme="minorEastAsia" w:hAnsi="Calibri" w:cs="Calibri"/>
                <w:color w:val="000000"/>
                <w:sz w:val="20"/>
                <w:vertAlign w:val="superscript"/>
                <w:lang w:eastAsia="en-AU"/>
              </w:rPr>
              <w:t>(b)</w:t>
            </w:r>
          </w:p>
        </w:tc>
        <w:tc>
          <w:tcPr>
            <w:tcW w:w="907" w:type="dxa"/>
            <w:gridSpan w:val="2"/>
            <w:tcBorders>
              <w:top w:val="nil"/>
              <w:left w:val="nil"/>
              <w:bottom w:val="single" w:sz="6" w:space="0" w:color="auto"/>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100 879.8</w:t>
            </w:r>
          </w:p>
        </w:tc>
        <w:tc>
          <w:tcPr>
            <w:tcW w:w="907" w:type="dxa"/>
            <w:tcBorders>
              <w:top w:val="nil"/>
              <w:left w:val="nil"/>
              <w:bottom w:val="single" w:sz="6" w:space="0" w:color="auto"/>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98 398.0</w:t>
            </w:r>
          </w:p>
        </w:tc>
        <w:tc>
          <w:tcPr>
            <w:tcW w:w="907" w:type="dxa"/>
            <w:tcBorders>
              <w:top w:val="nil"/>
              <w:left w:val="nil"/>
              <w:bottom w:val="single" w:sz="6" w:space="0" w:color="auto"/>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102 842.3</w:t>
            </w:r>
          </w:p>
        </w:tc>
        <w:tc>
          <w:tcPr>
            <w:tcW w:w="907" w:type="dxa"/>
            <w:tcBorders>
              <w:top w:val="nil"/>
              <w:left w:val="nil"/>
              <w:bottom w:val="single" w:sz="6" w:space="0" w:color="auto"/>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109 813.4</w:t>
            </w:r>
          </w:p>
        </w:tc>
        <w:tc>
          <w:tcPr>
            <w:tcW w:w="908" w:type="dxa"/>
            <w:tcBorders>
              <w:top w:val="nil"/>
              <w:left w:val="nil"/>
              <w:bottom w:val="single" w:sz="6" w:space="0" w:color="auto"/>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114 941.7</w:t>
            </w:r>
          </w:p>
        </w:tc>
      </w:tr>
      <w:tr w:rsidR="00965D85" w:rsidRPr="00E22AD9" w:rsidTr="008B46DF">
        <w:tc>
          <w:tcPr>
            <w:tcW w:w="3261" w:type="dxa"/>
            <w:tcBorders>
              <w:top w:val="single" w:sz="6" w:space="0" w:color="auto"/>
              <w:left w:val="nil"/>
              <w:bottom w:val="single" w:sz="12" w:space="0" w:color="auto"/>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Total assets</w:t>
            </w:r>
          </w:p>
        </w:tc>
        <w:tc>
          <w:tcPr>
            <w:tcW w:w="907" w:type="dxa"/>
            <w:gridSpan w:val="2"/>
            <w:tcBorders>
              <w:top w:val="single" w:sz="6" w:space="0" w:color="auto"/>
              <w:left w:val="nil"/>
              <w:bottom w:val="single" w:sz="12" w:space="0" w:color="auto"/>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211 430.9</w:t>
            </w:r>
          </w:p>
        </w:tc>
        <w:tc>
          <w:tcPr>
            <w:tcW w:w="907" w:type="dxa"/>
            <w:tcBorders>
              <w:top w:val="single" w:sz="6" w:space="0" w:color="auto"/>
              <w:left w:val="nil"/>
              <w:bottom w:val="single" w:sz="12" w:space="0" w:color="auto"/>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209 355.3</w:t>
            </w:r>
          </w:p>
        </w:tc>
        <w:tc>
          <w:tcPr>
            <w:tcW w:w="907" w:type="dxa"/>
            <w:tcBorders>
              <w:top w:val="single" w:sz="6" w:space="0" w:color="auto"/>
              <w:left w:val="nil"/>
              <w:bottom w:val="single" w:sz="12" w:space="0" w:color="auto"/>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213 333.1</w:t>
            </w:r>
          </w:p>
        </w:tc>
        <w:tc>
          <w:tcPr>
            <w:tcW w:w="907" w:type="dxa"/>
            <w:tcBorders>
              <w:top w:val="single" w:sz="6" w:space="0" w:color="auto"/>
              <w:left w:val="nil"/>
              <w:bottom w:val="single" w:sz="12" w:space="0" w:color="auto"/>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225 166.6</w:t>
            </w:r>
          </w:p>
        </w:tc>
        <w:tc>
          <w:tcPr>
            <w:tcW w:w="908" w:type="dxa"/>
            <w:tcBorders>
              <w:top w:val="single" w:sz="6" w:space="0" w:color="auto"/>
              <w:left w:val="nil"/>
              <w:bottom w:val="single" w:sz="12" w:space="0" w:color="auto"/>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227 997.6</w:t>
            </w:r>
          </w:p>
        </w:tc>
      </w:tr>
    </w:tbl>
    <w:p w:rsidR="00965D85" w:rsidRDefault="00965D85" w:rsidP="008B46DF">
      <w:pPr>
        <w:pStyle w:val="Notes"/>
        <w:rPr>
          <w:lang w:eastAsia="en-AU"/>
        </w:rPr>
      </w:pPr>
      <w:r>
        <w:rPr>
          <w:lang w:eastAsia="en-AU"/>
        </w:rPr>
        <w:t>Notes:</w:t>
      </w:r>
    </w:p>
    <w:p w:rsidR="00965D85" w:rsidRDefault="00965D85" w:rsidP="008B46DF">
      <w:pPr>
        <w:pStyle w:val="Notes"/>
        <w:rPr>
          <w:lang w:eastAsia="en-AU"/>
        </w:rPr>
      </w:pPr>
      <w:r>
        <w:rPr>
          <w:lang w:eastAsia="en-AU"/>
        </w:rPr>
        <w:t>(a)</w:t>
      </w:r>
      <w:r>
        <w:rPr>
          <w:lang w:eastAsia="en-AU"/>
        </w:rPr>
        <w:tab/>
      </w:r>
      <w:r w:rsidRPr="006A00FB">
        <w:rPr>
          <w:lang w:eastAsia="en-AU"/>
        </w:rPr>
        <w:t>N</w:t>
      </w:r>
      <w:r>
        <w:rPr>
          <w:lang w:eastAsia="en-AU"/>
        </w:rPr>
        <w:t xml:space="preserve">ote 41 of the </w:t>
      </w:r>
      <w:r w:rsidRPr="00410D84">
        <w:rPr>
          <w:i w:val="0"/>
          <w:lang w:eastAsia="en-AU"/>
        </w:rPr>
        <w:t>2014</w:t>
      </w:r>
      <w:r>
        <w:rPr>
          <w:i w:val="0"/>
          <w:lang w:eastAsia="en-AU"/>
        </w:rPr>
        <w:noBreakHyphen/>
      </w:r>
      <w:r w:rsidRPr="00410D84">
        <w:rPr>
          <w:i w:val="0"/>
          <w:lang w:eastAsia="en-AU"/>
        </w:rPr>
        <w:t>15 Financial Report</w:t>
      </w:r>
      <w:r>
        <w:rPr>
          <w:lang w:eastAsia="en-AU"/>
        </w:rPr>
        <w:t xml:space="preserve"> for the State of Victoria provides definitions and descriptions of government purpose classifications.</w:t>
      </w:r>
    </w:p>
    <w:p w:rsidR="00965D85" w:rsidRDefault="00965D85" w:rsidP="008B46DF">
      <w:pPr>
        <w:pStyle w:val="Notes"/>
        <w:rPr>
          <w:lang w:eastAsia="en-AU"/>
        </w:rPr>
      </w:pPr>
      <w:r>
        <w:rPr>
          <w:lang w:eastAsia="en-AU"/>
        </w:rPr>
        <w:t>(b)</w:t>
      </w:r>
      <w:r>
        <w:rPr>
          <w:lang w:eastAsia="en-AU"/>
        </w:rPr>
        <w:tab/>
        <w:t>Represents financial assets which are not able to be allocated by purpose. This mainly includes balances relating to the general government sector’s investment in other sector entities.</w:t>
      </w:r>
    </w:p>
    <w:p w:rsidR="00965D85" w:rsidRDefault="00965D85" w:rsidP="008B46DF">
      <w:pPr>
        <w:rPr>
          <w:lang w:eastAsia="en-AU"/>
        </w:rPr>
      </w:pPr>
    </w:p>
    <w:p w:rsidR="00965D85" w:rsidRDefault="00965D85" w:rsidP="008B46DF">
      <w:pPr>
        <w:rPr>
          <w:lang w:eastAsia="en-AU"/>
        </w:rPr>
      </w:pPr>
    </w:p>
    <w:p w:rsidR="00965D85" w:rsidRDefault="00965D85" w:rsidP="008B46DF">
      <w:pPr>
        <w:pStyle w:val="Heading2Notes"/>
        <w:rPr>
          <w:rFonts w:ascii="Times New Roman" w:hAnsi="Times New Roman"/>
          <w:b w:val="0"/>
          <w:kern w:val="0"/>
          <w:sz w:val="20"/>
          <w:szCs w:val="20"/>
          <w:lang w:eastAsia="en-AU"/>
        </w:rPr>
      </w:pPr>
      <w:bookmarkStart w:id="69" w:name="_Toc436138927"/>
      <w:r w:rsidRPr="003878BE">
        <w:rPr>
          <w:lang w:eastAsia="en-AU"/>
        </w:rPr>
        <w:t xml:space="preserve">Note 21: </w:t>
      </w:r>
      <w:r w:rsidRPr="003878BE">
        <w:rPr>
          <w:lang w:eastAsia="en-AU"/>
        </w:rPr>
        <w:tab/>
        <w:t>Payables</w:t>
      </w:r>
      <w:bookmarkEnd w:id="69"/>
    </w:p>
    <w:tbl>
      <w:tblPr>
        <w:tblW w:w="7797" w:type="dxa"/>
        <w:tblInd w:w="28" w:type="dxa"/>
        <w:tblLayout w:type="fixed"/>
        <w:tblCellMar>
          <w:left w:w="28" w:type="dxa"/>
          <w:right w:w="28" w:type="dxa"/>
        </w:tblCellMar>
        <w:tblLook w:val="0000" w:firstRow="0" w:lastRow="0" w:firstColumn="0" w:lastColumn="0" w:noHBand="0" w:noVBand="0"/>
      </w:tblPr>
      <w:tblGrid>
        <w:gridCol w:w="3544"/>
        <w:gridCol w:w="850"/>
        <w:gridCol w:w="851"/>
        <w:gridCol w:w="850"/>
        <w:gridCol w:w="851"/>
        <w:gridCol w:w="851"/>
      </w:tblGrid>
      <w:tr w:rsidR="00965D85" w:rsidRPr="00E22AD9" w:rsidTr="008B46DF">
        <w:trPr>
          <w:tblHeader/>
        </w:trPr>
        <w:tc>
          <w:tcPr>
            <w:tcW w:w="7797" w:type="dxa"/>
            <w:gridSpan w:val="6"/>
            <w:tcBorders>
              <w:top w:val="nil"/>
              <w:left w:val="nil"/>
              <w:bottom w:val="nil"/>
              <w:right w:val="nil"/>
            </w:tcBorders>
          </w:tcPr>
          <w:p w:rsidR="00965D85" w:rsidRPr="00E22AD9" w:rsidRDefault="00965D85" w:rsidP="008B46DF">
            <w:pPr>
              <w:pStyle w:val="million"/>
              <w:rPr>
                <w:rFonts w:eastAsiaTheme="minorEastAsia" w:cs="Calibri"/>
                <w:iCs/>
                <w:color w:val="000000"/>
                <w:sz w:val="20"/>
                <w:lang w:eastAsia="en-AU"/>
              </w:rPr>
            </w:pPr>
            <w:r w:rsidRPr="00E22AD9">
              <w:rPr>
                <w:rFonts w:eastAsiaTheme="minorEastAsia"/>
                <w:lang w:eastAsia="en-AU"/>
              </w:rPr>
              <w:t>($ million)</w:t>
            </w:r>
          </w:p>
        </w:tc>
      </w:tr>
      <w:tr w:rsidR="00965D85" w:rsidRPr="00E22AD9" w:rsidTr="008B46DF">
        <w:trPr>
          <w:trHeight w:val="488"/>
          <w:tblHeader/>
        </w:trPr>
        <w:tc>
          <w:tcPr>
            <w:tcW w:w="3544" w:type="dxa"/>
            <w:tcBorders>
              <w:top w:val="nil"/>
              <w:left w:val="nil"/>
              <w:right w:val="nil"/>
            </w:tcBorders>
            <w:shd w:val="solid" w:color="000000" w:fill="auto"/>
          </w:tcPr>
          <w:p w:rsidR="00965D85" w:rsidRPr="00E22AD9" w:rsidRDefault="00965D85" w:rsidP="008B46DF">
            <w:pPr>
              <w:pStyle w:val="million"/>
              <w:rPr>
                <w:rFonts w:eastAsiaTheme="minorEastAsia"/>
                <w:sz w:val="20"/>
                <w:lang w:eastAsia="en-AU"/>
              </w:rPr>
            </w:pPr>
            <w:r w:rsidRPr="00E22AD9">
              <w:rPr>
                <w:rFonts w:eastAsiaTheme="minorEastAsia"/>
                <w:sz w:val="20"/>
                <w:lang w:eastAsia="en-AU"/>
              </w:rPr>
              <w:t xml:space="preserve"> </w:t>
            </w:r>
          </w:p>
          <w:p w:rsidR="00965D85" w:rsidRPr="00E22AD9" w:rsidRDefault="00965D85" w:rsidP="008B46DF">
            <w:pPr>
              <w:autoSpaceDE w:val="0"/>
              <w:autoSpaceDN w:val="0"/>
              <w:adjustRightInd w:val="0"/>
              <w:spacing w:after="0"/>
              <w:rPr>
                <w:rFonts w:eastAsiaTheme="minorEastAsia"/>
                <w:sz w:val="20"/>
                <w:lang w:eastAsia="en-AU"/>
              </w:rPr>
            </w:pPr>
            <w:r w:rsidRPr="00E22AD9">
              <w:rPr>
                <w:rFonts w:ascii="Calibri" w:eastAsiaTheme="minorEastAsia" w:hAnsi="Calibri" w:cs="Calibri"/>
                <w:color w:val="000000"/>
                <w:sz w:val="20"/>
                <w:lang w:eastAsia="en-AU"/>
              </w:rPr>
              <w:t xml:space="preserve"> </w:t>
            </w:r>
          </w:p>
        </w:tc>
        <w:tc>
          <w:tcPr>
            <w:tcW w:w="850" w:type="dxa"/>
            <w:tcBorders>
              <w:top w:val="nil"/>
              <w:left w:val="nil"/>
              <w:right w:val="nil"/>
            </w:tcBorders>
            <w:shd w:val="solid" w:color="000000" w:fill="auto"/>
          </w:tcPr>
          <w:p w:rsidR="00965D85" w:rsidRPr="00E22AD9" w:rsidRDefault="00965D85" w:rsidP="008B46DF">
            <w:pPr>
              <w:pStyle w:val="million"/>
              <w:jc w:val="right"/>
              <w:rPr>
                <w:rFonts w:eastAsiaTheme="minorEastAsia"/>
                <w:iCs/>
                <w:color w:val="FFFFFF"/>
                <w:sz w:val="20"/>
                <w:lang w:eastAsia="en-AU"/>
              </w:rPr>
            </w:pPr>
            <w:r w:rsidRPr="00E22AD9">
              <w:rPr>
                <w:rFonts w:eastAsiaTheme="minorEastAsia"/>
                <w:iCs/>
                <w:color w:val="FFFFFF"/>
                <w:sz w:val="20"/>
                <w:lang w:eastAsia="en-AU"/>
              </w:rPr>
              <w:t>2016</w:t>
            </w:r>
          </w:p>
          <w:p w:rsidR="00965D85" w:rsidRPr="00E22AD9" w:rsidRDefault="00965D85" w:rsidP="008B46DF">
            <w:pPr>
              <w:autoSpaceDE w:val="0"/>
              <w:autoSpaceDN w:val="0"/>
              <w:adjustRightInd w:val="0"/>
              <w:spacing w:after="0"/>
              <w:jc w:val="right"/>
              <w:rPr>
                <w:rFonts w:eastAsiaTheme="minorEastAsia"/>
                <w:iCs/>
                <w:color w:val="FFFFFF"/>
                <w:sz w:val="20"/>
                <w:lang w:eastAsia="en-AU"/>
              </w:rPr>
            </w:pPr>
            <w:r w:rsidRPr="00E22AD9">
              <w:rPr>
                <w:rFonts w:ascii="Calibri" w:eastAsiaTheme="minorEastAsia" w:hAnsi="Calibri" w:cs="Calibri"/>
                <w:i/>
                <w:iCs/>
                <w:color w:val="FFFFFF"/>
                <w:sz w:val="20"/>
                <w:lang w:eastAsia="en-AU"/>
              </w:rPr>
              <w:t>budget</w:t>
            </w:r>
          </w:p>
        </w:tc>
        <w:tc>
          <w:tcPr>
            <w:tcW w:w="851" w:type="dxa"/>
            <w:tcBorders>
              <w:top w:val="nil"/>
              <w:left w:val="nil"/>
              <w:right w:val="nil"/>
            </w:tcBorders>
            <w:shd w:val="solid" w:color="000000" w:fill="auto"/>
          </w:tcPr>
          <w:p w:rsidR="00965D85" w:rsidRPr="00E22AD9" w:rsidRDefault="00965D85" w:rsidP="008B46DF">
            <w:pPr>
              <w:pStyle w:val="million"/>
              <w:jc w:val="right"/>
              <w:rPr>
                <w:rFonts w:eastAsiaTheme="minorEastAsia"/>
                <w:iCs/>
                <w:color w:val="FFFFFF"/>
                <w:sz w:val="20"/>
                <w:lang w:eastAsia="en-AU"/>
              </w:rPr>
            </w:pPr>
            <w:r w:rsidRPr="00E22AD9">
              <w:rPr>
                <w:rFonts w:eastAsiaTheme="minorEastAsia"/>
                <w:iCs/>
                <w:color w:val="FFFFFF"/>
                <w:sz w:val="20"/>
                <w:lang w:eastAsia="en-AU"/>
              </w:rPr>
              <w:t>2016</w:t>
            </w:r>
          </w:p>
          <w:p w:rsidR="00965D85" w:rsidRPr="00E22AD9" w:rsidRDefault="00965D85" w:rsidP="008B46DF">
            <w:pPr>
              <w:autoSpaceDE w:val="0"/>
              <w:autoSpaceDN w:val="0"/>
              <w:adjustRightInd w:val="0"/>
              <w:spacing w:after="0"/>
              <w:jc w:val="right"/>
              <w:rPr>
                <w:rFonts w:eastAsiaTheme="minorEastAsia"/>
                <w:iCs/>
                <w:color w:val="FFFFFF"/>
                <w:sz w:val="20"/>
                <w:lang w:eastAsia="en-AU"/>
              </w:rPr>
            </w:pPr>
            <w:r w:rsidRPr="00E22AD9">
              <w:rPr>
                <w:rFonts w:ascii="Calibri" w:eastAsiaTheme="minorEastAsia" w:hAnsi="Calibri" w:cs="Calibri"/>
                <w:i/>
                <w:iCs/>
                <w:color w:val="FFFFFF"/>
                <w:sz w:val="20"/>
                <w:lang w:eastAsia="en-AU"/>
              </w:rPr>
              <w:t>revised</w:t>
            </w:r>
          </w:p>
        </w:tc>
        <w:tc>
          <w:tcPr>
            <w:tcW w:w="850" w:type="dxa"/>
            <w:tcBorders>
              <w:top w:val="nil"/>
              <w:left w:val="nil"/>
              <w:right w:val="nil"/>
            </w:tcBorders>
            <w:shd w:val="solid" w:color="000000" w:fill="auto"/>
          </w:tcPr>
          <w:p w:rsidR="00965D85" w:rsidRPr="00E22AD9" w:rsidRDefault="00965D85" w:rsidP="008B46DF">
            <w:pPr>
              <w:pStyle w:val="million"/>
              <w:jc w:val="right"/>
              <w:rPr>
                <w:rFonts w:eastAsiaTheme="minorEastAsia"/>
                <w:iCs/>
                <w:color w:val="FFFFFF"/>
                <w:sz w:val="20"/>
                <w:lang w:eastAsia="en-AU"/>
              </w:rPr>
            </w:pPr>
            <w:r w:rsidRPr="00E22AD9">
              <w:rPr>
                <w:rFonts w:eastAsiaTheme="minorEastAsia"/>
                <w:iCs/>
                <w:color w:val="FFFFFF"/>
                <w:sz w:val="20"/>
                <w:lang w:eastAsia="en-AU"/>
              </w:rPr>
              <w:t>2017</w:t>
            </w:r>
          </w:p>
          <w:p w:rsidR="00965D85" w:rsidRPr="00E22AD9" w:rsidRDefault="00965D85" w:rsidP="008B46DF">
            <w:pPr>
              <w:autoSpaceDE w:val="0"/>
              <w:autoSpaceDN w:val="0"/>
              <w:adjustRightInd w:val="0"/>
              <w:spacing w:after="0"/>
              <w:jc w:val="right"/>
              <w:rPr>
                <w:rFonts w:eastAsiaTheme="minorEastAsia"/>
                <w:iCs/>
                <w:color w:val="FFFFFF"/>
                <w:sz w:val="20"/>
                <w:lang w:eastAsia="en-AU"/>
              </w:rPr>
            </w:pPr>
            <w:r w:rsidRPr="00E22AD9">
              <w:rPr>
                <w:rFonts w:ascii="Calibri" w:eastAsiaTheme="minorEastAsia" w:hAnsi="Calibri" w:cs="Calibri"/>
                <w:i/>
                <w:iCs/>
                <w:color w:val="FFFFFF"/>
                <w:sz w:val="20"/>
                <w:lang w:eastAsia="en-AU"/>
              </w:rPr>
              <w:t xml:space="preserve"> estimate</w:t>
            </w:r>
          </w:p>
        </w:tc>
        <w:tc>
          <w:tcPr>
            <w:tcW w:w="851" w:type="dxa"/>
            <w:tcBorders>
              <w:top w:val="nil"/>
              <w:left w:val="nil"/>
              <w:right w:val="nil"/>
            </w:tcBorders>
            <w:shd w:val="solid" w:color="000000" w:fill="auto"/>
          </w:tcPr>
          <w:p w:rsidR="00965D85" w:rsidRPr="00E22AD9" w:rsidRDefault="00965D85" w:rsidP="008B46DF">
            <w:pPr>
              <w:pStyle w:val="million"/>
              <w:jc w:val="right"/>
              <w:rPr>
                <w:rFonts w:eastAsiaTheme="minorEastAsia"/>
                <w:iCs/>
                <w:color w:val="FFFFFF"/>
                <w:sz w:val="20"/>
                <w:lang w:eastAsia="en-AU"/>
              </w:rPr>
            </w:pPr>
            <w:r w:rsidRPr="00E22AD9">
              <w:rPr>
                <w:rFonts w:eastAsiaTheme="minorEastAsia"/>
                <w:iCs/>
                <w:color w:val="FFFFFF"/>
                <w:sz w:val="20"/>
                <w:lang w:eastAsia="en-AU"/>
              </w:rPr>
              <w:t>2018</w:t>
            </w:r>
          </w:p>
          <w:p w:rsidR="00965D85" w:rsidRPr="00E22AD9" w:rsidRDefault="00965D85" w:rsidP="008B46DF">
            <w:pPr>
              <w:autoSpaceDE w:val="0"/>
              <w:autoSpaceDN w:val="0"/>
              <w:adjustRightInd w:val="0"/>
              <w:spacing w:after="0"/>
              <w:jc w:val="right"/>
              <w:rPr>
                <w:rFonts w:eastAsiaTheme="minorEastAsia"/>
                <w:iCs/>
                <w:color w:val="FFFFFF"/>
                <w:sz w:val="20"/>
                <w:lang w:eastAsia="en-AU"/>
              </w:rPr>
            </w:pPr>
            <w:r w:rsidRPr="00E22AD9">
              <w:rPr>
                <w:rFonts w:ascii="Calibri" w:eastAsiaTheme="minorEastAsia" w:hAnsi="Calibri" w:cs="Calibri"/>
                <w:i/>
                <w:iCs/>
                <w:color w:val="FFFFFF"/>
                <w:sz w:val="20"/>
                <w:lang w:eastAsia="en-AU"/>
              </w:rPr>
              <w:t xml:space="preserve"> estimate</w:t>
            </w:r>
          </w:p>
        </w:tc>
        <w:tc>
          <w:tcPr>
            <w:tcW w:w="851" w:type="dxa"/>
            <w:tcBorders>
              <w:top w:val="nil"/>
              <w:left w:val="nil"/>
              <w:right w:val="nil"/>
            </w:tcBorders>
            <w:shd w:val="solid" w:color="000000" w:fill="auto"/>
          </w:tcPr>
          <w:p w:rsidR="00965D85" w:rsidRPr="00E22AD9" w:rsidRDefault="00965D85" w:rsidP="008B46DF">
            <w:pPr>
              <w:pStyle w:val="million"/>
              <w:jc w:val="right"/>
              <w:rPr>
                <w:rFonts w:eastAsiaTheme="minorEastAsia"/>
                <w:iCs/>
                <w:color w:val="FFFFFF"/>
                <w:sz w:val="20"/>
                <w:lang w:eastAsia="en-AU"/>
              </w:rPr>
            </w:pPr>
            <w:r w:rsidRPr="00E22AD9">
              <w:rPr>
                <w:rFonts w:eastAsiaTheme="minorEastAsia"/>
                <w:iCs/>
                <w:color w:val="FFFFFF"/>
                <w:sz w:val="20"/>
                <w:lang w:eastAsia="en-AU"/>
              </w:rPr>
              <w:t>2019</w:t>
            </w:r>
          </w:p>
          <w:p w:rsidR="00965D85" w:rsidRPr="00E22AD9" w:rsidRDefault="00965D85" w:rsidP="008B46DF">
            <w:pPr>
              <w:autoSpaceDE w:val="0"/>
              <w:autoSpaceDN w:val="0"/>
              <w:adjustRightInd w:val="0"/>
              <w:spacing w:after="0"/>
              <w:jc w:val="right"/>
              <w:rPr>
                <w:rFonts w:eastAsiaTheme="minorEastAsia"/>
                <w:iCs/>
                <w:color w:val="FFFFFF"/>
                <w:sz w:val="20"/>
                <w:lang w:eastAsia="en-AU"/>
              </w:rPr>
            </w:pPr>
            <w:r w:rsidRPr="00E22AD9">
              <w:rPr>
                <w:rFonts w:ascii="Calibri" w:eastAsiaTheme="minorEastAsia" w:hAnsi="Calibri" w:cs="Calibri"/>
                <w:i/>
                <w:iCs/>
                <w:color w:val="FFFFFF"/>
                <w:sz w:val="20"/>
                <w:lang w:eastAsia="en-AU"/>
              </w:rPr>
              <w:t>estimate</w:t>
            </w:r>
          </w:p>
        </w:tc>
      </w:tr>
      <w:tr w:rsidR="00965D85" w:rsidRPr="00E22AD9" w:rsidTr="008B46DF">
        <w:tc>
          <w:tcPr>
            <w:tcW w:w="3544" w:type="dxa"/>
            <w:tcBorders>
              <w:top w:val="nil"/>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Current payables</w:t>
            </w:r>
          </w:p>
        </w:tc>
        <w:tc>
          <w:tcPr>
            <w:tcW w:w="850"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851"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850"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851"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851"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r>
      <w:tr w:rsidR="00965D85" w:rsidRPr="00E22AD9" w:rsidTr="008B46DF">
        <w:tc>
          <w:tcPr>
            <w:tcW w:w="3544" w:type="dxa"/>
            <w:tcBorders>
              <w:top w:val="nil"/>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Accounts payable and accrued expenses</w:t>
            </w:r>
          </w:p>
        </w:tc>
        <w:tc>
          <w:tcPr>
            <w:tcW w:w="850"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3 000.4</w:t>
            </w:r>
          </w:p>
        </w:tc>
        <w:tc>
          <w:tcPr>
            <w:tcW w:w="851"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2 767.2</w:t>
            </w:r>
          </w:p>
        </w:tc>
        <w:tc>
          <w:tcPr>
            <w:tcW w:w="850"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2 703.5</w:t>
            </w:r>
          </w:p>
        </w:tc>
        <w:tc>
          <w:tcPr>
            <w:tcW w:w="851"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2 688.1</w:t>
            </w:r>
          </w:p>
        </w:tc>
        <w:tc>
          <w:tcPr>
            <w:tcW w:w="851"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2 647.3</w:t>
            </w:r>
          </w:p>
        </w:tc>
      </w:tr>
      <w:tr w:rsidR="00965D85" w:rsidRPr="00E22AD9" w:rsidTr="008B46DF">
        <w:tc>
          <w:tcPr>
            <w:tcW w:w="3544" w:type="dxa"/>
            <w:tcBorders>
              <w:top w:val="nil"/>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Accrued taxes payable</w:t>
            </w:r>
          </w:p>
        </w:tc>
        <w:tc>
          <w:tcPr>
            <w:tcW w:w="850"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43.8</w:t>
            </w:r>
          </w:p>
        </w:tc>
        <w:tc>
          <w:tcPr>
            <w:tcW w:w="851"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43.8</w:t>
            </w:r>
          </w:p>
        </w:tc>
        <w:tc>
          <w:tcPr>
            <w:tcW w:w="850"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44.3</w:t>
            </w:r>
          </w:p>
        </w:tc>
        <w:tc>
          <w:tcPr>
            <w:tcW w:w="851"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44.9</w:t>
            </w:r>
          </w:p>
        </w:tc>
        <w:tc>
          <w:tcPr>
            <w:tcW w:w="851"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46.4</w:t>
            </w:r>
          </w:p>
        </w:tc>
      </w:tr>
      <w:tr w:rsidR="00965D85" w:rsidRPr="00E22AD9" w:rsidTr="008B46DF">
        <w:tc>
          <w:tcPr>
            <w:tcW w:w="3544"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Unearned income</w:t>
            </w:r>
          </w:p>
        </w:tc>
        <w:tc>
          <w:tcPr>
            <w:tcW w:w="850"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560.7</w:t>
            </w:r>
          </w:p>
        </w:tc>
        <w:tc>
          <w:tcPr>
            <w:tcW w:w="851"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561.1</w:t>
            </w:r>
          </w:p>
        </w:tc>
        <w:tc>
          <w:tcPr>
            <w:tcW w:w="850"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560.4</w:t>
            </w:r>
          </w:p>
        </w:tc>
        <w:tc>
          <w:tcPr>
            <w:tcW w:w="851"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558.8</w:t>
            </w:r>
          </w:p>
        </w:tc>
        <w:tc>
          <w:tcPr>
            <w:tcW w:w="851"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550.6</w:t>
            </w:r>
          </w:p>
        </w:tc>
      </w:tr>
      <w:tr w:rsidR="00965D85" w:rsidRPr="00E22AD9" w:rsidTr="008B46DF">
        <w:tc>
          <w:tcPr>
            <w:tcW w:w="3544" w:type="dxa"/>
            <w:tcBorders>
              <w:top w:val="single" w:sz="6" w:space="0" w:color="000000"/>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Total current payables</w:t>
            </w:r>
          </w:p>
        </w:tc>
        <w:tc>
          <w:tcPr>
            <w:tcW w:w="850" w:type="dxa"/>
            <w:tcBorders>
              <w:top w:val="single" w:sz="6" w:space="0" w:color="000000"/>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3 604.9</w:t>
            </w:r>
          </w:p>
        </w:tc>
        <w:tc>
          <w:tcPr>
            <w:tcW w:w="851" w:type="dxa"/>
            <w:tcBorders>
              <w:top w:val="single" w:sz="6" w:space="0" w:color="000000"/>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3 372.0</w:t>
            </w:r>
          </w:p>
        </w:tc>
        <w:tc>
          <w:tcPr>
            <w:tcW w:w="850" w:type="dxa"/>
            <w:tcBorders>
              <w:top w:val="single" w:sz="6" w:space="0" w:color="000000"/>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3 308.2</w:t>
            </w:r>
          </w:p>
        </w:tc>
        <w:tc>
          <w:tcPr>
            <w:tcW w:w="851" w:type="dxa"/>
            <w:tcBorders>
              <w:top w:val="single" w:sz="6" w:space="0" w:color="000000"/>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3 291.8</w:t>
            </w:r>
          </w:p>
        </w:tc>
        <w:tc>
          <w:tcPr>
            <w:tcW w:w="851" w:type="dxa"/>
            <w:tcBorders>
              <w:top w:val="single" w:sz="6" w:space="0" w:color="000000"/>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3 244.4</w:t>
            </w:r>
          </w:p>
        </w:tc>
      </w:tr>
      <w:tr w:rsidR="00965D85" w:rsidRPr="00E22AD9" w:rsidTr="008B46DF">
        <w:tc>
          <w:tcPr>
            <w:tcW w:w="3544" w:type="dxa"/>
            <w:tcBorders>
              <w:top w:val="nil"/>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Non</w:t>
            </w:r>
            <w:r>
              <w:rPr>
                <w:rFonts w:ascii="Calibri" w:eastAsiaTheme="minorEastAsia" w:hAnsi="Calibri" w:cs="Calibri"/>
                <w:b/>
                <w:bCs/>
                <w:color w:val="000000"/>
                <w:sz w:val="20"/>
                <w:lang w:eastAsia="en-AU"/>
              </w:rPr>
              <w:noBreakHyphen/>
            </w:r>
            <w:r w:rsidRPr="00E22AD9">
              <w:rPr>
                <w:rFonts w:ascii="Calibri" w:eastAsiaTheme="minorEastAsia" w:hAnsi="Calibri" w:cs="Calibri"/>
                <w:b/>
                <w:bCs/>
                <w:color w:val="000000"/>
                <w:sz w:val="20"/>
                <w:lang w:eastAsia="en-AU"/>
              </w:rPr>
              <w:t>current payables</w:t>
            </w:r>
          </w:p>
        </w:tc>
        <w:tc>
          <w:tcPr>
            <w:tcW w:w="850"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851"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850"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851"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851"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r>
      <w:tr w:rsidR="00965D85" w:rsidRPr="00E22AD9" w:rsidTr="008B46DF">
        <w:tc>
          <w:tcPr>
            <w:tcW w:w="3544" w:type="dxa"/>
            <w:tcBorders>
              <w:top w:val="nil"/>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Accounts payable and accrued expenses</w:t>
            </w:r>
          </w:p>
        </w:tc>
        <w:tc>
          <w:tcPr>
            <w:tcW w:w="850"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117.3</w:t>
            </w:r>
          </w:p>
        </w:tc>
        <w:tc>
          <w:tcPr>
            <w:tcW w:w="851"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117.3</w:t>
            </w:r>
          </w:p>
        </w:tc>
        <w:tc>
          <w:tcPr>
            <w:tcW w:w="850"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109.5</w:t>
            </w:r>
          </w:p>
        </w:tc>
        <w:tc>
          <w:tcPr>
            <w:tcW w:w="851"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101.1</w:t>
            </w:r>
          </w:p>
        </w:tc>
        <w:tc>
          <w:tcPr>
            <w:tcW w:w="851"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91.4</w:t>
            </w:r>
          </w:p>
        </w:tc>
      </w:tr>
      <w:tr w:rsidR="00965D85" w:rsidRPr="00E22AD9" w:rsidTr="008B46DF">
        <w:tc>
          <w:tcPr>
            <w:tcW w:w="3544"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Unearned income</w:t>
            </w:r>
          </w:p>
        </w:tc>
        <w:tc>
          <w:tcPr>
            <w:tcW w:w="850"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1 711.8</w:t>
            </w:r>
          </w:p>
        </w:tc>
        <w:tc>
          <w:tcPr>
            <w:tcW w:w="851"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1 667.8</w:t>
            </w:r>
          </w:p>
        </w:tc>
        <w:tc>
          <w:tcPr>
            <w:tcW w:w="850"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1 608.0</w:t>
            </w:r>
          </w:p>
        </w:tc>
        <w:tc>
          <w:tcPr>
            <w:tcW w:w="851"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1 519.9</w:t>
            </w:r>
          </w:p>
        </w:tc>
        <w:tc>
          <w:tcPr>
            <w:tcW w:w="851"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1 361.5</w:t>
            </w:r>
          </w:p>
        </w:tc>
      </w:tr>
      <w:tr w:rsidR="00965D85" w:rsidRPr="00E22AD9" w:rsidTr="008B46DF">
        <w:tc>
          <w:tcPr>
            <w:tcW w:w="3544" w:type="dxa"/>
            <w:tcBorders>
              <w:top w:val="single" w:sz="6" w:space="0" w:color="000000"/>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Total non</w:t>
            </w:r>
            <w:r>
              <w:rPr>
                <w:rFonts w:ascii="Calibri" w:eastAsiaTheme="minorEastAsia" w:hAnsi="Calibri" w:cs="Calibri"/>
                <w:b/>
                <w:bCs/>
                <w:color w:val="000000"/>
                <w:sz w:val="20"/>
                <w:lang w:eastAsia="en-AU"/>
              </w:rPr>
              <w:noBreakHyphen/>
            </w:r>
            <w:r w:rsidRPr="00E22AD9">
              <w:rPr>
                <w:rFonts w:ascii="Calibri" w:eastAsiaTheme="minorEastAsia" w:hAnsi="Calibri" w:cs="Calibri"/>
                <w:b/>
                <w:bCs/>
                <w:color w:val="000000"/>
                <w:sz w:val="20"/>
                <w:lang w:eastAsia="en-AU"/>
              </w:rPr>
              <w:t>current payables</w:t>
            </w:r>
          </w:p>
        </w:tc>
        <w:tc>
          <w:tcPr>
            <w:tcW w:w="850" w:type="dxa"/>
            <w:tcBorders>
              <w:top w:val="single" w:sz="6" w:space="0" w:color="000000"/>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1 829.2</w:t>
            </w:r>
          </w:p>
        </w:tc>
        <w:tc>
          <w:tcPr>
            <w:tcW w:w="851" w:type="dxa"/>
            <w:tcBorders>
              <w:top w:val="single" w:sz="6" w:space="0" w:color="000000"/>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1 785.1</w:t>
            </w:r>
          </w:p>
        </w:tc>
        <w:tc>
          <w:tcPr>
            <w:tcW w:w="850" w:type="dxa"/>
            <w:tcBorders>
              <w:top w:val="single" w:sz="6" w:space="0" w:color="000000"/>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1 717.5</w:t>
            </w:r>
          </w:p>
        </w:tc>
        <w:tc>
          <w:tcPr>
            <w:tcW w:w="851" w:type="dxa"/>
            <w:tcBorders>
              <w:top w:val="single" w:sz="6" w:space="0" w:color="000000"/>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1 621.0</w:t>
            </w:r>
          </w:p>
        </w:tc>
        <w:tc>
          <w:tcPr>
            <w:tcW w:w="851" w:type="dxa"/>
            <w:tcBorders>
              <w:top w:val="single" w:sz="6" w:space="0" w:color="000000"/>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1 452.9</w:t>
            </w:r>
          </w:p>
        </w:tc>
      </w:tr>
      <w:tr w:rsidR="00965D85" w:rsidRPr="00E22AD9" w:rsidTr="008B46DF">
        <w:tc>
          <w:tcPr>
            <w:tcW w:w="3544" w:type="dxa"/>
            <w:tcBorders>
              <w:top w:val="single" w:sz="6" w:space="0" w:color="000000"/>
              <w:left w:val="nil"/>
              <w:bottom w:val="single" w:sz="12" w:space="0" w:color="000000"/>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Total payables</w:t>
            </w:r>
          </w:p>
        </w:tc>
        <w:tc>
          <w:tcPr>
            <w:tcW w:w="850" w:type="dxa"/>
            <w:tcBorders>
              <w:top w:val="single" w:sz="6" w:space="0" w:color="000000"/>
              <w:left w:val="nil"/>
              <w:bottom w:val="single" w:sz="12"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5 434.0</w:t>
            </w:r>
          </w:p>
        </w:tc>
        <w:tc>
          <w:tcPr>
            <w:tcW w:w="851" w:type="dxa"/>
            <w:tcBorders>
              <w:top w:val="single" w:sz="6" w:space="0" w:color="000000"/>
              <w:left w:val="nil"/>
              <w:bottom w:val="single" w:sz="12"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5 157.2</w:t>
            </w:r>
          </w:p>
        </w:tc>
        <w:tc>
          <w:tcPr>
            <w:tcW w:w="850" w:type="dxa"/>
            <w:tcBorders>
              <w:top w:val="single" w:sz="6" w:space="0" w:color="000000"/>
              <w:left w:val="nil"/>
              <w:bottom w:val="single" w:sz="12"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5 025.7</w:t>
            </w:r>
          </w:p>
        </w:tc>
        <w:tc>
          <w:tcPr>
            <w:tcW w:w="851" w:type="dxa"/>
            <w:tcBorders>
              <w:top w:val="single" w:sz="6" w:space="0" w:color="000000"/>
              <w:left w:val="nil"/>
              <w:bottom w:val="single" w:sz="12"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4 912.8</w:t>
            </w:r>
          </w:p>
        </w:tc>
        <w:tc>
          <w:tcPr>
            <w:tcW w:w="851" w:type="dxa"/>
            <w:tcBorders>
              <w:top w:val="single" w:sz="6" w:space="0" w:color="000000"/>
              <w:left w:val="nil"/>
              <w:bottom w:val="single" w:sz="12"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4 697.3</w:t>
            </w:r>
          </w:p>
        </w:tc>
      </w:tr>
    </w:tbl>
    <w:p w:rsidR="00965D85" w:rsidRDefault="00965D85" w:rsidP="008B46DF">
      <w:pPr>
        <w:pStyle w:val="Heading2Notes"/>
        <w:rPr>
          <w:rFonts w:ascii="Tms Rmn" w:hAnsi="Tms Rmn" w:cs="Tms Rmn"/>
          <w:color w:val="000000"/>
          <w:sz w:val="18"/>
          <w:szCs w:val="18"/>
          <w:lang w:eastAsia="en-AU"/>
        </w:rPr>
      </w:pPr>
    </w:p>
    <w:p w:rsidR="00965D85" w:rsidRDefault="00965D85">
      <w:pPr>
        <w:spacing w:after="0"/>
        <w:rPr>
          <w:rFonts w:ascii="Calibri" w:hAnsi="Calibri"/>
          <w:b/>
          <w:kern w:val="28"/>
          <w:sz w:val="26"/>
          <w:szCs w:val="22"/>
          <w:lang w:eastAsia="en-AU"/>
        </w:rPr>
      </w:pPr>
      <w:r>
        <w:rPr>
          <w:lang w:eastAsia="en-AU"/>
        </w:rPr>
        <w:br w:type="page"/>
      </w:r>
    </w:p>
    <w:p w:rsidR="00965D85" w:rsidRDefault="00965D85" w:rsidP="008B46DF">
      <w:pPr>
        <w:pStyle w:val="Heading2Notes"/>
        <w:rPr>
          <w:rFonts w:ascii="Times New Roman" w:hAnsi="Times New Roman"/>
          <w:i/>
          <w:sz w:val="20"/>
          <w:lang w:eastAsia="en-AU"/>
        </w:rPr>
      </w:pPr>
      <w:bookmarkStart w:id="70" w:name="_Toc436138928"/>
      <w:r w:rsidRPr="003878BE">
        <w:rPr>
          <w:lang w:eastAsia="en-AU"/>
        </w:rPr>
        <w:lastRenderedPageBreak/>
        <w:t xml:space="preserve">Note 22: </w:t>
      </w:r>
      <w:r w:rsidRPr="003878BE">
        <w:rPr>
          <w:lang w:eastAsia="en-AU"/>
        </w:rPr>
        <w:tab/>
        <w:t>Borrowings</w:t>
      </w:r>
      <w:bookmarkEnd w:id="70"/>
    </w:p>
    <w:tbl>
      <w:tblPr>
        <w:tblW w:w="7767" w:type="dxa"/>
        <w:tblInd w:w="28" w:type="dxa"/>
        <w:tblLayout w:type="fixed"/>
        <w:tblCellMar>
          <w:left w:w="28" w:type="dxa"/>
          <w:right w:w="28" w:type="dxa"/>
        </w:tblCellMar>
        <w:tblLook w:val="0000" w:firstRow="0" w:lastRow="0" w:firstColumn="0" w:lastColumn="0" w:noHBand="0" w:noVBand="0"/>
      </w:tblPr>
      <w:tblGrid>
        <w:gridCol w:w="3544"/>
        <w:gridCol w:w="844"/>
        <w:gridCol w:w="845"/>
        <w:gridCol w:w="844"/>
        <w:gridCol w:w="845"/>
        <w:gridCol w:w="845"/>
      </w:tblGrid>
      <w:tr w:rsidR="00965D85" w:rsidRPr="00E22AD9" w:rsidTr="008B46DF">
        <w:trPr>
          <w:tblHeader/>
        </w:trPr>
        <w:tc>
          <w:tcPr>
            <w:tcW w:w="7767" w:type="dxa"/>
            <w:gridSpan w:val="6"/>
            <w:tcBorders>
              <w:top w:val="nil"/>
              <w:left w:val="nil"/>
              <w:bottom w:val="nil"/>
              <w:right w:val="nil"/>
            </w:tcBorders>
          </w:tcPr>
          <w:p w:rsidR="00965D85" w:rsidRPr="00E22AD9" w:rsidRDefault="00965D85" w:rsidP="008B46DF">
            <w:pPr>
              <w:pStyle w:val="million"/>
              <w:rPr>
                <w:rFonts w:eastAsiaTheme="minorEastAsia" w:cs="Calibri"/>
                <w:iCs/>
                <w:color w:val="000000"/>
                <w:sz w:val="20"/>
                <w:lang w:eastAsia="en-AU"/>
              </w:rPr>
            </w:pPr>
            <w:r w:rsidRPr="00E22AD9">
              <w:rPr>
                <w:rFonts w:eastAsiaTheme="minorEastAsia"/>
                <w:lang w:eastAsia="en-AU"/>
              </w:rPr>
              <w:t>($ million)</w:t>
            </w:r>
          </w:p>
        </w:tc>
      </w:tr>
      <w:tr w:rsidR="00965D85" w:rsidRPr="00E22AD9" w:rsidTr="008B46DF">
        <w:trPr>
          <w:trHeight w:val="488"/>
          <w:tblHeader/>
        </w:trPr>
        <w:tc>
          <w:tcPr>
            <w:tcW w:w="3544" w:type="dxa"/>
            <w:tcBorders>
              <w:top w:val="nil"/>
              <w:left w:val="nil"/>
              <w:right w:val="nil"/>
            </w:tcBorders>
            <w:shd w:val="solid" w:color="000000" w:fill="auto"/>
          </w:tcPr>
          <w:p w:rsidR="00965D85" w:rsidRPr="00E22AD9" w:rsidRDefault="00965D85" w:rsidP="008B46DF">
            <w:pPr>
              <w:autoSpaceDE w:val="0"/>
              <w:autoSpaceDN w:val="0"/>
              <w:adjustRightInd w:val="0"/>
              <w:spacing w:after="0"/>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 xml:space="preserve"> </w:t>
            </w:r>
          </w:p>
          <w:p w:rsidR="00965D85" w:rsidRPr="00E22AD9" w:rsidRDefault="00965D85" w:rsidP="008B46DF">
            <w:pPr>
              <w:autoSpaceDE w:val="0"/>
              <w:autoSpaceDN w:val="0"/>
              <w:adjustRightInd w:val="0"/>
              <w:spacing w:after="0"/>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 xml:space="preserve"> </w:t>
            </w:r>
          </w:p>
        </w:tc>
        <w:tc>
          <w:tcPr>
            <w:tcW w:w="844" w:type="dxa"/>
            <w:tcBorders>
              <w:top w:val="nil"/>
              <w:left w:val="nil"/>
              <w:right w:val="nil"/>
            </w:tcBorders>
            <w:shd w:val="solid" w:color="000000" w:fill="auto"/>
          </w:tcPr>
          <w:p w:rsidR="00965D85" w:rsidRPr="00E22AD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E22AD9">
              <w:rPr>
                <w:rFonts w:ascii="Calibri" w:eastAsiaTheme="minorEastAsia" w:hAnsi="Calibri" w:cs="Calibri"/>
                <w:i/>
                <w:iCs/>
                <w:color w:val="FFFFFF"/>
                <w:sz w:val="20"/>
                <w:lang w:eastAsia="en-AU"/>
              </w:rPr>
              <w:t>2016</w:t>
            </w:r>
          </w:p>
          <w:p w:rsidR="00965D85" w:rsidRPr="00E22AD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E22AD9">
              <w:rPr>
                <w:rFonts w:ascii="Calibri" w:eastAsiaTheme="minorEastAsia" w:hAnsi="Calibri" w:cs="Calibri"/>
                <w:i/>
                <w:iCs/>
                <w:color w:val="FFFFFF"/>
                <w:sz w:val="20"/>
                <w:lang w:eastAsia="en-AU"/>
              </w:rPr>
              <w:t>budget</w:t>
            </w:r>
          </w:p>
        </w:tc>
        <w:tc>
          <w:tcPr>
            <w:tcW w:w="845" w:type="dxa"/>
            <w:tcBorders>
              <w:top w:val="nil"/>
              <w:left w:val="nil"/>
              <w:right w:val="nil"/>
            </w:tcBorders>
            <w:shd w:val="solid" w:color="000000" w:fill="auto"/>
          </w:tcPr>
          <w:p w:rsidR="00965D85" w:rsidRPr="00E22AD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E22AD9">
              <w:rPr>
                <w:rFonts w:ascii="Calibri" w:eastAsiaTheme="minorEastAsia" w:hAnsi="Calibri" w:cs="Calibri"/>
                <w:i/>
                <w:iCs/>
                <w:color w:val="FFFFFF"/>
                <w:sz w:val="20"/>
                <w:lang w:eastAsia="en-AU"/>
              </w:rPr>
              <w:t>2016</w:t>
            </w:r>
          </w:p>
          <w:p w:rsidR="00965D85" w:rsidRPr="00E22AD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E22AD9">
              <w:rPr>
                <w:rFonts w:ascii="Calibri" w:eastAsiaTheme="minorEastAsia" w:hAnsi="Calibri" w:cs="Calibri"/>
                <w:i/>
                <w:iCs/>
                <w:color w:val="FFFFFF"/>
                <w:sz w:val="20"/>
                <w:lang w:eastAsia="en-AU"/>
              </w:rPr>
              <w:t>revised</w:t>
            </w:r>
          </w:p>
        </w:tc>
        <w:tc>
          <w:tcPr>
            <w:tcW w:w="844" w:type="dxa"/>
            <w:tcBorders>
              <w:top w:val="nil"/>
              <w:left w:val="nil"/>
              <w:right w:val="nil"/>
            </w:tcBorders>
            <w:shd w:val="solid" w:color="000000" w:fill="auto"/>
          </w:tcPr>
          <w:p w:rsidR="00965D85" w:rsidRPr="00E22AD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E22AD9">
              <w:rPr>
                <w:rFonts w:ascii="Calibri" w:eastAsiaTheme="minorEastAsia" w:hAnsi="Calibri" w:cs="Calibri"/>
                <w:i/>
                <w:iCs/>
                <w:color w:val="FFFFFF"/>
                <w:sz w:val="20"/>
                <w:lang w:eastAsia="en-AU"/>
              </w:rPr>
              <w:t>2017</w:t>
            </w:r>
          </w:p>
          <w:p w:rsidR="00965D85" w:rsidRPr="00E22AD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E22AD9">
              <w:rPr>
                <w:rFonts w:ascii="Calibri" w:eastAsiaTheme="minorEastAsia" w:hAnsi="Calibri" w:cs="Calibri"/>
                <w:i/>
                <w:iCs/>
                <w:color w:val="FFFFFF"/>
                <w:sz w:val="20"/>
                <w:lang w:eastAsia="en-AU"/>
              </w:rPr>
              <w:t>estimate</w:t>
            </w:r>
          </w:p>
        </w:tc>
        <w:tc>
          <w:tcPr>
            <w:tcW w:w="845" w:type="dxa"/>
            <w:tcBorders>
              <w:top w:val="nil"/>
              <w:left w:val="nil"/>
              <w:right w:val="nil"/>
            </w:tcBorders>
            <w:shd w:val="solid" w:color="000000" w:fill="auto"/>
          </w:tcPr>
          <w:p w:rsidR="00965D85" w:rsidRPr="00E22AD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E22AD9">
              <w:rPr>
                <w:rFonts w:ascii="Calibri" w:eastAsiaTheme="minorEastAsia" w:hAnsi="Calibri" w:cs="Calibri"/>
                <w:i/>
                <w:iCs/>
                <w:color w:val="FFFFFF"/>
                <w:sz w:val="20"/>
                <w:lang w:eastAsia="en-AU"/>
              </w:rPr>
              <w:t>2018</w:t>
            </w:r>
          </w:p>
          <w:p w:rsidR="00965D85" w:rsidRPr="00E22AD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E22AD9">
              <w:rPr>
                <w:rFonts w:ascii="Calibri" w:eastAsiaTheme="minorEastAsia" w:hAnsi="Calibri" w:cs="Calibri"/>
                <w:i/>
                <w:iCs/>
                <w:color w:val="FFFFFF"/>
                <w:sz w:val="20"/>
                <w:lang w:eastAsia="en-AU"/>
              </w:rPr>
              <w:t>estimate</w:t>
            </w:r>
          </w:p>
        </w:tc>
        <w:tc>
          <w:tcPr>
            <w:tcW w:w="845" w:type="dxa"/>
            <w:tcBorders>
              <w:top w:val="nil"/>
              <w:left w:val="nil"/>
              <w:right w:val="nil"/>
            </w:tcBorders>
            <w:shd w:val="solid" w:color="000000" w:fill="auto"/>
          </w:tcPr>
          <w:p w:rsidR="00965D85" w:rsidRPr="00E22AD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E22AD9">
              <w:rPr>
                <w:rFonts w:ascii="Calibri" w:eastAsiaTheme="minorEastAsia" w:hAnsi="Calibri" w:cs="Calibri"/>
                <w:i/>
                <w:iCs/>
                <w:color w:val="FFFFFF"/>
                <w:sz w:val="20"/>
                <w:lang w:eastAsia="en-AU"/>
              </w:rPr>
              <w:t>2019</w:t>
            </w:r>
          </w:p>
          <w:p w:rsidR="00965D85" w:rsidRPr="00E22AD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E22AD9">
              <w:rPr>
                <w:rFonts w:ascii="Calibri" w:eastAsiaTheme="minorEastAsia" w:hAnsi="Calibri" w:cs="Calibri"/>
                <w:i/>
                <w:iCs/>
                <w:color w:val="FFFFFF"/>
                <w:sz w:val="20"/>
                <w:lang w:eastAsia="en-AU"/>
              </w:rPr>
              <w:t xml:space="preserve"> estimate</w:t>
            </w:r>
          </w:p>
        </w:tc>
      </w:tr>
      <w:tr w:rsidR="00965D85" w:rsidRPr="00E22AD9" w:rsidTr="008B46DF">
        <w:tc>
          <w:tcPr>
            <w:tcW w:w="3544" w:type="dxa"/>
            <w:tcBorders>
              <w:top w:val="nil"/>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Current borrowings</w:t>
            </w:r>
          </w:p>
        </w:tc>
        <w:tc>
          <w:tcPr>
            <w:tcW w:w="844"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845"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844"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845"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845"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r>
      <w:tr w:rsidR="00965D85" w:rsidRPr="00E22AD9" w:rsidTr="008B46DF">
        <w:tc>
          <w:tcPr>
            <w:tcW w:w="3544" w:type="dxa"/>
            <w:tcBorders>
              <w:top w:val="nil"/>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Domestic borrowings</w:t>
            </w:r>
          </w:p>
        </w:tc>
        <w:tc>
          <w:tcPr>
            <w:tcW w:w="844"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3 860.6</w:t>
            </w:r>
          </w:p>
        </w:tc>
        <w:tc>
          <w:tcPr>
            <w:tcW w:w="845"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3 860.6</w:t>
            </w:r>
          </w:p>
        </w:tc>
        <w:tc>
          <w:tcPr>
            <w:tcW w:w="844"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3 860.6</w:t>
            </w:r>
          </w:p>
        </w:tc>
        <w:tc>
          <w:tcPr>
            <w:tcW w:w="845"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3 860.6</w:t>
            </w:r>
          </w:p>
        </w:tc>
        <w:tc>
          <w:tcPr>
            <w:tcW w:w="845"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3 860.6</w:t>
            </w:r>
          </w:p>
        </w:tc>
      </w:tr>
      <w:tr w:rsidR="00965D85" w:rsidRPr="00E22AD9" w:rsidTr="008B46DF">
        <w:tc>
          <w:tcPr>
            <w:tcW w:w="3544" w:type="dxa"/>
            <w:tcBorders>
              <w:top w:val="nil"/>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20"/>
                <w:vertAlign w:val="superscript"/>
                <w:lang w:eastAsia="en-AU"/>
              </w:rPr>
            </w:pPr>
            <w:r w:rsidRPr="00E22AD9">
              <w:rPr>
                <w:rFonts w:ascii="Calibri" w:eastAsiaTheme="minorEastAsia" w:hAnsi="Calibri" w:cs="Calibri"/>
                <w:color w:val="000000"/>
                <w:sz w:val="20"/>
                <w:lang w:eastAsia="en-AU"/>
              </w:rPr>
              <w:t>Finance lease liabilities</w:t>
            </w:r>
          </w:p>
        </w:tc>
        <w:tc>
          <w:tcPr>
            <w:tcW w:w="844"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119.0</w:t>
            </w:r>
          </w:p>
        </w:tc>
        <w:tc>
          <w:tcPr>
            <w:tcW w:w="845"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117.7</w:t>
            </w:r>
          </w:p>
        </w:tc>
        <w:tc>
          <w:tcPr>
            <w:tcW w:w="844"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122.5</w:t>
            </w:r>
          </w:p>
        </w:tc>
        <w:tc>
          <w:tcPr>
            <w:tcW w:w="845"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133.9</w:t>
            </w:r>
          </w:p>
        </w:tc>
        <w:tc>
          <w:tcPr>
            <w:tcW w:w="845"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134.8</w:t>
            </w:r>
          </w:p>
        </w:tc>
      </w:tr>
      <w:tr w:rsidR="00965D85" w:rsidRPr="00E22AD9" w:rsidTr="008B46DF">
        <w:tc>
          <w:tcPr>
            <w:tcW w:w="3544"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Derivative financial instruments</w:t>
            </w:r>
          </w:p>
        </w:tc>
        <w:tc>
          <w:tcPr>
            <w:tcW w:w="844"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0.2</w:t>
            </w:r>
          </w:p>
        </w:tc>
        <w:tc>
          <w:tcPr>
            <w:tcW w:w="845"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0.2</w:t>
            </w:r>
          </w:p>
        </w:tc>
        <w:tc>
          <w:tcPr>
            <w:tcW w:w="844"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0.2</w:t>
            </w:r>
          </w:p>
        </w:tc>
        <w:tc>
          <w:tcPr>
            <w:tcW w:w="845"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0.2</w:t>
            </w:r>
          </w:p>
        </w:tc>
        <w:tc>
          <w:tcPr>
            <w:tcW w:w="845"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0.2</w:t>
            </w:r>
          </w:p>
        </w:tc>
      </w:tr>
      <w:tr w:rsidR="00965D85" w:rsidRPr="00E22AD9" w:rsidTr="008B46DF">
        <w:tc>
          <w:tcPr>
            <w:tcW w:w="3544" w:type="dxa"/>
            <w:tcBorders>
              <w:top w:val="single" w:sz="6" w:space="0" w:color="000000"/>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Total current borrowings</w:t>
            </w:r>
          </w:p>
        </w:tc>
        <w:tc>
          <w:tcPr>
            <w:tcW w:w="844" w:type="dxa"/>
            <w:tcBorders>
              <w:top w:val="single" w:sz="6" w:space="0" w:color="000000"/>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3 979.8</w:t>
            </w:r>
          </w:p>
        </w:tc>
        <w:tc>
          <w:tcPr>
            <w:tcW w:w="845" w:type="dxa"/>
            <w:tcBorders>
              <w:top w:val="single" w:sz="6" w:space="0" w:color="000000"/>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3 978.5</w:t>
            </w:r>
          </w:p>
        </w:tc>
        <w:tc>
          <w:tcPr>
            <w:tcW w:w="844" w:type="dxa"/>
            <w:tcBorders>
              <w:top w:val="single" w:sz="6" w:space="0" w:color="000000"/>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3 983.3</w:t>
            </w:r>
          </w:p>
        </w:tc>
        <w:tc>
          <w:tcPr>
            <w:tcW w:w="845" w:type="dxa"/>
            <w:tcBorders>
              <w:top w:val="single" w:sz="6" w:space="0" w:color="000000"/>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3 994.7</w:t>
            </w:r>
          </w:p>
        </w:tc>
        <w:tc>
          <w:tcPr>
            <w:tcW w:w="845" w:type="dxa"/>
            <w:tcBorders>
              <w:top w:val="single" w:sz="6" w:space="0" w:color="000000"/>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3 995.6</w:t>
            </w:r>
          </w:p>
        </w:tc>
      </w:tr>
      <w:tr w:rsidR="00965D85" w:rsidRPr="00E22AD9" w:rsidTr="008B46DF">
        <w:tc>
          <w:tcPr>
            <w:tcW w:w="3544" w:type="dxa"/>
            <w:tcBorders>
              <w:top w:val="nil"/>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Non</w:t>
            </w:r>
            <w:r>
              <w:rPr>
                <w:rFonts w:ascii="Calibri" w:eastAsiaTheme="minorEastAsia" w:hAnsi="Calibri" w:cs="Calibri"/>
                <w:b/>
                <w:bCs/>
                <w:color w:val="000000"/>
                <w:sz w:val="20"/>
                <w:lang w:eastAsia="en-AU"/>
              </w:rPr>
              <w:noBreakHyphen/>
            </w:r>
            <w:r w:rsidRPr="00E22AD9">
              <w:rPr>
                <w:rFonts w:ascii="Calibri" w:eastAsiaTheme="minorEastAsia" w:hAnsi="Calibri" w:cs="Calibri"/>
                <w:b/>
                <w:bCs/>
                <w:color w:val="000000"/>
                <w:sz w:val="20"/>
                <w:lang w:eastAsia="en-AU"/>
              </w:rPr>
              <w:t>current borrowings</w:t>
            </w:r>
          </w:p>
        </w:tc>
        <w:tc>
          <w:tcPr>
            <w:tcW w:w="844"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845"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844"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845"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845"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r>
      <w:tr w:rsidR="00965D85" w:rsidRPr="00E22AD9" w:rsidTr="008B46DF">
        <w:tc>
          <w:tcPr>
            <w:tcW w:w="3544" w:type="dxa"/>
            <w:tcBorders>
              <w:top w:val="nil"/>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Domestic borrowings</w:t>
            </w:r>
          </w:p>
        </w:tc>
        <w:tc>
          <w:tcPr>
            <w:tcW w:w="844"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16 473.6</w:t>
            </w:r>
          </w:p>
        </w:tc>
        <w:tc>
          <w:tcPr>
            <w:tcW w:w="845"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15 945.3</w:t>
            </w:r>
          </w:p>
        </w:tc>
        <w:tc>
          <w:tcPr>
            <w:tcW w:w="844"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17 777.7</w:t>
            </w:r>
          </w:p>
        </w:tc>
        <w:tc>
          <w:tcPr>
            <w:tcW w:w="845"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17 789.2</w:t>
            </w:r>
          </w:p>
        </w:tc>
        <w:tc>
          <w:tcPr>
            <w:tcW w:w="845"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19 077.7</w:t>
            </w:r>
          </w:p>
        </w:tc>
      </w:tr>
      <w:tr w:rsidR="00965D85" w:rsidRPr="00E22AD9" w:rsidTr="008B46DF">
        <w:tc>
          <w:tcPr>
            <w:tcW w:w="3544" w:type="dxa"/>
            <w:tcBorders>
              <w:top w:val="nil"/>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20"/>
                <w:vertAlign w:val="superscript"/>
                <w:lang w:eastAsia="en-AU"/>
              </w:rPr>
            </w:pPr>
            <w:r w:rsidRPr="00E22AD9">
              <w:rPr>
                <w:rFonts w:ascii="Calibri" w:eastAsiaTheme="minorEastAsia" w:hAnsi="Calibri" w:cs="Calibri"/>
                <w:color w:val="000000"/>
                <w:sz w:val="20"/>
                <w:lang w:eastAsia="en-AU"/>
              </w:rPr>
              <w:t>Finance lease liabilities</w:t>
            </w:r>
          </w:p>
        </w:tc>
        <w:tc>
          <w:tcPr>
            <w:tcW w:w="844"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8 866.8</w:t>
            </w:r>
          </w:p>
        </w:tc>
        <w:tc>
          <w:tcPr>
            <w:tcW w:w="845"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8 890.4</w:t>
            </w:r>
          </w:p>
        </w:tc>
        <w:tc>
          <w:tcPr>
            <w:tcW w:w="844"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9 258.9</w:t>
            </w:r>
          </w:p>
        </w:tc>
        <w:tc>
          <w:tcPr>
            <w:tcW w:w="845"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9 734.2</w:t>
            </w:r>
          </w:p>
        </w:tc>
        <w:tc>
          <w:tcPr>
            <w:tcW w:w="845"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9 556.4</w:t>
            </w:r>
          </w:p>
        </w:tc>
      </w:tr>
      <w:tr w:rsidR="00965D85" w:rsidRPr="00E22AD9" w:rsidTr="008B46DF">
        <w:tc>
          <w:tcPr>
            <w:tcW w:w="3544"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Derivative financial instruments</w:t>
            </w:r>
          </w:p>
        </w:tc>
        <w:tc>
          <w:tcPr>
            <w:tcW w:w="844"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50.3</w:t>
            </w:r>
          </w:p>
        </w:tc>
        <w:tc>
          <w:tcPr>
            <w:tcW w:w="845"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50.3</w:t>
            </w:r>
          </w:p>
        </w:tc>
        <w:tc>
          <w:tcPr>
            <w:tcW w:w="844"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50.3</w:t>
            </w:r>
          </w:p>
        </w:tc>
        <w:tc>
          <w:tcPr>
            <w:tcW w:w="845"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50.3</w:t>
            </w:r>
          </w:p>
        </w:tc>
        <w:tc>
          <w:tcPr>
            <w:tcW w:w="845"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50.3</w:t>
            </w:r>
          </w:p>
        </w:tc>
      </w:tr>
      <w:tr w:rsidR="00965D85" w:rsidRPr="00E22AD9" w:rsidTr="008B46DF">
        <w:tc>
          <w:tcPr>
            <w:tcW w:w="3544" w:type="dxa"/>
            <w:tcBorders>
              <w:top w:val="single" w:sz="6" w:space="0" w:color="000000"/>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Total non</w:t>
            </w:r>
            <w:r>
              <w:rPr>
                <w:rFonts w:ascii="Calibri" w:eastAsiaTheme="minorEastAsia" w:hAnsi="Calibri" w:cs="Calibri"/>
                <w:b/>
                <w:bCs/>
                <w:color w:val="000000"/>
                <w:sz w:val="20"/>
                <w:lang w:eastAsia="en-AU"/>
              </w:rPr>
              <w:noBreakHyphen/>
            </w:r>
            <w:r w:rsidRPr="00E22AD9">
              <w:rPr>
                <w:rFonts w:ascii="Calibri" w:eastAsiaTheme="minorEastAsia" w:hAnsi="Calibri" w:cs="Calibri"/>
                <w:b/>
                <w:bCs/>
                <w:color w:val="000000"/>
                <w:sz w:val="20"/>
                <w:lang w:eastAsia="en-AU"/>
              </w:rPr>
              <w:t>current borrowings</w:t>
            </w:r>
          </w:p>
        </w:tc>
        <w:tc>
          <w:tcPr>
            <w:tcW w:w="844" w:type="dxa"/>
            <w:tcBorders>
              <w:top w:val="single" w:sz="6" w:space="0" w:color="000000"/>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25 390.8</w:t>
            </w:r>
          </w:p>
        </w:tc>
        <w:tc>
          <w:tcPr>
            <w:tcW w:w="845" w:type="dxa"/>
            <w:tcBorders>
              <w:top w:val="single" w:sz="6" w:space="0" w:color="000000"/>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24 885.9</w:t>
            </w:r>
          </w:p>
        </w:tc>
        <w:tc>
          <w:tcPr>
            <w:tcW w:w="844" w:type="dxa"/>
            <w:tcBorders>
              <w:top w:val="single" w:sz="6" w:space="0" w:color="000000"/>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27 086.9</w:t>
            </w:r>
          </w:p>
        </w:tc>
        <w:tc>
          <w:tcPr>
            <w:tcW w:w="845" w:type="dxa"/>
            <w:tcBorders>
              <w:top w:val="single" w:sz="6" w:space="0" w:color="000000"/>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27 573.8</w:t>
            </w:r>
          </w:p>
        </w:tc>
        <w:tc>
          <w:tcPr>
            <w:tcW w:w="845" w:type="dxa"/>
            <w:tcBorders>
              <w:top w:val="single" w:sz="6" w:space="0" w:color="000000"/>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28 684.4</w:t>
            </w:r>
          </w:p>
        </w:tc>
      </w:tr>
      <w:tr w:rsidR="00965D85" w:rsidRPr="00E22AD9" w:rsidTr="008B46DF">
        <w:tc>
          <w:tcPr>
            <w:tcW w:w="3544" w:type="dxa"/>
            <w:tcBorders>
              <w:top w:val="single" w:sz="6" w:space="0" w:color="000000"/>
              <w:left w:val="nil"/>
              <w:bottom w:val="single" w:sz="12" w:space="0" w:color="000000"/>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Total borrowings</w:t>
            </w:r>
          </w:p>
        </w:tc>
        <w:tc>
          <w:tcPr>
            <w:tcW w:w="844" w:type="dxa"/>
            <w:tcBorders>
              <w:top w:val="single" w:sz="6" w:space="0" w:color="000000"/>
              <w:left w:val="nil"/>
              <w:bottom w:val="single" w:sz="12"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29 370.5</w:t>
            </w:r>
          </w:p>
        </w:tc>
        <w:tc>
          <w:tcPr>
            <w:tcW w:w="845" w:type="dxa"/>
            <w:tcBorders>
              <w:top w:val="single" w:sz="6" w:space="0" w:color="000000"/>
              <w:left w:val="nil"/>
              <w:bottom w:val="single" w:sz="12"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28 864.5</w:t>
            </w:r>
          </w:p>
        </w:tc>
        <w:tc>
          <w:tcPr>
            <w:tcW w:w="844" w:type="dxa"/>
            <w:tcBorders>
              <w:top w:val="single" w:sz="6" w:space="0" w:color="000000"/>
              <w:left w:val="nil"/>
              <w:bottom w:val="single" w:sz="12"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31 070.2</w:t>
            </w:r>
          </w:p>
        </w:tc>
        <w:tc>
          <w:tcPr>
            <w:tcW w:w="845" w:type="dxa"/>
            <w:tcBorders>
              <w:top w:val="single" w:sz="6" w:space="0" w:color="000000"/>
              <w:left w:val="nil"/>
              <w:bottom w:val="single" w:sz="12"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31 568.5</w:t>
            </w:r>
          </w:p>
        </w:tc>
        <w:tc>
          <w:tcPr>
            <w:tcW w:w="845" w:type="dxa"/>
            <w:tcBorders>
              <w:top w:val="single" w:sz="6" w:space="0" w:color="000000"/>
              <w:left w:val="nil"/>
              <w:bottom w:val="single" w:sz="12"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32 680.0</w:t>
            </w:r>
          </w:p>
        </w:tc>
      </w:tr>
    </w:tbl>
    <w:p w:rsidR="00965D85" w:rsidRDefault="00965D85" w:rsidP="008B46DF">
      <w:pPr>
        <w:rPr>
          <w:lang w:eastAsia="en-AU"/>
        </w:rPr>
      </w:pPr>
    </w:p>
    <w:p w:rsidR="00965D85" w:rsidRDefault="00965D85" w:rsidP="008B46DF">
      <w:pPr>
        <w:rPr>
          <w:lang w:eastAsia="en-AU"/>
        </w:rPr>
      </w:pPr>
    </w:p>
    <w:p w:rsidR="00965D85" w:rsidRDefault="00965D85" w:rsidP="008B46DF">
      <w:pPr>
        <w:pStyle w:val="Heading2Notes"/>
        <w:rPr>
          <w:rFonts w:ascii="Times New Roman" w:hAnsi="Times New Roman"/>
          <w:i/>
          <w:sz w:val="20"/>
          <w:lang w:eastAsia="en-AU"/>
        </w:rPr>
      </w:pPr>
      <w:bookmarkStart w:id="71" w:name="_Toc436138929"/>
      <w:r w:rsidRPr="003878BE">
        <w:rPr>
          <w:lang w:eastAsia="en-AU"/>
        </w:rPr>
        <w:t xml:space="preserve">Note 23: </w:t>
      </w:r>
      <w:r w:rsidRPr="003878BE">
        <w:rPr>
          <w:lang w:eastAsia="en-AU"/>
        </w:rPr>
        <w:tab/>
        <w:t>Employee benefits</w:t>
      </w:r>
      <w:bookmarkEnd w:id="71"/>
    </w:p>
    <w:tbl>
      <w:tblPr>
        <w:tblW w:w="7767" w:type="dxa"/>
        <w:tblInd w:w="28" w:type="dxa"/>
        <w:tblLayout w:type="fixed"/>
        <w:tblCellMar>
          <w:left w:w="28" w:type="dxa"/>
          <w:right w:w="28" w:type="dxa"/>
        </w:tblCellMar>
        <w:tblLook w:val="0000" w:firstRow="0" w:lastRow="0" w:firstColumn="0" w:lastColumn="0" w:noHBand="0" w:noVBand="0"/>
      </w:tblPr>
      <w:tblGrid>
        <w:gridCol w:w="3544"/>
        <w:gridCol w:w="844"/>
        <w:gridCol w:w="845"/>
        <w:gridCol w:w="844"/>
        <w:gridCol w:w="845"/>
        <w:gridCol w:w="845"/>
      </w:tblGrid>
      <w:tr w:rsidR="00965D85" w:rsidRPr="00E22AD9" w:rsidTr="008B46DF">
        <w:trPr>
          <w:tblHeader/>
        </w:trPr>
        <w:tc>
          <w:tcPr>
            <w:tcW w:w="7767" w:type="dxa"/>
            <w:gridSpan w:val="6"/>
            <w:tcBorders>
              <w:top w:val="nil"/>
              <w:left w:val="nil"/>
              <w:bottom w:val="nil"/>
              <w:right w:val="nil"/>
            </w:tcBorders>
          </w:tcPr>
          <w:p w:rsidR="00965D85" w:rsidRPr="00E22AD9" w:rsidRDefault="00965D85" w:rsidP="008B46DF">
            <w:pPr>
              <w:pStyle w:val="million"/>
              <w:rPr>
                <w:rFonts w:eastAsiaTheme="minorEastAsia" w:cs="Calibri"/>
                <w:iCs/>
                <w:color w:val="000000"/>
                <w:sz w:val="20"/>
                <w:lang w:eastAsia="en-AU"/>
              </w:rPr>
            </w:pPr>
            <w:r w:rsidRPr="00E22AD9">
              <w:rPr>
                <w:rFonts w:eastAsiaTheme="minorEastAsia"/>
                <w:lang w:eastAsia="en-AU"/>
              </w:rPr>
              <w:t>($ million)</w:t>
            </w:r>
          </w:p>
        </w:tc>
      </w:tr>
      <w:tr w:rsidR="00965D85" w:rsidRPr="00E22AD9" w:rsidTr="008B46DF">
        <w:trPr>
          <w:trHeight w:val="488"/>
          <w:tblHeader/>
        </w:trPr>
        <w:tc>
          <w:tcPr>
            <w:tcW w:w="3544" w:type="dxa"/>
            <w:tcBorders>
              <w:top w:val="nil"/>
              <w:left w:val="nil"/>
              <w:right w:val="nil"/>
            </w:tcBorders>
            <w:shd w:val="solid" w:color="000000" w:fill="auto"/>
          </w:tcPr>
          <w:p w:rsidR="00965D85" w:rsidRPr="00E22AD9" w:rsidRDefault="00965D85" w:rsidP="008B46DF">
            <w:pPr>
              <w:autoSpaceDE w:val="0"/>
              <w:autoSpaceDN w:val="0"/>
              <w:adjustRightInd w:val="0"/>
              <w:spacing w:after="0"/>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 xml:space="preserve"> </w:t>
            </w:r>
          </w:p>
          <w:p w:rsidR="00965D85" w:rsidRPr="00E22AD9" w:rsidRDefault="00965D85" w:rsidP="008B46DF">
            <w:pPr>
              <w:autoSpaceDE w:val="0"/>
              <w:autoSpaceDN w:val="0"/>
              <w:adjustRightInd w:val="0"/>
              <w:spacing w:after="0"/>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 xml:space="preserve"> </w:t>
            </w:r>
          </w:p>
        </w:tc>
        <w:tc>
          <w:tcPr>
            <w:tcW w:w="844" w:type="dxa"/>
            <w:tcBorders>
              <w:top w:val="nil"/>
              <w:left w:val="nil"/>
              <w:right w:val="nil"/>
            </w:tcBorders>
            <w:shd w:val="solid" w:color="000000" w:fill="auto"/>
          </w:tcPr>
          <w:p w:rsidR="00965D85" w:rsidRPr="00E22AD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E22AD9">
              <w:rPr>
                <w:rFonts w:ascii="Calibri" w:eastAsiaTheme="minorEastAsia" w:hAnsi="Calibri" w:cs="Calibri"/>
                <w:i/>
                <w:iCs/>
                <w:color w:val="FFFFFF"/>
                <w:sz w:val="20"/>
                <w:lang w:eastAsia="en-AU"/>
              </w:rPr>
              <w:t>2016</w:t>
            </w:r>
          </w:p>
          <w:p w:rsidR="00965D85" w:rsidRPr="00E22AD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E22AD9">
              <w:rPr>
                <w:rFonts w:ascii="Calibri" w:eastAsiaTheme="minorEastAsia" w:hAnsi="Calibri" w:cs="Calibri"/>
                <w:i/>
                <w:iCs/>
                <w:color w:val="FFFFFF"/>
                <w:sz w:val="20"/>
                <w:lang w:eastAsia="en-AU"/>
              </w:rPr>
              <w:t>budget</w:t>
            </w:r>
          </w:p>
        </w:tc>
        <w:tc>
          <w:tcPr>
            <w:tcW w:w="845" w:type="dxa"/>
            <w:tcBorders>
              <w:top w:val="nil"/>
              <w:left w:val="nil"/>
              <w:right w:val="nil"/>
            </w:tcBorders>
            <w:shd w:val="solid" w:color="000000" w:fill="auto"/>
          </w:tcPr>
          <w:p w:rsidR="00965D85" w:rsidRPr="00E22AD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E22AD9">
              <w:rPr>
                <w:rFonts w:ascii="Calibri" w:eastAsiaTheme="minorEastAsia" w:hAnsi="Calibri" w:cs="Calibri"/>
                <w:i/>
                <w:iCs/>
                <w:color w:val="FFFFFF"/>
                <w:sz w:val="20"/>
                <w:lang w:eastAsia="en-AU"/>
              </w:rPr>
              <w:t>2016</w:t>
            </w:r>
          </w:p>
          <w:p w:rsidR="00965D85" w:rsidRPr="00E22AD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E22AD9">
              <w:rPr>
                <w:rFonts w:ascii="Calibri" w:eastAsiaTheme="minorEastAsia" w:hAnsi="Calibri" w:cs="Calibri"/>
                <w:i/>
                <w:iCs/>
                <w:color w:val="FFFFFF"/>
                <w:sz w:val="20"/>
                <w:lang w:eastAsia="en-AU"/>
              </w:rPr>
              <w:t>revised</w:t>
            </w:r>
          </w:p>
        </w:tc>
        <w:tc>
          <w:tcPr>
            <w:tcW w:w="844" w:type="dxa"/>
            <w:tcBorders>
              <w:top w:val="nil"/>
              <w:left w:val="nil"/>
              <w:right w:val="nil"/>
            </w:tcBorders>
            <w:shd w:val="solid" w:color="000000" w:fill="auto"/>
          </w:tcPr>
          <w:p w:rsidR="00965D85" w:rsidRPr="00E22AD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E22AD9">
              <w:rPr>
                <w:rFonts w:ascii="Calibri" w:eastAsiaTheme="minorEastAsia" w:hAnsi="Calibri" w:cs="Calibri"/>
                <w:i/>
                <w:iCs/>
                <w:color w:val="FFFFFF"/>
                <w:sz w:val="20"/>
                <w:lang w:eastAsia="en-AU"/>
              </w:rPr>
              <w:t>2017</w:t>
            </w:r>
          </w:p>
          <w:p w:rsidR="00965D85" w:rsidRPr="00E22AD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E22AD9">
              <w:rPr>
                <w:rFonts w:ascii="Calibri" w:eastAsiaTheme="minorEastAsia" w:hAnsi="Calibri" w:cs="Calibri"/>
                <w:i/>
                <w:iCs/>
                <w:color w:val="FFFFFF"/>
                <w:sz w:val="20"/>
                <w:lang w:eastAsia="en-AU"/>
              </w:rPr>
              <w:t>estimate</w:t>
            </w:r>
          </w:p>
        </w:tc>
        <w:tc>
          <w:tcPr>
            <w:tcW w:w="845" w:type="dxa"/>
            <w:tcBorders>
              <w:top w:val="nil"/>
              <w:left w:val="nil"/>
              <w:right w:val="nil"/>
            </w:tcBorders>
            <w:shd w:val="solid" w:color="000000" w:fill="auto"/>
          </w:tcPr>
          <w:p w:rsidR="00965D85" w:rsidRPr="00E22AD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E22AD9">
              <w:rPr>
                <w:rFonts w:ascii="Calibri" w:eastAsiaTheme="minorEastAsia" w:hAnsi="Calibri" w:cs="Calibri"/>
                <w:i/>
                <w:iCs/>
                <w:color w:val="FFFFFF"/>
                <w:sz w:val="20"/>
                <w:lang w:eastAsia="en-AU"/>
              </w:rPr>
              <w:t>2018</w:t>
            </w:r>
          </w:p>
          <w:p w:rsidR="00965D85" w:rsidRPr="00E22AD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E22AD9">
              <w:rPr>
                <w:rFonts w:ascii="Calibri" w:eastAsiaTheme="minorEastAsia" w:hAnsi="Calibri" w:cs="Calibri"/>
                <w:i/>
                <w:iCs/>
                <w:color w:val="FFFFFF"/>
                <w:sz w:val="20"/>
                <w:lang w:eastAsia="en-AU"/>
              </w:rPr>
              <w:t>estimate</w:t>
            </w:r>
          </w:p>
        </w:tc>
        <w:tc>
          <w:tcPr>
            <w:tcW w:w="845" w:type="dxa"/>
            <w:tcBorders>
              <w:top w:val="nil"/>
              <w:left w:val="nil"/>
              <w:right w:val="nil"/>
            </w:tcBorders>
            <w:shd w:val="solid" w:color="000000" w:fill="auto"/>
          </w:tcPr>
          <w:p w:rsidR="00965D85" w:rsidRPr="00E22AD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E22AD9">
              <w:rPr>
                <w:rFonts w:ascii="Calibri" w:eastAsiaTheme="minorEastAsia" w:hAnsi="Calibri" w:cs="Calibri"/>
                <w:i/>
                <w:iCs/>
                <w:color w:val="FFFFFF"/>
                <w:sz w:val="20"/>
                <w:lang w:eastAsia="en-AU"/>
              </w:rPr>
              <w:t>2019</w:t>
            </w:r>
          </w:p>
          <w:p w:rsidR="00965D85" w:rsidRPr="00E22AD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E22AD9">
              <w:rPr>
                <w:rFonts w:ascii="Calibri" w:eastAsiaTheme="minorEastAsia" w:hAnsi="Calibri" w:cs="Calibri"/>
                <w:i/>
                <w:iCs/>
                <w:color w:val="FFFFFF"/>
                <w:sz w:val="20"/>
                <w:lang w:eastAsia="en-AU"/>
              </w:rPr>
              <w:t>estimate</w:t>
            </w:r>
          </w:p>
        </w:tc>
      </w:tr>
      <w:tr w:rsidR="00965D85" w:rsidRPr="00E22AD9" w:rsidTr="008B46DF">
        <w:tc>
          <w:tcPr>
            <w:tcW w:w="3544" w:type="dxa"/>
            <w:tcBorders>
              <w:top w:val="nil"/>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Current</w:t>
            </w:r>
          </w:p>
        </w:tc>
        <w:tc>
          <w:tcPr>
            <w:tcW w:w="844"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845"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844"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845"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845"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r>
      <w:tr w:rsidR="00965D85" w:rsidRPr="00E22AD9" w:rsidTr="008B46DF">
        <w:tc>
          <w:tcPr>
            <w:tcW w:w="3544" w:type="dxa"/>
            <w:tcBorders>
              <w:top w:val="nil"/>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20"/>
                <w:vertAlign w:val="superscript"/>
                <w:lang w:eastAsia="en-AU"/>
              </w:rPr>
            </w:pPr>
            <w:r w:rsidRPr="00E22AD9">
              <w:rPr>
                <w:rFonts w:ascii="Calibri" w:eastAsiaTheme="minorEastAsia" w:hAnsi="Calibri" w:cs="Calibri"/>
                <w:color w:val="000000"/>
                <w:sz w:val="20"/>
                <w:lang w:eastAsia="en-AU"/>
              </w:rPr>
              <w:t>Accrued salaries and wages</w:t>
            </w:r>
          </w:p>
        </w:tc>
        <w:tc>
          <w:tcPr>
            <w:tcW w:w="844"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2 089.0</w:t>
            </w:r>
          </w:p>
        </w:tc>
        <w:tc>
          <w:tcPr>
            <w:tcW w:w="845"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2 088.2</w:t>
            </w:r>
          </w:p>
        </w:tc>
        <w:tc>
          <w:tcPr>
            <w:tcW w:w="844"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2 139.8</w:t>
            </w:r>
          </w:p>
        </w:tc>
        <w:tc>
          <w:tcPr>
            <w:tcW w:w="845"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2 192.8</w:t>
            </w:r>
          </w:p>
        </w:tc>
        <w:tc>
          <w:tcPr>
            <w:tcW w:w="845"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2 245.6</w:t>
            </w:r>
          </w:p>
        </w:tc>
      </w:tr>
      <w:tr w:rsidR="00965D85" w:rsidRPr="00E22AD9" w:rsidTr="008B46DF">
        <w:tc>
          <w:tcPr>
            <w:tcW w:w="3544"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Long service leave</w:t>
            </w:r>
          </w:p>
        </w:tc>
        <w:tc>
          <w:tcPr>
            <w:tcW w:w="844"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2 990.7</w:t>
            </w:r>
          </w:p>
        </w:tc>
        <w:tc>
          <w:tcPr>
            <w:tcW w:w="845"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2 991.7</w:t>
            </w:r>
          </w:p>
        </w:tc>
        <w:tc>
          <w:tcPr>
            <w:tcW w:w="844"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3 124.6</w:t>
            </w:r>
          </w:p>
        </w:tc>
        <w:tc>
          <w:tcPr>
            <w:tcW w:w="845"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3 258.3</w:t>
            </w:r>
          </w:p>
        </w:tc>
        <w:tc>
          <w:tcPr>
            <w:tcW w:w="845"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3 388.1</w:t>
            </w:r>
          </w:p>
        </w:tc>
      </w:tr>
      <w:tr w:rsidR="00965D85" w:rsidRPr="00E22AD9" w:rsidTr="008B46DF">
        <w:tc>
          <w:tcPr>
            <w:tcW w:w="3544" w:type="dxa"/>
            <w:tcBorders>
              <w:top w:val="single" w:sz="6" w:space="0" w:color="000000"/>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Total current employee benefits</w:t>
            </w:r>
          </w:p>
        </w:tc>
        <w:tc>
          <w:tcPr>
            <w:tcW w:w="844" w:type="dxa"/>
            <w:tcBorders>
              <w:top w:val="single" w:sz="6" w:space="0" w:color="000000"/>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5 079.7</w:t>
            </w:r>
          </w:p>
        </w:tc>
        <w:tc>
          <w:tcPr>
            <w:tcW w:w="845" w:type="dxa"/>
            <w:tcBorders>
              <w:top w:val="single" w:sz="6" w:space="0" w:color="000000"/>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5 079.9</w:t>
            </w:r>
          </w:p>
        </w:tc>
        <w:tc>
          <w:tcPr>
            <w:tcW w:w="844" w:type="dxa"/>
            <w:tcBorders>
              <w:top w:val="single" w:sz="6" w:space="0" w:color="000000"/>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5 264.3</w:t>
            </w:r>
          </w:p>
        </w:tc>
        <w:tc>
          <w:tcPr>
            <w:tcW w:w="845" w:type="dxa"/>
            <w:tcBorders>
              <w:top w:val="single" w:sz="6" w:space="0" w:color="000000"/>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5 451.1</w:t>
            </w:r>
          </w:p>
        </w:tc>
        <w:tc>
          <w:tcPr>
            <w:tcW w:w="845" w:type="dxa"/>
            <w:tcBorders>
              <w:top w:val="single" w:sz="6" w:space="0" w:color="000000"/>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5 633.7</w:t>
            </w:r>
          </w:p>
        </w:tc>
      </w:tr>
      <w:tr w:rsidR="00965D85" w:rsidRPr="00E22AD9" w:rsidTr="008B46DF">
        <w:tc>
          <w:tcPr>
            <w:tcW w:w="3544" w:type="dxa"/>
            <w:tcBorders>
              <w:top w:val="nil"/>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Non</w:t>
            </w:r>
            <w:r>
              <w:rPr>
                <w:rFonts w:ascii="Calibri" w:eastAsiaTheme="minorEastAsia" w:hAnsi="Calibri" w:cs="Calibri"/>
                <w:b/>
                <w:bCs/>
                <w:color w:val="000000"/>
                <w:sz w:val="20"/>
                <w:lang w:eastAsia="en-AU"/>
              </w:rPr>
              <w:noBreakHyphen/>
            </w:r>
            <w:r w:rsidRPr="00E22AD9">
              <w:rPr>
                <w:rFonts w:ascii="Calibri" w:eastAsiaTheme="minorEastAsia" w:hAnsi="Calibri" w:cs="Calibri"/>
                <w:b/>
                <w:bCs/>
                <w:color w:val="000000"/>
                <w:sz w:val="20"/>
                <w:lang w:eastAsia="en-AU"/>
              </w:rPr>
              <w:t>current</w:t>
            </w:r>
          </w:p>
        </w:tc>
        <w:tc>
          <w:tcPr>
            <w:tcW w:w="844"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845"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844"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845"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845"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r>
      <w:tr w:rsidR="00965D85" w:rsidRPr="00E22AD9" w:rsidTr="008B46DF">
        <w:tc>
          <w:tcPr>
            <w:tcW w:w="3544"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Long service leave</w:t>
            </w:r>
          </w:p>
        </w:tc>
        <w:tc>
          <w:tcPr>
            <w:tcW w:w="844"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772.6</w:t>
            </w:r>
          </w:p>
        </w:tc>
        <w:tc>
          <w:tcPr>
            <w:tcW w:w="845"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776.5</w:t>
            </w:r>
          </w:p>
        </w:tc>
        <w:tc>
          <w:tcPr>
            <w:tcW w:w="844"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844.5</w:t>
            </w:r>
          </w:p>
        </w:tc>
        <w:tc>
          <w:tcPr>
            <w:tcW w:w="845"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914.7</w:t>
            </w:r>
          </w:p>
        </w:tc>
        <w:tc>
          <w:tcPr>
            <w:tcW w:w="845"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984.6</w:t>
            </w:r>
          </w:p>
        </w:tc>
      </w:tr>
      <w:tr w:rsidR="00965D85" w:rsidRPr="00E22AD9" w:rsidTr="008B46DF">
        <w:tc>
          <w:tcPr>
            <w:tcW w:w="3544" w:type="dxa"/>
            <w:tcBorders>
              <w:top w:val="single" w:sz="6" w:space="0" w:color="000000"/>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Total non</w:t>
            </w:r>
            <w:r>
              <w:rPr>
                <w:rFonts w:ascii="Calibri" w:eastAsiaTheme="minorEastAsia" w:hAnsi="Calibri" w:cs="Calibri"/>
                <w:b/>
                <w:bCs/>
                <w:color w:val="000000"/>
                <w:sz w:val="20"/>
                <w:lang w:eastAsia="en-AU"/>
              </w:rPr>
              <w:noBreakHyphen/>
            </w:r>
            <w:r w:rsidRPr="00E22AD9">
              <w:rPr>
                <w:rFonts w:ascii="Calibri" w:eastAsiaTheme="minorEastAsia" w:hAnsi="Calibri" w:cs="Calibri"/>
                <w:b/>
                <w:bCs/>
                <w:color w:val="000000"/>
                <w:sz w:val="20"/>
                <w:lang w:eastAsia="en-AU"/>
              </w:rPr>
              <w:t>current employee benefits</w:t>
            </w:r>
          </w:p>
        </w:tc>
        <w:tc>
          <w:tcPr>
            <w:tcW w:w="844" w:type="dxa"/>
            <w:tcBorders>
              <w:top w:val="single" w:sz="6" w:space="0" w:color="000000"/>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20"/>
                <w:lang w:eastAsia="en-AU"/>
              </w:rPr>
              <w:t>772.6</w:t>
            </w:r>
          </w:p>
        </w:tc>
        <w:tc>
          <w:tcPr>
            <w:tcW w:w="845" w:type="dxa"/>
            <w:tcBorders>
              <w:top w:val="single" w:sz="6" w:space="0" w:color="000000"/>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20"/>
                <w:lang w:eastAsia="en-AU"/>
              </w:rPr>
              <w:t>776.5</w:t>
            </w:r>
          </w:p>
        </w:tc>
        <w:tc>
          <w:tcPr>
            <w:tcW w:w="844" w:type="dxa"/>
            <w:tcBorders>
              <w:top w:val="single" w:sz="6" w:space="0" w:color="000000"/>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20"/>
                <w:lang w:eastAsia="en-AU"/>
              </w:rPr>
              <w:t>844.5</w:t>
            </w:r>
          </w:p>
        </w:tc>
        <w:tc>
          <w:tcPr>
            <w:tcW w:w="845" w:type="dxa"/>
            <w:tcBorders>
              <w:top w:val="single" w:sz="6" w:space="0" w:color="000000"/>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20"/>
                <w:lang w:eastAsia="en-AU"/>
              </w:rPr>
              <w:t>914.7</w:t>
            </w:r>
          </w:p>
        </w:tc>
        <w:tc>
          <w:tcPr>
            <w:tcW w:w="845" w:type="dxa"/>
            <w:tcBorders>
              <w:top w:val="single" w:sz="6" w:space="0" w:color="000000"/>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20"/>
                <w:lang w:eastAsia="en-AU"/>
              </w:rPr>
              <w:t>984.6</w:t>
            </w:r>
          </w:p>
        </w:tc>
      </w:tr>
      <w:tr w:rsidR="00965D85" w:rsidRPr="00E22AD9" w:rsidTr="008B46DF">
        <w:tc>
          <w:tcPr>
            <w:tcW w:w="3544" w:type="dxa"/>
            <w:tcBorders>
              <w:top w:val="single" w:sz="6" w:space="0" w:color="000000"/>
              <w:left w:val="nil"/>
              <w:bottom w:val="single" w:sz="12" w:space="0" w:color="000000"/>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Total employee benefits</w:t>
            </w:r>
          </w:p>
        </w:tc>
        <w:tc>
          <w:tcPr>
            <w:tcW w:w="844" w:type="dxa"/>
            <w:tcBorders>
              <w:top w:val="single" w:sz="6" w:space="0" w:color="000000"/>
              <w:left w:val="nil"/>
              <w:bottom w:val="single" w:sz="12"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5 852.4</w:t>
            </w:r>
          </w:p>
        </w:tc>
        <w:tc>
          <w:tcPr>
            <w:tcW w:w="845" w:type="dxa"/>
            <w:tcBorders>
              <w:top w:val="single" w:sz="6" w:space="0" w:color="000000"/>
              <w:left w:val="nil"/>
              <w:bottom w:val="single" w:sz="12"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5 856.4</w:t>
            </w:r>
          </w:p>
        </w:tc>
        <w:tc>
          <w:tcPr>
            <w:tcW w:w="844" w:type="dxa"/>
            <w:tcBorders>
              <w:top w:val="single" w:sz="6" w:space="0" w:color="000000"/>
              <w:left w:val="nil"/>
              <w:bottom w:val="single" w:sz="12"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6 108.9</w:t>
            </w:r>
          </w:p>
        </w:tc>
        <w:tc>
          <w:tcPr>
            <w:tcW w:w="845" w:type="dxa"/>
            <w:tcBorders>
              <w:top w:val="single" w:sz="6" w:space="0" w:color="000000"/>
              <w:left w:val="nil"/>
              <w:bottom w:val="single" w:sz="12"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6 365.8</w:t>
            </w:r>
          </w:p>
        </w:tc>
        <w:tc>
          <w:tcPr>
            <w:tcW w:w="845" w:type="dxa"/>
            <w:tcBorders>
              <w:top w:val="single" w:sz="6" w:space="0" w:color="000000"/>
              <w:left w:val="nil"/>
              <w:bottom w:val="single" w:sz="12"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6 618.3</w:t>
            </w:r>
          </w:p>
        </w:tc>
      </w:tr>
    </w:tbl>
    <w:p w:rsidR="00965D85" w:rsidRDefault="00965D85" w:rsidP="008B46DF">
      <w:pPr>
        <w:pStyle w:val="Notes"/>
        <w:rPr>
          <w:lang w:eastAsia="en-AU"/>
        </w:rPr>
      </w:pPr>
    </w:p>
    <w:p w:rsidR="00965D85" w:rsidRDefault="00965D85" w:rsidP="008B46DF">
      <w:pPr>
        <w:pStyle w:val="Notes"/>
        <w:rPr>
          <w:lang w:eastAsia="en-AU"/>
        </w:rPr>
      </w:pPr>
    </w:p>
    <w:p w:rsidR="00965D85" w:rsidRDefault="00965D85">
      <w:pPr>
        <w:spacing w:after="0"/>
        <w:rPr>
          <w:rFonts w:ascii="Calibri" w:hAnsi="Calibri"/>
          <w:b/>
          <w:kern w:val="28"/>
          <w:sz w:val="26"/>
          <w:szCs w:val="22"/>
          <w:lang w:eastAsia="en-AU"/>
        </w:rPr>
      </w:pPr>
      <w:r>
        <w:rPr>
          <w:lang w:eastAsia="en-AU"/>
        </w:rPr>
        <w:br w:type="page"/>
      </w:r>
    </w:p>
    <w:p w:rsidR="00965D85" w:rsidRDefault="00965D85" w:rsidP="008B46DF">
      <w:pPr>
        <w:pStyle w:val="Heading2Notes"/>
        <w:rPr>
          <w:rFonts w:ascii="Times New Roman" w:hAnsi="Times New Roman"/>
          <w:sz w:val="20"/>
          <w:lang w:eastAsia="en-AU"/>
        </w:rPr>
      </w:pPr>
      <w:bookmarkStart w:id="72" w:name="_Toc436138930"/>
      <w:r w:rsidRPr="003878BE">
        <w:rPr>
          <w:lang w:eastAsia="en-AU"/>
        </w:rPr>
        <w:lastRenderedPageBreak/>
        <w:t xml:space="preserve">Note 24: </w:t>
      </w:r>
      <w:r w:rsidRPr="003878BE">
        <w:rPr>
          <w:lang w:eastAsia="en-AU"/>
        </w:rPr>
        <w:tab/>
        <w:t>Reserves</w:t>
      </w:r>
      <w:bookmarkEnd w:id="72"/>
    </w:p>
    <w:tbl>
      <w:tblPr>
        <w:tblW w:w="7655" w:type="dxa"/>
        <w:tblInd w:w="28" w:type="dxa"/>
        <w:tblLayout w:type="fixed"/>
        <w:tblCellMar>
          <w:left w:w="28" w:type="dxa"/>
          <w:right w:w="28" w:type="dxa"/>
        </w:tblCellMar>
        <w:tblLook w:val="0000" w:firstRow="0" w:lastRow="0" w:firstColumn="0" w:lastColumn="0" w:noHBand="0" w:noVBand="0"/>
      </w:tblPr>
      <w:tblGrid>
        <w:gridCol w:w="3261"/>
        <w:gridCol w:w="878"/>
        <w:gridCol w:w="879"/>
        <w:gridCol w:w="879"/>
        <w:gridCol w:w="879"/>
        <w:gridCol w:w="879"/>
      </w:tblGrid>
      <w:tr w:rsidR="00965D85" w:rsidRPr="00E22AD9" w:rsidTr="008B46DF">
        <w:trPr>
          <w:tblHeader/>
        </w:trPr>
        <w:tc>
          <w:tcPr>
            <w:tcW w:w="7655" w:type="dxa"/>
            <w:gridSpan w:val="6"/>
            <w:tcBorders>
              <w:top w:val="nil"/>
              <w:left w:val="nil"/>
              <w:bottom w:val="nil"/>
              <w:right w:val="nil"/>
            </w:tcBorders>
          </w:tcPr>
          <w:p w:rsidR="00965D85" w:rsidRPr="00E22AD9" w:rsidRDefault="00965D85" w:rsidP="008B46DF">
            <w:pPr>
              <w:pStyle w:val="million"/>
              <w:rPr>
                <w:rFonts w:eastAsiaTheme="minorEastAsia" w:cs="Calibri"/>
                <w:iCs/>
                <w:color w:val="000000"/>
                <w:sz w:val="20"/>
                <w:lang w:eastAsia="en-AU"/>
              </w:rPr>
            </w:pPr>
            <w:r w:rsidRPr="00E22AD9">
              <w:rPr>
                <w:rFonts w:eastAsiaTheme="minorEastAsia"/>
                <w:lang w:eastAsia="en-AU"/>
              </w:rPr>
              <w:t>($ million)</w:t>
            </w:r>
          </w:p>
        </w:tc>
      </w:tr>
      <w:tr w:rsidR="00965D85" w:rsidRPr="00E22AD9" w:rsidTr="008B46DF">
        <w:trPr>
          <w:trHeight w:val="488"/>
          <w:tblHeader/>
        </w:trPr>
        <w:tc>
          <w:tcPr>
            <w:tcW w:w="3261" w:type="dxa"/>
            <w:tcBorders>
              <w:top w:val="nil"/>
              <w:left w:val="nil"/>
              <w:right w:val="nil"/>
            </w:tcBorders>
            <w:shd w:val="solid" w:color="000000" w:fill="auto"/>
          </w:tcPr>
          <w:p w:rsidR="00965D85" w:rsidRPr="00E22AD9" w:rsidRDefault="00965D85" w:rsidP="008B46DF">
            <w:pPr>
              <w:autoSpaceDE w:val="0"/>
              <w:autoSpaceDN w:val="0"/>
              <w:adjustRightInd w:val="0"/>
              <w:spacing w:after="0"/>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 xml:space="preserve"> </w:t>
            </w:r>
          </w:p>
          <w:p w:rsidR="00965D85" w:rsidRPr="00E22AD9" w:rsidRDefault="00965D85" w:rsidP="008B46DF">
            <w:pPr>
              <w:autoSpaceDE w:val="0"/>
              <w:autoSpaceDN w:val="0"/>
              <w:adjustRightInd w:val="0"/>
              <w:spacing w:after="0"/>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 xml:space="preserve"> </w:t>
            </w:r>
          </w:p>
        </w:tc>
        <w:tc>
          <w:tcPr>
            <w:tcW w:w="878" w:type="dxa"/>
            <w:tcBorders>
              <w:top w:val="nil"/>
              <w:left w:val="nil"/>
              <w:right w:val="nil"/>
            </w:tcBorders>
            <w:shd w:val="solid" w:color="000000" w:fill="auto"/>
          </w:tcPr>
          <w:p w:rsidR="00965D85" w:rsidRPr="00E22AD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E22AD9">
              <w:rPr>
                <w:rFonts w:ascii="Calibri" w:eastAsiaTheme="minorEastAsia" w:hAnsi="Calibri" w:cs="Calibri"/>
                <w:i/>
                <w:iCs/>
                <w:color w:val="FFFFFF"/>
                <w:sz w:val="20"/>
                <w:lang w:eastAsia="en-AU"/>
              </w:rPr>
              <w:t>2016</w:t>
            </w:r>
          </w:p>
          <w:p w:rsidR="00965D85" w:rsidRPr="00E22AD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E22AD9">
              <w:rPr>
                <w:rFonts w:ascii="Calibri" w:eastAsiaTheme="minorEastAsia" w:hAnsi="Calibri" w:cs="Calibri"/>
                <w:i/>
                <w:iCs/>
                <w:color w:val="FFFFFF"/>
                <w:sz w:val="20"/>
                <w:lang w:eastAsia="en-AU"/>
              </w:rPr>
              <w:t>budget</w:t>
            </w:r>
          </w:p>
        </w:tc>
        <w:tc>
          <w:tcPr>
            <w:tcW w:w="879" w:type="dxa"/>
            <w:tcBorders>
              <w:top w:val="nil"/>
              <w:left w:val="nil"/>
              <w:right w:val="nil"/>
            </w:tcBorders>
            <w:shd w:val="solid" w:color="000000" w:fill="auto"/>
          </w:tcPr>
          <w:p w:rsidR="00965D85" w:rsidRPr="00E22AD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E22AD9">
              <w:rPr>
                <w:rFonts w:ascii="Calibri" w:eastAsiaTheme="minorEastAsia" w:hAnsi="Calibri" w:cs="Calibri"/>
                <w:i/>
                <w:iCs/>
                <w:color w:val="FFFFFF"/>
                <w:sz w:val="20"/>
                <w:lang w:eastAsia="en-AU"/>
              </w:rPr>
              <w:t>2016</w:t>
            </w:r>
          </w:p>
          <w:p w:rsidR="00965D85" w:rsidRPr="00E22AD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E22AD9">
              <w:rPr>
                <w:rFonts w:ascii="Calibri" w:eastAsiaTheme="minorEastAsia" w:hAnsi="Calibri" w:cs="Calibri"/>
                <w:i/>
                <w:iCs/>
                <w:color w:val="FFFFFF"/>
                <w:sz w:val="20"/>
                <w:lang w:eastAsia="en-AU"/>
              </w:rPr>
              <w:t>revised</w:t>
            </w:r>
          </w:p>
        </w:tc>
        <w:tc>
          <w:tcPr>
            <w:tcW w:w="879" w:type="dxa"/>
            <w:tcBorders>
              <w:top w:val="nil"/>
              <w:left w:val="nil"/>
              <w:right w:val="nil"/>
            </w:tcBorders>
            <w:shd w:val="solid" w:color="000000" w:fill="auto"/>
          </w:tcPr>
          <w:p w:rsidR="00965D85" w:rsidRPr="00E22AD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E22AD9">
              <w:rPr>
                <w:rFonts w:ascii="Calibri" w:eastAsiaTheme="minorEastAsia" w:hAnsi="Calibri" w:cs="Calibri"/>
                <w:i/>
                <w:iCs/>
                <w:color w:val="FFFFFF"/>
                <w:sz w:val="20"/>
                <w:lang w:eastAsia="en-AU"/>
              </w:rPr>
              <w:t>2017</w:t>
            </w:r>
          </w:p>
          <w:p w:rsidR="00965D85" w:rsidRPr="00E22AD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E22AD9">
              <w:rPr>
                <w:rFonts w:ascii="Calibri" w:eastAsiaTheme="minorEastAsia" w:hAnsi="Calibri" w:cs="Calibri"/>
                <w:i/>
                <w:iCs/>
                <w:color w:val="FFFFFF"/>
                <w:sz w:val="20"/>
                <w:lang w:eastAsia="en-AU"/>
              </w:rPr>
              <w:t>estimate</w:t>
            </w:r>
          </w:p>
        </w:tc>
        <w:tc>
          <w:tcPr>
            <w:tcW w:w="879" w:type="dxa"/>
            <w:tcBorders>
              <w:top w:val="nil"/>
              <w:left w:val="nil"/>
              <w:right w:val="nil"/>
            </w:tcBorders>
            <w:shd w:val="solid" w:color="000000" w:fill="auto"/>
          </w:tcPr>
          <w:p w:rsidR="00965D85" w:rsidRPr="00E22AD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E22AD9">
              <w:rPr>
                <w:rFonts w:ascii="Calibri" w:eastAsiaTheme="minorEastAsia" w:hAnsi="Calibri" w:cs="Calibri"/>
                <w:i/>
                <w:iCs/>
                <w:color w:val="FFFFFF"/>
                <w:sz w:val="20"/>
                <w:lang w:eastAsia="en-AU"/>
              </w:rPr>
              <w:t>2018</w:t>
            </w:r>
          </w:p>
          <w:p w:rsidR="00965D85" w:rsidRPr="00E22AD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E22AD9">
              <w:rPr>
                <w:rFonts w:ascii="Calibri" w:eastAsiaTheme="minorEastAsia" w:hAnsi="Calibri" w:cs="Calibri"/>
                <w:i/>
                <w:iCs/>
                <w:color w:val="FFFFFF"/>
                <w:sz w:val="20"/>
                <w:lang w:eastAsia="en-AU"/>
              </w:rPr>
              <w:t>estimate</w:t>
            </w:r>
          </w:p>
        </w:tc>
        <w:tc>
          <w:tcPr>
            <w:tcW w:w="879" w:type="dxa"/>
            <w:tcBorders>
              <w:top w:val="nil"/>
              <w:left w:val="nil"/>
              <w:right w:val="nil"/>
            </w:tcBorders>
            <w:shd w:val="solid" w:color="000000" w:fill="auto"/>
          </w:tcPr>
          <w:p w:rsidR="00965D85" w:rsidRPr="00E22AD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E22AD9">
              <w:rPr>
                <w:rFonts w:ascii="Calibri" w:eastAsiaTheme="minorEastAsia" w:hAnsi="Calibri" w:cs="Calibri"/>
                <w:i/>
                <w:iCs/>
                <w:color w:val="FFFFFF"/>
                <w:sz w:val="20"/>
                <w:lang w:eastAsia="en-AU"/>
              </w:rPr>
              <w:t>2019</w:t>
            </w:r>
          </w:p>
          <w:p w:rsidR="00965D85" w:rsidRPr="00E22AD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E22AD9">
              <w:rPr>
                <w:rFonts w:ascii="Calibri" w:eastAsiaTheme="minorEastAsia" w:hAnsi="Calibri" w:cs="Calibri"/>
                <w:i/>
                <w:iCs/>
                <w:color w:val="FFFFFF"/>
                <w:sz w:val="20"/>
                <w:lang w:eastAsia="en-AU"/>
              </w:rPr>
              <w:t>estimate</w:t>
            </w:r>
          </w:p>
        </w:tc>
      </w:tr>
      <w:tr w:rsidR="00965D85" w:rsidRPr="00E22AD9" w:rsidTr="008B46DF">
        <w:tc>
          <w:tcPr>
            <w:tcW w:w="3261" w:type="dxa"/>
            <w:tcBorders>
              <w:top w:val="nil"/>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Land, buildings, infrastructure, plant and equipment revaluation surplus</w:t>
            </w:r>
          </w:p>
        </w:tc>
        <w:tc>
          <w:tcPr>
            <w:tcW w:w="878"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44 110.7</w:t>
            </w:r>
          </w:p>
        </w:tc>
        <w:tc>
          <w:tcPr>
            <w:tcW w:w="879"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44 110.7</w:t>
            </w:r>
          </w:p>
        </w:tc>
        <w:tc>
          <w:tcPr>
            <w:tcW w:w="879"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44 623.7</w:t>
            </w:r>
          </w:p>
        </w:tc>
        <w:tc>
          <w:tcPr>
            <w:tcW w:w="879"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53 753.5</w:t>
            </w:r>
          </w:p>
        </w:tc>
        <w:tc>
          <w:tcPr>
            <w:tcW w:w="879"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54 175.3</w:t>
            </w:r>
          </w:p>
        </w:tc>
      </w:tr>
      <w:tr w:rsidR="00965D85" w:rsidRPr="00E22AD9" w:rsidTr="008B46DF">
        <w:tc>
          <w:tcPr>
            <w:tcW w:w="3261" w:type="dxa"/>
            <w:tcBorders>
              <w:top w:val="nil"/>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Available</w:t>
            </w:r>
            <w:r>
              <w:rPr>
                <w:rFonts w:ascii="Calibri" w:eastAsiaTheme="minorEastAsia" w:hAnsi="Calibri" w:cs="Calibri"/>
                <w:color w:val="000000"/>
                <w:sz w:val="20"/>
                <w:lang w:eastAsia="en-AU"/>
              </w:rPr>
              <w:noBreakHyphen/>
            </w:r>
            <w:r w:rsidRPr="00E22AD9">
              <w:rPr>
                <w:rFonts w:ascii="Calibri" w:eastAsiaTheme="minorEastAsia" w:hAnsi="Calibri" w:cs="Calibri"/>
                <w:color w:val="000000"/>
                <w:sz w:val="20"/>
                <w:lang w:eastAsia="en-AU"/>
              </w:rPr>
              <w:t>for</w:t>
            </w:r>
            <w:r>
              <w:rPr>
                <w:rFonts w:ascii="Calibri" w:eastAsiaTheme="minorEastAsia" w:hAnsi="Calibri" w:cs="Calibri"/>
                <w:color w:val="000000"/>
                <w:sz w:val="20"/>
                <w:lang w:eastAsia="en-AU"/>
              </w:rPr>
              <w:noBreakHyphen/>
            </w:r>
            <w:r w:rsidRPr="00E22AD9">
              <w:rPr>
                <w:rFonts w:ascii="Calibri" w:eastAsiaTheme="minorEastAsia" w:hAnsi="Calibri" w:cs="Calibri"/>
                <w:color w:val="000000"/>
                <w:sz w:val="20"/>
                <w:lang w:eastAsia="en-AU"/>
              </w:rPr>
              <w:t>sale investments revaluation surplus</w:t>
            </w:r>
          </w:p>
        </w:tc>
        <w:tc>
          <w:tcPr>
            <w:tcW w:w="878"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44.4</w:t>
            </w:r>
          </w:p>
        </w:tc>
        <w:tc>
          <w:tcPr>
            <w:tcW w:w="879"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44.4</w:t>
            </w:r>
          </w:p>
        </w:tc>
        <w:tc>
          <w:tcPr>
            <w:tcW w:w="879"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45.7</w:t>
            </w:r>
          </w:p>
        </w:tc>
        <w:tc>
          <w:tcPr>
            <w:tcW w:w="879"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47.0</w:t>
            </w:r>
          </w:p>
        </w:tc>
        <w:tc>
          <w:tcPr>
            <w:tcW w:w="879"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48.2</w:t>
            </w:r>
          </w:p>
        </w:tc>
      </w:tr>
      <w:tr w:rsidR="00965D85" w:rsidRPr="00E22AD9" w:rsidTr="008B46DF">
        <w:tc>
          <w:tcPr>
            <w:tcW w:w="3261" w:type="dxa"/>
            <w:tcBorders>
              <w:top w:val="nil"/>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Revaluation surplus for investments in PFC and PNFC entities</w:t>
            </w:r>
          </w:p>
        </w:tc>
        <w:tc>
          <w:tcPr>
            <w:tcW w:w="878"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46 414.5</w:t>
            </w:r>
          </w:p>
        </w:tc>
        <w:tc>
          <w:tcPr>
            <w:tcW w:w="879"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46 169.4</w:t>
            </w:r>
          </w:p>
        </w:tc>
        <w:tc>
          <w:tcPr>
            <w:tcW w:w="879"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45 904.7</w:t>
            </w:r>
          </w:p>
        </w:tc>
        <w:tc>
          <w:tcPr>
            <w:tcW w:w="879"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46 326.0</w:t>
            </w:r>
          </w:p>
        </w:tc>
        <w:tc>
          <w:tcPr>
            <w:tcW w:w="879"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46 256.0</w:t>
            </w:r>
          </w:p>
        </w:tc>
      </w:tr>
      <w:tr w:rsidR="00965D85" w:rsidRPr="00E22AD9" w:rsidTr="008B46DF">
        <w:tc>
          <w:tcPr>
            <w:tcW w:w="3261"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Other reserves</w:t>
            </w:r>
          </w:p>
        </w:tc>
        <w:tc>
          <w:tcPr>
            <w:tcW w:w="878"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696.0</w:t>
            </w:r>
          </w:p>
        </w:tc>
        <w:tc>
          <w:tcPr>
            <w:tcW w:w="879"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696.0</w:t>
            </w:r>
          </w:p>
        </w:tc>
        <w:tc>
          <w:tcPr>
            <w:tcW w:w="879"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710.5</w:t>
            </w:r>
          </w:p>
        </w:tc>
        <w:tc>
          <w:tcPr>
            <w:tcW w:w="879"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725.5</w:t>
            </w:r>
          </w:p>
        </w:tc>
        <w:tc>
          <w:tcPr>
            <w:tcW w:w="879"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740.6</w:t>
            </w:r>
          </w:p>
        </w:tc>
      </w:tr>
      <w:tr w:rsidR="00965D85" w:rsidRPr="00E22AD9" w:rsidTr="008B46DF">
        <w:tc>
          <w:tcPr>
            <w:tcW w:w="3261" w:type="dxa"/>
            <w:tcBorders>
              <w:top w:val="single" w:sz="6" w:space="0" w:color="000000"/>
              <w:left w:val="nil"/>
              <w:bottom w:val="single" w:sz="12" w:space="0" w:color="000000"/>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Total reserves</w:t>
            </w:r>
          </w:p>
        </w:tc>
        <w:tc>
          <w:tcPr>
            <w:tcW w:w="878" w:type="dxa"/>
            <w:tcBorders>
              <w:top w:val="single" w:sz="6" w:space="0" w:color="000000"/>
              <w:left w:val="nil"/>
              <w:bottom w:val="single" w:sz="12"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91 265.5</w:t>
            </w:r>
          </w:p>
        </w:tc>
        <w:tc>
          <w:tcPr>
            <w:tcW w:w="879" w:type="dxa"/>
            <w:tcBorders>
              <w:top w:val="single" w:sz="6" w:space="0" w:color="000000"/>
              <w:left w:val="nil"/>
              <w:bottom w:val="single" w:sz="12"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91 020.4</w:t>
            </w:r>
          </w:p>
        </w:tc>
        <w:tc>
          <w:tcPr>
            <w:tcW w:w="879" w:type="dxa"/>
            <w:tcBorders>
              <w:top w:val="single" w:sz="6" w:space="0" w:color="000000"/>
              <w:left w:val="nil"/>
              <w:bottom w:val="single" w:sz="12"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91 284.5</w:t>
            </w:r>
          </w:p>
        </w:tc>
        <w:tc>
          <w:tcPr>
            <w:tcW w:w="879" w:type="dxa"/>
            <w:tcBorders>
              <w:top w:val="single" w:sz="6" w:space="0" w:color="000000"/>
              <w:left w:val="nil"/>
              <w:bottom w:val="single" w:sz="12"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100 851.9</w:t>
            </w:r>
          </w:p>
        </w:tc>
        <w:tc>
          <w:tcPr>
            <w:tcW w:w="879" w:type="dxa"/>
            <w:tcBorders>
              <w:top w:val="single" w:sz="6" w:space="0" w:color="000000"/>
              <w:left w:val="nil"/>
              <w:bottom w:val="single" w:sz="12"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101 220.1</w:t>
            </w:r>
          </w:p>
        </w:tc>
      </w:tr>
    </w:tbl>
    <w:p w:rsidR="00965D85" w:rsidRDefault="00965D85" w:rsidP="008B46DF">
      <w:pPr>
        <w:rPr>
          <w:lang w:eastAsia="en-AU"/>
        </w:rPr>
      </w:pPr>
    </w:p>
    <w:p w:rsidR="00965D85" w:rsidRDefault="00965D85" w:rsidP="008B46DF">
      <w:pPr>
        <w:rPr>
          <w:lang w:eastAsia="en-AU"/>
        </w:rPr>
      </w:pPr>
    </w:p>
    <w:p w:rsidR="00965D85" w:rsidRDefault="00965D85" w:rsidP="008B46DF">
      <w:pPr>
        <w:pStyle w:val="Heading2Notes"/>
        <w:rPr>
          <w:rFonts w:ascii="Times New Roman" w:hAnsi="Times New Roman"/>
          <w:i/>
          <w:sz w:val="20"/>
          <w:lang w:eastAsia="en-AU"/>
        </w:rPr>
      </w:pPr>
      <w:bookmarkStart w:id="73" w:name="_Toc436138931"/>
      <w:r w:rsidRPr="003878BE">
        <w:rPr>
          <w:lang w:eastAsia="en-AU"/>
        </w:rPr>
        <w:t xml:space="preserve">Note 25: </w:t>
      </w:r>
      <w:r w:rsidRPr="003878BE">
        <w:rPr>
          <w:lang w:eastAsia="en-AU"/>
        </w:rPr>
        <w:tab/>
        <w:t xml:space="preserve">Reconciliations to </w:t>
      </w:r>
      <w:r>
        <w:rPr>
          <w:lang w:eastAsia="en-AU"/>
        </w:rPr>
        <w:t xml:space="preserve">Government Finance Statistics – </w:t>
      </w:r>
      <w:r w:rsidRPr="003878BE">
        <w:rPr>
          <w:lang w:eastAsia="en-AU"/>
        </w:rPr>
        <w:t>derivation of GFS cash surplus/(deficit)</w:t>
      </w:r>
      <w:bookmarkEnd w:id="73"/>
    </w:p>
    <w:tbl>
      <w:tblPr>
        <w:tblW w:w="7655" w:type="dxa"/>
        <w:tblInd w:w="28" w:type="dxa"/>
        <w:tblLayout w:type="fixed"/>
        <w:tblCellMar>
          <w:left w:w="28" w:type="dxa"/>
          <w:right w:w="28" w:type="dxa"/>
        </w:tblCellMar>
        <w:tblLook w:val="0000" w:firstRow="0" w:lastRow="0" w:firstColumn="0" w:lastColumn="0" w:noHBand="0" w:noVBand="0"/>
      </w:tblPr>
      <w:tblGrid>
        <w:gridCol w:w="3261"/>
        <w:gridCol w:w="878"/>
        <w:gridCol w:w="879"/>
        <w:gridCol w:w="879"/>
        <w:gridCol w:w="879"/>
        <w:gridCol w:w="879"/>
      </w:tblGrid>
      <w:tr w:rsidR="00965D85" w:rsidRPr="00E22AD9" w:rsidTr="008B46DF">
        <w:trPr>
          <w:tblHeader/>
        </w:trPr>
        <w:tc>
          <w:tcPr>
            <w:tcW w:w="7655" w:type="dxa"/>
            <w:gridSpan w:val="6"/>
            <w:tcBorders>
              <w:top w:val="nil"/>
              <w:left w:val="nil"/>
              <w:bottom w:val="nil"/>
              <w:right w:val="nil"/>
            </w:tcBorders>
          </w:tcPr>
          <w:p w:rsidR="00965D85" w:rsidRPr="00E22AD9" w:rsidRDefault="00965D85" w:rsidP="008B46DF">
            <w:pPr>
              <w:pStyle w:val="million"/>
              <w:rPr>
                <w:rFonts w:eastAsiaTheme="minorEastAsia" w:cs="Calibri"/>
                <w:iCs/>
                <w:color w:val="000000"/>
                <w:sz w:val="20"/>
                <w:lang w:eastAsia="en-AU"/>
              </w:rPr>
            </w:pPr>
            <w:r w:rsidRPr="00E22AD9">
              <w:rPr>
                <w:rFonts w:eastAsiaTheme="minorEastAsia"/>
                <w:lang w:eastAsia="en-AU"/>
              </w:rPr>
              <w:t>($ million)</w:t>
            </w:r>
          </w:p>
        </w:tc>
      </w:tr>
      <w:tr w:rsidR="00965D85" w:rsidRPr="00E22AD9" w:rsidTr="008B46DF">
        <w:trPr>
          <w:trHeight w:val="488"/>
          <w:tblHeader/>
        </w:trPr>
        <w:tc>
          <w:tcPr>
            <w:tcW w:w="3261" w:type="dxa"/>
            <w:tcBorders>
              <w:top w:val="nil"/>
              <w:left w:val="nil"/>
              <w:right w:val="nil"/>
            </w:tcBorders>
            <w:shd w:val="solid" w:color="000000" w:fill="auto"/>
          </w:tcPr>
          <w:p w:rsidR="00965D85" w:rsidRPr="00E22AD9" w:rsidRDefault="00965D85" w:rsidP="008B46DF">
            <w:pPr>
              <w:pStyle w:val="million"/>
              <w:rPr>
                <w:rFonts w:eastAsiaTheme="minorEastAsia"/>
                <w:sz w:val="20"/>
                <w:lang w:eastAsia="en-AU"/>
              </w:rPr>
            </w:pPr>
            <w:r w:rsidRPr="00E22AD9">
              <w:rPr>
                <w:rFonts w:eastAsiaTheme="minorEastAsia"/>
                <w:sz w:val="20"/>
                <w:lang w:eastAsia="en-AU"/>
              </w:rPr>
              <w:t xml:space="preserve"> </w:t>
            </w:r>
          </w:p>
          <w:p w:rsidR="00965D85" w:rsidRPr="00E22AD9" w:rsidRDefault="00965D85" w:rsidP="008B46DF">
            <w:pPr>
              <w:autoSpaceDE w:val="0"/>
              <w:autoSpaceDN w:val="0"/>
              <w:adjustRightInd w:val="0"/>
              <w:spacing w:after="0"/>
              <w:rPr>
                <w:rFonts w:eastAsiaTheme="minorEastAsia"/>
                <w:sz w:val="20"/>
                <w:lang w:eastAsia="en-AU"/>
              </w:rPr>
            </w:pPr>
            <w:r w:rsidRPr="00E22AD9">
              <w:rPr>
                <w:rFonts w:ascii="Calibri" w:eastAsiaTheme="minorEastAsia" w:hAnsi="Calibri" w:cs="Calibri"/>
                <w:color w:val="000000"/>
                <w:sz w:val="20"/>
                <w:lang w:eastAsia="en-AU"/>
              </w:rPr>
              <w:t xml:space="preserve"> </w:t>
            </w:r>
          </w:p>
        </w:tc>
        <w:tc>
          <w:tcPr>
            <w:tcW w:w="878" w:type="dxa"/>
            <w:tcBorders>
              <w:top w:val="nil"/>
              <w:left w:val="nil"/>
              <w:right w:val="nil"/>
            </w:tcBorders>
            <w:shd w:val="solid" w:color="000000" w:fill="auto"/>
          </w:tcPr>
          <w:p w:rsidR="00965D85" w:rsidRPr="00E22AD9" w:rsidRDefault="00965D85" w:rsidP="008B46DF">
            <w:pPr>
              <w:pStyle w:val="million"/>
              <w:jc w:val="right"/>
              <w:rPr>
                <w:rFonts w:eastAsiaTheme="minorEastAsia"/>
                <w:iCs/>
                <w:color w:val="FFFFFF"/>
                <w:sz w:val="20"/>
                <w:lang w:eastAsia="en-AU"/>
              </w:rPr>
            </w:pPr>
            <w:r w:rsidRPr="00E22AD9">
              <w:rPr>
                <w:rFonts w:eastAsiaTheme="minorEastAsia"/>
                <w:iCs/>
                <w:color w:val="FFFFFF"/>
                <w:sz w:val="20"/>
                <w:lang w:eastAsia="en-AU"/>
              </w:rPr>
              <w:t>2015</w:t>
            </w:r>
            <w:r>
              <w:rPr>
                <w:rFonts w:eastAsiaTheme="minorEastAsia"/>
                <w:iCs/>
                <w:color w:val="FFFFFF"/>
                <w:sz w:val="20"/>
                <w:lang w:eastAsia="en-AU"/>
              </w:rPr>
              <w:noBreakHyphen/>
            </w:r>
            <w:r w:rsidRPr="00E22AD9">
              <w:rPr>
                <w:rFonts w:eastAsiaTheme="minorEastAsia"/>
                <w:iCs/>
                <w:color w:val="FFFFFF"/>
                <w:sz w:val="20"/>
                <w:lang w:eastAsia="en-AU"/>
              </w:rPr>
              <w:t xml:space="preserve">16 </w:t>
            </w:r>
          </w:p>
          <w:p w:rsidR="00965D85" w:rsidRPr="00E22AD9" w:rsidRDefault="00965D85" w:rsidP="008B46DF">
            <w:pPr>
              <w:autoSpaceDE w:val="0"/>
              <w:autoSpaceDN w:val="0"/>
              <w:adjustRightInd w:val="0"/>
              <w:spacing w:after="0"/>
              <w:jc w:val="right"/>
              <w:rPr>
                <w:rFonts w:eastAsiaTheme="minorEastAsia"/>
                <w:iCs/>
                <w:color w:val="FFFFFF"/>
                <w:sz w:val="20"/>
                <w:lang w:eastAsia="en-AU"/>
              </w:rPr>
            </w:pPr>
            <w:r w:rsidRPr="00E22AD9">
              <w:rPr>
                <w:rFonts w:ascii="Calibri" w:eastAsiaTheme="minorEastAsia" w:hAnsi="Calibri" w:cs="Calibri"/>
                <w:i/>
                <w:iCs/>
                <w:color w:val="FFFFFF"/>
                <w:sz w:val="20"/>
                <w:lang w:eastAsia="en-AU"/>
              </w:rPr>
              <w:t>budget</w:t>
            </w:r>
          </w:p>
        </w:tc>
        <w:tc>
          <w:tcPr>
            <w:tcW w:w="879" w:type="dxa"/>
            <w:tcBorders>
              <w:top w:val="nil"/>
              <w:left w:val="nil"/>
              <w:right w:val="nil"/>
            </w:tcBorders>
            <w:shd w:val="solid" w:color="000000" w:fill="auto"/>
          </w:tcPr>
          <w:p w:rsidR="00965D85" w:rsidRPr="00E22AD9" w:rsidRDefault="00965D85" w:rsidP="008B46DF">
            <w:pPr>
              <w:pStyle w:val="million"/>
              <w:jc w:val="right"/>
              <w:rPr>
                <w:rFonts w:eastAsiaTheme="minorEastAsia"/>
                <w:iCs/>
                <w:color w:val="FFFFFF"/>
                <w:sz w:val="20"/>
                <w:lang w:eastAsia="en-AU"/>
              </w:rPr>
            </w:pPr>
            <w:r w:rsidRPr="00E22AD9">
              <w:rPr>
                <w:rFonts w:eastAsiaTheme="minorEastAsia"/>
                <w:iCs/>
                <w:color w:val="FFFFFF"/>
                <w:sz w:val="20"/>
                <w:lang w:eastAsia="en-AU"/>
              </w:rPr>
              <w:t>2015</w:t>
            </w:r>
            <w:r>
              <w:rPr>
                <w:rFonts w:eastAsiaTheme="minorEastAsia"/>
                <w:iCs/>
                <w:color w:val="FFFFFF"/>
                <w:sz w:val="20"/>
                <w:lang w:eastAsia="en-AU"/>
              </w:rPr>
              <w:noBreakHyphen/>
            </w:r>
            <w:r w:rsidRPr="00E22AD9">
              <w:rPr>
                <w:rFonts w:eastAsiaTheme="minorEastAsia"/>
                <w:iCs/>
                <w:color w:val="FFFFFF"/>
                <w:sz w:val="20"/>
                <w:lang w:eastAsia="en-AU"/>
              </w:rPr>
              <w:t xml:space="preserve">16 </w:t>
            </w:r>
          </w:p>
          <w:p w:rsidR="00965D85" w:rsidRPr="00E22AD9" w:rsidRDefault="00965D85" w:rsidP="008B46DF">
            <w:pPr>
              <w:autoSpaceDE w:val="0"/>
              <w:autoSpaceDN w:val="0"/>
              <w:adjustRightInd w:val="0"/>
              <w:spacing w:after="0"/>
              <w:jc w:val="right"/>
              <w:rPr>
                <w:rFonts w:eastAsiaTheme="minorEastAsia"/>
                <w:iCs/>
                <w:color w:val="FFFFFF"/>
                <w:sz w:val="20"/>
                <w:lang w:eastAsia="en-AU"/>
              </w:rPr>
            </w:pPr>
            <w:r w:rsidRPr="00E22AD9">
              <w:rPr>
                <w:rFonts w:ascii="Calibri" w:eastAsiaTheme="minorEastAsia" w:hAnsi="Calibri" w:cs="Calibri"/>
                <w:i/>
                <w:iCs/>
                <w:color w:val="FFFFFF"/>
                <w:sz w:val="20"/>
                <w:lang w:eastAsia="en-AU"/>
              </w:rPr>
              <w:t>revised</w:t>
            </w:r>
          </w:p>
        </w:tc>
        <w:tc>
          <w:tcPr>
            <w:tcW w:w="879" w:type="dxa"/>
            <w:tcBorders>
              <w:top w:val="nil"/>
              <w:left w:val="nil"/>
              <w:right w:val="nil"/>
            </w:tcBorders>
            <w:shd w:val="solid" w:color="000000" w:fill="auto"/>
          </w:tcPr>
          <w:p w:rsidR="00965D85" w:rsidRPr="00E22AD9" w:rsidRDefault="00965D85" w:rsidP="008B46DF">
            <w:pPr>
              <w:pStyle w:val="million"/>
              <w:jc w:val="right"/>
              <w:rPr>
                <w:rFonts w:eastAsiaTheme="minorEastAsia"/>
                <w:iCs/>
                <w:color w:val="FFFFFF"/>
                <w:sz w:val="20"/>
                <w:lang w:eastAsia="en-AU"/>
              </w:rPr>
            </w:pPr>
            <w:r w:rsidRPr="00E22AD9">
              <w:rPr>
                <w:rFonts w:eastAsiaTheme="minorEastAsia"/>
                <w:iCs/>
                <w:color w:val="FFFFFF"/>
                <w:sz w:val="20"/>
                <w:lang w:eastAsia="en-AU"/>
              </w:rPr>
              <w:t>2016</w:t>
            </w:r>
            <w:r>
              <w:rPr>
                <w:rFonts w:eastAsiaTheme="minorEastAsia"/>
                <w:iCs/>
                <w:color w:val="FFFFFF"/>
                <w:sz w:val="20"/>
                <w:lang w:eastAsia="en-AU"/>
              </w:rPr>
              <w:noBreakHyphen/>
            </w:r>
            <w:r w:rsidRPr="00E22AD9">
              <w:rPr>
                <w:rFonts w:eastAsiaTheme="minorEastAsia"/>
                <w:iCs/>
                <w:color w:val="FFFFFF"/>
                <w:sz w:val="20"/>
                <w:lang w:eastAsia="en-AU"/>
              </w:rPr>
              <w:t xml:space="preserve">17 </w:t>
            </w:r>
          </w:p>
          <w:p w:rsidR="00965D85" w:rsidRPr="00E22AD9" w:rsidRDefault="00965D85" w:rsidP="008B46DF">
            <w:pPr>
              <w:autoSpaceDE w:val="0"/>
              <w:autoSpaceDN w:val="0"/>
              <w:adjustRightInd w:val="0"/>
              <w:spacing w:after="0"/>
              <w:jc w:val="right"/>
              <w:rPr>
                <w:rFonts w:eastAsiaTheme="minorEastAsia"/>
                <w:iCs/>
                <w:color w:val="FFFFFF"/>
                <w:sz w:val="20"/>
                <w:lang w:eastAsia="en-AU"/>
              </w:rPr>
            </w:pPr>
            <w:r w:rsidRPr="00E22AD9">
              <w:rPr>
                <w:rFonts w:ascii="Calibri" w:eastAsiaTheme="minorEastAsia" w:hAnsi="Calibri" w:cs="Calibri"/>
                <w:i/>
                <w:iCs/>
                <w:color w:val="FFFFFF"/>
                <w:sz w:val="20"/>
                <w:lang w:eastAsia="en-AU"/>
              </w:rPr>
              <w:t>estimate</w:t>
            </w:r>
          </w:p>
        </w:tc>
        <w:tc>
          <w:tcPr>
            <w:tcW w:w="879" w:type="dxa"/>
            <w:tcBorders>
              <w:top w:val="nil"/>
              <w:left w:val="nil"/>
              <w:right w:val="nil"/>
            </w:tcBorders>
            <w:shd w:val="solid" w:color="000000" w:fill="auto"/>
          </w:tcPr>
          <w:p w:rsidR="00965D85" w:rsidRPr="00E22AD9" w:rsidRDefault="00965D85" w:rsidP="008B46DF">
            <w:pPr>
              <w:pStyle w:val="million"/>
              <w:jc w:val="right"/>
              <w:rPr>
                <w:rFonts w:eastAsiaTheme="minorEastAsia"/>
                <w:iCs/>
                <w:color w:val="FFFFFF"/>
                <w:sz w:val="20"/>
                <w:lang w:eastAsia="en-AU"/>
              </w:rPr>
            </w:pPr>
            <w:r w:rsidRPr="00E22AD9">
              <w:rPr>
                <w:rFonts w:eastAsiaTheme="minorEastAsia"/>
                <w:iCs/>
                <w:color w:val="FFFFFF"/>
                <w:sz w:val="20"/>
                <w:lang w:eastAsia="en-AU"/>
              </w:rPr>
              <w:t>2017</w:t>
            </w:r>
            <w:r>
              <w:rPr>
                <w:rFonts w:eastAsiaTheme="minorEastAsia"/>
                <w:iCs/>
                <w:color w:val="FFFFFF"/>
                <w:sz w:val="20"/>
                <w:lang w:eastAsia="en-AU"/>
              </w:rPr>
              <w:noBreakHyphen/>
            </w:r>
            <w:r w:rsidRPr="00E22AD9">
              <w:rPr>
                <w:rFonts w:eastAsiaTheme="minorEastAsia"/>
                <w:iCs/>
                <w:color w:val="FFFFFF"/>
                <w:sz w:val="20"/>
                <w:lang w:eastAsia="en-AU"/>
              </w:rPr>
              <w:t xml:space="preserve">18 </w:t>
            </w:r>
          </w:p>
          <w:p w:rsidR="00965D85" w:rsidRPr="00E22AD9" w:rsidRDefault="00965D85" w:rsidP="008B46DF">
            <w:pPr>
              <w:autoSpaceDE w:val="0"/>
              <w:autoSpaceDN w:val="0"/>
              <w:adjustRightInd w:val="0"/>
              <w:spacing w:after="0"/>
              <w:jc w:val="right"/>
              <w:rPr>
                <w:rFonts w:eastAsiaTheme="minorEastAsia"/>
                <w:iCs/>
                <w:color w:val="FFFFFF"/>
                <w:sz w:val="20"/>
                <w:lang w:eastAsia="en-AU"/>
              </w:rPr>
            </w:pPr>
            <w:r w:rsidRPr="00E22AD9">
              <w:rPr>
                <w:rFonts w:ascii="Calibri" w:eastAsiaTheme="minorEastAsia" w:hAnsi="Calibri" w:cs="Calibri"/>
                <w:i/>
                <w:iCs/>
                <w:color w:val="FFFFFF"/>
                <w:sz w:val="20"/>
                <w:lang w:eastAsia="en-AU"/>
              </w:rPr>
              <w:t>estimate</w:t>
            </w:r>
          </w:p>
        </w:tc>
        <w:tc>
          <w:tcPr>
            <w:tcW w:w="879" w:type="dxa"/>
            <w:tcBorders>
              <w:top w:val="nil"/>
              <w:left w:val="nil"/>
              <w:right w:val="nil"/>
            </w:tcBorders>
            <w:shd w:val="solid" w:color="000000" w:fill="auto"/>
          </w:tcPr>
          <w:p w:rsidR="00965D85" w:rsidRPr="00E22AD9" w:rsidRDefault="00965D85" w:rsidP="008B46DF">
            <w:pPr>
              <w:pStyle w:val="million"/>
              <w:jc w:val="right"/>
              <w:rPr>
                <w:rFonts w:eastAsiaTheme="minorEastAsia"/>
                <w:iCs/>
                <w:color w:val="FFFFFF"/>
                <w:sz w:val="20"/>
                <w:lang w:eastAsia="en-AU"/>
              </w:rPr>
            </w:pPr>
            <w:r w:rsidRPr="00E22AD9">
              <w:rPr>
                <w:rFonts w:eastAsiaTheme="minorEastAsia"/>
                <w:iCs/>
                <w:color w:val="FFFFFF"/>
                <w:sz w:val="20"/>
                <w:lang w:eastAsia="en-AU"/>
              </w:rPr>
              <w:t>2018</w:t>
            </w:r>
            <w:r>
              <w:rPr>
                <w:rFonts w:eastAsiaTheme="minorEastAsia"/>
                <w:iCs/>
                <w:color w:val="FFFFFF"/>
                <w:sz w:val="20"/>
                <w:lang w:eastAsia="en-AU"/>
              </w:rPr>
              <w:noBreakHyphen/>
            </w:r>
            <w:r w:rsidRPr="00E22AD9">
              <w:rPr>
                <w:rFonts w:eastAsiaTheme="minorEastAsia"/>
                <w:iCs/>
                <w:color w:val="FFFFFF"/>
                <w:sz w:val="20"/>
                <w:lang w:eastAsia="en-AU"/>
              </w:rPr>
              <w:t xml:space="preserve">19 </w:t>
            </w:r>
          </w:p>
          <w:p w:rsidR="00965D85" w:rsidRPr="00E22AD9" w:rsidRDefault="00965D85" w:rsidP="008B46DF">
            <w:pPr>
              <w:autoSpaceDE w:val="0"/>
              <w:autoSpaceDN w:val="0"/>
              <w:adjustRightInd w:val="0"/>
              <w:spacing w:after="0"/>
              <w:jc w:val="right"/>
              <w:rPr>
                <w:rFonts w:eastAsiaTheme="minorEastAsia"/>
                <w:iCs/>
                <w:color w:val="FFFFFF"/>
                <w:sz w:val="20"/>
                <w:lang w:eastAsia="en-AU"/>
              </w:rPr>
            </w:pPr>
            <w:r w:rsidRPr="00E22AD9">
              <w:rPr>
                <w:rFonts w:ascii="Calibri" w:eastAsiaTheme="minorEastAsia" w:hAnsi="Calibri" w:cs="Calibri"/>
                <w:i/>
                <w:iCs/>
                <w:color w:val="FFFFFF"/>
                <w:sz w:val="20"/>
                <w:lang w:eastAsia="en-AU"/>
              </w:rPr>
              <w:t>estimate</w:t>
            </w:r>
          </w:p>
        </w:tc>
      </w:tr>
      <w:tr w:rsidR="00965D85" w:rsidRPr="00E22AD9" w:rsidTr="008B46DF">
        <w:tc>
          <w:tcPr>
            <w:tcW w:w="3261" w:type="dxa"/>
            <w:tcBorders>
              <w:top w:val="nil"/>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b/>
                <w:bCs/>
                <w:color w:val="000000"/>
                <w:sz w:val="20"/>
                <w:lang w:eastAsia="en-AU"/>
              </w:rPr>
            </w:pPr>
            <w:r w:rsidRPr="00E22AD9">
              <w:rPr>
                <w:rFonts w:ascii="Calibri" w:eastAsiaTheme="minorEastAsia" w:hAnsi="Calibri" w:cs="Calibri"/>
                <w:b/>
                <w:bCs/>
                <w:color w:val="000000"/>
                <w:sz w:val="20"/>
                <w:lang w:eastAsia="en-AU"/>
              </w:rPr>
              <w:t>Cash surplus/(deficit)</w:t>
            </w:r>
          </w:p>
        </w:tc>
        <w:tc>
          <w:tcPr>
            <w:tcW w:w="878"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20"/>
                <w:lang w:eastAsia="en-AU"/>
              </w:rPr>
              <w:t>(474.9)</w:t>
            </w:r>
          </w:p>
        </w:tc>
        <w:tc>
          <w:tcPr>
            <w:tcW w:w="879"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20"/>
                <w:lang w:eastAsia="en-AU"/>
              </w:rPr>
              <w:t>18.2</w:t>
            </w:r>
          </w:p>
        </w:tc>
        <w:tc>
          <w:tcPr>
            <w:tcW w:w="879"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20"/>
                <w:lang w:eastAsia="en-AU"/>
              </w:rPr>
              <w:t>(1 218.8)</w:t>
            </w:r>
          </w:p>
        </w:tc>
        <w:tc>
          <w:tcPr>
            <w:tcW w:w="879"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20"/>
                <w:lang w:eastAsia="en-AU"/>
              </w:rPr>
              <w:t>(457.1)</w:t>
            </w:r>
          </w:p>
        </w:tc>
        <w:tc>
          <w:tcPr>
            <w:tcW w:w="879"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20"/>
                <w:lang w:eastAsia="en-AU"/>
              </w:rPr>
              <w:t>(437.3)</w:t>
            </w:r>
          </w:p>
        </w:tc>
      </w:tr>
      <w:tr w:rsidR="00965D85" w:rsidRPr="00E22AD9" w:rsidTr="008B46DF">
        <w:tc>
          <w:tcPr>
            <w:tcW w:w="3261" w:type="dxa"/>
            <w:tcBorders>
              <w:top w:val="nil"/>
              <w:left w:val="nil"/>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Convergence differences:</w:t>
            </w:r>
          </w:p>
        </w:tc>
        <w:tc>
          <w:tcPr>
            <w:tcW w:w="878"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p>
        </w:tc>
        <w:tc>
          <w:tcPr>
            <w:tcW w:w="879"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p>
        </w:tc>
        <w:tc>
          <w:tcPr>
            <w:tcW w:w="879"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p>
        </w:tc>
        <w:tc>
          <w:tcPr>
            <w:tcW w:w="879"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p>
        </w:tc>
        <w:tc>
          <w:tcPr>
            <w:tcW w:w="879" w:type="dxa"/>
            <w:tcBorders>
              <w:top w:val="nil"/>
              <w:left w:val="nil"/>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p>
        </w:tc>
      </w:tr>
      <w:tr w:rsidR="00965D85" w:rsidRPr="00E22AD9" w:rsidTr="008B46DF">
        <w:tc>
          <w:tcPr>
            <w:tcW w:w="3261"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20"/>
                <w:vertAlign w:val="superscript"/>
                <w:lang w:eastAsia="en-AU"/>
              </w:rPr>
            </w:pPr>
            <w:r w:rsidRPr="00E22AD9">
              <w:rPr>
                <w:rFonts w:ascii="Calibri" w:eastAsiaTheme="minorEastAsia" w:hAnsi="Calibri" w:cs="Calibri"/>
                <w:color w:val="000000"/>
                <w:sz w:val="20"/>
                <w:lang w:eastAsia="en-AU"/>
              </w:rPr>
              <w:t>Less: Acquisitions under finance leases and similar arrangements</w:t>
            </w:r>
            <w:r w:rsidRPr="00E22AD9">
              <w:rPr>
                <w:rFonts w:ascii="Calibri" w:eastAsiaTheme="minorEastAsia" w:hAnsi="Calibri" w:cs="Calibri"/>
                <w:color w:val="000000"/>
                <w:sz w:val="20"/>
                <w:vertAlign w:val="superscript"/>
                <w:lang w:eastAsia="en-AU"/>
              </w:rPr>
              <w:t xml:space="preserve"> (a)</w:t>
            </w:r>
          </w:p>
        </w:tc>
        <w:tc>
          <w:tcPr>
            <w:tcW w:w="878"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(1 050.4)</w:t>
            </w:r>
          </w:p>
        </w:tc>
        <w:tc>
          <w:tcPr>
            <w:tcW w:w="879"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(1 074.2)</w:t>
            </w:r>
          </w:p>
        </w:tc>
        <w:tc>
          <w:tcPr>
            <w:tcW w:w="879"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(496.0)</w:t>
            </w:r>
          </w:p>
        </w:tc>
        <w:tc>
          <w:tcPr>
            <w:tcW w:w="879"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(652.1)</w:t>
            </w:r>
          </w:p>
        </w:tc>
        <w:tc>
          <w:tcPr>
            <w:tcW w:w="879" w:type="dxa"/>
            <w:tcBorders>
              <w:top w:val="nil"/>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w:t>
            </w:r>
          </w:p>
        </w:tc>
      </w:tr>
      <w:tr w:rsidR="00965D85" w:rsidRPr="00E22AD9" w:rsidTr="008B46DF">
        <w:tc>
          <w:tcPr>
            <w:tcW w:w="3261" w:type="dxa"/>
            <w:tcBorders>
              <w:top w:val="single" w:sz="6" w:space="0" w:color="000000"/>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E22AD9">
              <w:rPr>
                <w:rFonts w:ascii="Calibri" w:eastAsiaTheme="minorEastAsia" w:hAnsi="Calibri" w:cs="Calibri"/>
                <w:color w:val="000000"/>
                <w:sz w:val="20"/>
                <w:lang w:eastAsia="en-AU"/>
              </w:rPr>
              <w:t xml:space="preserve">Total convergence differences </w:t>
            </w:r>
          </w:p>
        </w:tc>
        <w:tc>
          <w:tcPr>
            <w:tcW w:w="878" w:type="dxa"/>
            <w:tcBorders>
              <w:top w:val="single" w:sz="6" w:space="0" w:color="000000"/>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(1 050.4)</w:t>
            </w:r>
          </w:p>
        </w:tc>
        <w:tc>
          <w:tcPr>
            <w:tcW w:w="879" w:type="dxa"/>
            <w:tcBorders>
              <w:top w:val="single" w:sz="6" w:space="0" w:color="000000"/>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(1 074.2)</w:t>
            </w:r>
          </w:p>
        </w:tc>
        <w:tc>
          <w:tcPr>
            <w:tcW w:w="879" w:type="dxa"/>
            <w:tcBorders>
              <w:top w:val="single" w:sz="6" w:space="0" w:color="000000"/>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(496.0)</w:t>
            </w:r>
          </w:p>
        </w:tc>
        <w:tc>
          <w:tcPr>
            <w:tcW w:w="879" w:type="dxa"/>
            <w:tcBorders>
              <w:top w:val="single" w:sz="6" w:space="0" w:color="000000"/>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(652.1)</w:t>
            </w:r>
          </w:p>
        </w:tc>
        <w:tc>
          <w:tcPr>
            <w:tcW w:w="879" w:type="dxa"/>
            <w:tcBorders>
              <w:top w:val="single" w:sz="6" w:space="0" w:color="000000"/>
              <w:left w:val="nil"/>
              <w:bottom w:val="single" w:sz="6"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w:t>
            </w:r>
          </w:p>
        </w:tc>
      </w:tr>
      <w:tr w:rsidR="00965D85" w:rsidRPr="00E22AD9" w:rsidTr="008B46DF">
        <w:tc>
          <w:tcPr>
            <w:tcW w:w="3261" w:type="dxa"/>
            <w:tcBorders>
              <w:top w:val="single" w:sz="6" w:space="0" w:color="000000"/>
              <w:left w:val="nil"/>
              <w:bottom w:val="single" w:sz="12" w:space="0" w:color="000000"/>
              <w:right w:val="nil"/>
            </w:tcBorders>
            <w:shd w:val="clear" w:color="auto" w:fill="FFFFFF"/>
          </w:tcPr>
          <w:p w:rsidR="00965D85" w:rsidRPr="00E22AD9" w:rsidRDefault="00965D85" w:rsidP="008B46DF">
            <w:pPr>
              <w:autoSpaceDE w:val="0"/>
              <w:autoSpaceDN w:val="0"/>
              <w:adjustRightInd w:val="0"/>
              <w:spacing w:after="0"/>
              <w:ind w:left="227" w:hanging="227"/>
              <w:rPr>
                <w:rFonts w:ascii="Calibri" w:eastAsiaTheme="minorEastAsia" w:hAnsi="Calibri" w:cs="Calibri"/>
                <w:b/>
                <w:bCs/>
                <w:color w:val="000000"/>
                <w:sz w:val="20"/>
                <w:vertAlign w:val="superscript"/>
                <w:lang w:eastAsia="en-AU"/>
              </w:rPr>
            </w:pPr>
            <w:r w:rsidRPr="00E22AD9">
              <w:rPr>
                <w:rFonts w:ascii="Calibri" w:eastAsiaTheme="minorEastAsia" w:hAnsi="Calibri" w:cs="Calibri"/>
                <w:b/>
                <w:bCs/>
                <w:color w:val="000000"/>
                <w:sz w:val="20"/>
                <w:lang w:eastAsia="en-AU"/>
              </w:rPr>
              <w:t>GFS cash surplus/(deficit)</w:t>
            </w:r>
            <w:r w:rsidRPr="00E22AD9">
              <w:rPr>
                <w:rFonts w:ascii="Calibri" w:eastAsiaTheme="minorEastAsia" w:hAnsi="Calibri" w:cs="Calibri"/>
                <w:b/>
                <w:bCs/>
                <w:color w:val="000000"/>
                <w:sz w:val="20"/>
                <w:vertAlign w:val="superscript"/>
                <w:lang w:eastAsia="en-AU"/>
              </w:rPr>
              <w:t xml:space="preserve"> (b)</w:t>
            </w:r>
          </w:p>
        </w:tc>
        <w:tc>
          <w:tcPr>
            <w:tcW w:w="878" w:type="dxa"/>
            <w:tcBorders>
              <w:top w:val="single" w:sz="6" w:space="0" w:color="000000"/>
              <w:left w:val="nil"/>
              <w:bottom w:val="single" w:sz="12"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20"/>
                <w:lang w:eastAsia="en-AU"/>
              </w:rPr>
              <w:t>(1 525.3)</w:t>
            </w:r>
          </w:p>
        </w:tc>
        <w:tc>
          <w:tcPr>
            <w:tcW w:w="879" w:type="dxa"/>
            <w:tcBorders>
              <w:top w:val="single" w:sz="6" w:space="0" w:color="000000"/>
              <w:left w:val="nil"/>
              <w:bottom w:val="single" w:sz="12"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20"/>
                <w:lang w:eastAsia="en-AU"/>
              </w:rPr>
              <w:t>(1 056.0)</w:t>
            </w:r>
          </w:p>
        </w:tc>
        <w:tc>
          <w:tcPr>
            <w:tcW w:w="879" w:type="dxa"/>
            <w:tcBorders>
              <w:top w:val="single" w:sz="6" w:space="0" w:color="000000"/>
              <w:left w:val="nil"/>
              <w:bottom w:val="single" w:sz="12"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20"/>
                <w:lang w:eastAsia="en-AU"/>
              </w:rPr>
              <w:t>(1 714.7)</w:t>
            </w:r>
          </w:p>
        </w:tc>
        <w:tc>
          <w:tcPr>
            <w:tcW w:w="879" w:type="dxa"/>
            <w:tcBorders>
              <w:top w:val="single" w:sz="6" w:space="0" w:color="000000"/>
              <w:left w:val="nil"/>
              <w:bottom w:val="single" w:sz="12"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20"/>
                <w:lang w:eastAsia="en-AU"/>
              </w:rPr>
              <w:t>(1 109.1)</w:t>
            </w:r>
          </w:p>
        </w:tc>
        <w:tc>
          <w:tcPr>
            <w:tcW w:w="879" w:type="dxa"/>
            <w:tcBorders>
              <w:top w:val="single" w:sz="6" w:space="0" w:color="000000"/>
              <w:left w:val="nil"/>
              <w:bottom w:val="single" w:sz="12" w:space="0" w:color="000000"/>
              <w:right w:val="nil"/>
            </w:tcBorders>
            <w:shd w:val="clear" w:color="auto" w:fill="FFFFFF"/>
          </w:tcPr>
          <w:p w:rsidR="00965D85" w:rsidRPr="00E22AD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20"/>
                <w:lang w:eastAsia="en-AU"/>
              </w:rPr>
              <w:t>(437.3)</w:t>
            </w:r>
          </w:p>
        </w:tc>
      </w:tr>
    </w:tbl>
    <w:p w:rsidR="00965D85" w:rsidRDefault="00965D85" w:rsidP="008B46DF">
      <w:pPr>
        <w:pStyle w:val="Notes"/>
        <w:rPr>
          <w:lang w:eastAsia="en-AU"/>
        </w:rPr>
      </w:pPr>
      <w:r>
        <w:rPr>
          <w:lang w:eastAsia="en-AU"/>
        </w:rPr>
        <w:t>Notes:</w:t>
      </w:r>
    </w:p>
    <w:p w:rsidR="00965D85" w:rsidRPr="00144F12" w:rsidRDefault="00965D85" w:rsidP="008B46DF">
      <w:pPr>
        <w:pStyle w:val="Notes"/>
        <w:rPr>
          <w:lang w:eastAsia="en-AU"/>
        </w:rPr>
      </w:pPr>
      <w:r>
        <w:rPr>
          <w:lang w:eastAsia="en-AU"/>
        </w:rPr>
        <w:t>(a)</w:t>
      </w:r>
      <w:r>
        <w:rPr>
          <w:lang w:eastAsia="en-AU"/>
        </w:rPr>
        <w:tab/>
      </w:r>
      <w:r w:rsidRPr="00144F12">
        <w:rPr>
          <w:lang w:eastAsia="en-AU"/>
        </w:rPr>
        <w:t>The finance lease acquisition in 2015</w:t>
      </w:r>
      <w:r>
        <w:rPr>
          <w:lang w:eastAsia="en-AU"/>
        </w:rPr>
        <w:noBreakHyphen/>
      </w:r>
      <w:r w:rsidRPr="00144F12">
        <w:rPr>
          <w:lang w:eastAsia="en-AU"/>
        </w:rPr>
        <w:t xml:space="preserve">16 relates to the Victorian Comprehensive Cancer Centre and metropolitan </w:t>
      </w:r>
      <w:r>
        <w:rPr>
          <w:lang w:eastAsia="en-AU"/>
        </w:rPr>
        <w:t>Melbourne bus contracts</w:t>
      </w:r>
      <w:r w:rsidRPr="00144F12">
        <w:rPr>
          <w:lang w:eastAsia="en-AU"/>
        </w:rPr>
        <w:t xml:space="preserve">. </w:t>
      </w:r>
      <w:r w:rsidRPr="00144F12">
        <w:t>The 2016</w:t>
      </w:r>
      <w:r>
        <w:noBreakHyphen/>
      </w:r>
      <w:r w:rsidRPr="00144F12">
        <w:t xml:space="preserve">17 estimate relates to the new Bendigo Hospital project (stage 1), the New Schools PPP project (tranche 1) and the metropolitan </w:t>
      </w:r>
      <w:r>
        <w:t xml:space="preserve">Melbourne </w:t>
      </w:r>
      <w:r w:rsidRPr="00144F12">
        <w:t>bus</w:t>
      </w:r>
      <w:r>
        <w:t xml:space="preserve"> contracts</w:t>
      </w:r>
      <w:r w:rsidRPr="00144F12">
        <w:t>. The 2017</w:t>
      </w:r>
      <w:r>
        <w:noBreakHyphen/>
      </w:r>
      <w:r w:rsidRPr="00144F12">
        <w:t>18 estimates relates to the Ravenhall Prison project, the new Bendigo Hospital project (stage 2) and the New Schools PPP project (tranche 2).</w:t>
      </w:r>
    </w:p>
    <w:p w:rsidR="00965D85" w:rsidRDefault="00965D85" w:rsidP="008B46DF">
      <w:pPr>
        <w:pStyle w:val="Notes"/>
        <w:rPr>
          <w:lang w:eastAsia="en-AU"/>
        </w:rPr>
      </w:pPr>
      <w:r>
        <w:rPr>
          <w:lang w:eastAsia="en-AU"/>
        </w:rPr>
        <w:t xml:space="preserve">(b) </w:t>
      </w:r>
      <w:r>
        <w:rPr>
          <w:lang w:eastAsia="en-AU"/>
        </w:rPr>
        <w:tab/>
        <w:t>Determined in accordance with the ABS GFS manual.</w:t>
      </w:r>
    </w:p>
    <w:p w:rsidR="00965D85" w:rsidRDefault="00965D85" w:rsidP="008B46DF">
      <w:pPr>
        <w:rPr>
          <w:lang w:eastAsia="en-AU"/>
        </w:rPr>
      </w:pPr>
    </w:p>
    <w:p w:rsidR="00965D85" w:rsidRDefault="00965D85" w:rsidP="008B46DF">
      <w:pPr>
        <w:rPr>
          <w:lang w:eastAsia="en-AU"/>
        </w:rPr>
      </w:pPr>
    </w:p>
    <w:p w:rsidR="00965D85" w:rsidRPr="004B6339" w:rsidRDefault="00965D85" w:rsidP="008B46DF">
      <w:pPr>
        <w:pStyle w:val="Heading2Notes"/>
        <w:spacing w:before="0"/>
        <w:rPr>
          <w:rFonts w:eastAsiaTheme="minorEastAsia"/>
          <w:lang w:eastAsia="en-AU"/>
        </w:rPr>
      </w:pPr>
      <w:bookmarkStart w:id="74" w:name="_Toc436138932"/>
      <w:r>
        <w:rPr>
          <w:rFonts w:eastAsiaTheme="minorEastAsia"/>
          <w:lang w:eastAsia="en-AU"/>
        </w:rPr>
        <w:t>Note 26:</w:t>
      </w:r>
      <w:r>
        <w:rPr>
          <w:rFonts w:eastAsiaTheme="minorEastAsia"/>
          <w:lang w:eastAsia="en-AU"/>
        </w:rPr>
        <w:tab/>
        <w:t>Financial instruments</w:t>
      </w:r>
      <w:bookmarkEnd w:id="74"/>
    </w:p>
    <w:p w:rsidR="00965D85" w:rsidRDefault="00965D85" w:rsidP="008B46DF">
      <w:r>
        <w:t xml:space="preserve">Note 33 in Chapter 4 of the </w:t>
      </w:r>
      <w:r>
        <w:rPr>
          <w:i/>
        </w:rPr>
        <w:t>2014</w:t>
      </w:r>
      <w:r>
        <w:rPr>
          <w:i/>
        </w:rPr>
        <w:noBreakHyphen/>
        <w:t>15</w:t>
      </w:r>
      <w:r w:rsidRPr="00061F43">
        <w:rPr>
          <w:i/>
        </w:rPr>
        <w:t xml:space="preserve"> Financial Report</w:t>
      </w:r>
      <w:r>
        <w:rPr>
          <w:i/>
        </w:rPr>
        <w:t xml:space="preserve"> </w:t>
      </w:r>
      <w:r w:rsidRPr="00AE6428">
        <w:t>for the State of Victoria</w:t>
      </w:r>
      <w:r w:rsidRPr="00061F43">
        <w:t xml:space="preserve"> contains a comprehensive disclosure of the State</w:t>
      </w:r>
      <w:r>
        <w:t>’</w:t>
      </w:r>
      <w:r w:rsidRPr="00061F43">
        <w:t>s financial risk management objectives and policies. There has been no substantive change to the accounting classification of financial assets and liabilities reported in the</w:t>
      </w:r>
      <w:r>
        <w:rPr>
          <w:i/>
        </w:rPr>
        <w:t xml:space="preserve"> 2014</w:t>
      </w:r>
      <w:r>
        <w:rPr>
          <w:i/>
        </w:rPr>
        <w:noBreakHyphen/>
        <w:t>15 </w:t>
      </w:r>
      <w:r w:rsidRPr="00061F43">
        <w:rPr>
          <w:i/>
        </w:rPr>
        <w:t>Financial Report</w:t>
      </w:r>
      <w:r>
        <w:rPr>
          <w:i/>
        </w:rPr>
        <w:t xml:space="preserve"> </w:t>
      </w:r>
      <w:r w:rsidRPr="00AE6428">
        <w:t>for the State of Victoria</w:t>
      </w:r>
      <w:r w:rsidRPr="00061F43">
        <w:t>.</w:t>
      </w:r>
    </w:p>
    <w:p w:rsidR="00965D85" w:rsidRDefault="00965D85" w:rsidP="008B46DF">
      <w:pPr>
        <w:rPr>
          <w:lang w:eastAsia="en-AU"/>
        </w:rPr>
      </w:pPr>
    </w:p>
    <w:p w:rsidR="00965D85" w:rsidRDefault="00965D85" w:rsidP="008B46DF">
      <w:pPr>
        <w:rPr>
          <w:lang w:eastAsia="en-AU"/>
        </w:rPr>
      </w:pPr>
    </w:p>
    <w:p w:rsidR="00965D85" w:rsidRDefault="00965D85">
      <w:pPr>
        <w:spacing w:after="0"/>
        <w:rPr>
          <w:rFonts w:ascii="Calibri" w:eastAsiaTheme="minorEastAsia" w:hAnsi="Calibri"/>
          <w:b/>
          <w:kern w:val="28"/>
          <w:sz w:val="26"/>
          <w:szCs w:val="22"/>
          <w:lang w:eastAsia="en-AU"/>
        </w:rPr>
      </w:pPr>
      <w:r>
        <w:rPr>
          <w:rFonts w:eastAsiaTheme="minorEastAsia"/>
          <w:lang w:eastAsia="en-AU"/>
        </w:rPr>
        <w:br w:type="page"/>
      </w:r>
    </w:p>
    <w:p w:rsidR="00965D85" w:rsidRPr="004B6339" w:rsidRDefault="00965D85" w:rsidP="008B46DF">
      <w:pPr>
        <w:pStyle w:val="Heading2Notes"/>
        <w:spacing w:before="0"/>
        <w:rPr>
          <w:rFonts w:eastAsiaTheme="minorEastAsia"/>
          <w:lang w:eastAsia="en-AU"/>
        </w:rPr>
      </w:pPr>
      <w:bookmarkStart w:id="75" w:name="_Toc436138933"/>
      <w:r>
        <w:rPr>
          <w:rFonts w:eastAsiaTheme="minorEastAsia"/>
          <w:lang w:eastAsia="en-AU"/>
        </w:rPr>
        <w:lastRenderedPageBreak/>
        <w:t>Note 27:</w:t>
      </w:r>
      <w:r>
        <w:rPr>
          <w:rFonts w:eastAsiaTheme="minorEastAsia"/>
          <w:lang w:eastAsia="en-AU"/>
        </w:rPr>
        <w:tab/>
        <w:t>Controlled entities</w:t>
      </w:r>
      <w:bookmarkEnd w:id="75"/>
    </w:p>
    <w:p w:rsidR="00965D85" w:rsidRPr="00105C42" w:rsidRDefault="00965D85" w:rsidP="008B46DF">
      <w:r>
        <w:t>Note 42</w:t>
      </w:r>
      <w:r w:rsidRPr="00061F43">
        <w:t xml:space="preserve"> </w:t>
      </w:r>
      <w:r w:rsidRPr="00061F43">
        <w:rPr>
          <w:i/>
        </w:rPr>
        <w:t xml:space="preserve">Controlled Entities </w:t>
      </w:r>
      <w:r w:rsidRPr="00061F43">
        <w:t>in the</w:t>
      </w:r>
      <w:r>
        <w:rPr>
          <w:i/>
        </w:rPr>
        <w:t xml:space="preserve"> 2014</w:t>
      </w:r>
      <w:r>
        <w:rPr>
          <w:i/>
        </w:rPr>
        <w:noBreakHyphen/>
        <w:t>15</w:t>
      </w:r>
      <w:r w:rsidRPr="00061F43">
        <w:rPr>
          <w:i/>
        </w:rPr>
        <w:t xml:space="preserve"> Financial Report</w:t>
      </w:r>
      <w:r>
        <w:rPr>
          <w:i/>
        </w:rPr>
        <w:t xml:space="preserve"> </w:t>
      </w:r>
      <w:r w:rsidRPr="00B95779">
        <w:t xml:space="preserve">for the </w:t>
      </w:r>
      <w:r w:rsidRPr="00E912DA">
        <w:t>State of Victoria</w:t>
      </w:r>
      <w:r w:rsidRPr="00061F43">
        <w:t xml:space="preserve"> contains a list of significant controlled entities which have been consolidated for the purposes of the financial report.</w:t>
      </w:r>
    </w:p>
    <w:p w:rsidR="00965D85" w:rsidRPr="00105C42" w:rsidRDefault="00965D85" w:rsidP="008B46DF">
      <w:r w:rsidRPr="00105C42">
        <w:t>The following are changes from 1 July 2015, of general government sector entities which have been consolidated for the purposes of the estimated financial statements:</w:t>
      </w:r>
    </w:p>
    <w:p w:rsidR="00965D85" w:rsidRPr="00105C42" w:rsidRDefault="00965D85" w:rsidP="008B46DF">
      <w:pPr>
        <w:pStyle w:val="BulletText"/>
      </w:pPr>
      <w:r w:rsidRPr="00105C42">
        <w:t>in the 2015</w:t>
      </w:r>
      <w:r>
        <w:noBreakHyphen/>
      </w:r>
      <w:r w:rsidRPr="00105C42">
        <w:t>16 financial year, the Domestic (HIH) Indemnity Fund and Housing Guarantee Claims and Linking Melbourne Authority ceased to exist; and</w:t>
      </w:r>
    </w:p>
    <w:p w:rsidR="00965D85" w:rsidRDefault="00965D85" w:rsidP="008B46DF">
      <w:pPr>
        <w:pStyle w:val="BulletText"/>
      </w:pPr>
      <w:r w:rsidRPr="00105C42">
        <w:t>effective from 22 September 2015, the Victorian Competition and Efficiency Commission ceased to exist.</w:t>
      </w:r>
    </w:p>
    <w:p w:rsidR="00965D85" w:rsidRDefault="00965D85">
      <w:pPr>
        <w:spacing w:after="0"/>
        <w:rPr>
          <w:lang w:eastAsia="en-AU"/>
        </w:rPr>
      </w:pPr>
      <w:r>
        <w:rPr>
          <w:lang w:eastAsia="en-AU"/>
        </w:rPr>
        <w:br w:type="page"/>
      </w:r>
    </w:p>
    <w:p w:rsidR="00965D85" w:rsidRDefault="00965D85" w:rsidP="008B46DF">
      <w:pPr>
        <w:rPr>
          <w:lang w:eastAsia="en-AU"/>
        </w:rPr>
      </w:pPr>
    </w:p>
    <w:p w:rsidR="00965D85" w:rsidRDefault="00965D85" w:rsidP="00DF54C9">
      <w:pPr>
        <w:sectPr w:rsidR="00965D85" w:rsidSect="00F302FC">
          <w:footerReference w:type="even" r:id="rId23"/>
          <w:footerReference w:type="default" r:id="rId24"/>
          <w:type w:val="oddPage"/>
          <w:pgSz w:w="9979" w:h="14181" w:code="138"/>
          <w:pgMar w:top="1138" w:right="1138" w:bottom="1138" w:left="1138" w:header="720" w:footer="432" w:gutter="0"/>
          <w:cols w:space="708"/>
          <w:docGrid w:linePitch="360"/>
        </w:sectPr>
      </w:pPr>
    </w:p>
    <w:p w:rsidR="00965D85" w:rsidRPr="00427D0E" w:rsidRDefault="00965D85" w:rsidP="00074C4D">
      <w:pPr>
        <w:pStyle w:val="ChapterHeading"/>
      </w:pPr>
      <w:bookmarkStart w:id="76" w:name="_Toc436147542"/>
      <w:r>
        <w:lastRenderedPageBreak/>
        <w:t>Ch</w:t>
      </w:r>
      <w:r w:rsidRPr="00427D0E">
        <w:t>apter 5 – Supplementary uniform presentation framework tables</w:t>
      </w:r>
      <w:bookmarkEnd w:id="76"/>
    </w:p>
    <w:p w:rsidR="00965D85" w:rsidRPr="001E7FA9" w:rsidRDefault="00965D85" w:rsidP="008B46DF">
      <w:pPr>
        <w:pStyle w:val="Tableheading"/>
        <w:rPr>
          <w:rFonts w:ascii="Times New Roman" w:hAnsi="Times New Roman"/>
          <w:b w:val="0"/>
          <w:sz w:val="20"/>
          <w:lang w:eastAsia="en-AU"/>
        </w:rPr>
      </w:pPr>
      <w:r>
        <w:rPr>
          <w:rFonts w:eastAsiaTheme="minorEastAsia"/>
          <w:lang w:eastAsia="en-AU"/>
        </w:rPr>
        <w:t>Table 5.1:</w:t>
      </w:r>
      <w:r>
        <w:rPr>
          <w:rFonts w:eastAsiaTheme="minorEastAsia"/>
          <w:lang w:eastAsia="en-AU"/>
        </w:rPr>
        <w:tab/>
        <w:t>Public non</w:t>
      </w:r>
      <w:r>
        <w:rPr>
          <w:rFonts w:eastAsiaTheme="minorEastAsia"/>
          <w:lang w:eastAsia="en-AU"/>
        </w:rPr>
        <w:noBreakHyphen/>
        <w:t>financial corporations sector comprehensive operating statement for the financial year ended 30 June</w:t>
      </w:r>
      <w:r w:rsidRPr="00936B85">
        <w:rPr>
          <w:rFonts w:eastAsiaTheme="minorEastAsia"/>
          <w:vertAlign w:val="superscript"/>
          <w:lang w:eastAsia="en-AU"/>
        </w:rPr>
        <w:t>(a)</w:t>
      </w:r>
    </w:p>
    <w:tbl>
      <w:tblPr>
        <w:tblW w:w="7767" w:type="dxa"/>
        <w:tblInd w:w="28" w:type="dxa"/>
        <w:tblLayout w:type="fixed"/>
        <w:tblCellMar>
          <w:left w:w="28" w:type="dxa"/>
          <w:right w:w="28" w:type="dxa"/>
        </w:tblCellMar>
        <w:tblLook w:val="0000" w:firstRow="0" w:lastRow="0" w:firstColumn="0" w:lastColumn="0" w:noHBand="0" w:noVBand="0"/>
      </w:tblPr>
      <w:tblGrid>
        <w:gridCol w:w="3402"/>
        <w:gridCol w:w="873"/>
        <w:gridCol w:w="873"/>
        <w:gridCol w:w="97"/>
        <w:gridCol w:w="284"/>
        <w:gridCol w:w="256"/>
        <w:gridCol w:w="236"/>
        <w:gridCol w:w="873"/>
        <w:gridCol w:w="873"/>
      </w:tblGrid>
      <w:tr w:rsidR="00965D85" w:rsidRPr="001E7FA9" w:rsidTr="008B46DF">
        <w:trPr>
          <w:tblHeader/>
        </w:trPr>
        <w:tc>
          <w:tcPr>
            <w:tcW w:w="7767" w:type="dxa"/>
            <w:gridSpan w:val="9"/>
            <w:tcBorders>
              <w:top w:val="nil"/>
              <w:left w:val="nil"/>
              <w:bottom w:val="nil"/>
              <w:right w:val="nil"/>
            </w:tcBorders>
          </w:tcPr>
          <w:p w:rsidR="00965D85" w:rsidRPr="001E7FA9" w:rsidRDefault="00965D85" w:rsidP="008B46DF">
            <w:pPr>
              <w:pStyle w:val="million"/>
              <w:rPr>
                <w:rFonts w:eastAsiaTheme="minorEastAsia" w:cs="Calibri"/>
                <w:iCs/>
                <w:color w:val="000000"/>
                <w:sz w:val="20"/>
                <w:lang w:eastAsia="en-AU"/>
              </w:rPr>
            </w:pPr>
            <w:r w:rsidRPr="001E7FA9">
              <w:rPr>
                <w:rFonts w:eastAsiaTheme="minorEastAsia"/>
                <w:lang w:eastAsia="en-AU"/>
              </w:rPr>
              <w:t>($ million</w:t>
            </w:r>
            <w:r w:rsidRPr="001E7FA9">
              <w:rPr>
                <w:rFonts w:eastAsiaTheme="minorEastAsia" w:cs="Calibri"/>
                <w:iCs/>
                <w:color w:val="000000"/>
                <w:sz w:val="20"/>
                <w:lang w:eastAsia="en-AU"/>
              </w:rPr>
              <w:t>)</w:t>
            </w:r>
          </w:p>
        </w:tc>
      </w:tr>
      <w:tr w:rsidR="00965D85" w:rsidRPr="001E7FA9" w:rsidTr="008B46DF">
        <w:trPr>
          <w:trHeight w:val="464"/>
          <w:tblHeader/>
        </w:trPr>
        <w:tc>
          <w:tcPr>
            <w:tcW w:w="3402" w:type="dxa"/>
            <w:tcBorders>
              <w:top w:val="nil"/>
              <w:left w:val="nil"/>
              <w:right w:val="nil"/>
            </w:tcBorders>
            <w:shd w:val="solid" w:color="000000" w:fill="auto"/>
          </w:tcPr>
          <w:p w:rsidR="00965D85" w:rsidRPr="001E7FA9" w:rsidRDefault="00965D85" w:rsidP="008B46DF">
            <w:pPr>
              <w:autoSpaceDE w:val="0"/>
              <w:autoSpaceDN w:val="0"/>
              <w:adjustRightInd w:val="0"/>
              <w:spacing w:after="0"/>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 xml:space="preserve"> </w:t>
            </w:r>
          </w:p>
          <w:p w:rsidR="00965D85" w:rsidRPr="001E7FA9" w:rsidRDefault="00965D85" w:rsidP="008B46DF">
            <w:pPr>
              <w:autoSpaceDE w:val="0"/>
              <w:autoSpaceDN w:val="0"/>
              <w:adjustRightInd w:val="0"/>
              <w:spacing w:after="0"/>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 xml:space="preserve"> </w:t>
            </w:r>
          </w:p>
        </w:tc>
        <w:tc>
          <w:tcPr>
            <w:tcW w:w="873" w:type="dxa"/>
            <w:tcBorders>
              <w:top w:val="nil"/>
              <w:left w:val="nil"/>
              <w:right w:val="nil"/>
            </w:tcBorders>
            <w:shd w:val="solid" w:color="000000" w:fill="auto"/>
          </w:tcPr>
          <w:p w:rsidR="00965D85" w:rsidRPr="001E7FA9" w:rsidRDefault="00965D85" w:rsidP="008B46DF">
            <w:pPr>
              <w:autoSpaceDE w:val="0"/>
              <w:autoSpaceDN w:val="0"/>
              <w:adjustRightInd w:val="0"/>
              <w:spacing w:after="0"/>
              <w:jc w:val="right"/>
              <w:rPr>
                <w:rFonts w:ascii="Calibri" w:eastAsiaTheme="minorEastAsia" w:hAnsi="Calibri" w:cs="Calibri"/>
                <w:i/>
                <w:iCs/>
                <w:color w:val="FFFFFF"/>
                <w:sz w:val="19"/>
                <w:lang w:eastAsia="en-AU"/>
              </w:rPr>
            </w:pPr>
            <w:r w:rsidRPr="001E7FA9">
              <w:rPr>
                <w:rFonts w:ascii="Calibri" w:eastAsiaTheme="minorEastAsia" w:hAnsi="Calibri" w:cs="Calibri"/>
                <w:i/>
                <w:iCs/>
                <w:color w:val="FFFFFF"/>
                <w:sz w:val="19"/>
                <w:lang w:eastAsia="en-AU"/>
              </w:rPr>
              <w:t>2015</w:t>
            </w:r>
            <w:r>
              <w:rPr>
                <w:rFonts w:ascii="Calibri" w:eastAsiaTheme="minorEastAsia" w:hAnsi="Calibri" w:cs="Calibri"/>
                <w:i/>
                <w:iCs/>
                <w:color w:val="FFFFFF"/>
                <w:sz w:val="19"/>
                <w:lang w:eastAsia="en-AU"/>
              </w:rPr>
              <w:noBreakHyphen/>
            </w:r>
            <w:r w:rsidRPr="001E7FA9">
              <w:rPr>
                <w:rFonts w:ascii="Calibri" w:eastAsiaTheme="minorEastAsia" w:hAnsi="Calibri" w:cs="Calibri"/>
                <w:i/>
                <w:iCs/>
                <w:color w:val="FFFFFF"/>
                <w:sz w:val="19"/>
                <w:lang w:eastAsia="en-AU"/>
              </w:rPr>
              <w:t>16</w:t>
            </w:r>
          </w:p>
          <w:p w:rsidR="00965D85" w:rsidRPr="001E7FA9" w:rsidRDefault="00965D85" w:rsidP="008B46DF">
            <w:pPr>
              <w:autoSpaceDE w:val="0"/>
              <w:autoSpaceDN w:val="0"/>
              <w:adjustRightInd w:val="0"/>
              <w:spacing w:after="0"/>
              <w:jc w:val="right"/>
              <w:rPr>
                <w:rFonts w:ascii="Calibri" w:eastAsiaTheme="minorEastAsia" w:hAnsi="Calibri" w:cs="Calibri"/>
                <w:i/>
                <w:iCs/>
                <w:color w:val="FFFFFF"/>
                <w:sz w:val="19"/>
                <w:lang w:eastAsia="en-AU"/>
              </w:rPr>
            </w:pPr>
            <w:r w:rsidRPr="001E7FA9">
              <w:rPr>
                <w:rFonts w:ascii="Calibri" w:eastAsiaTheme="minorEastAsia" w:hAnsi="Calibri" w:cs="Calibri"/>
                <w:i/>
                <w:iCs/>
                <w:color w:val="FFFFFF"/>
                <w:sz w:val="19"/>
                <w:lang w:eastAsia="en-AU"/>
              </w:rPr>
              <w:t>budget</w:t>
            </w:r>
          </w:p>
        </w:tc>
        <w:tc>
          <w:tcPr>
            <w:tcW w:w="873" w:type="dxa"/>
            <w:tcBorders>
              <w:top w:val="nil"/>
              <w:left w:val="nil"/>
              <w:right w:val="nil"/>
            </w:tcBorders>
            <w:shd w:val="solid" w:color="000000" w:fill="auto"/>
          </w:tcPr>
          <w:p w:rsidR="00965D85" w:rsidRPr="001E7FA9" w:rsidRDefault="00965D85" w:rsidP="008B46DF">
            <w:pPr>
              <w:autoSpaceDE w:val="0"/>
              <w:autoSpaceDN w:val="0"/>
              <w:adjustRightInd w:val="0"/>
              <w:spacing w:after="0"/>
              <w:jc w:val="right"/>
              <w:rPr>
                <w:rFonts w:ascii="Calibri" w:eastAsiaTheme="minorEastAsia" w:hAnsi="Calibri" w:cs="Calibri"/>
                <w:i/>
                <w:iCs/>
                <w:color w:val="FFFFFF"/>
                <w:sz w:val="19"/>
                <w:lang w:eastAsia="en-AU"/>
              </w:rPr>
            </w:pPr>
            <w:r w:rsidRPr="001E7FA9">
              <w:rPr>
                <w:rFonts w:ascii="Calibri" w:eastAsiaTheme="minorEastAsia" w:hAnsi="Calibri" w:cs="Calibri"/>
                <w:i/>
                <w:iCs/>
                <w:color w:val="FFFFFF"/>
                <w:sz w:val="19"/>
                <w:lang w:eastAsia="en-AU"/>
              </w:rPr>
              <w:t>2015</w:t>
            </w:r>
            <w:r>
              <w:rPr>
                <w:rFonts w:ascii="Calibri" w:eastAsiaTheme="minorEastAsia" w:hAnsi="Calibri" w:cs="Calibri"/>
                <w:i/>
                <w:iCs/>
                <w:color w:val="FFFFFF"/>
                <w:sz w:val="19"/>
                <w:lang w:eastAsia="en-AU"/>
              </w:rPr>
              <w:noBreakHyphen/>
            </w:r>
            <w:r w:rsidRPr="001E7FA9">
              <w:rPr>
                <w:rFonts w:ascii="Calibri" w:eastAsiaTheme="minorEastAsia" w:hAnsi="Calibri" w:cs="Calibri"/>
                <w:i/>
                <w:iCs/>
                <w:color w:val="FFFFFF"/>
                <w:sz w:val="19"/>
                <w:lang w:eastAsia="en-AU"/>
              </w:rPr>
              <w:t>16</w:t>
            </w:r>
          </w:p>
          <w:p w:rsidR="00965D85" w:rsidRPr="001E7FA9" w:rsidRDefault="00965D85" w:rsidP="008B46DF">
            <w:pPr>
              <w:autoSpaceDE w:val="0"/>
              <w:autoSpaceDN w:val="0"/>
              <w:adjustRightInd w:val="0"/>
              <w:spacing w:after="0"/>
              <w:jc w:val="right"/>
              <w:rPr>
                <w:rFonts w:ascii="Calibri" w:eastAsiaTheme="minorEastAsia" w:hAnsi="Calibri" w:cs="Calibri"/>
                <w:i/>
                <w:iCs/>
                <w:color w:val="FFFFFF"/>
                <w:sz w:val="19"/>
                <w:lang w:eastAsia="en-AU"/>
              </w:rPr>
            </w:pPr>
            <w:r w:rsidRPr="001E7FA9">
              <w:rPr>
                <w:rFonts w:ascii="Calibri" w:eastAsiaTheme="minorEastAsia" w:hAnsi="Calibri" w:cs="Calibri"/>
                <w:i/>
                <w:iCs/>
                <w:color w:val="FFFFFF"/>
                <w:sz w:val="19"/>
                <w:lang w:eastAsia="en-AU"/>
              </w:rPr>
              <w:t>revised</w:t>
            </w:r>
          </w:p>
        </w:tc>
        <w:tc>
          <w:tcPr>
            <w:tcW w:w="873" w:type="dxa"/>
            <w:gridSpan w:val="4"/>
            <w:tcBorders>
              <w:top w:val="nil"/>
              <w:left w:val="nil"/>
              <w:right w:val="nil"/>
            </w:tcBorders>
            <w:shd w:val="solid" w:color="000000" w:fill="auto"/>
          </w:tcPr>
          <w:p w:rsidR="00965D85" w:rsidRPr="001E7FA9" w:rsidRDefault="00965D85" w:rsidP="008B46DF">
            <w:pPr>
              <w:autoSpaceDE w:val="0"/>
              <w:autoSpaceDN w:val="0"/>
              <w:adjustRightInd w:val="0"/>
              <w:spacing w:after="0"/>
              <w:jc w:val="right"/>
              <w:rPr>
                <w:rFonts w:ascii="Calibri" w:eastAsiaTheme="minorEastAsia" w:hAnsi="Calibri" w:cs="Calibri"/>
                <w:i/>
                <w:iCs/>
                <w:color w:val="FFFFFF"/>
                <w:sz w:val="19"/>
                <w:lang w:eastAsia="en-AU"/>
              </w:rPr>
            </w:pPr>
            <w:r w:rsidRPr="001E7FA9">
              <w:rPr>
                <w:rFonts w:ascii="Calibri" w:eastAsiaTheme="minorEastAsia" w:hAnsi="Calibri" w:cs="Calibri"/>
                <w:i/>
                <w:iCs/>
                <w:color w:val="FFFFFF"/>
                <w:sz w:val="19"/>
                <w:lang w:eastAsia="en-AU"/>
              </w:rPr>
              <w:t>2016</w:t>
            </w:r>
            <w:r>
              <w:rPr>
                <w:rFonts w:ascii="Calibri" w:eastAsiaTheme="minorEastAsia" w:hAnsi="Calibri" w:cs="Calibri"/>
                <w:i/>
                <w:iCs/>
                <w:color w:val="FFFFFF"/>
                <w:sz w:val="19"/>
                <w:lang w:eastAsia="en-AU"/>
              </w:rPr>
              <w:noBreakHyphen/>
            </w:r>
            <w:r w:rsidRPr="001E7FA9">
              <w:rPr>
                <w:rFonts w:ascii="Calibri" w:eastAsiaTheme="minorEastAsia" w:hAnsi="Calibri" w:cs="Calibri"/>
                <w:i/>
                <w:iCs/>
                <w:color w:val="FFFFFF"/>
                <w:sz w:val="19"/>
                <w:lang w:eastAsia="en-AU"/>
              </w:rPr>
              <w:t>17</w:t>
            </w:r>
          </w:p>
          <w:p w:rsidR="00965D85" w:rsidRPr="001E7FA9" w:rsidRDefault="00965D85" w:rsidP="008B46DF">
            <w:pPr>
              <w:autoSpaceDE w:val="0"/>
              <w:autoSpaceDN w:val="0"/>
              <w:adjustRightInd w:val="0"/>
              <w:spacing w:after="0"/>
              <w:jc w:val="right"/>
              <w:rPr>
                <w:rFonts w:ascii="Calibri" w:eastAsiaTheme="minorEastAsia" w:hAnsi="Calibri" w:cs="Calibri"/>
                <w:i/>
                <w:iCs/>
                <w:color w:val="FFFFFF"/>
                <w:sz w:val="19"/>
                <w:lang w:eastAsia="en-AU"/>
              </w:rPr>
            </w:pPr>
            <w:r w:rsidRPr="001E7FA9">
              <w:rPr>
                <w:rFonts w:ascii="Calibri" w:eastAsiaTheme="minorEastAsia" w:hAnsi="Calibri" w:cs="Calibri"/>
                <w:i/>
                <w:iCs/>
                <w:color w:val="FFFFFF"/>
                <w:sz w:val="19"/>
                <w:lang w:eastAsia="en-AU"/>
              </w:rPr>
              <w:t>estimate</w:t>
            </w:r>
          </w:p>
        </w:tc>
        <w:tc>
          <w:tcPr>
            <w:tcW w:w="873" w:type="dxa"/>
            <w:tcBorders>
              <w:top w:val="nil"/>
              <w:left w:val="nil"/>
              <w:right w:val="nil"/>
            </w:tcBorders>
            <w:shd w:val="solid" w:color="000000" w:fill="auto"/>
          </w:tcPr>
          <w:p w:rsidR="00965D85" w:rsidRPr="001E7FA9" w:rsidRDefault="00965D85" w:rsidP="008B46DF">
            <w:pPr>
              <w:autoSpaceDE w:val="0"/>
              <w:autoSpaceDN w:val="0"/>
              <w:adjustRightInd w:val="0"/>
              <w:spacing w:after="0"/>
              <w:jc w:val="right"/>
              <w:rPr>
                <w:rFonts w:ascii="Calibri" w:eastAsiaTheme="minorEastAsia" w:hAnsi="Calibri" w:cs="Calibri"/>
                <w:i/>
                <w:iCs/>
                <w:color w:val="FFFFFF"/>
                <w:sz w:val="19"/>
                <w:lang w:eastAsia="en-AU"/>
              </w:rPr>
            </w:pPr>
            <w:r w:rsidRPr="001E7FA9">
              <w:rPr>
                <w:rFonts w:ascii="Calibri" w:eastAsiaTheme="minorEastAsia" w:hAnsi="Calibri" w:cs="Calibri"/>
                <w:i/>
                <w:iCs/>
                <w:color w:val="FFFFFF"/>
                <w:sz w:val="19"/>
                <w:lang w:eastAsia="en-AU"/>
              </w:rPr>
              <w:t>2017</w:t>
            </w:r>
            <w:r>
              <w:rPr>
                <w:rFonts w:ascii="Calibri" w:eastAsiaTheme="minorEastAsia" w:hAnsi="Calibri" w:cs="Calibri"/>
                <w:i/>
                <w:iCs/>
                <w:color w:val="FFFFFF"/>
                <w:sz w:val="19"/>
                <w:lang w:eastAsia="en-AU"/>
              </w:rPr>
              <w:noBreakHyphen/>
            </w:r>
            <w:r w:rsidRPr="001E7FA9">
              <w:rPr>
                <w:rFonts w:ascii="Calibri" w:eastAsiaTheme="minorEastAsia" w:hAnsi="Calibri" w:cs="Calibri"/>
                <w:i/>
                <w:iCs/>
                <w:color w:val="FFFFFF"/>
                <w:sz w:val="19"/>
                <w:lang w:eastAsia="en-AU"/>
              </w:rPr>
              <w:t>18</w:t>
            </w:r>
          </w:p>
          <w:p w:rsidR="00965D85" w:rsidRPr="001E7FA9" w:rsidRDefault="00965D85" w:rsidP="008B46DF">
            <w:pPr>
              <w:autoSpaceDE w:val="0"/>
              <w:autoSpaceDN w:val="0"/>
              <w:adjustRightInd w:val="0"/>
              <w:spacing w:after="0"/>
              <w:jc w:val="right"/>
              <w:rPr>
                <w:rFonts w:ascii="Calibri" w:eastAsiaTheme="minorEastAsia" w:hAnsi="Calibri" w:cs="Calibri"/>
                <w:i/>
                <w:iCs/>
                <w:color w:val="FFFFFF"/>
                <w:sz w:val="19"/>
                <w:lang w:eastAsia="en-AU"/>
              </w:rPr>
            </w:pPr>
            <w:r w:rsidRPr="001E7FA9">
              <w:rPr>
                <w:rFonts w:ascii="Calibri" w:eastAsiaTheme="minorEastAsia" w:hAnsi="Calibri" w:cs="Calibri"/>
                <w:i/>
                <w:iCs/>
                <w:color w:val="FFFFFF"/>
                <w:sz w:val="19"/>
                <w:lang w:eastAsia="en-AU"/>
              </w:rPr>
              <w:t>estimate</w:t>
            </w:r>
          </w:p>
        </w:tc>
        <w:tc>
          <w:tcPr>
            <w:tcW w:w="873" w:type="dxa"/>
            <w:tcBorders>
              <w:top w:val="nil"/>
              <w:left w:val="nil"/>
              <w:right w:val="nil"/>
            </w:tcBorders>
            <w:shd w:val="solid" w:color="000000" w:fill="auto"/>
          </w:tcPr>
          <w:p w:rsidR="00965D85" w:rsidRPr="001E7FA9" w:rsidRDefault="00965D85" w:rsidP="008B46DF">
            <w:pPr>
              <w:autoSpaceDE w:val="0"/>
              <w:autoSpaceDN w:val="0"/>
              <w:adjustRightInd w:val="0"/>
              <w:spacing w:after="0"/>
              <w:jc w:val="right"/>
              <w:rPr>
                <w:rFonts w:ascii="Calibri" w:eastAsiaTheme="minorEastAsia" w:hAnsi="Calibri" w:cs="Calibri"/>
                <w:i/>
                <w:iCs/>
                <w:color w:val="FFFFFF"/>
                <w:sz w:val="19"/>
                <w:lang w:eastAsia="en-AU"/>
              </w:rPr>
            </w:pPr>
            <w:r w:rsidRPr="001E7FA9">
              <w:rPr>
                <w:rFonts w:ascii="Calibri" w:eastAsiaTheme="minorEastAsia" w:hAnsi="Calibri" w:cs="Calibri"/>
                <w:i/>
                <w:iCs/>
                <w:color w:val="FFFFFF"/>
                <w:sz w:val="19"/>
                <w:lang w:eastAsia="en-AU"/>
              </w:rPr>
              <w:t>2018</w:t>
            </w:r>
            <w:r>
              <w:rPr>
                <w:rFonts w:ascii="Calibri" w:eastAsiaTheme="minorEastAsia" w:hAnsi="Calibri" w:cs="Calibri"/>
                <w:i/>
                <w:iCs/>
                <w:color w:val="FFFFFF"/>
                <w:sz w:val="19"/>
                <w:lang w:eastAsia="en-AU"/>
              </w:rPr>
              <w:noBreakHyphen/>
            </w:r>
            <w:r w:rsidRPr="001E7FA9">
              <w:rPr>
                <w:rFonts w:ascii="Calibri" w:eastAsiaTheme="minorEastAsia" w:hAnsi="Calibri" w:cs="Calibri"/>
                <w:i/>
                <w:iCs/>
                <w:color w:val="FFFFFF"/>
                <w:sz w:val="19"/>
                <w:lang w:eastAsia="en-AU"/>
              </w:rPr>
              <w:t>19</w:t>
            </w:r>
          </w:p>
          <w:p w:rsidR="00965D85" w:rsidRPr="001E7FA9" w:rsidRDefault="00965D85" w:rsidP="008B46DF">
            <w:pPr>
              <w:autoSpaceDE w:val="0"/>
              <w:autoSpaceDN w:val="0"/>
              <w:adjustRightInd w:val="0"/>
              <w:spacing w:after="0"/>
              <w:jc w:val="right"/>
              <w:rPr>
                <w:rFonts w:ascii="Calibri" w:eastAsiaTheme="minorEastAsia" w:hAnsi="Calibri" w:cs="Calibri"/>
                <w:i/>
                <w:iCs/>
                <w:color w:val="FFFFFF"/>
                <w:sz w:val="19"/>
                <w:lang w:eastAsia="en-AU"/>
              </w:rPr>
            </w:pPr>
            <w:r w:rsidRPr="001E7FA9">
              <w:rPr>
                <w:rFonts w:ascii="Calibri" w:eastAsiaTheme="minorEastAsia" w:hAnsi="Calibri" w:cs="Calibri"/>
                <w:i/>
                <w:iCs/>
                <w:color w:val="FFFFFF"/>
                <w:sz w:val="19"/>
                <w:lang w:eastAsia="en-AU"/>
              </w:rPr>
              <w:t>estimate</w:t>
            </w:r>
          </w:p>
        </w:tc>
      </w:tr>
      <w:tr w:rsidR="00965D85" w:rsidRPr="001E7FA9" w:rsidTr="008B46DF">
        <w:tc>
          <w:tcPr>
            <w:tcW w:w="3402" w:type="dxa"/>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b/>
                <w:bCs/>
                <w:color w:val="000000"/>
                <w:sz w:val="19"/>
                <w:lang w:eastAsia="en-AU"/>
              </w:rPr>
            </w:pPr>
            <w:r w:rsidRPr="001E7FA9">
              <w:rPr>
                <w:rFonts w:ascii="Calibri" w:eastAsiaTheme="minorEastAsia" w:hAnsi="Calibri" w:cs="Calibri"/>
                <w:b/>
                <w:bCs/>
                <w:color w:val="000000"/>
                <w:sz w:val="19"/>
                <w:lang w:eastAsia="en-AU"/>
              </w:rPr>
              <w:t>Revenue from transactions</w:t>
            </w:r>
          </w:p>
        </w:tc>
        <w:tc>
          <w:tcPr>
            <w:tcW w:w="873"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873"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873" w:type="dxa"/>
            <w:gridSpan w:val="4"/>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873"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873"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r>
      <w:tr w:rsidR="00965D85" w:rsidRPr="001E7FA9" w:rsidTr="008B46DF">
        <w:tc>
          <w:tcPr>
            <w:tcW w:w="3402" w:type="dxa"/>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Interest revenue</w:t>
            </w:r>
          </w:p>
        </w:tc>
        <w:tc>
          <w:tcPr>
            <w:tcW w:w="873"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30.7</w:t>
            </w:r>
          </w:p>
        </w:tc>
        <w:tc>
          <w:tcPr>
            <w:tcW w:w="873"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26.8</w:t>
            </w:r>
          </w:p>
        </w:tc>
        <w:tc>
          <w:tcPr>
            <w:tcW w:w="873" w:type="dxa"/>
            <w:gridSpan w:val="4"/>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20.7</w:t>
            </w:r>
          </w:p>
        </w:tc>
        <w:tc>
          <w:tcPr>
            <w:tcW w:w="873"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15.2</w:t>
            </w:r>
          </w:p>
        </w:tc>
        <w:tc>
          <w:tcPr>
            <w:tcW w:w="873"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14.6</w:t>
            </w:r>
          </w:p>
        </w:tc>
      </w:tr>
      <w:tr w:rsidR="00965D85" w:rsidRPr="001E7FA9" w:rsidTr="008B46DF">
        <w:tc>
          <w:tcPr>
            <w:tcW w:w="3402" w:type="dxa"/>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Dividends and income tax equivalent and rate equivalent revenue</w:t>
            </w:r>
          </w:p>
        </w:tc>
        <w:tc>
          <w:tcPr>
            <w:tcW w:w="873"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73.0</w:t>
            </w:r>
          </w:p>
        </w:tc>
        <w:tc>
          <w:tcPr>
            <w:tcW w:w="873"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17.1</w:t>
            </w:r>
          </w:p>
        </w:tc>
        <w:tc>
          <w:tcPr>
            <w:tcW w:w="873" w:type="dxa"/>
            <w:gridSpan w:val="4"/>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17.6</w:t>
            </w:r>
          </w:p>
        </w:tc>
        <w:tc>
          <w:tcPr>
            <w:tcW w:w="873"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18.2</w:t>
            </w:r>
          </w:p>
        </w:tc>
        <w:tc>
          <w:tcPr>
            <w:tcW w:w="873"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18.7</w:t>
            </w:r>
          </w:p>
        </w:tc>
      </w:tr>
      <w:tr w:rsidR="00965D85" w:rsidRPr="001E7FA9" w:rsidTr="008B46DF">
        <w:tc>
          <w:tcPr>
            <w:tcW w:w="3402" w:type="dxa"/>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Sales of goods and services</w:t>
            </w:r>
          </w:p>
        </w:tc>
        <w:tc>
          <w:tcPr>
            <w:tcW w:w="873"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6 106.8</w:t>
            </w:r>
          </w:p>
        </w:tc>
        <w:tc>
          <w:tcPr>
            <w:tcW w:w="873"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6 141.3</w:t>
            </w:r>
          </w:p>
        </w:tc>
        <w:tc>
          <w:tcPr>
            <w:tcW w:w="873" w:type="dxa"/>
            <w:gridSpan w:val="4"/>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6 048.9</w:t>
            </w:r>
          </w:p>
        </w:tc>
        <w:tc>
          <w:tcPr>
            <w:tcW w:w="873"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6 334.8</w:t>
            </w:r>
          </w:p>
        </w:tc>
        <w:tc>
          <w:tcPr>
            <w:tcW w:w="873"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6 297.7</w:t>
            </w:r>
          </w:p>
        </w:tc>
      </w:tr>
      <w:tr w:rsidR="00965D85" w:rsidRPr="001E7FA9" w:rsidTr="008B46DF">
        <w:tc>
          <w:tcPr>
            <w:tcW w:w="3402" w:type="dxa"/>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Grant revenue</w:t>
            </w:r>
          </w:p>
        </w:tc>
        <w:tc>
          <w:tcPr>
            <w:tcW w:w="873"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2 950.0</w:t>
            </w:r>
          </w:p>
        </w:tc>
        <w:tc>
          <w:tcPr>
            <w:tcW w:w="873"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3 013.3</w:t>
            </w:r>
          </w:p>
        </w:tc>
        <w:tc>
          <w:tcPr>
            <w:tcW w:w="873" w:type="dxa"/>
            <w:gridSpan w:val="4"/>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3 058.7</w:t>
            </w:r>
          </w:p>
        </w:tc>
        <w:tc>
          <w:tcPr>
            <w:tcW w:w="873"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3 105.9</w:t>
            </w:r>
          </w:p>
        </w:tc>
        <w:tc>
          <w:tcPr>
            <w:tcW w:w="873"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3 058.4</w:t>
            </w:r>
          </w:p>
        </w:tc>
      </w:tr>
      <w:tr w:rsidR="00965D85" w:rsidRPr="001E7FA9" w:rsidTr="008B46DF">
        <w:tc>
          <w:tcPr>
            <w:tcW w:w="3402" w:type="dxa"/>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Other revenue</w:t>
            </w:r>
          </w:p>
        </w:tc>
        <w:tc>
          <w:tcPr>
            <w:tcW w:w="873" w:type="dxa"/>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421.0</w:t>
            </w:r>
          </w:p>
        </w:tc>
        <w:tc>
          <w:tcPr>
            <w:tcW w:w="873" w:type="dxa"/>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462.8</w:t>
            </w:r>
          </w:p>
        </w:tc>
        <w:tc>
          <w:tcPr>
            <w:tcW w:w="873" w:type="dxa"/>
            <w:gridSpan w:val="4"/>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462.4</w:t>
            </w:r>
          </w:p>
        </w:tc>
        <w:tc>
          <w:tcPr>
            <w:tcW w:w="873" w:type="dxa"/>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484.4</w:t>
            </w:r>
          </w:p>
        </w:tc>
        <w:tc>
          <w:tcPr>
            <w:tcW w:w="873" w:type="dxa"/>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498.2</w:t>
            </w:r>
          </w:p>
        </w:tc>
      </w:tr>
      <w:tr w:rsidR="00965D85" w:rsidRPr="001E7FA9" w:rsidTr="008B46DF">
        <w:tc>
          <w:tcPr>
            <w:tcW w:w="3402" w:type="dxa"/>
            <w:tcBorders>
              <w:top w:val="single" w:sz="6" w:space="0" w:color="000000"/>
              <w:left w:val="nil"/>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b/>
                <w:bCs/>
                <w:color w:val="000000"/>
                <w:sz w:val="19"/>
                <w:lang w:eastAsia="en-AU"/>
              </w:rPr>
            </w:pPr>
            <w:r w:rsidRPr="001E7FA9">
              <w:rPr>
                <w:rFonts w:ascii="Calibri" w:eastAsiaTheme="minorEastAsia" w:hAnsi="Calibri" w:cs="Calibri"/>
                <w:b/>
                <w:bCs/>
                <w:color w:val="000000"/>
                <w:sz w:val="19"/>
                <w:lang w:eastAsia="en-AU"/>
              </w:rPr>
              <w:t>Total revenue from transactions</w:t>
            </w:r>
          </w:p>
        </w:tc>
        <w:tc>
          <w:tcPr>
            <w:tcW w:w="873" w:type="dxa"/>
            <w:tcBorders>
              <w:top w:val="single" w:sz="6" w:space="0" w:color="000000"/>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19"/>
                <w:lang w:eastAsia="en-AU"/>
              </w:rPr>
            </w:pPr>
            <w:r w:rsidRPr="001E7FA9">
              <w:rPr>
                <w:rFonts w:ascii="Calibri" w:eastAsiaTheme="minorEastAsia" w:hAnsi="Calibri" w:cs="Calibri"/>
                <w:b/>
                <w:bCs/>
                <w:color w:val="000000"/>
                <w:sz w:val="19"/>
                <w:lang w:eastAsia="en-AU"/>
              </w:rPr>
              <w:t>9 581.5</w:t>
            </w:r>
          </w:p>
        </w:tc>
        <w:tc>
          <w:tcPr>
            <w:tcW w:w="873" w:type="dxa"/>
            <w:tcBorders>
              <w:top w:val="single" w:sz="6" w:space="0" w:color="000000"/>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19"/>
                <w:lang w:eastAsia="en-AU"/>
              </w:rPr>
            </w:pPr>
            <w:r w:rsidRPr="001E7FA9">
              <w:rPr>
                <w:rFonts w:ascii="Calibri" w:eastAsiaTheme="minorEastAsia" w:hAnsi="Calibri" w:cs="Calibri"/>
                <w:b/>
                <w:bCs/>
                <w:color w:val="000000"/>
                <w:sz w:val="19"/>
                <w:lang w:eastAsia="en-AU"/>
              </w:rPr>
              <w:t>9 661.3</w:t>
            </w:r>
          </w:p>
        </w:tc>
        <w:tc>
          <w:tcPr>
            <w:tcW w:w="873" w:type="dxa"/>
            <w:gridSpan w:val="4"/>
            <w:tcBorders>
              <w:top w:val="single" w:sz="6" w:space="0" w:color="000000"/>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19"/>
                <w:lang w:eastAsia="en-AU"/>
              </w:rPr>
            </w:pPr>
            <w:r w:rsidRPr="001E7FA9">
              <w:rPr>
                <w:rFonts w:ascii="Calibri" w:eastAsiaTheme="minorEastAsia" w:hAnsi="Calibri" w:cs="Calibri"/>
                <w:b/>
                <w:bCs/>
                <w:color w:val="000000"/>
                <w:sz w:val="19"/>
                <w:lang w:eastAsia="en-AU"/>
              </w:rPr>
              <w:t>9 608.2</w:t>
            </w:r>
          </w:p>
        </w:tc>
        <w:tc>
          <w:tcPr>
            <w:tcW w:w="873" w:type="dxa"/>
            <w:tcBorders>
              <w:top w:val="single" w:sz="6" w:space="0" w:color="000000"/>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19"/>
                <w:lang w:eastAsia="en-AU"/>
              </w:rPr>
            </w:pPr>
            <w:r w:rsidRPr="001E7FA9">
              <w:rPr>
                <w:rFonts w:ascii="Calibri" w:eastAsiaTheme="minorEastAsia" w:hAnsi="Calibri" w:cs="Calibri"/>
                <w:b/>
                <w:bCs/>
                <w:color w:val="000000"/>
                <w:sz w:val="19"/>
                <w:lang w:eastAsia="en-AU"/>
              </w:rPr>
              <w:t>9 958.3</w:t>
            </w:r>
          </w:p>
        </w:tc>
        <w:tc>
          <w:tcPr>
            <w:tcW w:w="873" w:type="dxa"/>
            <w:tcBorders>
              <w:top w:val="single" w:sz="6" w:space="0" w:color="000000"/>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19"/>
                <w:lang w:eastAsia="en-AU"/>
              </w:rPr>
            </w:pPr>
            <w:r w:rsidRPr="001E7FA9">
              <w:rPr>
                <w:rFonts w:ascii="Calibri" w:eastAsiaTheme="minorEastAsia" w:hAnsi="Calibri" w:cs="Calibri"/>
                <w:b/>
                <w:bCs/>
                <w:color w:val="000000"/>
                <w:sz w:val="19"/>
                <w:lang w:eastAsia="en-AU"/>
              </w:rPr>
              <w:t>9 887.7</w:t>
            </w:r>
          </w:p>
        </w:tc>
      </w:tr>
      <w:tr w:rsidR="00965D85" w:rsidRPr="001E7FA9" w:rsidTr="008B46DF">
        <w:tc>
          <w:tcPr>
            <w:tcW w:w="3402" w:type="dxa"/>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b/>
                <w:bCs/>
                <w:color w:val="000000"/>
                <w:sz w:val="19"/>
                <w:lang w:eastAsia="en-AU"/>
              </w:rPr>
            </w:pPr>
            <w:r w:rsidRPr="001E7FA9">
              <w:rPr>
                <w:rFonts w:ascii="Calibri" w:eastAsiaTheme="minorEastAsia" w:hAnsi="Calibri" w:cs="Calibri"/>
                <w:b/>
                <w:bCs/>
                <w:color w:val="000000"/>
                <w:sz w:val="19"/>
                <w:lang w:eastAsia="en-AU"/>
              </w:rPr>
              <w:t>Expenses from transactions</w:t>
            </w:r>
          </w:p>
        </w:tc>
        <w:tc>
          <w:tcPr>
            <w:tcW w:w="873"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873"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873" w:type="dxa"/>
            <w:gridSpan w:val="4"/>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873"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873"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r>
      <w:tr w:rsidR="00965D85" w:rsidRPr="001E7FA9" w:rsidTr="008B46DF">
        <w:tc>
          <w:tcPr>
            <w:tcW w:w="3402" w:type="dxa"/>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Employee expenses</w:t>
            </w:r>
          </w:p>
        </w:tc>
        <w:tc>
          <w:tcPr>
            <w:tcW w:w="873"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1 084.2</w:t>
            </w:r>
          </w:p>
        </w:tc>
        <w:tc>
          <w:tcPr>
            <w:tcW w:w="873"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1 132.5</w:t>
            </w:r>
          </w:p>
        </w:tc>
        <w:tc>
          <w:tcPr>
            <w:tcW w:w="873" w:type="dxa"/>
            <w:gridSpan w:val="4"/>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1 118.5</w:t>
            </w:r>
          </w:p>
        </w:tc>
        <w:tc>
          <w:tcPr>
            <w:tcW w:w="873"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1 147.7</w:t>
            </w:r>
          </w:p>
        </w:tc>
        <w:tc>
          <w:tcPr>
            <w:tcW w:w="873"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1 166.5</w:t>
            </w:r>
          </w:p>
        </w:tc>
      </w:tr>
      <w:tr w:rsidR="00965D85" w:rsidRPr="001E7FA9" w:rsidTr="008B46DF">
        <w:tc>
          <w:tcPr>
            <w:tcW w:w="3402" w:type="dxa"/>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Other superannuation</w:t>
            </w:r>
          </w:p>
        </w:tc>
        <w:tc>
          <w:tcPr>
            <w:tcW w:w="873"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90.2</w:t>
            </w:r>
          </w:p>
        </w:tc>
        <w:tc>
          <w:tcPr>
            <w:tcW w:w="873"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94.8</w:t>
            </w:r>
          </w:p>
        </w:tc>
        <w:tc>
          <w:tcPr>
            <w:tcW w:w="873" w:type="dxa"/>
            <w:gridSpan w:val="4"/>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94.9</w:t>
            </w:r>
          </w:p>
        </w:tc>
        <w:tc>
          <w:tcPr>
            <w:tcW w:w="873"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97.3</w:t>
            </w:r>
          </w:p>
        </w:tc>
        <w:tc>
          <w:tcPr>
            <w:tcW w:w="873"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98.7</w:t>
            </w:r>
          </w:p>
        </w:tc>
      </w:tr>
      <w:tr w:rsidR="00965D85" w:rsidRPr="001E7FA9" w:rsidTr="008B46DF">
        <w:tc>
          <w:tcPr>
            <w:tcW w:w="3402" w:type="dxa"/>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Depreciation</w:t>
            </w:r>
          </w:p>
        </w:tc>
        <w:tc>
          <w:tcPr>
            <w:tcW w:w="873"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2 129.7</w:t>
            </w:r>
          </w:p>
        </w:tc>
        <w:tc>
          <w:tcPr>
            <w:tcW w:w="873"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2 123.4</w:t>
            </w:r>
          </w:p>
        </w:tc>
        <w:tc>
          <w:tcPr>
            <w:tcW w:w="873" w:type="dxa"/>
            <w:gridSpan w:val="4"/>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2 109.5</w:t>
            </w:r>
          </w:p>
        </w:tc>
        <w:tc>
          <w:tcPr>
            <w:tcW w:w="873"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2 196.7</w:t>
            </w:r>
          </w:p>
        </w:tc>
        <w:tc>
          <w:tcPr>
            <w:tcW w:w="873"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2 291.6</w:t>
            </w:r>
          </w:p>
        </w:tc>
      </w:tr>
      <w:tr w:rsidR="00965D85" w:rsidRPr="001E7FA9" w:rsidTr="008B46DF">
        <w:tc>
          <w:tcPr>
            <w:tcW w:w="3402" w:type="dxa"/>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Interest expense</w:t>
            </w:r>
          </w:p>
        </w:tc>
        <w:tc>
          <w:tcPr>
            <w:tcW w:w="873"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1 148.5</w:t>
            </w:r>
          </w:p>
        </w:tc>
        <w:tc>
          <w:tcPr>
            <w:tcW w:w="873"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1 098.3</w:t>
            </w:r>
          </w:p>
        </w:tc>
        <w:tc>
          <w:tcPr>
            <w:tcW w:w="873" w:type="dxa"/>
            <w:gridSpan w:val="4"/>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1 090.9</w:t>
            </w:r>
          </w:p>
        </w:tc>
        <w:tc>
          <w:tcPr>
            <w:tcW w:w="873"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1 056.5</w:t>
            </w:r>
          </w:p>
        </w:tc>
        <w:tc>
          <w:tcPr>
            <w:tcW w:w="873"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1 059.7</w:t>
            </w:r>
          </w:p>
        </w:tc>
      </w:tr>
      <w:tr w:rsidR="00965D85" w:rsidRPr="001E7FA9" w:rsidTr="008B46DF">
        <w:tc>
          <w:tcPr>
            <w:tcW w:w="3402" w:type="dxa"/>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Grant expense</w:t>
            </w:r>
          </w:p>
        </w:tc>
        <w:tc>
          <w:tcPr>
            <w:tcW w:w="873"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232.4</w:t>
            </w:r>
          </w:p>
        </w:tc>
        <w:tc>
          <w:tcPr>
            <w:tcW w:w="873"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273.8</w:t>
            </w:r>
          </w:p>
        </w:tc>
        <w:tc>
          <w:tcPr>
            <w:tcW w:w="873" w:type="dxa"/>
            <w:gridSpan w:val="4"/>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198.2</w:t>
            </w:r>
          </w:p>
        </w:tc>
        <w:tc>
          <w:tcPr>
            <w:tcW w:w="873"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196.0</w:t>
            </w:r>
          </w:p>
        </w:tc>
        <w:tc>
          <w:tcPr>
            <w:tcW w:w="873"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212.5</w:t>
            </w:r>
          </w:p>
        </w:tc>
      </w:tr>
      <w:tr w:rsidR="00965D85" w:rsidRPr="001E7FA9" w:rsidTr="008B46DF">
        <w:tc>
          <w:tcPr>
            <w:tcW w:w="3402" w:type="dxa"/>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Other operating expenses</w:t>
            </w:r>
          </w:p>
        </w:tc>
        <w:tc>
          <w:tcPr>
            <w:tcW w:w="873"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5 269.3</w:t>
            </w:r>
          </w:p>
        </w:tc>
        <w:tc>
          <w:tcPr>
            <w:tcW w:w="873"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5 327.8</w:t>
            </w:r>
          </w:p>
        </w:tc>
        <w:tc>
          <w:tcPr>
            <w:tcW w:w="873" w:type="dxa"/>
            <w:gridSpan w:val="4"/>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5 288.5</w:t>
            </w:r>
          </w:p>
        </w:tc>
        <w:tc>
          <w:tcPr>
            <w:tcW w:w="873"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5 469.4</w:t>
            </w:r>
          </w:p>
        </w:tc>
        <w:tc>
          <w:tcPr>
            <w:tcW w:w="873"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5 161.8</w:t>
            </w:r>
          </w:p>
        </w:tc>
      </w:tr>
      <w:tr w:rsidR="00965D85" w:rsidRPr="001E7FA9" w:rsidTr="008B46DF">
        <w:tc>
          <w:tcPr>
            <w:tcW w:w="3402" w:type="dxa"/>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Other property expenses</w:t>
            </w:r>
          </w:p>
        </w:tc>
        <w:tc>
          <w:tcPr>
            <w:tcW w:w="873" w:type="dxa"/>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150.7</w:t>
            </w:r>
          </w:p>
        </w:tc>
        <w:tc>
          <w:tcPr>
            <w:tcW w:w="873" w:type="dxa"/>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114.9</w:t>
            </w:r>
          </w:p>
        </w:tc>
        <w:tc>
          <w:tcPr>
            <w:tcW w:w="873" w:type="dxa"/>
            <w:gridSpan w:val="4"/>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105.5</w:t>
            </w:r>
          </w:p>
        </w:tc>
        <w:tc>
          <w:tcPr>
            <w:tcW w:w="873" w:type="dxa"/>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121.8</w:t>
            </w:r>
          </w:p>
        </w:tc>
        <w:tc>
          <w:tcPr>
            <w:tcW w:w="873" w:type="dxa"/>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139.7</w:t>
            </w:r>
          </w:p>
        </w:tc>
      </w:tr>
      <w:tr w:rsidR="00965D85" w:rsidRPr="001E7FA9" w:rsidTr="008B46DF">
        <w:tc>
          <w:tcPr>
            <w:tcW w:w="3402" w:type="dxa"/>
            <w:tcBorders>
              <w:top w:val="single" w:sz="6" w:space="0" w:color="000000"/>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b/>
                <w:bCs/>
                <w:color w:val="000000"/>
                <w:sz w:val="19"/>
                <w:lang w:eastAsia="en-AU"/>
              </w:rPr>
            </w:pPr>
            <w:r w:rsidRPr="001E7FA9">
              <w:rPr>
                <w:rFonts w:ascii="Calibri" w:eastAsiaTheme="minorEastAsia" w:hAnsi="Calibri" w:cs="Calibri"/>
                <w:b/>
                <w:bCs/>
                <w:color w:val="000000"/>
                <w:sz w:val="19"/>
                <w:lang w:eastAsia="en-AU"/>
              </w:rPr>
              <w:t>Total expenses from transactions</w:t>
            </w:r>
          </w:p>
        </w:tc>
        <w:tc>
          <w:tcPr>
            <w:tcW w:w="873" w:type="dxa"/>
            <w:tcBorders>
              <w:top w:val="single" w:sz="6" w:space="0" w:color="000000"/>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19"/>
                <w:lang w:eastAsia="en-AU"/>
              </w:rPr>
            </w:pPr>
            <w:r w:rsidRPr="001E7FA9">
              <w:rPr>
                <w:rFonts w:ascii="Calibri" w:eastAsiaTheme="minorEastAsia" w:hAnsi="Calibri" w:cs="Calibri"/>
                <w:b/>
                <w:bCs/>
                <w:color w:val="000000"/>
                <w:sz w:val="19"/>
                <w:lang w:eastAsia="en-AU"/>
              </w:rPr>
              <w:t>10 104.9</w:t>
            </w:r>
          </w:p>
        </w:tc>
        <w:tc>
          <w:tcPr>
            <w:tcW w:w="873" w:type="dxa"/>
            <w:tcBorders>
              <w:top w:val="single" w:sz="6" w:space="0" w:color="000000"/>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19"/>
                <w:lang w:eastAsia="en-AU"/>
              </w:rPr>
            </w:pPr>
            <w:r w:rsidRPr="001E7FA9">
              <w:rPr>
                <w:rFonts w:ascii="Calibri" w:eastAsiaTheme="minorEastAsia" w:hAnsi="Calibri" w:cs="Calibri"/>
                <w:b/>
                <w:bCs/>
                <w:color w:val="000000"/>
                <w:sz w:val="19"/>
                <w:lang w:eastAsia="en-AU"/>
              </w:rPr>
              <w:t>10 165.4</w:t>
            </w:r>
          </w:p>
        </w:tc>
        <w:tc>
          <w:tcPr>
            <w:tcW w:w="873" w:type="dxa"/>
            <w:gridSpan w:val="4"/>
            <w:tcBorders>
              <w:top w:val="single" w:sz="6" w:space="0" w:color="000000"/>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19"/>
                <w:lang w:eastAsia="en-AU"/>
              </w:rPr>
            </w:pPr>
            <w:r w:rsidRPr="001E7FA9">
              <w:rPr>
                <w:rFonts w:ascii="Calibri" w:eastAsiaTheme="minorEastAsia" w:hAnsi="Calibri" w:cs="Calibri"/>
                <w:b/>
                <w:bCs/>
                <w:color w:val="000000"/>
                <w:sz w:val="19"/>
                <w:lang w:eastAsia="en-AU"/>
              </w:rPr>
              <w:t>10 005.9</w:t>
            </w:r>
          </w:p>
        </w:tc>
        <w:tc>
          <w:tcPr>
            <w:tcW w:w="873" w:type="dxa"/>
            <w:tcBorders>
              <w:top w:val="single" w:sz="6" w:space="0" w:color="000000"/>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19"/>
                <w:lang w:eastAsia="en-AU"/>
              </w:rPr>
            </w:pPr>
            <w:r w:rsidRPr="001E7FA9">
              <w:rPr>
                <w:rFonts w:ascii="Calibri" w:eastAsiaTheme="minorEastAsia" w:hAnsi="Calibri" w:cs="Calibri"/>
                <w:b/>
                <w:bCs/>
                <w:color w:val="000000"/>
                <w:sz w:val="19"/>
                <w:lang w:eastAsia="en-AU"/>
              </w:rPr>
              <w:t>10 285.5</w:t>
            </w:r>
          </w:p>
        </w:tc>
        <w:tc>
          <w:tcPr>
            <w:tcW w:w="873" w:type="dxa"/>
            <w:tcBorders>
              <w:top w:val="single" w:sz="6" w:space="0" w:color="000000"/>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19"/>
                <w:lang w:eastAsia="en-AU"/>
              </w:rPr>
            </w:pPr>
            <w:r w:rsidRPr="001E7FA9">
              <w:rPr>
                <w:rFonts w:ascii="Calibri" w:eastAsiaTheme="minorEastAsia" w:hAnsi="Calibri" w:cs="Calibri"/>
                <w:b/>
                <w:bCs/>
                <w:color w:val="000000"/>
                <w:sz w:val="19"/>
                <w:lang w:eastAsia="en-AU"/>
              </w:rPr>
              <w:t>10 130.7</w:t>
            </w:r>
          </w:p>
        </w:tc>
      </w:tr>
      <w:tr w:rsidR="00965D85" w:rsidRPr="001E7FA9" w:rsidTr="008B46DF">
        <w:tc>
          <w:tcPr>
            <w:tcW w:w="3402" w:type="dxa"/>
            <w:tcBorders>
              <w:top w:val="single" w:sz="6" w:space="0" w:color="000000"/>
              <w:left w:val="nil"/>
              <w:bottom w:val="single" w:sz="12" w:space="0" w:color="000000"/>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b/>
                <w:bCs/>
                <w:color w:val="000000"/>
                <w:sz w:val="19"/>
                <w:lang w:eastAsia="en-AU"/>
              </w:rPr>
            </w:pPr>
            <w:r w:rsidRPr="001E7FA9">
              <w:rPr>
                <w:rFonts w:ascii="Calibri" w:eastAsiaTheme="minorEastAsia" w:hAnsi="Calibri" w:cs="Calibri"/>
                <w:b/>
                <w:bCs/>
                <w:color w:val="000000"/>
                <w:sz w:val="19"/>
                <w:lang w:eastAsia="en-AU"/>
              </w:rPr>
              <w:t>Net result from transactions – net operating balance</w:t>
            </w:r>
          </w:p>
        </w:tc>
        <w:tc>
          <w:tcPr>
            <w:tcW w:w="873" w:type="dxa"/>
            <w:tcBorders>
              <w:top w:val="single" w:sz="6" w:space="0" w:color="000000"/>
              <w:left w:val="nil"/>
              <w:bottom w:val="single" w:sz="12"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19"/>
                <w:lang w:eastAsia="en-AU"/>
              </w:rPr>
              <w:t>(523.4)</w:t>
            </w:r>
          </w:p>
        </w:tc>
        <w:tc>
          <w:tcPr>
            <w:tcW w:w="873" w:type="dxa"/>
            <w:tcBorders>
              <w:top w:val="single" w:sz="6" w:space="0" w:color="000000"/>
              <w:left w:val="nil"/>
              <w:bottom w:val="single" w:sz="12"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19"/>
                <w:lang w:eastAsia="en-AU"/>
              </w:rPr>
              <w:t>(504.1)</w:t>
            </w:r>
          </w:p>
        </w:tc>
        <w:tc>
          <w:tcPr>
            <w:tcW w:w="873" w:type="dxa"/>
            <w:gridSpan w:val="4"/>
            <w:tcBorders>
              <w:top w:val="single" w:sz="6" w:space="0" w:color="000000"/>
              <w:left w:val="nil"/>
              <w:bottom w:val="single" w:sz="12"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19"/>
                <w:lang w:eastAsia="en-AU"/>
              </w:rPr>
              <w:t>(397.7)</w:t>
            </w:r>
          </w:p>
        </w:tc>
        <w:tc>
          <w:tcPr>
            <w:tcW w:w="873" w:type="dxa"/>
            <w:tcBorders>
              <w:top w:val="single" w:sz="6" w:space="0" w:color="000000"/>
              <w:left w:val="nil"/>
              <w:bottom w:val="single" w:sz="12"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19"/>
                <w:lang w:eastAsia="en-AU"/>
              </w:rPr>
              <w:t>(327.1)</w:t>
            </w:r>
          </w:p>
        </w:tc>
        <w:tc>
          <w:tcPr>
            <w:tcW w:w="873" w:type="dxa"/>
            <w:tcBorders>
              <w:top w:val="single" w:sz="6" w:space="0" w:color="000000"/>
              <w:left w:val="nil"/>
              <w:bottom w:val="single" w:sz="12"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19"/>
                <w:lang w:eastAsia="en-AU"/>
              </w:rPr>
              <w:t>(243.0)</w:t>
            </w:r>
          </w:p>
        </w:tc>
      </w:tr>
      <w:tr w:rsidR="00965D85" w:rsidRPr="001E7FA9" w:rsidTr="008B46DF">
        <w:tc>
          <w:tcPr>
            <w:tcW w:w="3402" w:type="dxa"/>
            <w:tcBorders>
              <w:top w:val="single" w:sz="12" w:space="0" w:color="000000"/>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b/>
                <w:bCs/>
                <w:color w:val="000000"/>
                <w:sz w:val="19"/>
                <w:lang w:eastAsia="en-AU"/>
              </w:rPr>
            </w:pPr>
            <w:r w:rsidRPr="001E7FA9">
              <w:rPr>
                <w:rFonts w:ascii="Calibri" w:eastAsiaTheme="minorEastAsia" w:hAnsi="Calibri" w:cs="Calibri"/>
                <w:b/>
                <w:bCs/>
                <w:color w:val="000000"/>
                <w:sz w:val="19"/>
                <w:lang w:eastAsia="en-AU"/>
              </w:rPr>
              <w:t>Total other economic flows included in net result</w:t>
            </w:r>
          </w:p>
        </w:tc>
        <w:tc>
          <w:tcPr>
            <w:tcW w:w="873" w:type="dxa"/>
            <w:tcBorders>
              <w:top w:val="single" w:sz="12" w:space="0" w:color="000000"/>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19"/>
                <w:lang w:eastAsia="en-AU"/>
              </w:rPr>
            </w:pPr>
            <w:r w:rsidRPr="001E7FA9">
              <w:rPr>
                <w:rFonts w:ascii="Calibri" w:eastAsiaTheme="minorEastAsia" w:hAnsi="Calibri" w:cs="Calibri"/>
                <w:b/>
                <w:bCs/>
                <w:color w:val="000000"/>
                <w:sz w:val="19"/>
                <w:lang w:eastAsia="en-AU"/>
              </w:rPr>
              <w:t>4 616.0</w:t>
            </w:r>
          </w:p>
        </w:tc>
        <w:tc>
          <w:tcPr>
            <w:tcW w:w="873" w:type="dxa"/>
            <w:tcBorders>
              <w:top w:val="single" w:sz="12" w:space="0" w:color="000000"/>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19"/>
                <w:lang w:eastAsia="en-AU"/>
              </w:rPr>
            </w:pPr>
            <w:r w:rsidRPr="001E7FA9">
              <w:rPr>
                <w:rFonts w:ascii="Calibri" w:eastAsiaTheme="minorEastAsia" w:hAnsi="Calibri" w:cs="Calibri"/>
                <w:b/>
                <w:bCs/>
                <w:color w:val="000000"/>
                <w:sz w:val="19"/>
                <w:lang w:eastAsia="en-AU"/>
              </w:rPr>
              <w:t>4 033.6</w:t>
            </w:r>
          </w:p>
        </w:tc>
        <w:tc>
          <w:tcPr>
            <w:tcW w:w="873" w:type="dxa"/>
            <w:gridSpan w:val="4"/>
            <w:tcBorders>
              <w:top w:val="single" w:sz="12" w:space="0" w:color="000000"/>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19"/>
                <w:lang w:eastAsia="en-AU"/>
              </w:rPr>
              <w:t>200.8</w:t>
            </w:r>
          </w:p>
        </w:tc>
        <w:tc>
          <w:tcPr>
            <w:tcW w:w="873" w:type="dxa"/>
            <w:tcBorders>
              <w:top w:val="single" w:sz="12" w:space="0" w:color="000000"/>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19"/>
                <w:lang w:eastAsia="en-AU"/>
              </w:rPr>
              <w:t>186.3</w:t>
            </w:r>
          </w:p>
        </w:tc>
        <w:tc>
          <w:tcPr>
            <w:tcW w:w="873" w:type="dxa"/>
            <w:tcBorders>
              <w:top w:val="single" w:sz="12" w:space="0" w:color="000000"/>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19"/>
                <w:lang w:eastAsia="en-AU"/>
              </w:rPr>
              <w:t>185.8</w:t>
            </w:r>
          </w:p>
        </w:tc>
      </w:tr>
      <w:tr w:rsidR="00965D85" w:rsidRPr="001E7FA9" w:rsidTr="008B46DF">
        <w:tc>
          <w:tcPr>
            <w:tcW w:w="3402" w:type="dxa"/>
            <w:tcBorders>
              <w:top w:val="single" w:sz="6" w:space="0" w:color="000000"/>
              <w:left w:val="nil"/>
              <w:bottom w:val="single" w:sz="12" w:space="0" w:color="000000"/>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b/>
                <w:bCs/>
                <w:color w:val="000000"/>
                <w:sz w:val="19"/>
                <w:lang w:eastAsia="en-AU"/>
              </w:rPr>
            </w:pPr>
            <w:r w:rsidRPr="001E7FA9">
              <w:rPr>
                <w:rFonts w:ascii="Calibri" w:eastAsiaTheme="minorEastAsia" w:hAnsi="Calibri" w:cs="Calibri"/>
                <w:b/>
                <w:bCs/>
                <w:color w:val="000000"/>
                <w:sz w:val="19"/>
                <w:lang w:eastAsia="en-AU"/>
              </w:rPr>
              <w:t>Net result</w:t>
            </w:r>
          </w:p>
        </w:tc>
        <w:tc>
          <w:tcPr>
            <w:tcW w:w="873" w:type="dxa"/>
            <w:tcBorders>
              <w:top w:val="single" w:sz="6" w:space="0" w:color="000000"/>
              <w:left w:val="nil"/>
              <w:bottom w:val="single" w:sz="12"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19"/>
                <w:lang w:eastAsia="en-AU"/>
              </w:rPr>
            </w:pPr>
            <w:r w:rsidRPr="001E7FA9">
              <w:rPr>
                <w:rFonts w:ascii="Calibri" w:eastAsiaTheme="minorEastAsia" w:hAnsi="Calibri" w:cs="Calibri"/>
                <w:b/>
                <w:bCs/>
                <w:color w:val="000000"/>
                <w:sz w:val="19"/>
                <w:lang w:eastAsia="en-AU"/>
              </w:rPr>
              <w:t>4 092.6</w:t>
            </w:r>
          </w:p>
        </w:tc>
        <w:tc>
          <w:tcPr>
            <w:tcW w:w="873" w:type="dxa"/>
            <w:tcBorders>
              <w:top w:val="single" w:sz="6" w:space="0" w:color="000000"/>
              <w:left w:val="nil"/>
              <w:bottom w:val="single" w:sz="12"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19"/>
                <w:lang w:eastAsia="en-AU"/>
              </w:rPr>
            </w:pPr>
            <w:r w:rsidRPr="001E7FA9">
              <w:rPr>
                <w:rFonts w:ascii="Calibri" w:eastAsiaTheme="minorEastAsia" w:hAnsi="Calibri" w:cs="Calibri"/>
                <w:b/>
                <w:bCs/>
                <w:color w:val="000000"/>
                <w:sz w:val="19"/>
                <w:lang w:eastAsia="en-AU"/>
              </w:rPr>
              <w:t>3 529.4</w:t>
            </w:r>
          </w:p>
        </w:tc>
        <w:tc>
          <w:tcPr>
            <w:tcW w:w="873" w:type="dxa"/>
            <w:gridSpan w:val="4"/>
            <w:tcBorders>
              <w:top w:val="single" w:sz="6" w:space="0" w:color="000000"/>
              <w:left w:val="nil"/>
              <w:bottom w:val="single" w:sz="12"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19"/>
                <w:lang w:eastAsia="en-AU"/>
              </w:rPr>
              <w:t>(197.0)</w:t>
            </w:r>
          </w:p>
        </w:tc>
        <w:tc>
          <w:tcPr>
            <w:tcW w:w="873" w:type="dxa"/>
            <w:tcBorders>
              <w:top w:val="single" w:sz="6" w:space="0" w:color="000000"/>
              <w:left w:val="nil"/>
              <w:bottom w:val="single" w:sz="12"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19"/>
                <w:lang w:eastAsia="en-AU"/>
              </w:rPr>
              <w:t>(140.8)</w:t>
            </w:r>
          </w:p>
        </w:tc>
        <w:tc>
          <w:tcPr>
            <w:tcW w:w="873" w:type="dxa"/>
            <w:tcBorders>
              <w:top w:val="single" w:sz="6" w:space="0" w:color="000000"/>
              <w:left w:val="nil"/>
              <w:bottom w:val="single" w:sz="12"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19"/>
                <w:lang w:eastAsia="en-AU"/>
              </w:rPr>
              <w:t>(57.2)</w:t>
            </w:r>
          </w:p>
        </w:tc>
      </w:tr>
      <w:tr w:rsidR="00965D85" w:rsidRPr="001E7FA9" w:rsidTr="008B46DF">
        <w:tc>
          <w:tcPr>
            <w:tcW w:w="5245" w:type="dxa"/>
            <w:gridSpan w:val="4"/>
            <w:tcBorders>
              <w:top w:val="single" w:sz="12" w:space="0" w:color="000000"/>
              <w:left w:val="nil"/>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b/>
                <w:bCs/>
                <w:color w:val="000000"/>
                <w:sz w:val="19"/>
                <w:lang w:eastAsia="en-AU"/>
              </w:rPr>
            </w:pPr>
            <w:r w:rsidRPr="001E7FA9">
              <w:rPr>
                <w:rFonts w:ascii="Calibri" w:eastAsiaTheme="minorEastAsia" w:hAnsi="Calibri" w:cs="Calibri"/>
                <w:b/>
                <w:bCs/>
                <w:color w:val="000000"/>
                <w:sz w:val="19"/>
                <w:lang w:eastAsia="en-AU"/>
              </w:rPr>
              <w:t>Other economic flows – other comprehensive income</w:t>
            </w:r>
          </w:p>
        </w:tc>
        <w:tc>
          <w:tcPr>
            <w:tcW w:w="284" w:type="dxa"/>
            <w:tcBorders>
              <w:top w:val="single" w:sz="12" w:space="0" w:color="000000"/>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256" w:type="dxa"/>
            <w:tcBorders>
              <w:top w:val="single" w:sz="12" w:space="0" w:color="000000"/>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236" w:type="dxa"/>
            <w:tcBorders>
              <w:top w:val="single" w:sz="12" w:space="0" w:color="000000"/>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873" w:type="dxa"/>
            <w:tcBorders>
              <w:top w:val="single" w:sz="12" w:space="0" w:color="000000"/>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873" w:type="dxa"/>
            <w:tcBorders>
              <w:top w:val="single" w:sz="12" w:space="0" w:color="000000"/>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r>
      <w:tr w:rsidR="00965D85" w:rsidRPr="001E7FA9" w:rsidTr="008B46DF">
        <w:tc>
          <w:tcPr>
            <w:tcW w:w="5245" w:type="dxa"/>
            <w:gridSpan w:val="4"/>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b/>
                <w:bCs/>
                <w:color w:val="000000"/>
                <w:sz w:val="19"/>
                <w:lang w:eastAsia="en-AU"/>
              </w:rPr>
            </w:pPr>
            <w:r w:rsidRPr="001E7FA9">
              <w:rPr>
                <w:rFonts w:ascii="Calibri" w:eastAsiaTheme="minorEastAsia" w:hAnsi="Calibri" w:cs="Calibri"/>
                <w:b/>
                <w:bCs/>
                <w:color w:val="000000"/>
                <w:sz w:val="19"/>
                <w:lang w:eastAsia="en-AU"/>
              </w:rPr>
              <w:t>Items that will not be reclassified to net result</w:t>
            </w:r>
          </w:p>
        </w:tc>
        <w:tc>
          <w:tcPr>
            <w:tcW w:w="28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256"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236"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873"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873"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r>
      <w:tr w:rsidR="00965D85" w:rsidRPr="001E7FA9" w:rsidTr="008B46DF">
        <w:tc>
          <w:tcPr>
            <w:tcW w:w="3402" w:type="dxa"/>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Changes in non</w:t>
            </w:r>
            <w:r>
              <w:rPr>
                <w:rFonts w:ascii="Calibri" w:eastAsiaTheme="minorEastAsia" w:hAnsi="Calibri" w:cs="Calibri"/>
                <w:color w:val="000000"/>
                <w:sz w:val="19"/>
                <w:lang w:eastAsia="en-AU"/>
              </w:rPr>
              <w:noBreakHyphen/>
            </w:r>
            <w:r w:rsidRPr="001E7FA9">
              <w:rPr>
                <w:rFonts w:ascii="Calibri" w:eastAsiaTheme="minorEastAsia" w:hAnsi="Calibri" w:cs="Calibri"/>
                <w:color w:val="000000"/>
                <w:sz w:val="19"/>
                <w:lang w:eastAsia="en-AU"/>
              </w:rPr>
              <w:t>financial assets revaluation surplus</w:t>
            </w:r>
          </w:p>
        </w:tc>
        <w:tc>
          <w:tcPr>
            <w:tcW w:w="873"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830.3</w:t>
            </w:r>
          </w:p>
        </w:tc>
        <w:tc>
          <w:tcPr>
            <w:tcW w:w="873"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1 283.2</w:t>
            </w:r>
          </w:p>
        </w:tc>
        <w:tc>
          <w:tcPr>
            <w:tcW w:w="873" w:type="dxa"/>
            <w:gridSpan w:val="4"/>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(7.5)</w:t>
            </w:r>
          </w:p>
        </w:tc>
        <w:tc>
          <w:tcPr>
            <w:tcW w:w="873"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(8.0)</w:t>
            </w:r>
          </w:p>
        </w:tc>
        <w:tc>
          <w:tcPr>
            <w:tcW w:w="873"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(7.9)</w:t>
            </w:r>
          </w:p>
        </w:tc>
      </w:tr>
      <w:tr w:rsidR="00965D85" w:rsidRPr="001E7FA9" w:rsidTr="008B46DF">
        <w:tc>
          <w:tcPr>
            <w:tcW w:w="3402" w:type="dxa"/>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Remeasurement of superannuation defined benefits plans</w:t>
            </w:r>
          </w:p>
        </w:tc>
        <w:tc>
          <w:tcPr>
            <w:tcW w:w="873"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(4.3)</w:t>
            </w:r>
          </w:p>
        </w:tc>
        <w:tc>
          <w:tcPr>
            <w:tcW w:w="873"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(4.3)</w:t>
            </w:r>
          </w:p>
        </w:tc>
        <w:tc>
          <w:tcPr>
            <w:tcW w:w="873" w:type="dxa"/>
            <w:gridSpan w:val="4"/>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(4.3)</w:t>
            </w:r>
          </w:p>
        </w:tc>
        <w:tc>
          <w:tcPr>
            <w:tcW w:w="873"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(4.3)</w:t>
            </w:r>
          </w:p>
        </w:tc>
        <w:tc>
          <w:tcPr>
            <w:tcW w:w="873"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(4.3)</w:t>
            </w:r>
          </w:p>
        </w:tc>
      </w:tr>
      <w:tr w:rsidR="00965D85" w:rsidRPr="001E7FA9" w:rsidTr="008B46DF">
        <w:tc>
          <w:tcPr>
            <w:tcW w:w="3402" w:type="dxa"/>
            <w:tcBorders>
              <w:top w:val="nil"/>
              <w:left w:val="nil"/>
              <w:bottom w:val="single" w:sz="12" w:space="0" w:color="auto"/>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Other movements in equity</w:t>
            </w:r>
          </w:p>
        </w:tc>
        <w:tc>
          <w:tcPr>
            <w:tcW w:w="873" w:type="dxa"/>
            <w:tcBorders>
              <w:top w:val="nil"/>
              <w:left w:val="nil"/>
              <w:bottom w:val="single" w:sz="12" w:space="0" w:color="auto"/>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583.6</w:t>
            </w:r>
          </w:p>
        </w:tc>
        <w:tc>
          <w:tcPr>
            <w:tcW w:w="873" w:type="dxa"/>
            <w:tcBorders>
              <w:top w:val="nil"/>
              <w:left w:val="nil"/>
              <w:bottom w:val="single" w:sz="12" w:space="0" w:color="auto"/>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(264.0)</w:t>
            </w:r>
          </w:p>
        </w:tc>
        <w:tc>
          <w:tcPr>
            <w:tcW w:w="873" w:type="dxa"/>
            <w:gridSpan w:val="4"/>
            <w:tcBorders>
              <w:top w:val="nil"/>
              <w:left w:val="nil"/>
              <w:bottom w:val="single" w:sz="12" w:space="0" w:color="auto"/>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(38.8)</w:t>
            </w:r>
          </w:p>
        </w:tc>
        <w:tc>
          <w:tcPr>
            <w:tcW w:w="873" w:type="dxa"/>
            <w:tcBorders>
              <w:top w:val="nil"/>
              <w:left w:val="nil"/>
              <w:bottom w:val="single" w:sz="12" w:space="0" w:color="auto"/>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(11.2)</w:t>
            </w:r>
          </w:p>
        </w:tc>
        <w:tc>
          <w:tcPr>
            <w:tcW w:w="873" w:type="dxa"/>
            <w:tcBorders>
              <w:top w:val="nil"/>
              <w:left w:val="nil"/>
              <w:bottom w:val="single" w:sz="12" w:space="0" w:color="auto"/>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(6.9)</w:t>
            </w:r>
          </w:p>
        </w:tc>
      </w:tr>
    </w:tbl>
    <w:p w:rsidR="00965D85" w:rsidRDefault="00965D85"/>
    <w:p w:rsidR="00965D85" w:rsidRDefault="00965D85" w:rsidP="008B46DF"/>
    <w:p w:rsidR="00965D85" w:rsidRPr="001E7FA9" w:rsidRDefault="00965D85" w:rsidP="008B46DF">
      <w:pPr>
        <w:pStyle w:val="Tableheading"/>
        <w:rPr>
          <w:rFonts w:ascii="Times New Roman" w:hAnsi="Times New Roman"/>
          <w:b w:val="0"/>
          <w:sz w:val="20"/>
          <w:lang w:eastAsia="en-AU"/>
        </w:rPr>
      </w:pPr>
      <w:r>
        <w:rPr>
          <w:rFonts w:eastAsiaTheme="minorEastAsia"/>
          <w:lang w:eastAsia="en-AU"/>
        </w:rPr>
        <w:lastRenderedPageBreak/>
        <w:t>Table 5.1:</w:t>
      </w:r>
      <w:r>
        <w:rPr>
          <w:rFonts w:eastAsiaTheme="minorEastAsia"/>
          <w:lang w:eastAsia="en-AU"/>
        </w:rPr>
        <w:tab/>
        <w:t>Public non</w:t>
      </w:r>
      <w:r>
        <w:rPr>
          <w:rFonts w:eastAsiaTheme="minorEastAsia"/>
          <w:lang w:eastAsia="en-AU"/>
        </w:rPr>
        <w:noBreakHyphen/>
        <w:t>financial corporations sector comprehensive operating statement for the financial year ended 30 June</w:t>
      </w:r>
      <w:r w:rsidRPr="00936B85">
        <w:rPr>
          <w:rFonts w:eastAsiaTheme="minorEastAsia"/>
          <w:vertAlign w:val="superscript"/>
          <w:lang w:eastAsia="en-AU"/>
        </w:rPr>
        <w:t>(a)</w:t>
      </w:r>
      <w:r>
        <w:rPr>
          <w:rFonts w:eastAsiaTheme="minorEastAsia"/>
          <w:vertAlign w:val="superscript"/>
          <w:lang w:eastAsia="en-AU"/>
        </w:rPr>
        <w:t xml:space="preserve"> </w:t>
      </w:r>
      <w:r w:rsidRPr="007762A0">
        <w:rPr>
          <w:rFonts w:eastAsiaTheme="minorEastAsia"/>
          <w:i/>
          <w:lang w:eastAsia="en-AU"/>
        </w:rPr>
        <w:t>(continued)</w:t>
      </w:r>
    </w:p>
    <w:tbl>
      <w:tblPr>
        <w:tblW w:w="7767" w:type="dxa"/>
        <w:tblInd w:w="28" w:type="dxa"/>
        <w:tblLayout w:type="fixed"/>
        <w:tblCellMar>
          <w:left w:w="28" w:type="dxa"/>
          <w:right w:w="28" w:type="dxa"/>
        </w:tblCellMar>
        <w:tblLook w:val="0000" w:firstRow="0" w:lastRow="0" w:firstColumn="0" w:lastColumn="0" w:noHBand="0" w:noVBand="0"/>
      </w:tblPr>
      <w:tblGrid>
        <w:gridCol w:w="3402"/>
        <w:gridCol w:w="873"/>
        <w:gridCol w:w="873"/>
        <w:gridCol w:w="97"/>
        <w:gridCol w:w="284"/>
        <w:gridCol w:w="256"/>
        <w:gridCol w:w="236"/>
        <w:gridCol w:w="873"/>
        <w:gridCol w:w="873"/>
      </w:tblGrid>
      <w:tr w:rsidR="00965D85" w:rsidRPr="001E7FA9" w:rsidTr="008B46DF">
        <w:trPr>
          <w:tblHeader/>
        </w:trPr>
        <w:tc>
          <w:tcPr>
            <w:tcW w:w="7767" w:type="dxa"/>
            <w:gridSpan w:val="9"/>
            <w:tcBorders>
              <w:top w:val="nil"/>
              <w:left w:val="nil"/>
              <w:bottom w:val="nil"/>
              <w:right w:val="nil"/>
            </w:tcBorders>
          </w:tcPr>
          <w:p w:rsidR="00965D85" w:rsidRPr="001E7FA9" w:rsidRDefault="00965D85" w:rsidP="008B46DF">
            <w:pPr>
              <w:pStyle w:val="million"/>
              <w:rPr>
                <w:rFonts w:eastAsiaTheme="minorEastAsia" w:cs="Calibri"/>
                <w:iCs/>
                <w:color w:val="000000"/>
                <w:sz w:val="20"/>
                <w:lang w:eastAsia="en-AU"/>
              </w:rPr>
            </w:pPr>
            <w:r w:rsidRPr="001E7FA9">
              <w:rPr>
                <w:rFonts w:eastAsiaTheme="minorEastAsia"/>
                <w:lang w:eastAsia="en-AU"/>
              </w:rPr>
              <w:t>($ million</w:t>
            </w:r>
            <w:r w:rsidRPr="001E7FA9">
              <w:rPr>
                <w:rFonts w:eastAsiaTheme="minorEastAsia" w:cs="Calibri"/>
                <w:iCs/>
                <w:color w:val="000000"/>
                <w:sz w:val="20"/>
                <w:lang w:eastAsia="en-AU"/>
              </w:rPr>
              <w:t>)</w:t>
            </w:r>
          </w:p>
        </w:tc>
      </w:tr>
      <w:tr w:rsidR="00965D85" w:rsidRPr="001E7FA9" w:rsidTr="008B46DF">
        <w:trPr>
          <w:trHeight w:val="464"/>
          <w:tblHeader/>
        </w:trPr>
        <w:tc>
          <w:tcPr>
            <w:tcW w:w="3402" w:type="dxa"/>
            <w:tcBorders>
              <w:top w:val="nil"/>
              <w:left w:val="nil"/>
              <w:right w:val="nil"/>
            </w:tcBorders>
            <w:shd w:val="solid" w:color="000000" w:fill="auto"/>
          </w:tcPr>
          <w:p w:rsidR="00965D85" w:rsidRPr="001E7FA9" w:rsidRDefault="00965D85" w:rsidP="008B46DF">
            <w:pPr>
              <w:autoSpaceDE w:val="0"/>
              <w:autoSpaceDN w:val="0"/>
              <w:adjustRightInd w:val="0"/>
              <w:spacing w:after="0"/>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 xml:space="preserve"> </w:t>
            </w:r>
          </w:p>
          <w:p w:rsidR="00965D85" w:rsidRPr="001E7FA9" w:rsidRDefault="00965D85" w:rsidP="008B46DF">
            <w:pPr>
              <w:autoSpaceDE w:val="0"/>
              <w:autoSpaceDN w:val="0"/>
              <w:adjustRightInd w:val="0"/>
              <w:spacing w:after="0"/>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 xml:space="preserve"> </w:t>
            </w:r>
          </w:p>
        </w:tc>
        <w:tc>
          <w:tcPr>
            <w:tcW w:w="873" w:type="dxa"/>
            <w:tcBorders>
              <w:top w:val="nil"/>
              <w:left w:val="nil"/>
              <w:right w:val="nil"/>
            </w:tcBorders>
            <w:shd w:val="solid" w:color="000000" w:fill="auto"/>
          </w:tcPr>
          <w:p w:rsidR="00965D85" w:rsidRPr="001E7FA9" w:rsidRDefault="00965D85" w:rsidP="008B46DF">
            <w:pPr>
              <w:autoSpaceDE w:val="0"/>
              <w:autoSpaceDN w:val="0"/>
              <w:adjustRightInd w:val="0"/>
              <w:spacing w:after="0"/>
              <w:jc w:val="right"/>
              <w:rPr>
                <w:rFonts w:ascii="Calibri" w:eastAsiaTheme="minorEastAsia" w:hAnsi="Calibri" w:cs="Calibri"/>
                <w:i/>
                <w:iCs/>
                <w:color w:val="FFFFFF"/>
                <w:sz w:val="19"/>
                <w:lang w:eastAsia="en-AU"/>
              </w:rPr>
            </w:pPr>
            <w:r w:rsidRPr="001E7FA9">
              <w:rPr>
                <w:rFonts w:ascii="Calibri" w:eastAsiaTheme="minorEastAsia" w:hAnsi="Calibri" w:cs="Calibri"/>
                <w:i/>
                <w:iCs/>
                <w:color w:val="FFFFFF"/>
                <w:sz w:val="19"/>
                <w:lang w:eastAsia="en-AU"/>
              </w:rPr>
              <w:t>2015</w:t>
            </w:r>
            <w:r>
              <w:rPr>
                <w:rFonts w:ascii="Calibri" w:eastAsiaTheme="minorEastAsia" w:hAnsi="Calibri" w:cs="Calibri"/>
                <w:i/>
                <w:iCs/>
                <w:color w:val="FFFFFF"/>
                <w:sz w:val="19"/>
                <w:lang w:eastAsia="en-AU"/>
              </w:rPr>
              <w:noBreakHyphen/>
            </w:r>
            <w:r w:rsidRPr="001E7FA9">
              <w:rPr>
                <w:rFonts w:ascii="Calibri" w:eastAsiaTheme="minorEastAsia" w:hAnsi="Calibri" w:cs="Calibri"/>
                <w:i/>
                <w:iCs/>
                <w:color w:val="FFFFFF"/>
                <w:sz w:val="19"/>
                <w:lang w:eastAsia="en-AU"/>
              </w:rPr>
              <w:t>16</w:t>
            </w:r>
          </w:p>
          <w:p w:rsidR="00965D85" w:rsidRPr="001E7FA9" w:rsidRDefault="00965D85" w:rsidP="008B46DF">
            <w:pPr>
              <w:autoSpaceDE w:val="0"/>
              <w:autoSpaceDN w:val="0"/>
              <w:adjustRightInd w:val="0"/>
              <w:spacing w:after="0"/>
              <w:jc w:val="right"/>
              <w:rPr>
                <w:rFonts w:ascii="Calibri" w:eastAsiaTheme="minorEastAsia" w:hAnsi="Calibri" w:cs="Calibri"/>
                <w:i/>
                <w:iCs/>
                <w:color w:val="FFFFFF"/>
                <w:sz w:val="19"/>
                <w:lang w:eastAsia="en-AU"/>
              </w:rPr>
            </w:pPr>
            <w:r w:rsidRPr="001E7FA9">
              <w:rPr>
                <w:rFonts w:ascii="Calibri" w:eastAsiaTheme="minorEastAsia" w:hAnsi="Calibri" w:cs="Calibri"/>
                <w:i/>
                <w:iCs/>
                <w:color w:val="FFFFFF"/>
                <w:sz w:val="19"/>
                <w:lang w:eastAsia="en-AU"/>
              </w:rPr>
              <w:t>budget</w:t>
            </w:r>
          </w:p>
        </w:tc>
        <w:tc>
          <w:tcPr>
            <w:tcW w:w="873" w:type="dxa"/>
            <w:tcBorders>
              <w:top w:val="nil"/>
              <w:left w:val="nil"/>
              <w:right w:val="nil"/>
            </w:tcBorders>
            <w:shd w:val="solid" w:color="000000" w:fill="auto"/>
          </w:tcPr>
          <w:p w:rsidR="00965D85" w:rsidRPr="001E7FA9" w:rsidRDefault="00965D85" w:rsidP="008B46DF">
            <w:pPr>
              <w:autoSpaceDE w:val="0"/>
              <w:autoSpaceDN w:val="0"/>
              <w:adjustRightInd w:val="0"/>
              <w:spacing w:after="0"/>
              <w:jc w:val="right"/>
              <w:rPr>
                <w:rFonts w:ascii="Calibri" w:eastAsiaTheme="minorEastAsia" w:hAnsi="Calibri" w:cs="Calibri"/>
                <w:i/>
                <w:iCs/>
                <w:color w:val="FFFFFF"/>
                <w:sz w:val="19"/>
                <w:lang w:eastAsia="en-AU"/>
              </w:rPr>
            </w:pPr>
            <w:r w:rsidRPr="001E7FA9">
              <w:rPr>
                <w:rFonts w:ascii="Calibri" w:eastAsiaTheme="minorEastAsia" w:hAnsi="Calibri" w:cs="Calibri"/>
                <w:i/>
                <w:iCs/>
                <w:color w:val="FFFFFF"/>
                <w:sz w:val="19"/>
                <w:lang w:eastAsia="en-AU"/>
              </w:rPr>
              <w:t>2015</w:t>
            </w:r>
            <w:r>
              <w:rPr>
                <w:rFonts w:ascii="Calibri" w:eastAsiaTheme="minorEastAsia" w:hAnsi="Calibri" w:cs="Calibri"/>
                <w:i/>
                <w:iCs/>
                <w:color w:val="FFFFFF"/>
                <w:sz w:val="19"/>
                <w:lang w:eastAsia="en-AU"/>
              </w:rPr>
              <w:noBreakHyphen/>
            </w:r>
            <w:r w:rsidRPr="001E7FA9">
              <w:rPr>
                <w:rFonts w:ascii="Calibri" w:eastAsiaTheme="minorEastAsia" w:hAnsi="Calibri" w:cs="Calibri"/>
                <w:i/>
                <w:iCs/>
                <w:color w:val="FFFFFF"/>
                <w:sz w:val="19"/>
                <w:lang w:eastAsia="en-AU"/>
              </w:rPr>
              <w:t>16</w:t>
            </w:r>
          </w:p>
          <w:p w:rsidR="00965D85" w:rsidRPr="001E7FA9" w:rsidRDefault="00965D85" w:rsidP="008B46DF">
            <w:pPr>
              <w:autoSpaceDE w:val="0"/>
              <w:autoSpaceDN w:val="0"/>
              <w:adjustRightInd w:val="0"/>
              <w:spacing w:after="0"/>
              <w:jc w:val="right"/>
              <w:rPr>
                <w:rFonts w:ascii="Calibri" w:eastAsiaTheme="minorEastAsia" w:hAnsi="Calibri" w:cs="Calibri"/>
                <w:i/>
                <w:iCs/>
                <w:color w:val="FFFFFF"/>
                <w:sz w:val="19"/>
                <w:lang w:eastAsia="en-AU"/>
              </w:rPr>
            </w:pPr>
            <w:r w:rsidRPr="001E7FA9">
              <w:rPr>
                <w:rFonts w:ascii="Calibri" w:eastAsiaTheme="minorEastAsia" w:hAnsi="Calibri" w:cs="Calibri"/>
                <w:i/>
                <w:iCs/>
                <w:color w:val="FFFFFF"/>
                <w:sz w:val="19"/>
                <w:lang w:eastAsia="en-AU"/>
              </w:rPr>
              <w:t>revised</w:t>
            </w:r>
          </w:p>
        </w:tc>
        <w:tc>
          <w:tcPr>
            <w:tcW w:w="873" w:type="dxa"/>
            <w:gridSpan w:val="4"/>
            <w:tcBorders>
              <w:top w:val="nil"/>
              <w:left w:val="nil"/>
              <w:right w:val="nil"/>
            </w:tcBorders>
            <w:shd w:val="solid" w:color="000000" w:fill="auto"/>
          </w:tcPr>
          <w:p w:rsidR="00965D85" w:rsidRPr="001E7FA9" w:rsidRDefault="00965D85" w:rsidP="008B46DF">
            <w:pPr>
              <w:autoSpaceDE w:val="0"/>
              <w:autoSpaceDN w:val="0"/>
              <w:adjustRightInd w:val="0"/>
              <w:spacing w:after="0"/>
              <w:jc w:val="right"/>
              <w:rPr>
                <w:rFonts w:ascii="Calibri" w:eastAsiaTheme="minorEastAsia" w:hAnsi="Calibri" w:cs="Calibri"/>
                <w:i/>
                <w:iCs/>
                <w:color w:val="FFFFFF"/>
                <w:sz w:val="19"/>
                <w:lang w:eastAsia="en-AU"/>
              </w:rPr>
            </w:pPr>
            <w:r w:rsidRPr="001E7FA9">
              <w:rPr>
                <w:rFonts w:ascii="Calibri" w:eastAsiaTheme="minorEastAsia" w:hAnsi="Calibri" w:cs="Calibri"/>
                <w:i/>
                <w:iCs/>
                <w:color w:val="FFFFFF"/>
                <w:sz w:val="19"/>
                <w:lang w:eastAsia="en-AU"/>
              </w:rPr>
              <w:t>2016</w:t>
            </w:r>
            <w:r>
              <w:rPr>
                <w:rFonts w:ascii="Calibri" w:eastAsiaTheme="minorEastAsia" w:hAnsi="Calibri" w:cs="Calibri"/>
                <w:i/>
                <w:iCs/>
                <w:color w:val="FFFFFF"/>
                <w:sz w:val="19"/>
                <w:lang w:eastAsia="en-AU"/>
              </w:rPr>
              <w:noBreakHyphen/>
            </w:r>
            <w:r w:rsidRPr="001E7FA9">
              <w:rPr>
                <w:rFonts w:ascii="Calibri" w:eastAsiaTheme="minorEastAsia" w:hAnsi="Calibri" w:cs="Calibri"/>
                <w:i/>
                <w:iCs/>
                <w:color w:val="FFFFFF"/>
                <w:sz w:val="19"/>
                <w:lang w:eastAsia="en-AU"/>
              </w:rPr>
              <w:t>17</w:t>
            </w:r>
          </w:p>
          <w:p w:rsidR="00965D85" w:rsidRPr="001E7FA9" w:rsidRDefault="00965D85" w:rsidP="008B46DF">
            <w:pPr>
              <w:autoSpaceDE w:val="0"/>
              <w:autoSpaceDN w:val="0"/>
              <w:adjustRightInd w:val="0"/>
              <w:spacing w:after="0"/>
              <w:jc w:val="right"/>
              <w:rPr>
                <w:rFonts w:ascii="Calibri" w:eastAsiaTheme="minorEastAsia" w:hAnsi="Calibri" w:cs="Calibri"/>
                <w:i/>
                <w:iCs/>
                <w:color w:val="FFFFFF"/>
                <w:sz w:val="19"/>
                <w:lang w:eastAsia="en-AU"/>
              </w:rPr>
            </w:pPr>
            <w:r w:rsidRPr="001E7FA9">
              <w:rPr>
                <w:rFonts w:ascii="Calibri" w:eastAsiaTheme="minorEastAsia" w:hAnsi="Calibri" w:cs="Calibri"/>
                <w:i/>
                <w:iCs/>
                <w:color w:val="FFFFFF"/>
                <w:sz w:val="19"/>
                <w:lang w:eastAsia="en-AU"/>
              </w:rPr>
              <w:t>estimate</w:t>
            </w:r>
          </w:p>
        </w:tc>
        <w:tc>
          <w:tcPr>
            <w:tcW w:w="873" w:type="dxa"/>
            <w:tcBorders>
              <w:top w:val="nil"/>
              <w:left w:val="nil"/>
              <w:right w:val="nil"/>
            </w:tcBorders>
            <w:shd w:val="solid" w:color="000000" w:fill="auto"/>
          </w:tcPr>
          <w:p w:rsidR="00965D85" w:rsidRPr="001E7FA9" w:rsidRDefault="00965D85" w:rsidP="008B46DF">
            <w:pPr>
              <w:autoSpaceDE w:val="0"/>
              <w:autoSpaceDN w:val="0"/>
              <w:adjustRightInd w:val="0"/>
              <w:spacing w:after="0"/>
              <w:jc w:val="right"/>
              <w:rPr>
                <w:rFonts w:ascii="Calibri" w:eastAsiaTheme="minorEastAsia" w:hAnsi="Calibri" w:cs="Calibri"/>
                <w:i/>
                <w:iCs/>
                <w:color w:val="FFFFFF"/>
                <w:sz w:val="19"/>
                <w:lang w:eastAsia="en-AU"/>
              </w:rPr>
            </w:pPr>
            <w:r w:rsidRPr="001E7FA9">
              <w:rPr>
                <w:rFonts w:ascii="Calibri" w:eastAsiaTheme="minorEastAsia" w:hAnsi="Calibri" w:cs="Calibri"/>
                <w:i/>
                <w:iCs/>
                <w:color w:val="FFFFFF"/>
                <w:sz w:val="19"/>
                <w:lang w:eastAsia="en-AU"/>
              </w:rPr>
              <w:t>2017</w:t>
            </w:r>
            <w:r>
              <w:rPr>
                <w:rFonts w:ascii="Calibri" w:eastAsiaTheme="minorEastAsia" w:hAnsi="Calibri" w:cs="Calibri"/>
                <w:i/>
                <w:iCs/>
                <w:color w:val="FFFFFF"/>
                <w:sz w:val="19"/>
                <w:lang w:eastAsia="en-AU"/>
              </w:rPr>
              <w:noBreakHyphen/>
            </w:r>
            <w:r w:rsidRPr="001E7FA9">
              <w:rPr>
                <w:rFonts w:ascii="Calibri" w:eastAsiaTheme="minorEastAsia" w:hAnsi="Calibri" w:cs="Calibri"/>
                <w:i/>
                <w:iCs/>
                <w:color w:val="FFFFFF"/>
                <w:sz w:val="19"/>
                <w:lang w:eastAsia="en-AU"/>
              </w:rPr>
              <w:t>18</w:t>
            </w:r>
          </w:p>
          <w:p w:rsidR="00965D85" w:rsidRPr="001E7FA9" w:rsidRDefault="00965D85" w:rsidP="008B46DF">
            <w:pPr>
              <w:autoSpaceDE w:val="0"/>
              <w:autoSpaceDN w:val="0"/>
              <w:adjustRightInd w:val="0"/>
              <w:spacing w:after="0"/>
              <w:jc w:val="right"/>
              <w:rPr>
                <w:rFonts w:ascii="Calibri" w:eastAsiaTheme="minorEastAsia" w:hAnsi="Calibri" w:cs="Calibri"/>
                <w:i/>
                <w:iCs/>
                <w:color w:val="FFFFFF"/>
                <w:sz w:val="19"/>
                <w:lang w:eastAsia="en-AU"/>
              </w:rPr>
            </w:pPr>
            <w:r w:rsidRPr="001E7FA9">
              <w:rPr>
                <w:rFonts w:ascii="Calibri" w:eastAsiaTheme="minorEastAsia" w:hAnsi="Calibri" w:cs="Calibri"/>
                <w:i/>
                <w:iCs/>
                <w:color w:val="FFFFFF"/>
                <w:sz w:val="19"/>
                <w:lang w:eastAsia="en-AU"/>
              </w:rPr>
              <w:t>estimate</w:t>
            </w:r>
          </w:p>
        </w:tc>
        <w:tc>
          <w:tcPr>
            <w:tcW w:w="873" w:type="dxa"/>
            <w:tcBorders>
              <w:top w:val="nil"/>
              <w:left w:val="nil"/>
              <w:right w:val="nil"/>
            </w:tcBorders>
            <w:shd w:val="solid" w:color="000000" w:fill="auto"/>
          </w:tcPr>
          <w:p w:rsidR="00965D85" w:rsidRPr="001E7FA9" w:rsidRDefault="00965D85" w:rsidP="008B46DF">
            <w:pPr>
              <w:autoSpaceDE w:val="0"/>
              <w:autoSpaceDN w:val="0"/>
              <w:adjustRightInd w:val="0"/>
              <w:spacing w:after="0"/>
              <w:jc w:val="right"/>
              <w:rPr>
                <w:rFonts w:ascii="Calibri" w:eastAsiaTheme="minorEastAsia" w:hAnsi="Calibri" w:cs="Calibri"/>
                <w:i/>
                <w:iCs/>
                <w:color w:val="FFFFFF"/>
                <w:sz w:val="19"/>
                <w:lang w:eastAsia="en-AU"/>
              </w:rPr>
            </w:pPr>
            <w:r w:rsidRPr="001E7FA9">
              <w:rPr>
                <w:rFonts w:ascii="Calibri" w:eastAsiaTheme="minorEastAsia" w:hAnsi="Calibri" w:cs="Calibri"/>
                <w:i/>
                <w:iCs/>
                <w:color w:val="FFFFFF"/>
                <w:sz w:val="19"/>
                <w:lang w:eastAsia="en-AU"/>
              </w:rPr>
              <w:t>2018</w:t>
            </w:r>
            <w:r>
              <w:rPr>
                <w:rFonts w:ascii="Calibri" w:eastAsiaTheme="minorEastAsia" w:hAnsi="Calibri" w:cs="Calibri"/>
                <w:i/>
                <w:iCs/>
                <w:color w:val="FFFFFF"/>
                <w:sz w:val="19"/>
                <w:lang w:eastAsia="en-AU"/>
              </w:rPr>
              <w:noBreakHyphen/>
            </w:r>
            <w:r w:rsidRPr="001E7FA9">
              <w:rPr>
                <w:rFonts w:ascii="Calibri" w:eastAsiaTheme="minorEastAsia" w:hAnsi="Calibri" w:cs="Calibri"/>
                <w:i/>
                <w:iCs/>
                <w:color w:val="FFFFFF"/>
                <w:sz w:val="19"/>
                <w:lang w:eastAsia="en-AU"/>
              </w:rPr>
              <w:t>19</w:t>
            </w:r>
          </w:p>
          <w:p w:rsidR="00965D85" w:rsidRPr="001E7FA9" w:rsidRDefault="00965D85" w:rsidP="008B46DF">
            <w:pPr>
              <w:autoSpaceDE w:val="0"/>
              <w:autoSpaceDN w:val="0"/>
              <w:adjustRightInd w:val="0"/>
              <w:spacing w:after="0"/>
              <w:jc w:val="right"/>
              <w:rPr>
                <w:rFonts w:ascii="Calibri" w:eastAsiaTheme="minorEastAsia" w:hAnsi="Calibri" w:cs="Calibri"/>
                <w:i/>
                <w:iCs/>
                <w:color w:val="FFFFFF"/>
                <w:sz w:val="19"/>
                <w:lang w:eastAsia="en-AU"/>
              </w:rPr>
            </w:pPr>
            <w:r w:rsidRPr="001E7FA9">
              <w:rPr>
                <w:rFonts w:ascii="Calibri" w:eastAsiaTheme="minorEastAsia" w:hAnsi="Calibri" w:cs="Calibri"/>
                <w:i/>
                <w:iCs/>
                <w:color w:val="FFFFFF"/>
                <w:sz w:val="19"/>
                <w:lang w:eastAsia="en-AU"/>
              </w:rPr>
              <w:t>estimate</w:t>
            </w:r>
          </w:p>
        </w:tc>
      </w:tr>
      <w:tr w:rsidR="00965D85" w:rsidRPr="001E7FA9" w:rsidTr="008B46DF">
        <w:tc>
          <w:tcPr>
            <w:tcW w:w="5245" w:type="dxa"/>
            <w:gridSpan w:val="4"/>
            <w:tcBorders>
              <w:top w:val="single" w:sz="4" w:space="0" w:color="auto"/>
              <w:left w:val="nil"/>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b/>
                <w:bCs/>
                <w:color w:val="000000"/>
                <w:sz w:val="19"/>
                <w:lang w:eastAsia="en-AU"/>
              </w:rPr>
            </w:pPr>
            <w:r w:rsidRPr="001E7FA9">
              <w:rPr>
                <w:rFonts w:ascii="Calibri" w:eastAsiaTheme="minorEastAsia" w:hAnsi="Calibri" w:cs="Calibri"/>
                <w:b/>
                <w:bCs/>
                <w:color w:val="000000"/>
                <w:sz w:val="19"/>
                <w:lang w:eastAsia="en-AU"/>
              </w:rPr>
              <w:t>Items that may be reclassified subsequently to net result</w:t>
            </w:r>
          </w:p>
        </w:tc>
        <w:tc>
          <w:tcPr>
            <w:tcW w:w="284" w:type="dxa"/>
            <w:tcBorders>
              <w:top w:val="single" w:sz="4" w:space="0" w:color="auto"/>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256" w:type="dxa"/>
            <w:tcBorders>
              <w:top w:val="single" w:sz="4" w:space="0" w:color="auto"/>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236" w:type="dxa"/>
            <w:tcBorders>
              <w:top w:val="single" w:sz="4" w:space="0" w:color="auto"/>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873" w:type="dxa"/>
            <w:tcBorders>
              <w:top w:val="single" w:sz="4" w:space="0" w:color="auto"/>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873" w:type="dxa"/>
            <w:tcBorders>
              <w:top w:val="single" w:sz="4" w:space="0" w:color="auto"/>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r>
      <w:tr w:rsidR="00965D85" w:rsidRPr="001E7FA9" w:rsidTr="008B46DF">
        <w:tc>
          <w:tcPr>
            <w:tcW w:w="3402" w:type="dxa"/>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Net gain/(loss) on financial assets at fair value</w:t>
            </w:r>
          </w:p>
        </w:tc>
        <w:tc>
          <w:tcPr>
            <w:tcW w:w="873" w:type="dxa"/>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27.2</w:t>
            </w:r>
          </w:p>
        </w:tc>
        <w:tc>
          <w:tcPr>
            <w:tcW w:w="873" w:type="dxa"/>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21.3</w:t>
            </w:r>
          </w:p>
        </w:tc>
        <w:tc>
          <w:tcPr>
            <w:tcW w:w="873" w:type="dxa"/>
            <w:gridSpan w:val="4"/>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(1.2)</w:t>
            </w:r>
          </w:p>
        </w:tc>
        <w:tc>
          <w:tcPr>
            <w:tcW w:w="873" w:type="dxa"/>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(0.5)</w:t>
            </w:r>
          </w:p>
        </w:tc>
        <w:tc>
          <w:tcPr>
            <w:tcW w:w="873" w:type="dxa"/>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(2.7)</w:t>
            </w:r>
          </w:p>
        </w:tc>
      </w:tr>
      <w:tr w:rsidR="00965D85" w:rsidRPr="001E7FA9" w:rsidTr="008B46DF">
        <w:tc>
          <w:tcPr>
            <w:tcW w:w="3402" w:type="dxa"/>
            <w:tcBorders>
              <w:top w:val="single" w:sz="6" w:space="0" w:color="000000"/>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b/>
                <w:bCs/>
                <w:color w:val="000000"/>
                <w:sz w:val="19"/>
                <w:lang w:eastAsia="en-AU"/>
              </w:rPr>
            </w:pPr>
            <w:r w:rsidRPr="001E7FA9">
              <w:rPr>
                <w:rFonts w:ascii="Calibri" w:eastAsiaTheme="minorEastAsia" w:hAnsi="Calibri" w:cs="Calibri"/>
                <w:b/>
                <w:bCs/>
                <w:color w:val="000000"/>
                <w:sz w:val="19"/>
                <w:lang w:eastAsia="en-AU"/>
              </w:rPr>
              <w:t>Total other economic flows – other comprehensive income</w:t>
            </w:r>
          </w:p>
        </w:tc>
        <w:tc>
          <w:tcPr>
            <w:tcW w:w="873" w:type="dxa"/>
            <w:tcBorders>
              <w:top w:val="single" w:sz="6" w:space="0" w:color="000000"/>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19"/>
                <w:lang w:eastAsia="en-AU"/>
              </w:rPr>
            </w:pPr>
            <w:r w:rsidRPr="001E7FA9">
              <w:rPr>
                <w:rFonts w:ascii="Calibri" w:eastAsiaTheme="minorEastAsia" w:hAnsi="Calibri" w:cs="Calibri"/>
                <w:b/>
                <w:bCs/>
                <w:color w:val="000000"/>
                <w:sz w:val="19"/>
                <w:lang w:eastAsia="en-AU"/>
              </w:rPr>
              <w:t>1 436.9</w:t>
            </w:r>
          </w:p>
        </w:tc>
        <w:tc>
          <w:tcPr>
            <w:tcW w:w="873" w:type="dxa"/>
            <w:tcBorders>
              <w:top w:val="single" w:sz="6" w:space="0" w:color="000000"/>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19"/>
                <w:lang w:eastAsia="en-AU"/>
              </w:rPr>
            </w:pPr>
            <w:r w:rsidRPr="001E7FA9">
              <w:rPr>
                <w:rFonts w:ascii="Calibri" w:eastAsiaTheme="minorEastAsia" w:hAnsi="Calibri" w:cs="Calibri"/>
                <w:b/>
                <w:bCs/>
                <w:color w:val="000000"/>
                <w:sz w:val="19"/>
                <w:lang w:eastAsia="en-AU"/>
              </w:rPr>
              <w:t>1 036.3</w:t>
            </w:r>
          </w:p>
        </w:tc>
        <w:tc>
          <w:tcPr>
            <w:tcW w:w="873" w:type="dxa"/>
            <w:gridSpan w:val="4"/>
            <w:tcBorders>
              <w:top w:val="single" w:sz="6" w:space="0" w:color="000000"/>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19"/>
                <w:lang w:eastAsia="en-AU"/>
              </w:rPr>
              <w:t>(51.8)</w:t>
            </w:r>
          </w:p>
        </w:tc>
        <w:tc>
          <w:tcPr>
            <w:tcW w:w="873" w:type="dxa"/>
            <w:tcBorders>
              <w:top w:val="single" w:sz="6" w:space="0" w:color="000000"/>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19"/>
                <w:lang w:eastAsia="en-AU"/>
              </w:rPr>
              <w:t>(24.0)</w:t>
            </w:r>
          </w:p>
        </w:tc>
        <w:tc>
          <w:tcPr>
            <w:tcW w:w="873" w:type="dxa"/>
            <w:tcBorders>
              <w:top w:val="single" w:sz="6" w:space="0" w:color="000000"/>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19"/>
                <w:lang w:eastAsia="en-AU"/>
              </w:rPr>
              <w:t>(21.7)</w:t>
            </w:r>
          </w:p>
        </w:tc>
      </w:tr>
      <w:tr w:rsidR="00965D85" w:rsidRPr="001E7FA9" w:rsidTr="008B46DF">
        <w:tc>
          <w:tcPr>
            <w:tcW w:w="3402" w:type="dxa"/>
            <w:tcBorders>
              <w:top w:val="single" w:sz="6" w:space="0" w:color="000000"/>
              <w:left w:val="nil"/>
              <w:bottom w:val="single" w:sz="12" w:space="0" w:color="000000"/>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b/>
                <w:bCs/>
                <w:color w:val="000000"/>
                <w:sz w:val="19"/>
                <w:lang w:eastAsia="en-AU"/>
              </w:rPr>
            </w:pPr>
            <w:r w:rsidRPr="001E7FA9">
              <w:rPr>
                <w:rFonts w:ascii="Calibri" w:eastAsiaTheme="minorEastAsia" w:hAnsi="Calibri" w:cs="Calibri"/>
                <w:b/>
                <w:bCs/>
                <w:color w:val="000000"/>
                <w:sz w:val="19"/>
                <w:lang w:eastAsia="en-AU"/>
              </w:rPr>
              <w:t>Comprehensive result – total change in net worth</w:t>
            </w:r>
          </w:p>
        </w:tc>
        <w:tc>
          <w:tcPr>
            <w:tcW w:w="873" w:type="dxa"/>
            <w:tcBorders>
              <w:top w:val="single" w:sz="6" w:space="0" w:color="000000"/>
              <w:left w:val="nil"/>
              <w:bottom w:val="single" w:sz="12"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19"/>
                <w:lang w:eastAsia="en-AU"/>
              </w:rPr>
            </w:pPr>
            <w:r w:rsidRPr="001E7FA9">
              <w:rPr>
                <w:rFonts w:ascii="Calibri" w:eastAsiaTheme="minorEastAsia" w:hAnsi="Calibri" w:cs="Calibri"/>
                <w:b/>
                <w:bCs/>
                <w:color w:val="000000"/>
                <w:sz w:val="19"/>
                <w:lang w:eastAsia="en-AU"/>
              </w:rPr>
              <w:t>5 529.5</w:t>
            </w:r>
          </w:p>
        </w:tc>
        <w:tc>
          <w:tcPr>
            <w:tcW w:w="873" w:type="dxa"/>
            <w:tcBorders>
              <w:top w:val="single" w:sz="6" w:space="0" w:color="000000"/>
              <w:left w:val="nil"/>
              <w:bottom w:val="single" w:sz="12"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19"/>
                <w:lang w:eastAsia="en-AU"/>
              </w:rPr>
            </w:pPr>
            <w:r w:rsidRPr="001E7FA9">
              <w:rPr>
                <w:rFonts w:ascii="Calibri" w:eastAsiaTheme="minorEastAsia" w:hAnsi="Calibri" w:cs="Calibri"/>
                <w:b/>
                <w:bCs/>
                <w:color w:val="000000"/>
                <w:sz w:val="19"/>
                <w:lang w:eastAsia="en-AU"/>
              </w:rPr>
              <w:t>4 565.7</w:t>
            </w:r>
          </w:p>
        </w:tc>
        <w:tc>
          <w:tcPr>
            <w:tcW w:w="873" w:type="dxa"/>
            <w:gridSpan w:val="4"/>
            <w:tcBorders>
              <w:top w:val="single" w:sz="6" w:space="0" w:color="000000"/>
              <w:left w:val="nil"/>
              <w:bottom w:val="single" w:sz="12"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19"/>
                <w:lang w:eastAsia="en-AU"/>
              </w:rPr>
              <w:t>(248.7)</w:t>
            </w:r>
          </w:p>
        </w:tc>
        <w:tc>
          <w:tcPr>
            <w:tcW w:w="873" w:type="dxa"/>
            <w:tcBorders>
              <w:top w:val="single" w:sz="6" w:space="0" w:color="000000"/>
              <w:left w:val="nil"/>
              <w:bottom w:val="single" w:sz="12"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19"/>
                <w:lang w:eastAsia="en-AU"/>
              </w:rPr>
              <w:t>(164.8)</w:t>
            </w:r>
          </w:p>
        </w:tc>
        <w:tc>
          <w:tcPr>
            <w:tcW w:w="873" w:type="dxa"/>
            <w:tcBorders>
              <w:top w:val="single" w:sz="6" w:space="0" w:color="000000"/>
              <w:left w:val="nil"/>
              <w:bottom w:val="single" w:sz="12"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19"/>
                <w:lang w:eastAsia="en-AU"/>
              </w:rPr>
              <w:t>(78.9)</w:t>
            </w:r>
          </w:p>
        </w:tc>
      </w:tr>
      <w:tr w:rsidR="00965D85" w:rsidRPr="001E7FA9" w:rsidTr="008B46DF">
        <w:trPr>
          <w:trHeight w:hRule="exact" w:val="120"/>
        </w:trPr>
        <w:tc>
          <w:tcPr>
            <w:tcW w:w="3402" w:type="dxa"/>
            <w:tcBorders>
              <w:top w:val="single" w:sz="12" w:space="0" w:color="000000"/>
              <w:left w:val="nil"/>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 xml:space="preserve"> </w:t>
            </w:r>
          </w:p>
        </w:tc>
        <w:tc>
          <w:tcPr>
            <w:tcW w:w="873" w:type="dxa"/>
            <w:tcBorders>
              <w:top w:val="single" w:sz="12" w:space="0" w:color="000000"/>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p>
        </w:tc>
        <w:tc>
          <w:tcPr>
            <w:tcW w:w="873" w:type="dxa"/>
            <w:tcBorders>
              <w:top w:val="single" w:sz="12" w:space="0" w:color="000000"/>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p>
        </w:tc>
        <w:tc>
          <w:tcPr>
            <w:tcW w:w="873" w:type="dxa"/>
            <w:gridSpan w:val="4"/>
            <w:tcBorders>
              <w:top w:val="single" w:sz="12" w:space="0" w:color="000000"/>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p>
        </w:tc>
        <w:tc>
          <w:tcPr>
            <w:tcW w:w="873" w:type="dxa"/>
            <w:tcBorders>
              <w:top w:val="single" w:sz="12" w:space="0" w:color="000000"/>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p>
        </w:tc>
        <w:tc>
          <w:tcPr>
            <w:tcW w:w="873" w:type="dxa"/>
            <w:tcBorders>
              <w:top w:val="single" w:sz="12" w:space="0" w:color="000000"/>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p>
        </w:tc>
      </w:tr>
      <w:tr w:rsidR="00965D85" w:rsidRPr="001E7FA9" w:rsidTr="008B46DF">
        <w:tc>
          <w:tcPr>
            <w:tcW w:w="3402" w:type="dxa"/>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b/>
                <w:bCs/>
                <w:color w:val="000000"/>
                <w:sz w:val="19"/>
                <w:lang w:eastAsia="en-AU"/>
              </w:rPr>
            </w:pPr>
            <w:r w:rsidRPr="001E7FA9">
              <w:rPr>
                <w:rFonts w:ascii="Calibri" w:eastAsiaTheme="minorEastAsia" w:hAnsi="Calibri" w:cs="Calibri"/>
                <w:b/>
                <w:bCs/>
                <w:color w:val="000000"/>
                <w:sz w:val="19"/>
                <w:lang w:eastAsia="en-AU"/>
              </w:rPr>
              <w:t>KEY FISCAL AGGREGATES</w:t>
            </w:r>
          </w:p>
        </w:tc>
        <w:tc>
          <w:tcPr>
            <w:tcW w:w="873"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873"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873" w:type="dxa"/>
            <w:gridSpan w:val="4"/>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873"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873"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r>
      <w:tr w:rsidR="00965D85" w:rsidRPr="001E7FA9" w:rsidTr="008B46DF">
        <w:tc>
          <w:tcPr>
            <w:tcW w:w="3402" w:type="dxa"/>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b/>
                <w:bCs/>
                <w:color w:val="000000"/>
                <w:sz w:val="19"/>
                <w:lang w:eastAsia="en-AU"/>
              </w:rPr>
            </w:pPr>
            <w:r w:rsidRPr="001E7FA9">
              <w:rPr>
                <w:rFonts w:ascii="Calibri" w:eastAsiaTheme="minorEastAsia" w:hAnsi="Calibri" w:cs="Calibri"/>
                <w:b/>
                <w:bCs/>
                <w:color w:val="000000"/>
                <w:sz w:val="19"/>
                <w:lang w:eastAsia="en-AU"/>
              </w:rPr>
              <w:t>Net operating balance</w:t>
            </w:r>
          </w:p>
        </w:tc>
        <w:tc>
          <w:tcPr>
            <w:tcW w:w="873"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19"/>
                <w:lang w:eastAsia="en-AU"/>
              </w:rPr>
              <w:t>(523.4)</w:t>
            </w:r>
          </w:p>
        </w:tc>
        <w:tc>
          <w:tcPr>
            <w:tcW w:w="873"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19"/>
                <w:lang w:eastAsia="en-AU"/>
              </w:rPr>
              <w:t>(504.1)</w:t>
            </w:r>
          </w:p>
        </w:tc>
        <w:tc>
          <w:tcPr>
            <w:tcW w:w="873" w:type="dxa"/>
            <w:gridSpan w:val="4"/>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19"/>
                <w:lang w:eastAsia="en-AU"/>
              </w:rPr>
              <w:t>(397.7)</w:t>
            </w:r>
          </w:p>
        </w:tc>
        <w:tc>
          <w:tcPr>
            <w:tcW w:w="873"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19"/>
                <w:lang w:eastAsia="en-AU"/>
              </w:rPr>
              <w:t>(327.1)</w:t>
            </w:r>
          </w:p>
        </w:tc>
        <w:tc>
          <w:tcPr>
            <w:tcW w:w="873"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19"/>
                <w:lang w:eastAsia="en-AU"/>
              </w:rPr>
              <w:t>(243.0)</w:t>
            </w:r>
          </w:p>
        </w:tc>
      </w:tr>
      <w:tr w:rsidR="00965D85" w:rsidRPr="001E7FA9" w:rsidTr="008B46DF">
        <w:tc>
          <w:tcPr>
            <w:tcW w:w="3402" w:type="dxa"/>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color w:val="000000"/>
                <w:sz w:val="20"/>
                <w:vertAlign w:val="superscript"/>
                <w:lang w:eastAsia="en-AU"/>
              </w:rPr>
            </w:pPr>
            <w:r w:rsidRPr="001E7FA9">
              <w:rPr>
                <w:rFonts w:ascii="Calibri" w:eastAsiaTheme="minorEastAsia" w:hAnsi="Calibri" w:cs="Calibri"/>
                <w:color w:val="000000"/>
                <w:sz w:val="19"/>
                <w:lang w:eastAsia="en-AU"/>
              </w:rPr>
              <w:t>Less: Net acquisition of non</w:t>
            </w:r>
            <w:r>
              <w:rPr>
                <w:rFonts w:ascii="Calibri" w:eastAsiaTheme="minorEastAsia" w:hAnsi="Calibri" w:cs="Calibri"/>
                <w:color w:val="000000"/>
                <w:sz w:val="19"/>
                <w:lang w:eastAsia="en-AU"/>
              </w:rPr>
              <w:noBreakHyphen/>
            </w:r>
            <w:r w:rsidRPr="001E7FA9">
              <w:rPr>
                <w:rFonts w:ascii="Calibri" w:eastAsiaTheme="minorEastAsia" w:hAnsi="Calibri" w:cs="Calibri"/>
                <w:color w:val="000000"/>
                <w:sz w:val="19"/>
                <w:lang w:eastAsia="en-AU"/>
              </w:rPr>
              <w:t>financial assets from transactions</w:t>
            </w:r>
            <w:r w:rsidRPr="001E7FA9">
              <w:rPr>
                <w:rFonts w:ascii="Calibri" w:eastAsiaTheme="minorEastAsia" w:hAnsi="Calibri" w:cs="Calibri"/>
                <w:color w:val="000000"/>
                <w:sz w:val="19"/>
                <w:vertAlign w:val="superscript"/>
                <w:lang w:eastAsia="en-AU"/>
              </w:rPr>
              <w:t xml:space="preserve"> (b)</w:t>
            </w:r>
          </w:p>
        </w:tc>
        <w:tc>
          <w:tcPr>
            <w:tcW w:w="873" w:type="dxa"/>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(5 153.1)</w:t>
            </w:r>
          </w:p>
        </w:tc>
        <w:tc>
          <w:tcPr>
            <w:tcW w:w="873" w:type="dxa"/>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(5 390.3)</w:t>
            </w:r>
          </w:p>
        </w:tc>
        <w:tc>
          <w:tcPr>
            <w:tcW w:w="873" w:type="dxa"/>
            <w:gridSpan w:val="4"/>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1 776.8</w:t>
            </w:r>
          </w:p>
        </w:tc>
        <w:tc>
          <w:tcPr>
            <w:tcW w:w="873" w:type="dxa"/>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1 957.1</w:t>
            </w:r>
          </w:p>
        </w:tc>
        <w:tc>
          <w:tcPr>
            <w:tcW w:w="873" w:type="dxa"/>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2 284.9</w:t>
            </w:r>
          </w:p>
        </w:tc>
      </w:tr>
      <w:tr w:rsidR="00965D85" w:rsidRPr="001E7FA9" w:rsidTr="008B46DF">
        <w:tc>
          <w:tcPr>
            <w:tcW w:w="3402" w:type="dxa"/>
            <w:tcBorders>
              <w:top w:val="single" w:sz="6" w:space="0" w:color="000000"/>
              <w:left w:val="nil"/>
              <w:bottom w:val="single" w:sz="12" w:space="0" w:color="auto"/>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b/>
                <w:bCs/>
                <w:color w:val="000000"/>
                <w:sz w:val="20"/>
                <w:vertAlign w:val="superscript"/>
                <w:lang w:eastAsia="en-AU"/>
              </w:rPr>
            </w:pPr>
            <w:r w:rsidRPr="001E7FA9">
              <w:rPr>
                <w:rFonts w:ascii="Calibri" w:eastAsiaTheme="minorEastAsia" w:hAnsi="Calibri" w:cs="Calibri"/>
                <w:b/>
                <w:bCs/>
                <w:color w:val="000000"/>
                <w:sz w:val="19"/>
                <w:lang w:eastAsia="en-AU"/>
              </w:rPr>
              <w:t>Net lending/(borrowing)</w:t>
            </w:r>
            <w:r w:rsidRPr="001E7FA9">
              <w:rPr>
                <w:rFonts w:ascii="Calibri" w:eastAsiaTheme="minorEastAsia" w:hAnsi="Calibri" w:cs="Calibri"/>
                <w:b/>
                <w:bCs/>
                <w:color w:val="000000"/>
                <w:sz w:val="19"/>
                <w:vertAlign w:val="superscript"/>
                <w:lang w:eastAsia="en-AU"/>
              </w:rPr>
              <w:t xml:space="preserve"> (b)</w:t>
            </w:r>
          </w:p>
        </w:tc>
        <w:tc>
          <w:tcPr>
            <w:tcW w:w="873" w:type="dxa"/>
            <w:tcBorders>
              <w:top w:val="single" w:sz="6" w:space="0" w:color="000000"/>
              <w:left w:val="nil"/>
              <w:bottom w:val="single" w:sz="12" w:space="0" w:color="auto"/>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19"/>
                <w:lang w:eastAsia="en-AU"/>
              </w:rPr>
            </w:pPr>
            <w:r w:rsidRPr="001E7FA9">
              <w:rPr>
                <w:rFonts w:ascii="Calibri" w:eastAsiaTheme="minorEastAsia" w:hAnsi="Calibri" w:cs="Calibri"/>
                <w:b/>
                <w:bCs/>
                <w:color w:val="000000"/>
                <w:sz w:val="19"/>
                <w:lang w:eastAsia="en-AU"/>
              </w:rPr>
              <w:t>4 629.7</w:t>
            </w:r>
          </w:p>
        </w:tc>
        <w:tc>
          <w:tcPr>
            <w:tcW w:w="873" w:type="dxa"/>
            <w:tcBorders>
              <w:top w:val="single" w:sz="6" w:space="0" w:color="000000"/>
              <w:left w:val="nil"/>
              <w:bottom w:val="single" w:sz="12" w:space="0" w:color="auto"/>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19"/>
                <w:lang w:eastAsia="en-AU"/>
              </w:rPr>
            </w:pPr>
            <w:r w:rsidRPr="001E7FA9">
              <w:rPr>
                <w:rFonts w:ascii="Calibri" w:eastAsiaTheme="minorEastAsia" w:hAnsi="Calibri" w:cs="Calibri"/>
                <w:b/>
                <w:bCs/>
                <w:color w:val="000000"/>
                <w:sz w:val="19"/>
                <w:lang w:eastAsia="en-AU"/>
              </w:rPr>
              <w:t>4 886.2</w:t>
            </w:r>
          </w:p>
        </w:tc>
        <w:tc>
          <w:tcPr>
            <w:tcW w:w="873" w:type="dxa"/>
            <w:gridSpan w:val="4"/>
            <w:tcBorders>
              <w:top w:val="single" w:sz="6" w:space="0" w:color="000000"/>
              <w:left w:val="nil"/>
              <w:bottom w:val="single" w:sz="12" w:space="0" w:color="auto"/>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19"/>
                <w:lang w:eastAsia="en-AU"/>
              </w:rPr>
              <w:t>(2 174.5)</w:t>
            </w:r>
          </w:p>
        </w:tc>
        <w:tc>
          <w:tcPr>
            <w:tcW w:w="873" w:type="dxa"/>
            <w:tcBorders>
              <w:top w:val="single" w:sz="6" w:space="0" w:color="000000"/>
              <w:left w:val="nil"/>
              <w:bottom w:val="single" w:sz="12" w:space="0" w:color="auto"/>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19"/>
                <w:lang w:eastAsia="en-AU"/>
              </w:rPr>
              <w:t>(2 284.2)</w:t>
            </w:r>
          </w:p>
        </w:tc>
        <w:tc>
          <w:tcPr>
            <w:tcW w:w="873" w:type="dxa"/>
            <w:tcBorders>
              <w:top w:val="single" w:sz="6" w:space="0" w:color="000000"/>
              <w:left w:val="nil"/>
              <w:bottom w:val="single" w:sz="12" w:space="0" w:color="auto"/>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19"/>
                <w:lang w:eastAsia="en-AU"/>
              </w:rPr>
              <w:t>(2 527.9)</w:t>
            </w:r>
          </w:p>
        </w:tc>
      </w:tr>
      <w:tr w:rsidR="00965D85" w:rsidRPr="001E7FA9" w:rsidTr="008B46DF">
        <w:tc>
          <w:tcPr>
            <w:tcW w:w="7767" w:type="dxa"/>
            <w:gridSpan w:val="9"/>
            <w:tcBorders>
              <w:top w:val="single" w:sz="12" w:space="0" w:color="auto"/>
              <w:left w:val="nil"/>
              <w:bottom w:val="nil"/>
              <w:right w:val="nil"/>
            </w:tcBorders>
            <w:shd w:val="clear" w:color="auto" w:fill="auto"/>
          </w:tcPr>
          <w:p w:rsidR="00965D85" w:rsidRPr="001E7FA9" w:rsidRDefault="00965D85" w:rsidP="008B46DF">
            <w:pPr>
              <w:pStyle w:val="Source"/>
              <w:rPr>
                <w:rFonts w:eastAsiaTheme="minorEastAsia"/>
                <w:lang w:eastAsia="en-AU"/>
              </w:rPr>
            </w:pPr>
            <w:r w:rsidRPr="001E7FA9">
              <w:rPr>
                <w:rFonts w:eastAsiaTheme="minorEastAsia"/>
                <w:lang w:eastAsia="en-AU"/>
              </w:rPr>
              <w:t>Source: Department of Treasury and Finance</w:t>
            </w:r>
          </w:p>
        </w:tc>
      </w:tr>
    </w:tbl>
    <w:p w:rsidR="00965D85" w:rsidRPr="00936B85" w:rsidRDefault="00965D85" w:rsidP="008B46DF">
      <w:pPr>
        <w:pStyle w:val="Notes"/>
      </w:pPr>
      <w:r w:rsidRPr="00936B85">
        <w:t>Note</w:t>
      </w:r>
      <w:r>
        <w:t>s</w:t>
      </w:r>
      <w:r w:rsidRPr="00936B85">
        <w:t>:</w:t>
      </w:r>
    </w:p>
    <w:p w:rsidR="00965D85" w:rsidRDefault="00965D85" w:rsidP="008B46DF">
      <w:pPr>
        <w:pStyle w:val="Notes"/>
      </w:pPr>
      <w:r w:rsidRPr="00936B85">
        <w:t>(a)</w:t>
      </w:r>
      <w:r w:rsidRPr="00936B85">
        <w:tab/>
        <w:t>Certain line items have been aggregated in the table above due to commercial sensitivities of balances.</w:t>
      </w:r>
    </w:p>
    <w:p w:rsidR="00965D85" w:rsidRPr="000E2577" w:rsidRDefault="00965D85" w:rsidP="008B46DF">
      <w:pPr>
        <w:pStyle w:val="Notes"/>
      </w:pPr>
      <w:r w:rsidRPr="000E2577">
        <w:t>(b)</w:t>
      </w:r>
      <w:r w:rsidRPr="000E2577">
        <w:tab/>
      </w:r>
      <w:r w:rsidRPr="006660F6">
        <w:rPr>
          <w:i w:val="0"/>
        </w:rPr>
        <w:t>2015</w:t>
      </w:r>
      <w:r>
        <w:rPr>
          <w:i w:val="0"/>
        </w:rPr>
        <w:noBreakHyphen/>
      </w:r>
      <w:r w:rsidRPr="006660F6">
        <w:rPr>
          <w:i w:val="0"/>
        </w:rPr>
        <w:t>16 Budget</w:t>
      </w:r>
      <w:r w:rsidRPr="000E2577">
        <w:t xml:space="preserve"> figures have been restated to reflect more current information.</w:t>
      </w:r>
    </w:p>
    <w:p w:rsidR="00965D85" w:rsidRDefault="00965D85" w:rsidP="008B46DF">
      <w:pPr>
        <w:rPr>
          <w:rFonts w:eastAsiaTheme="minorEastAsia"/>
          <w:lang w:eastAsia="en-AU"/>
        </w:rPr>
      </w:pPr>
    </w:p>
    <w:p w:rsidR="00965D85" w:rsidRDefault="00965D85" w:rsidP="008B46DF">
      <w:pPr>
        <w:rPr>
          <w:rFonts w:eastAsiaTheme="minorEastAsia"/>
          <w:lang w:eastAsia="en-AU"/>
        </w:rPr>
      </w:pPr>
    </w:p>
    <w:p w:rsidR="00965D85" w:rsidRDefault="00965D85">
      <w:pPr>
        <w:spacing w:after="0"/>
        <w:rPr>
          <w:rFonts w:ascii="Calibri" w:eastAsiaTheme="minorEastAsia" w:hAnsi="Calibri"/>
          <w:b/>
          <w:lang w:eastAsia="en-AU"/>
        </w:rPr>
      </w:pPr>
      <w:r>
        <w:rPr>
          <w:rFonts w:eastAsiaTheme="minorEastAsia"/>
          <w:lang w:eastAsia="en-AU"/>
        </w:rPr>
        <w:br w:type="page"/>
      </w:r>
    </w:p>
    <w:p w:rsidR="00965D85" w:rsidRPr="001E7FA9" w:rsidRDefault="00965D85" w:rsidP="008B46DF">
      <w:pPr>
        <w:pStyle w:val="Tableheading"/>
        <w:rPr>
          <w:rFonts w:ascii="Times New Roman" w:hAnsi="Times New Roman"/>
          <w:sz w:val="20"/>
          <w:lang w:eastAsia="en-AU"/>
        </w:rPr>
      </w:pPr>
      <w:r>
        <w:rPr>
          <w:rFonts w:eastAsiaTheme="minorEastAsia"/>
          <w:lang w:eastAsia="en-AU"/>
        </w:rPr>
        <w:lastRenderedPageBreak/>
        <w:t>Table 5.2:</w:t>
      </w:r>
      <w:r>
        <w:rPr>
          <w:rFonts w:eastAsiaTheme="minorEastAsia"/>
          <w:lang w:eastAsia="en-AU"/>
        </w:rPr>
        <w:tab/>
        <w:t>Public non</w:t>
      </w:r>
      <w:r>
        <w:rPr>
          <w:rFonts w:eastAsiaTheme="minorEastAsia"/>
          <w:lang w:eastAsia="en-AU"/>
        </w:rPr>
        <w:noBreakHyphen/>
        <w:t>financial corporations sector balance sheet as at 30 June</w:t>
      </w:r>
      <w:r>
        <w:rPr>
          <w:lang w:eastAsia="en-AU"/>
        </w:rPr>
        <w:t xml:space="preserve"> </w:t>
      </w:r>
    </w:p>
    <w:tbl>
      <w:tblPr>
        <w:tblW w:w="7767" w:type="dxa"/>
        <w:tblInd w:w="28" w:type="dxa"/>
        <w:tblLayout w:type="fixed"/>
        <w:tblCellMar>
          <w:left w:w="28" w:type="dxa"/>
          <w:right w:w="28" w:type="dxa"/>
        </w:tblCellMar>
        <w:tblLook w:val="0000" w:firstRow="0" w:lastRow="0" w:firstColumn="0" w:lastColumn="0" w:noHBand="0" w:noVBand="0"/>
      </w:tblPr>
      <w:tblGrid>
        <w:gridCol w:w="2977"/>
        <w:gridCol w:w="958"/>
        <w:gridCol w:w="958"/>
        <w:gridCol w:w="958"/>
        <w:gridCol w:w="958"/>
        <w:gridCol w:w="958"/>
      </w:tblGrid>
      <w:tr w:rsidR="00965D85" w:rsidRPr="001E7FA9" w:rsidTr="008B46DF">
        <w:trPr>
          <w:tblHeader/>
        </w:trPr>
        <w:tc>
          <w:tcPr>
            <w:tcW w:w="7767" w:type="dxa"/>
            <w:gridSpan w:val="6"/>
            <w:tcBorders>
              <w:top w:val="nil"/>
              <w:left w:val="nil"/>
              <w:bottom w:val="nil"/>
              <w:right w:val="nil"/>
            </w:tcBorders>
          </w:tcPr>
          <w:p w:rsidR="00965D85" w:rsidRPr="001E7FA9" w:rsidRDefault="00965D85" w:rsidP="008B46DF">
            <w:pPr>
              <w:pStyle w:val="million"/>
              <w:rPr>
                <w:rFonts w:eastAsiaTheme="minorEastAsia" w:cs="Calibri"/>
                <w:iCs/>
                <w:color w:val="000000"/>
                <w:sz w:val="20"/>
                <w:lang w:eastAsia="en-AU"/>
              </w:rPr>
            </w:pPr>
            <w:r w:rsidRPr="001E7FA9">
              <w:rPr>
                <w:rFonts w:eastAsiaTheme="minorEastAsia"/>
                <w:lang w:eastAsia="en-AU"/>
              </w:rPr>
              <w:t>($ million</w:t>
            </w:r>
            <w:r w:rsidRPr="001E7FA9">
              <w:rPr>
                <w:rFonts w:eastAsiaTheme="minorEastAsia" w:cs="Calibri"/>
                <w:iCs/>
                <w:color w:val="000000"/>
                <w:sz w:val="20"/>
                <w:lang w:eastAsia="en-AU"/>
              </w:rPr>
              <w:t>)</w:t>
            </w:r>
          </w:p>
        </w:tc>
      </w:tr>
      <w:tr w:rsidR="00965D85" w:rsidRPr="001E7FA9" w:rsidTr="008B46DF">
        <w:trPr>
          <w:trHeight w:val="464"/>
          <w:tblHeader/>
        </w:trPr>
        <w:tc>
          <w:tcPr>
            <w:tcW w:w="2977" w:type="dxa"/>
            <w:tcBorders>
              <w:top w:val="nil"/>
              <w:left w:val="nil"/>
              <w:right w:val="nil"/>
            </w:tcBorders>
            <w:shd w:val="solid" w:color="000000" w:fill="auto"/>
          </w:tcPr>
          <w:p w:rsidR="00965D85" w:rsidRPr="001E7FA9" w:rsidRDefault="00965D85" w:rsidP="008B46DF">
            <w:pPr>
              <w:autoSpaceDE w:val="0"/>
              <w:autoSpaceDN w:val="0"/>
              <w:adjustRightInd w:val="0"/>
              <w:spacing w:after="0"/>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 xml:space="preserve"> </w:t>
            </w:r>
          </w:p>
          <w:p w:rsidR="00965D85" w:rsidRPr="001E7FA9" w:rsidRDefault="00965D85" w:rsidP="008B46DF">
            <w:pPr>
              <w:autoSpaceDE w:val="0"/>
              <w:autoSpaceDN w:val="0"/>
              <w:adjustRightInd w:val="0"/>
              <w:spacing w:after="0"/>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 xml:space="preserve"> </w:t>
            </w:r>
          </w:p>
        </w:tc>
        <w:tc>
          <w:tcPr>
            <w:tcW w:w="958" w:type="dxa"/>
            <w:tcBorders>
              <w:top w:val="nil"/>
              <w:left w:val="nil"/>
              <w:right w:val="nil"/>
            </w:tcBorders>
            <w:shd w:val="solid" w:color="000000" w:fill="auto"/>
          </w:tcPr>
          <w:p w:rsidR="00965D85" w:rsidRPr="001E7FA9" w:rsidRDefault="00965D85" w:rsidP="008B46DF">
            <w:pPr>
              <w:autoSpaceDE w:val="0"/>
              <w:autoSpaceDN w:val="0"/>
              <w:adjustRightInd w:val="0"/>
              <w:spacing w:after="0"/>
              <w:jc w:val="right"/>
              <w:rPr>
                <w:rFonts w:ascii="Calibri" w:eastAsiaTheme="minorEastAsia" w:hAnsi="Calibri" w:cs="Calibri"/>
                <w:i/>
                <w:iCs/>
                <w:color w:val="FFFFFF"/>
                <w:sz w:val="19"/>
                <w:lang w:eastAsia="en-AU"/>
              </w:rPr>
            </w:pPr>
            <w:r w:rsidRPr="001E7FA9">
              <w:rPr>
                <w:rFonts w:ascii="Calibri" w:eastAsiaTheme="minorEastAsia" w:hAnsi="Calibri" w:cs="Calibri"/>
                <w:i/>
                <w:iCs/>
                <w:color w:val="FFFFFF"/>
                <w:sz w:val="19"/>
                <w:lang w:eastAsia="en-AU"/>
              </w:rPr>
              <w:t>2016</w:t>
            </w:r>
          </w:p>
          <w:p w:rsidR="00965D85" w:rsidRPr="001E7FA9" w:rsidRDefault="00965D85" w:rsidP="008B46DF">
            <w:pPr>
              <w:autoSpaceDE w:val="0"/>
              <w:autoSpaceDN w:val="0"/>
              <w:adjustRightInd w:val="0"/>
              <w:spacing w:after="0"/>
              <w:jc w:val="right"/>
              <w:rPr>
                <w:rFonts w:ascii="Calibri" w:eastAsiaTheme="minorEastAsia" w:hAnsi="Calibri" w:cs="Calibri"/>
                <w:i/>
                <w:iCs/>
                <w:color w:val="FFFFFF"/>
                <w:sz w:val="19"/>
                <w:lang w:eastAsia="en-AU"/>
              </w:rPr>
            </w:pPr>
            <w:r w:rsidRPr="001E7FA9">
              <w:rPr>
                <w:rFonts w:ascii="Calibri" w:eastAsiaTheme="minorEastAsia" w:hAnsi="Calibri" w:cs="Calibri"/>
                <w:i/>
                <w:iCs/>
                <w:color w:val="FFFFFF"/>
                <w:sz w:val="19"/>
                <w:lang w:eastAsia="en-AU"/>
              </w:rPr>
              <w:t>budget</w:t>
            </w:r>
            <w:r w:rsidRPr="001E7FA9">
              <w:rPr>
                <w:rFonts w:ascii="Calibri" w:eastAsiaTheme="minorEastAsia" w:hAnsi="Calibri" w:cs="Calibri"/>
                <w:i/>
                <w:iCs/>
                <w:color w:val="FFFFFF"/>
                <w:sz w:val="19"/>
                <w:vertAlign w:val="superscript"/>
                <w:lang w:eastAsia="en-AU"/>
              </w:rPr>
              <w:t xml:space="preserve"> (a)</w:t>
            </w:r>
          </w:p>
        </w:tc>
        <w:tc>
          <w:tcPr>
            <w:tcW w:w="958" w:type="dxa"/>
            <w:tcBorders>
              <w:top w:val="nil"/>
              <w:left w:val="nil"/>
              <w:right w:val="nil"/>
            </w:tcBorders>
            <w:shd w:val="solid" w:color="000000" w:fill="auto"/>
          </w:tcPr>
          <w:p w:rsidR="00965D85" w:rsidRPr="001E7FA9" w:rsidRDefault="00965D85" w:rsidP="008B46DF">
            <w:pPr>
              <w:autoSpaceDE w:val="0"/>
              <w:autoSpaceDN w:val="0"/>
              <w:adjustRightInd w:val="0"/>
              <w:spacing w:after="0"/>
              <w:jc w:val="right"/>
              <w:rPr>
                <w:rFonts w:ascii="Calibri" w:eastAsiaTheme="minorEastAsia" w:hAnsi="Calibri" w:cs="Calibri"/>
                <w:i/>
                <w:iCs/>
                <w:color w:val="FFFFFF"/>
                <w:sz w:val="19"/>
                <w:lang w:eastAsia="en-AU"/>
              </w:rPr>
            </w:pPr>
            <w:r w:rsidRPr="001E7FA9">
              <w:rPr>
                <w:rFonts w:ascii="Calibri" w:eastAsiaTheme="minorEastAsia" w:hAnsi="Calibri" w:cs="Calibri"/>
                <w:i/>
                <w:iCs/>
                <w:color w:val="FFFFFF"/>
                <w:sz w:val="19"/>
                <w:lang w:eastAsia="en-AU"/>
              </w:rPr>
              <w:t>2016</w:t>
            </w:r>
          </w:p>
          <w:p w:rsidR="00965D85" w:rsidRPr="001E7FA9" w:rsidRDefault="00965D85" w:rsidP="008B46DF">
            <w:pPr>
              <w:autoSpaceDE w:val="0"/>
              <w:autoSpaceDN w:val="0"/>
              <w:adjustRightInd w:val="0"/>
              <w:spacing w:after="0"/>
              <w:jc w:val="right"/>
              <w:rPr>
                <w:rFonts w:ascii="Calibri" w:eastAsiaTheme="minorEastAsia" w:hAnsi="Calibri" w:cs="Calibri"/>
                <w:i/>
                <w:iCs/>
                <w:color w:val="FFFFFF"/>
                <w:sz w:val="19"/>
                <w:lang w:eastAsia="en-AU"/>
              </w:rPr>
            </w:pPr>
            <w:r w:rsidRPr="001E7FA9">
              <w:rPr>
                <w:rFonts w:ascii="Calibri" w:eastAsiaTheme="minorEastAsia" w:hAnsi="Calibri" w:cs="Calibri"/>
                <w:i/>
                <w:iCs/>
                <w:color w:val="FFFFFF"/>
                <w:sz w:val="19"/>
                <w:lang w:eastAsia="en-AU"/>
              </w:rPr>
              <w:t>revised</w:t>
            </w:r>
          </w:p>
        </w:tc>
        <w:tc>
          <w:tcPr>
            <w:tcW w:w="958" w:type="dxa"/>
            <w:tcBorders>
              <w:top w:val="nil"/>
              <w:left w:val="nil"/>
              <w:right w:val="nil"/>
            </w:tcBorders>
            <w:shd w:val="solid" w:color="000000" w:fill="auto"/>
          </w:tcPr>
          <w:p w:rsidR="00965D85" w:rsidRPr="001E7FA9" w:rsidRDefault="00965D85" w:rsidP="008B46DF">
            <w:pPr>
              <w:autoSpaceDE w:val="0"/>
              <w:autoSpaceDN w:val="0"/>
              <w:adjustRightInd w:val="0"/>
              <w:spacing w:after="0"/>
              <w:jc w:val="right"/>
              <w:rPr>
                <w:rFonts w:ascii="Calibri" w:eastAsiaTheme="minorEastAsia" w:hAnsi="Calibri" w:cs="Calibri"/>
                <w:i/>
                <w:iCs/>
                <w:color w:val="FFFFFF"/>
                <w:sz w:val="19"/>
                <w:lang w:eastAsia="en-AU"/>
              </w:rPr>
            </w:pPr>
            <w:r w:rsidRPr="001E7FA9">
              <w:rPr>
                <w:rFonts w:ascii="Calibri" w:eastAsiaTheme="minorEastAsia" w:hAnsi="Calibri" w:cs="Calibri"/>
                <w:i/>
                <w:iCs/>
                <w:color w:val="FFFFFF"/>
                <w:sz w:val="19"/>
                <w:lang w:eastAsia="en-AU"/>
              </w:rPr>
              <w:t>2017</w:t>
            </w:r>
          </w:p>
          <w:p w:rsidR="00965D85" w:rsidRPr="001E7FA9" w:rsidRDefault="00965D85" w:rsidP="008B46DF">
            <w:pPr>
              <w:autoSpaceDE w:val="0"/>
              <w:autoSpaceDN w:val="0"/>
              <w:adjustRightInd w:val="0"/>
              <w:spacing w:after="0"/>
              <w:jc w:val="right"/>
              <w:rPr>
                <w:rFonts w:ascii="Calibri" w:eastAsiaTheme="minorEastAsia" w:hAnsi="Calibri" w:cs="Calibri"/>
                <w:i/>
                <w:iCs/>
                <w:color w:val="FFFFFF"/>
                <w:sz w:val="19"/>
                <w:lang w:eastAsia="en-AU"/>
              </w:rPr>
            </w:pPr>
            <w:r w:rsidRPr="001E7FA9">
              <w:rPr>
                <w:rFonts w:ascii="Calibri" w:eastAsiaTheme="minorEastAsia" w:hAnsi="Calibri" w:cs="Calibri"/>
                <w:i/>
                <w:iCs/>
                <w:color w:val="FFFFFF"/>
                <w:sz w:val="19"/>
                <w:lang w:eastAsia="en-AU"/>
              </w:rPr>
              <w:t>estimate</w:t>
            </w:r>
          </w:p>
        </w:tc>
        <w:tc>
          <w:tcPr>
            <w:tcW w:w="958" w:type="dxa"/>
            <w:tcBorders>
              <w:top w:val="nil"/>
              <w:left w:val="nil"/>
              <w:right w:val="nil"/>
            </w:tcBorders>
            <w:shd w:val="solid" w:color="000000" w:fill="auto"/>
          </w:tcPr>
          <w:p w:rsidR="00965D85" w:rsidRPr="001E7FA9" w:rsidRDefault="00965D85" w:rsidP="008B46DF">
            <w:pPr>
              <w:autoSpaceDE w:val="0"/>
              <w:autoSpaceDN w:val="0"/>
              <w:adjustRightInd w:val="0"/>
              <w:spacing w:after="0"/>
              <w:jc w:val="right"/>
              <w:rPr>
                <w:rFonts w:ascii="Calibri" w:eastAsiaTheme="minorEastAsia" w:hAnsi="Calibri" w:cs="Calibri"/>
                <w:i/>
                <w:iCs/>
                <w:color w:val="FFFFFF"/>
                <w:sz w:val="19"/>
                <w:lang w:eastAsia="en-AU"/>
              </w:rPr>
            </w:pPr>
            <w:r w:rsidRPr="001E7FA9">
              <w:rPr>
                <w:rFonts w:ascii="Calibri" w:eastAsiaTheme="minorEastAsia" w:hAnsi="Calibri" w:cs="Calibri"/>
                <w:i/>
                <w:iCs/>
                <w:color w:val="FFFFFF"/>
                <w:sz w:val="19"/>
                <w:lang w:eastAsia="en-AU"/>
              </w:rPr>
              <w:t>2018</w:t>
            </w:r>
          </w:p>
          <w:p w:rsidR="00965D85" w:rsidRPr="001E7FA9" w:rsidRDefault="00965D85" w:rsidP="008B46DF">
            <w:pPr>
              <w:autoSpaceDE w:val="0"/>
              <w:autoSpaceDN w:val="0"/>
              <w:adjustRightInd w:val="0"/>
              <w:spacing w:after="0"/>
              <w:jc w:val="right"/>
              <w:rPr>
                <w:rFonts w:ascii="Calibri" w:eastAsiaTheme="minorEastAsia" w:hAnsi="Calibri" w:cs="Calibri"/>
                <w:i/>
                <w:iCs/>
                <w:color w:val="FFFFFF"/>
                <w:sz w:val="19"/>
                <w:lang w:eastAsia="en-AU"/>
              </w:rPr>
            </w:pPr>
            <w:r w:rsidRPr="001E7FA9">
              <w:rPr>
                <w:rFonts w:ascii="Calibri" w:eastAsiaTheme="minorEastAsia" w:hAnsi="Calibri" w:cs="Calibri"/>
                <w:i/>
                <w:iCs/>
                <w:color w:val="FFFFFF"/>
                <w:sz w:val="19"/>
                <w:lang w:eastAsia="en-AU"/>
              </w:rPr>
              <w:t>estimate</w:t>
            </w:r>
          </w:p>
        </w:tc>
        <w:tc>
          <w:tcPr>
            <w:tcW w:w="958" w:type="dxa"/>
            <w:tcBorders>
              <w:top w:val="nil"/>
              <w:left w:val="nil"/>
              <w:right w:val="nil"/>
            </w:tcBorders>
            <w:shd w:val="solid" w:color="000000" w:fill="auto"/>
          </w:tcPr>
          <w:p w:rsidR="00965D85" w:rsidRPr="001E7FA9" w:rsidRDefault="00965D85" w:rsidP="008B46DF">
            <w:pPr>
              <w:autoSpaceDE w:val="0"/>
              <w:autoSpaceDN w:val="0"/>
              <w:adjustRightInd w:val="0"/>
              <w:spacing w:after="0"/>
              <w:jc w:val="right"/>
              <w:rPr>
                <w:rFonts w:ascii="Calibri" w:eastAsiaTheme="minorEastAsia" w:hAnsi="Calibri" w:cs="Calibri"/>
                <w:i/>
                <w:iCs/>
                <w:color w:val="FFFFFF"/>
                <w:sz w:val="19"/>
                <w:lang w:eastAsia="en-AU"/>
              </w:rPr>
            </w:pPr>
            <w:r w:rsidRPr="001E7FA9">
              <w:rPr>
                <w:rFonts w:ascii="Calibri" w:eastAsiaTheme="minorEastAsia" w:hAnsi="Calibri" w:cs="Calibri"/>
                <w:i/>
                <w:iCs/>
                <w:color w:val="FFFFFF"/>
                <w:sz w:val="19"/>
                <w:lang w:eastAsia="en-AU"/>
              </w:rPr>
              <w:t>2019</w:t>
            </w:r>
          </w:p>
          <w:p w:rsidR="00965D85" w:rsidRPr="001E7FA9" w:rsidRDefault="00965D85" w:rsidP="008B46DF">
            <w:pPr>
              <w:autoSpaceDE w:val="0"/>
              <w:autoSpaceDN w:val="0"/>
              <w:adjustRightInd w:val="0"/>
              <w:spacing w:after="0"/>
              <w:jc w:val="right"/>
              <w:rPr>
                <w:rFonts w:ascii="Calibri" w:eastAsiaTheme="minorEastAsia" w:hAnsi="Calibri" w:cs="Calibri"/>
                <w:i/>
                <w:iCs/>
                <w:color w:val="FFFFFF"/>
                <w:sz w:val="19"/>
                <w:lang w:eastAsia="en-AU"/>
              </w:rPr>
            </w:pPr>
            <w:r w:rsidRPr="001E7FA9">
              <w:rPr>
                <w:rFonts w:ascii="Calibri" w:eastAsiaTheme="minorEastAsia" w:hAnsi="Calibri" w:cs="Calibri"/>
                <w:i/>
                <w:iCs/>
                <w:color w:val="FFFFFF"/>
                <w:sz w:val="19"/>
                <w:lang w:eastAsia="en-AU"/>
              </w:rPr>
              <w:t>estimate</w:t>
            </w:r>
          </w:p>
        </w:tc>
      </w:tr>
      <w:tr w:rsidR="00965D85" w:rsidRPr="001E7FA9" w:rsidTr="008B46DF">
        <w:tc>
          <w:tcPr>
            <w:tcW w:w="2977" w:type="dxa"/>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b/>
                <w:bCs/>
                <w:color w:val="000000"/>
                <w:sz w:val="19"/>
                <w:lang w:eastAsia="en-AU"/>
              </w:rPr>
            </w:pPr>
            <w:r w:rsidRPr="001E7FA9">
              <w:rPr>
                <w:rFonts w:ascii="Calibri" w:eastAsiaTheme="minorEastAsia" w:hAnsi="Calibri" w:cs="Calibri"/>
                <w:b/>
                <w:bCs/>
                <w:color w:val="000000"/>
                <w:sz w:val="19"/>
                <w:lang w:eastAsia="en-AU"/>
              </w:rPr>
              <w:t>Assets</w:t>
            </w:r>
          </w:p>
        </w:tc>
        <w:tc>
          <w:tcPr>
            <w:tcW w:w="958"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958"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958"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958"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958"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r>
      <w:tr w:rsidR="00965D85" w:rsidRPr="001E7FA9" w:rsidTr="008B46DF">
        <w:tc>
          <w:tcPr>
            <w:tcW w:w="2977" w:type="dxa"/>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b/>
                <w:bCs/>
                <w:color w:val="000000"/>
                <w:sz w:val="19"/>
                <w:lang w:eastAsia="en-AU"/>
              </w:rPr>
            </w:pPr>
            <w:r w:rsidRPr="001E7FA9">
              <w:rPr>
                <w:rFonts w:ascii="Calibri" w:eastAsiaTheme="minorEastAsia" w:hAnsi="Calibri" w:cs="Calibri"/>
                <w:b/>
                <w:bCs/>
                <w:color w:val="000000"/>
                <w:sz w:val="19"/>
                <w:lang w:eastAsia="en-AU"/>
              </w:rPr>
              <w:t>Financial assets</w:t>
            </w:r>
          </w:p>
        </w:tc>
        <w:tc>
          <w:tcPr>
            <w:tcW w:w="958"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958"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958"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958"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958"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r>
      <w:tr w:rsidR="00965D85" w:rsidRPr="001E7FA9" w:rsidTr="008B46DF">
        <w:tc>
          <w:tcPr>
            <w:tcW w:w="2977" w:type="dxa"/>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Cash and deposits</w:t>
            </w:r>
          </w:p>
        </w:tc>
        <w:tc>
          <w:tcPr>
            <w:tcW w:w="958"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983.1</w:t>
            </w:r>
          </w:p>
        </w:tc>
        <w:tc>
          <w:tcPr>
            <w:tcW w:w="958"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692.0</w:t>
            </w:r>
          </w:p>
        </w:tc>
        <w:tc>
          <w:tcPr>
            <w:tcW w:w="958"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625.5</w:t>
            </w:r>
          </w:p>
        </w:tc>
        <w:tc>
          <w:tcPr>
            <w:tcW w:w="958"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489.9</w:t>
            </w:r>
          </w:p>
        </w:tc>
        <w:tc>
          <w:tcPr>
            <w:tcW w:w="958"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460.7</w:t>
            </w:r>
          </w:p>
        </w:tc>
      </w:tr>
      <w:tr w:rsidR="00965D85" w:rsidRPr="001E7FA9" w:rsidTr="008B46DF">
        <w:tc>
          <w:tcPr>
            <w:tcW w:w="2977" w:type="dxa"/>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Advances paid</w:t>
            </w:r>
          </w:p>
        </w:tc>
        <w:tc>
          <w:tcPr>
            <w:tcW w:w="958"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50.2</w:t>
            </w:r>
          </w:p>
        </w:tc>
        <w:tc>
          <w:tcPr>
            <w:tcW w:w="958"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56.9</w:t>
            </w:r>
          </w:p>
        </w:tc>
        <w:tc>
          <w:tcPr>
            <w:tcW w:w="958"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53.3</w:t>
            </w:r>
          </w:p>
        </w:tc>
        <w:tc>
          <w:tcPr>
            <w:tcW w:w="958"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51.3</w:t>
            </w:r>
          </w:p>
        </w:tc>
        <w:tc>
          <w:tcPr>
            <w:tcW w:w="958"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50.5</w:t>
            </w:r>
          </w:p>
        </w:tc>
      </w:tr>
      <w:tr w:rsidR="00965D85" w:rsidRPr="001E7FA9" w:rsidTr="008B46DF">
        <w:tc>
          <w:tcPr>
            <w:tcW w:w="2977" w:type="dxa"/>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Receivables</w:t>
            </w:r>
          </w:p>
        </w:tc>
        <w:tc>
          <w:tcPr>
            <w:tcW w:w="958"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1 180.7</w:t>
            </w:r>
          </w:p>
        </w:tc>
        <w:tc>
          <w:tcPr>
            <w:tcW w:w="958"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1 170.6</w:t>
            </w:r>
          </w:p>
        </w:tc>
        <w:tc>
          <w:tcPr>
            <w:tcW w:w="958"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19"/>
                <w:lang w:eastAsia="en-AU"/>
              </w:rPr>
              <w:t xml:space="preserve">1 </w:t>
            </w:r>
            <w:r w:rsidRPr="001E7FA9">
              <w:rPr>
                <w:rFonts w:ascii="Calibri" w:eastAsiaTheme="minorEastAsia" w:hAnsi="Calibri" w:cs="Calibri"/>
                <w:color w:val="000000"/>
                <w:sz w:val="20"/>
                <w:lang w:eastAsia="en-AU"/>
              </w:rPr>
              <w:t>195.8</w:t>
            </w:r>
          </w:p>
        </w:tc>
        <w:tc>
          <w:tcPr>
            <w:tcW w:w="958"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19"/>
                <w:lang w:eastAsia="en-AU"/>
              </w:rPr>
              <w:t xml:space="preserve">1 </w:t>
            </w:r>
            <w:r w:rsidRPr="001E7FA9">
              <w:rPr>
                <w:rFonts w:ascii="Calibri" w:eastAsiaTheme="minorEastAsia" w:hAnsi="Calibri" w:cs="Calibri"/>
                <w:color w:val="000000"/>
                <w:sz w:val="20"/>
                <w:lang w:eastAsia="en-AU"/>
              </w:rPr>
              <w:t>255.7</w:t>
            </w:r>
          </w:p>
        </w:tc>
        <w:tc>
          <w:tcPr>
            <w:tcW w:w="958"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19"/>
                <w:lang w:eastAsia="en-AU"/>
              </w:rPr>
              <w:t xml:space="preserve">1 </w:t>
            </w:r>
            <w:r w:rsidRPr="001E7FA9">
              <w:rPr>
                <w:rFonts w:ascii="Calibri" w:eastAsiaTheme="minorEastAsia" w:hAnsi="Calibri" w:cs="Calibri"/>
                <w:color w:val="000000"/>
                <w:sz w:val="20"/>
                <w:lang w:eastAsia="en-AU"/>
              </w:rPr>
              <w:t>256.8</w:t>
            </w:r>
          </w:p>
        </w:tc>
      </w:tr>
      <w:tr w:rsidR="00965D85" w:rsidRPr="001E7FA9" w:rsidTr="008B46DF">
        <w:tc>
          <w:tcPr>
            <w:tcW w:w="2977" w:type="dxa"/>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Investments, loans and placements</w:t>
            </w:r>
          </w:p>
        </w:tc>
        <w:tc>
          <w:tcPr>
            <w:tcW w:w="958"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1 078.3</w:t>
            </w:r>
          </w:p>
        </w:tc>
        <w:tc>
          <w:tcPr>
            <w:tcW w:w="958"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924.7</w:t>
            </w:r>
          </w:p>
        </w:tc>
        <w:tc>
          <w:tcPr>
            <w:tcW w:w="958"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690.7</w:t>
            </w:r>
          </w:p>
        </w:tc>
        <w:tc>
          <w:tcPr>
            <w:tcW w:w="958"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673.8</w:t>
            </w:r>
          </w:p>
        </w:tc>
        <w:tc>
          <w:tcPr>
            <w:tcW w:w="958"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691.6</w:t>
            </w:r>
          </w:p>
        </w:tc>
      </w:tr>
      <w:tr w:rsidR="00965D85" w:rsidRPr="001E7FA9" w:rsidTr="008B46DF">
        <w:tc>
          <w:tcPr>
            <w:tcW w:w="2977" w:type="dxa"/>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Investments accounted for using equity method</w:t>
            </w:r>
          </w:p>
        </w:tc>
        <w:tc>
          <w:tcPr>
            <w:tcW w:w="958" w:type="dxa"/>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1 564.9</w:t>
            </w:r>
          </w:p>
        </w:tc>
        <w:tc>
          <w:tcPr>
            <w:tcW w:w="958" w:type="dxa"/>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1 564.9</w:t>
            </w:r>
          </w:p>
        </w:tc>
        <w:tc>
          <w:tcPr>
            <w:tcW w:w="958" w:type="dxa"/>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1 567.9</w:t>
            </w:r>
          </w:p>
        </w:tc>
        <w:tc>
          <w:tcPr>
            <w:tcW w:w="958" w:type="dxa"/>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1 572.0</w:t>
            </w:r>
          </w:p>
        </w:tc>
        <w:tc>
          <w:tcPr>
            <w:tcW w:w="958" w:type="dxa"/>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1 577.5</w:t>
            </w:r>
          </w:p>
        </w:tc>
      </w:tr>
      <w:tr w:rsidR="00965D85" w:rsidRPr="001E7FA9" w:rsidTr="008B46DF">
        <w:tc>
          <w:tcPr>
            <w:tcW w:w="2977" w:type="dxa"/>
            <w:tcBorders>
              <w:top w:val="single" w:sz="6" w:space="0" w:color="000000"/>
              <w:left w:val="nil"/>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b/>
                <w:bCs/>
                <w:color w:val="000000"/>
                <w:sz w:val="19"/>
                <w:lang w:eastAsia="en-AU"/>
              </w:rPr>
            </w:pPr>
            <w:r w:rsidRPr="001E7FA9">
              <w:rPr>
                <w:rFonts w:ascii="Calibri" w:eastAsiaTheme="minorEastAsia" w:hAnsi="Calibri" w:cs="Calibri"/>
                <w:b/>
                <w:bCs/>
                <w:color w:val="000000"/>
                <w:sz w:val="19"/>
                <w:lang w:eastAsia="en-AU"/>
              </w:rPr>
              <w:t>Total financial assets</w:t>
            </w:r>
          </w:p>
        </w:tc>
        <w:tc>
          <w:tcPr>
            <w:tcW w:w="958" w:type="dxa"/>
            <w:tcBorders>
              <w:top w:val="single" w:sz="6" w:space="0" w:color="000000"/>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19"/>
                <w:lang w:eastAsia="en-AU"/>
              </w:rPr>
            </w:pPr>
            <w:r w:rsidRPr="001E7FA9">
              <w:rPr>
                <w:rFonts w:ascii="Calibri" w:eastAsiaTheme="minorEastAsia" w:hAnsi="Calibri" w:cs="Calibri"/>
                <w:b/>
                <w:bCs/>
                <w:color w:val="000000"/>
                <w:sz w:val="19"/>
                <w:lang w:eastAsia="en-AU"/>
              </w:rPr>
              <w:t>4 857.1</w:t>
            </w:r>
          </w:p>
        </w:tc>
        <w:tc>
          <w:tcPr>
            <w:tcW w:w="958" w:type="dxa"/>
            <w:tcBorders>
              <w:top w:val="single" w:sz="6" w:space="0" w:color="000000"/>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19"/>
                <w:lang w:eastAsia="en-AU"/>
              </w:rPr>
            </w:pPr>
            <w:r w:rsidRPr="001E7FA9">
              <w:rPr>
                <w:rFonts w:ascii="Calibri" w:eastAsiaTheme="minorEastAsia" w:hAnsi="Calibri" w:cs="Calibri"/>
                <w:b/>
                <w:bCs/>
                <w:color w:val="000000"/>
                <w:sz w:val="19"/>
                <w:lang w:eastAsia="en-AU"/>
              </w:rPr>
              <w:t>4 409.2</w:t>
            </w:r>
          </w:p>
        </w:tc>
        <w:tc>
          <w:tcPr>
            <w:tcW w:w="958" w:type="dxa"/>
            <w:tcBorders>
              <w:top w:val="single" w:sz="6" w:space="0" w:color="000000"/>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19"/>
                <w:lang w:eastAsia="en-AU"/>
              </w:rPr>
            </w:pPr>
            <w:r w:rsidRPr="001E7FA9">
              <w:rPr>
                <w:rFonts w:ascii="Calibri" w:eastAsiaTheme="minorEastAsia" w:hAnsi="Calibri" w:cs="Calibri"/>
                <w:b/>
                <w:bCs/>
                <w:color w:val="000000"/>
                <w:sz w:val="19"/>
                <w:lang w:eastAsia="en-AU"/>
              </w:rPr>
              <w:t>4 133.1</w:t>
            </w:r>
          </w:p>
        </w:tc>
        <w:tc>
          <w:tcPr>
            <w:tcW w:w="958" w:type="dxa"/>
            <w:tcBorders>
              <w:top w:val="single" w:sz="6" w:space="0" w:color="000000"/>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19"/>
                <w:lang w:eastAsia="en-AU"/>
              </w:rPr>
            </w:pPr>
            <w:r w:rsidRPr="001E7FA9">
              <w:rPr>
                <w:rFonts w:ascii="Calibri" w:eastAsiaTheme="minorEastAsia" w:hAnsi="Calibri" w:cs="Calibri"/>
                <w:b/>
                <w:bCs/>
                <w:color w:val="000000"/>
                <w:sz w:val="19"/>
                <w:lang w:eastAsia="en-AU"/>
              </w:rPr>
              <w:t>4 042.7</w:t>
            </w:r>
          </w:p>
        </w:tc>
        <w:tc>
          <w:tcPr>
            <w:tcW w:w="958" w:type="dxa"/>
            <w:tcBorders>
              <w:top w:val="single" w:sz="6" w:space="0" w:color="000000"/>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19"/>
                <w:lang w:eastAsia="en-AU"/>
              </w:rPr>
            </w:pPr>
            <w:r w:rsidRPr="001E7FA9">
              <w:rPr>
                <w:rFonts w:ascii="Calibri" w:eastAsiaTheme="minorEastAsia" w:hAnsi="Calibri" w:cs="Calibri"/>
                <w:b/>
                <w:bCs/>
                <w:color w:val="000000"/>
                <w:sz w:val="19"/>
                <w:lang w:eastAsia="en-AU"/>
              </w:rPr>
              <w:t>4 037.0</w:t>
            </w:r>
          </w:p>
        </w:tc>
      </w:tr>
      <w:tr w:rsidR="00965D85" w:rsidRPr="001E7FA9" w:rsidTr="008B46DF">
        <w:tc>
          <w:tcPr>
            <w:tcW w:w="2977" w:type="dxa"/>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b/>
                <w:bCs/>
                <w:color w:val="000000"/>
                <w:sz w:val="19"/>
                <w:lang w:eastAsia="en-AU"/>
              </w:rPr>
            </w:pPr>
            <w:r w:rsidRPr="001E7FA9">
              <w:rPr>
                <w:rFonts w:ascii="Calibri" w:eastAsiaTheme="minorEastAsia" w:hAnsi="Calibri" w:cs="Calibri"/>
                <w:b/>
                <w:bCs/>
                <w:color w:val="000000"/>
                <w:sz w:val="19"/>
                <w:lang w:eastAsia="en-AU"/>
              </w:rPr>
              <w:t>Non</w:t>
            </w:r>
            <w:r>
              <w:rPr>
                <w:rFonts w:ascii="Calibri" w:eastAsiaTheme="minorEastAsia" w:hAnsi="Calibri" w:cs="Calibri"/>
                <w:b/>
                <w:bCs/>
                <w:color w:val="000000"/>
                <w:sz w:val="19"/>
                <w:lang w:eastAsia="en-AU"/>
              </w:rPr>
              <w:noBreakHyphen/>
            </w:r>
            <w:r w:rsidRPr="001E7FA9">
              <w:rPr>
                <w:rFonts w:ascii="Calibri" w:eastAsiaTheme="minorEastAsia" w:hAnsi="Calibri" w:cs="Calibri"/>
                <w:b/>
                <w:bCs/>
                <w:color w:val="000000"/>
                <w:sz w:val="19"/>
                <w:lang w:eastAsia="en-AU"/>
              </w:rPr>
              <w:t>financial assets</w:t>
            </w:r>
          </w:p>
        </w:tc>
        <w:tc>
          <w:tcPr>
            <w:tcW w:w="958"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958"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958"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958"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958"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r>
      <w:tr w:rsidR="00965D85" w:rsidRPr="001E7FA9" w:rsidTr="008B46DF">
        <w:tc>
          <w:tcPr>
            <w:tcW w:w="2977" w:type="dxa"/>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Inventories</w:t>
            </w:r>
          </w:p>
        </w:tc>
        <w:tc>
          <w:tcPr>
            <w:tcW w:w="958"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553.2</w:t>
            </w:r>
          </w:p>
        </w:tc>
        <w:tc>
          <w:tcPr>
            <w:tcW w:w="958"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523.9</w:t>
            </w:r>
          </w:p>
        </w:tc>
        <w:tc>
          <w:tcPr>
            <w:tcW w:w="958"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626.9</w:t>
            </w:r>
          </w:p>
        </w:tc>
        <w:tc>
          <w:tcPr>
            <w:tcW w:w="958"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703.5</w:t>
            </w:r>
          </w:p>
        </w:tc>
        <w:tc>
          <w:tcPr>
            <w:tcW w:w="958"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799.2</w:t>
            </w:r>
          </w:p>
        </w:tc>
      </w:tr>
      <w:tr w:rsidR="00965D85" w:rsidRPr="001E7FA9" w:rsidTr="008B46DF">
        <w:tc>
          <w:tcPr>
            <w:tcW w:w="2977" w:type="dxa"/>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Non</w:t>
            </w:r>
            <w:r>
              <w:rPr>
                <w:rFonts w:ascii="Calibri" w:eastAsiaTheme="minorEastAsia" w:hAnsi="Calibri" w:cs="Calibri"/>
                <w:color w:val="000000"/>
                <w:sz w:val="19"/>
                <w:lang w:eastAsia="en-AU"/>
              </w:rPr>
              <w:noBreakHyphen/>
            </w:r>
            <w:r w:rsidRPr="001E7FA9">
              <w:rPr>
                <w:rFonts w:ascii="Calibri" w:eastAsiaTheme="minorEastAsia" w:hAnsi="Calibri" w:cs="Calibri"/>
                <w:color w:val="000000"/>
                <w:sz w:val="19"/>
                <w:lang w:eastAsia="en-AU"/>
              </w:rPr>
              <w:t>financial assets held for sale</w:t>
            </w:r>
          </w:p>
        </w:tc>
        <w:tc>
          <w:tcPr>
            <w:tcW w:w="958"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29.1</w:t>
            </w:r>
          </w:p>
        </w:tc>
        <w:tc>
          <w:tcPr>
            <w:tcW w:w="958"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11.1</w:t>
            </w:r>
          </w:p>
        </w:tc>
        <w:tc>
          <w:tcPr>
            <w:tcW w:w="958"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0.1</w:t>
            </w:r>
          </w:p>
        </w:tc>
        <w:tc>
          <w:tcPr>
            <w:tcW w:w="958"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0.1</w:t>
            </w:r>
          </w:p>
        </w:tc>
        <w:tc>
          <w:tcPr>
            <w:tcW w:w="958"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0.1</w:t>
            </w:r>
          </w:p>
        </w:tc>
      </w:tr>
      <w:tr w:rsidR="00965D85" w:rsidRPr="001E7FA9" w:rsidTr="008B46DF">
        <w:tc>
          <w:tcPr>
            <w:tcW w:w="2977" w:type="dxa"/>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Land, buildings, infrastructure, plant and equipment</w:t>
            </w:r>
          </w:p>
        </w:tc>
        <w:tc>
          <w:tcPr>
            <w:tcW w:w="958"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100 000.0</w:t>
            </w:r>
          </w:p>
        </w:tc>
        <w:tc>
          <w:tcPr>
            <w:tcW w:w="958"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98 089.7</w:t>
            </w:r>
          </w:p>
        </w:tc>
        <w:tc>
          <w:tcPr>
            <w:tcW w:w="958"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99 793.9</w:t>
            </w:r>
          </w:p>
        </w:tc>
        <w:tc>
          <w:tcPr>
            <w:tcW w:w="958"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101 600.0</w:t>
            </w:r>
          </w:p>
        </w:tc>
        <w:tc>
          <w:tcPr>
            <w:tcW w:w="958"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103 720.0</w:t>
            </w:r>
          </w:p>
        </w:tc>
      </w:tr>
      <w:tr w:rsidR="00965D85" w:rsidRPr="001E7FA9" w:rsidTr="008B46DF">
        <w:tc>
          <w:tcPr>
            <w:tcW w:w="2977" w:type="dxa"/>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Other non</w:t>
            </w:r>
            <w:r>
              <w:rPr>
                <w:rFonts w:ascii="Calibri" w:eastAsiaTheme="minorEastAsia" w:hAnsi="Calibri" w:cs="Calibri"/>
                <w:color w:val="000000"/>
                <w:sz w:val="19"/>
                <w:lang w:eastAsia="en-AU"/>
              </w:rPr>
              <w:noBreakHyphen/>
            </w:r>
            <w:r w:rsidRPr="001E7FA9">
              <w:rPr>
                <w:rFonts w:ascii="Calibri" w:eastAsiaTheme="minorEastAsia" w:hAnsi="Calibri" w:cs="Calibri"/>
                <w:color w:val="000000"/>
                <w:sz w:val="19"/>
                <w:lang w:eastAsia="en-AU"/>
              </w:rPr>
              <w:t>financial assets</w:t>
            </w:r>
          </w:p>
        </w:tc>
        <w:tc>
          <w:tcPr>
            <w:tcW w:w="958" w:type="dxa"/>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1 260.4</w:t>
            </w:r>
          </w:p>
        </w:tc>
        <w:tc>
          <w:tcPr>
            <w:tcW w:w="958" w:type="dxa"/>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1 390.2</w:t>
            </w:r>
          </w:p>
        </w:tc>
        <w:tc>
          <w:tcPr>
            <w:tcW w:w="958" w:type="dxa"/>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1 425.9</w:t>
            </w:r>
          </w:p>
        </w:tc>
        <w:tc>
          <w:tcPr>
            <w:tcW w:w="958" w:type="dxa"/>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1 364.7</w:t>
            </w:r>
          </w:p>
        </w:tc>
        <w:tc>
          <w:tcPr>
            <w:tcW w:w="958" w:type="dxa"/>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1 368.3</w:t>
            </w:r>
          </w:p>
        </w:tc>
      </w:tr>
      <w:tr w:rsidR="00965D85" w:rsidRPr="001E7FA9" w:rsidTr="008B46DF">
        <w:tc>
          <w:tcPr>
            <w:tcW w:w="2977" w:type="dxa"/>
            <w:tcBorders>
              <w:top w:val="single" w:sz="6" w:space="0" w:color="000000"/>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b/>
                <w:bCs/>
                <w:color w:val="000000"/>
                <w:sz w:val="19"/>
                <w:lang w:eastAsia="en-AU"/>
              </w:rPr>
            </w:pPr>
            <w:r w:rsidRPr="001E7FA9">
              <w:rPr>
                <w:rFonts w:ascii="Calibri" w:eastAsiaTheme="minorEastAsia" w:hAnsi="Calibri" w:cs="Calibri"/>
                <w:b/>
                <w:bCs/>
                <w:color w:val="000000"/>
                <w:sz w:val="19"/>
                <w:lang w:eastAsia="en-AU"/>
              </w:rPr>
              <w:t>Total non</w:t>
            </w:r>
            <w:r>
              <w:rPr>
                <w:rFonts w:ascii="Calibri" w:eastAsiaTheme="minorEastAsia" w:hAnsi="Calibri" w:cs="Calibri"/>
                <w:b/>
                <w:bCs/>
                <w:color w:val="000000"/>
                <w:sz w:val="19"/>
                <w:lang w:eastAsia="en-AU"/>
              </w:rPr>
              <w:noBreakHyphen/>
            </w:r>
            <w:r w:rsidRPr="001E7FA9">
              <w:rPr>
                <w:rFonts w:ascii="Calibri" w:eastAsiaTheme="minorEastAsia" w:hAnsi="Calibri" w:cs="Calibri"/>
                <w:b/>
                <w:bCs/>
                <w:color w:val="000000"/>
                <w:sz w:val="19"/>
                <w:lang w:eastAsia="en-AU"/>
              </w:rPr>
              <w:t>financial assets</w:t>
            </w:r>
          </w:p>
        </w:tc>
        <w:tc>
          <w:tcPr>
            <w:tcW w:w="958" w:type="dxa"/>
            <w:tcBorders>
              <w:top w:val="single" w:sz="6" w:space="0" w:color="000000"/>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19"/>
                <w:lang w:eastAsia="en-AU"/>
              </w:rPr>
            </w:pPr>
            <w:r w:rsidRPr="001E7FA9">
              <w:rPr>
                <w:rFonts w:ascii="Calibri" w:eastAsiaTheme="minorEastAsia" w:hAnsi="Calibri" w:cs="Calibri"/>
                <w:b/>
                <w:bCs/>
                <w:color w:val="000000"/>
                <w:sz w:val="19"/>
                <w:lang w:eastAsia="en-AU"/>
              </w:rPr>
              <w:t>101 842.7</w:t>
            </w:r>
          </w:p>
        </w:tc>
        <w:tc>
          <w:tcPr>
            <w:tcW w:w="958" w:type="dxa"/>
            <w:tcBorders>
              <w:top w:val="single" w:sz="6" w:space="0" w:color="000000"/>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19"/>
                <w:lang w:eastAsia="en-AU"/>
              </w:rPr>
            </w:pPr>
            <w:r w:rsidRPr="001E7FA9">
              <w:rPr>
                <w:rFonts w:ascii="Calibri" w:eastAsiaTheme="minorEastAsia" w:hAnsi="Calibri" w:cs="Calibri"/>
                <w:b/>
                <w:bCs/>
                <w:color w:val="000000"/>
                <w:sz w:val="19"/>
                <w:lang w:eastAsia="en-AU"/>
              </w:rPr>
              <w:t>100 014.9</w:t>
            </w:r>
          </w:p>
        </w:tc>
        <w:tc>
          <w:tcPr>
            <w:tcW w:w="958" w:type="dxa"/>
            <w:tcBorders>
              <w:top w:val="single" w:sz="6" w:space="0" w:color="000000"/>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19"/>
                <w:lang w:eastAsia="en-AU"/>
              </w:rPr>
            </w:pPr>
            <w:r w:rsidRPr="001E7FA9">
              <w:rPr>
                <w:rFonts w:ascii="Calibri" w:eastAsiaTheme="minorEastAsia" w:hAnsi="Calibri" w:cs="Calibri"/>
                <w:b/>
                <w:bCs/>
                <w:color w:val="000000"/>
                <w:sz w:val="19"/>
                <w:lang w:eastAsia="en-AU"/>
              </w:rPr>
              <w:t>101 846.8</w:t>
            </w:r>
          </w:p>
        </w:tc>
        <w:tc>
          <w:tcPr>
            <w:tcW w:w="958" w:type="dxa"/>
            <w:tcBorders>
              <w:top w:val="single" w:sz="6" w:space="0" w:color="000000"/>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19"/>
                <w:lang w:eastAsia="en-AU"/>
              </w:rPr>
            </w:pPr>
            <w:r w:rsidRPr="001E7FA9">
              <w:rPr>
                <w:rFonts w:ascii="Calibri" w:eastAsiaTheme="minorEastAsia" w:hAnsi="Calibri" w:cs="Calibri"/>
                <w:b/>
                <w:bCs/>
                <w:color w:val="000000"/>
                <w:sz w:val="19"/>
                <w:lang w:eastAsia="en-AU"/>
              </w:rPr>
              <w:t>103 668.2</w:t>
            </w:r>
          </w:p>
        </w:tc>
        <w:tc>
          <w:tcPr>
            <w:tcW w:w="958" w:type="dxa"/>
            <w:tcBorders>
              <w:top w:val="single" w:sz="6" w:space="0" w:color="000000"/>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19"/>
                <w:lang w:eastAsia="en-AU"/>
              </w:rPr>
            </w:pPr>
            <w:r w:rsidRPr="001E7FA9">
              <w:rPr>
                <w:rFonts w:ascii="Calibri" w:eastAsiaTheme="minorEastAsia" w:hAnsi="Calibri" w:cs="Calibri"/>
                <w:b/>
                <w:bCs/>
                <w:color w:val="000000"/>
                <w:sz w:val="19"/>
                <w:lang w:eastAsia="en-AU"/>
              </w:rPr>
              <w:t>105 887.5</w:t>
            </w:r>
          </w:p>
        </w:tc>
      </w:tr>
      <w:tr w:rsidR="00965D85" w:rsidRPr="001E7FA9" w:rsidTr="008B46DF">
        <w:tc>
          <w:tcPr>
            <w:tcW w:w="2977" w:type="dxa"/>
            <w:tcBorders>
              <w:top w:val="single" w:sz="6" w:space="0" w:color="000000"/>
              <w:left w:val="nil"/>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b/>
                <w:bCs/>
                <w:color w:val="000000"/>
                <w:sz w:val="19"/>
                <w:lang w:eastAsia="en-AU"/>
              </w:rPr>
            </w:pPr>
            <w:r w:rsidRPr="001E7FA9">
              <w:rPr>
                <w:rFonts w:ascii="Calibri" w:eastAsiaTheme="minorEastAsia" w:hAnsi="Calibri" w:cs="Calibri"/>
                <w:b/>
                <w:bCs/>
                <w:color w:val="000000"/>
                <w:sz w:val="19"/>
                <w:lang w:eastAsia="en-AU"/>
              </w:rPr>
              <w:t>Total assets</w:t>
            </w:r>
          </w:p>
        </w:tc>
        <w:tc>
          <w:tcPr>
            <w:tcW w:w="958" w:type="dxa"/>
            <w:tcBorders>
              <w:top w:val="single" w:sz="6" w:space="0" w:color="000000"/>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19"/>
                <w:lang w:eastAsia="en-AU"/>
              </w:rPr>
            </w:pPr>
            <w:r w:rsidRPr="001E7FA9">
              <w:rPr>
                <w:rFonts w:ascii="Calibri" w:eastAsiaTheme="minorEastAsia" w:hAnsi="Calibri" w:cs="Calibri"/>
                <w:b/>
                <w:bCs/>
                <w:color w:val="000000"/>
                <w:sz w:val="19"/>
                <w:lang w:eastAsia="en-AU"/>
              </w:rPr>
              <w:t>106 699.9</w:t>
            </w:r>
          </w:p>
        </w:tc>
        <w:tc>
          <w:tcPr>
            <w:tcW w:w="958" w:type="dxa"/>
            <w:tcBorders>
              <w:top w:val="single" w:sz="6" w:space="0" w:color="000000"/>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19"/>
                <w:lang w:eastAsia="en-AU"/>
              </w:rPr>
            </w:pPr>
            <w:r w:rsidRPr="001E7FA9">
              <w:rPr>
                <w:rFonts w:ascii="Calibri" w:eastAsiaTheme="minorEastAsia" w:hAnsi="Calibri" w:cs="Calibri"/>
                <w:b/>
                <w:bCs/>
                <w:color w:val="000000"/>
                <w:sz w:val="19"/>
                <w:lang w:eastAsia="en-AU"/>
              </w:rPr>
              <w:t>104 424.1</w:t>
            </w:r>
          </w:p>
        </w:tc>
        <w:tc>
          <w:tcPr>
            <w:tcW w:w="958" w:type="dxa"/>
            <w:tcBorders>
              <w:top w:val="single" w:sz="6" w:space="0" w:color="000000"/>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19"/>
                <w:lang w:eastAsia="en-AU"/>
              </w:rPr>
            </w:pPr>
            <w:r w:rsidRPr="001E7FA9">
              <w:rPr>
                <w:rFonts w:ascii="Calibri" w:eastAsiaTheme="minorEastAsia" w:hAnsi="Calibri" w:cs="Calibri"/>
                <w:b/>
                <w:bCs/>
                <w:color w:val="000000"/>
                <w:sz w:val="19"/>
                <w:lang w:eastAsia="en-AU"/>
              </w:rPr>
              <w:t>105 979.9</w:t>
            </w:r>
          </w:p>
        </w:tc>
        <w:tc>
          <w:tcPr>
            <w:tcW w:w="958" w:type="dxa"/>
            <w:tcBorders>
              <w:top w:val="single" w:sz="6" w:space="0" w:color="000000"/>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19"/>
                <w:lang w:eastAsia="en-AU"/>
              </w:rPr>
            </w:pPr>
            <w:r w:rsidRPr="001E7FA9">
              <w:rPr>
                <w:rFonts w:ascii="Calibri" w:eastAsiaTheme="minorEastAsia" w:hAnsi="Calibri" w:cs="Calibri"/>
                <w:b/>
                <w:bCs/>
                <w:color w:val="000000"/>
                <w:sz w:val="19"/>
                <w:lang w:eastAsia="en-AU"/>
              </w:rPr>
              <w:t>107 710.9</w:t>
            </w:r>
          </w:p>
        </w:tc>
        <w:tc>
          <w:tcPr>
            <w:tcW w:w="958" w:type="dxa"/>
            <w:tcBorders>
              <w:top w:val="single" w:sz="6" w:space="0" w:color="000000"/>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19"/>
                <w:lang w:eastAsia="en-AU"/>
              </w:rPr>
            </w:pPr>
            <w:r w:rsidRPr="001E7FA9">
              <w:rPr>
                <w:rFonts w:ascii="Calibri" w:eastAsiaTheme="minorEastAsia" w:hAnsi="Calibri" w:cs="Calibri"/>
                <w:b/>
                <w:bCs/>
                <w:color w:val="000000"/>
                <w:sz w:val="19"/>
                <w:lang w:eastAsia="en-AU"/>
              </w:rPr>
              <w:t>109 924.6</w:t>
            </w:r>
          </w:p>
        </w:tc>
      </w:tr>
      <w:tr w:rsidR="00965D85" w:rsidRPr="001E7FA9" w:rsidTr="008B46DF">
        <w:tc>
          <w:tcPr>
            <w:tcW w:w="2977" w:type="dxa"/>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b/>
                <w:bCs/>
                <w:color w:val="000000"/>
                <w:sz w:val="19"/>
                <w:lang w:eastAsia="en-AU"/>
              </w:rPr>
            </w:pPr>
            <w:r w:rsidRPr="001E7FA9">
              <w:rPr>
                <w:rFonts w:ascii="Calibri" w:eastAsiaTheme="minorEastAsia" w:hAnsi="Calibri" w:cs="Calibri"/>
                <w:b/>
                <w:bCs/>
                <w:color w:val="000000"/>
                <w:sz w:val="19"/>
                <w:lang w:eastAsia="en-AU"/>
              </w:rPr>
              <w:t>Liabilities</w:t>
            </w:r>
          </w:p>
        </w:tc>
        <w:tc>
          <w:tcPr>
            <w:tcW w:w="958"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958"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958"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958"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958"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r>
      <w:tr w:rsidR="00965D85" w:rsidRPr="001E7FA9" w:rsidTr="008B46DF">
        <w:tc>
          <w:tcPr>
            <w:tcW w:w="2977" w:type="dxa"/>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Deposits held and advances received</w:t>
            </w:r>
          </w:p>
        </w:tc>
        <w:tc>
          <w:tcPr>
            <w:tcW w:w="958"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426.3</w:t>
            </w:r>
          </w:p>
        </w:tc>
        <w:tc>
          <w:tcPr>
            <w:tcW w:w="958"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428.6</w:t>
            </w:r>
          </w:p>
        </w:tc>
        <w:tc>
          <w:tcPr>
            <w:tcW w:w="958"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428.8</w:t>
            </w:r>
          </w:p>
        </w:tc>
        <w:tc>
          <w:tcPr>
            <w:tcW w:w="958"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428.2</w:t>
            </w:r>
          </w:p>
        </w:tc>
        <w:tc>
          <w:tcPr>
            <w:tcW w:w="958"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428.7</w:t>
            </w:r>
          </w:p>
        </w:tc>
      </w:tr>
      <w:tr w:rsidR="00965D85" w:rsidRPr="001E7FA9" w:rsidTr="008B46DF">
        <w:tc>
          <w:tcPr>
            <w:tcW w:w="2977" w:type="dxa"/>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Payables</w:t>
            </w:r>
          </w:p>
        </w:tc>
        <w:tc>
          <w:tcPr>
            <w:tcW w:w="958"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1 542.5</w:t>
            </w:r>
          </w:p>
        </w:tc>
        <w:tc>
          <w:tcPr>
            <w:tcW w:w="958"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1 467.0</w:t>
            </w:r>
          </w:p>
        </w:tc>
        <w:tc>
          <w:tcPr>
            <w:tcW w:w="958"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1 449.2</w:t>
            </w:r>
          </w:p>
        </w:tc>
        <w:tc>
          <w:tcPr>
            <w:tcW w:w="958"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1 295.8</w:t>
            </w:r>
          </w:p>
        </w:tc>
        <w:tc>
          <w:tcPr>
            <w:tcW w:w="958"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1 282.0</w:t>
            </w:r>
          </w:p>
        </w:tc>
      </w:tr>
      <w:tr w:rsidR="00965D85" w:rsidRPr="001E7FA9" w:rsidTr="008B46DF">
        <w:tc>
          <w:tcPr>
            <w:tcW w:w="2977" w:type="dxa"/>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Borrowings</w:t>
            </w:r>
          </w:p>
        </w:tc>
        <w:tc>
          <w:tcPr>
            <w:tcW w:w="958"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16 560.1</w:t>
            </w:r>
          </w:p>
        </w:tc>
        <w:tc>
          <w:tcPr>
            <w:tcW w:w="958"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16 301.9</w:t>
            </w:r>
          </w:p>
        </w:tc>
        <w:tc>
          <w:tcPr>
            <w:tcW w:w="958"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16 655.4</w:t>
            </w:r>
          </w:p>
        </w:tc>
        <w:tc>
          <w:tcPr>
            <w:tcW w:w="958"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16 927.7</w:t>
            </w:r>
          </w:p>
        </w:tc>
        <w:tc>
          <w:tcPr>
            <w:tcW w:w="958"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17 243.3</w:t>
            </w:r>
          </w:p>
        </w:tc>
      </w:tr>
      <w:tr w:rsidR="00965D85" w:rsidRPr="001E7FA9" w:rsidTr="008B46DF">
        <w:tc>
          <w:tcPr>
            <w:tcW w:w="2977" w:type="dxa"/>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Employee benefits</w:t>
            </w:r>
          </w:p>
        </w:tc>
        <w:tc>
          <w:tcPr>
            <w:tcW w:w="958"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379.0</w:t>
            </w:r>
          </w:p>
        </w:tc>
        <w:tc>
          <w:tcPr>
            <w:tcW w:w="958"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368.5</w:t>
            </w:r>
          </w:p>
        </w:tc>
        <w:tc>
          <w:tcPr>
            <w:tcW w:w="958"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372.2</w:t>
            </w:r>
          </w:p>
        </w:tc>
        <w:tc>
          <w:tcPr>
            <w:tcW w:w="958"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377.0</w:t>
            </w:r>
          </w:p>
        </w:tc>
        <w:tc>
          <w:tcPr>
            <w:tcW w:w="958"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382.6</w:t>
            </w:r>
          </w:p>
        </w:tc>
      </w:tr>
      <w:tr w:rsidR="00965D85" w:rsidRPr="001E7FA9" w:rsidTr="008B46DF">
        <w:tc>
          <w:tcPr>
            <w:tcW w:w="2977" w:type="dxa"/>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Superannuation</w:t>
            </w:r>
          </w:p>
        </w:tc>
        <w:tc>
          <w:tcPr>
            <w:tcW w:w="958"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27.6</w:t>
            </w:r>
          </w:p>
        </w:tc>
        <w:tc>
          <w:tcPr>
            <w:tcW w:w="958"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27.0</w:t>
            </w:r>
          </w:p>
        </w:tc>
        <w:tc>
          <w:tcPr>
            <w:tcW w:w="958"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26.6</w:t>
            </w:r>
          </w:p>
        </w:tc>
        <w:tc>
          <w:tcPr>
            <w:tcW w:w="958"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26.3</w:t>
            </w:r>
          </w:p>
        </w:tc>
        <w:tc>
          <w:tcPr>
            <w:tcW w:w="958"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25.8</w:t>
            </w:r>
          </w:p>
        </w:tc>
      </w:tr>
      <w:tr w:rsidR="00965D85" w:rsidRPr="001E7FA9" w:rsidTr="008B46DF">
        <w:tc>
          <w:tcPr>
            <w:tcW w:w="2977" w:type="dxa"/>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Other provisions</w:t>
            </w:r>
          </w:p>
        </w:tc>
        <w:tc>
          <w:tcPr>
            <w:tcW w:w="958" w:type="dxa"/>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8 636.5</w:t>
            </w:r>
          </w:p>
        </w:tc>
        <w:tc>
          <w:tcPr>
            <w:tcW w:w="958" w:type="dxa"/>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8 236.0</w:t>
            </w:r>
          </w:p>
        </w:tc>
        <w:tc>
          <w:tcPr>
            <w:tcW w:w="958" w:type="dxa"/>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8 135.4</w:t>
            </w:r>
          </w:p>
        </w:tc>
        <w:tc>
          <w:tcPr>
            <w:tcW w:w="958" w:type="dxa"/>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7 919.2</w:t>
            </w:r>
          </w:p>
        </w:tc>
        <w:tc>
          <w:tcPr>
            <w:tcW w:w="958" w:type="dxa"/>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7 718.6</w:t>
            </w:r>
          </w:p>
        </w:tc>
      </w:tr>
      <w:tr w:rsidR="00965D85" w:rsidRPr="001E7FA9" w:rsidTr="008B46DF">
        <w:tc>
          <w:tcPr>
            <w:tcW w:w="2977" w:type="dxa"/>
            <w:tcBorders>
              <w:top w:val="single" w:sz="6" w:space="0" w:color="000000"/>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b/>
                <w:bCs/>
                <w:color w:val="000000"/>
                <w:sz w:val="19"/>
                <w:lang w:eastAsia="en-AU"/>
              </w:rPr>
            </w:pPr>
            <w:r w:rsidRPr="001E7FA9">
              <w:rPr>
                <w:rFonts w:ascii="Calibri" w:eastAsiaTheme="minorEastAsia" w:hAnsi="Calibri" w:cs="Calibri"/>
                <w:b/>
                <w:bCs/>
                <w:color w:val="000000"/>
                <w:sz w:val="19"/>
                <w:lang w:eastAsia="en-AU"/>
              </w:rPr>
              <w:t>Total liabilities</w:t>
            </w:r>
          </w:p>
        </w:tc>
        <w:tc>
          <w:tcPr>
            <w:tcW w:w="958" w:type="dxa"/>
            <w:tcBorders>
              <w:top w:val="single" w:sz="6" w:space="0" w:color="000000"/>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19"/>
                <w:lang w:eastAsia="en-AU"/>
              </w:rPr>
            </w:pPr>
            <w:r w:rsidRPr="001E7FA9">
              <w:rPr>
                <w:rFonts w:ascii="Calibri" w:eastAsiaTheme="minorEastAsia" w:hAnsi="Calibri" w:cs="Calibri"/>
                <w:b/>
                <w:bCs/>
                <w:color w:val="000000"/>
                <w:sz w:val="19"/>
                <w:lang w:eastAsia="en-AU"/>
              </w:rPr>
              <w:t>27 571.9</w:t>
            </w:r>
          </w:p>
        </w:tc>
        <w:tc>
          <w:tcPr>
            <w:tcW w:w="958" w:type="dxa"/>
            <w:tcBorders>
              <w:top w:val="single" w:sz="6" w:space="0" w:color="000000"/>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19"/>
                <w:lang w:eastAsia="en-AU"/>
              </w:rPr>
            </w:pPr>
            <w:r w:rsidRPr="001E7FA9">
              <w:rPr>
                <w:rFonts w:ascii="Calibri" w:eastAsiaTheme="minorEastAsia" w:hAnsi="Calibri" w:cs="Calibri"/>
                <w:b/>
                <w:bCs/>
                <w:color w:val="000000"/>
                <w:sz w:val="19"/>
                <w:lang w:eastAsia="en-AU"/>
              </w:rPr>
              <w:t>26 829.0</w:t>
            </w:r>
          </w:p>
        </w:tc>
        <w:tc>
          <w:tcPr>
            <w:tcW w:w="958" w:type="dxa"/>
            <w:tcBorders>
              <w:top w:val="single" w:sz="6" w:space="0" w:color="000000"/>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19"/>
                <w:lang w:eastAsia="en-AU"/>
              </w:rPr>
            </w:pPr>
            <w:r w:rsidRPr="001E7FA9">
              <w:rPr>
                <w:rFonts w:ascii="Calibri" w:eastAsiaTheme="minorEastAsia" w:hAnsi="Calibri" w:cs="Calibri"/>
                <w:b/>
                <w:bCs/>
                <w:color w:val="000000"/>
                <w:sz w:val="19"/>
                <w:lang w:eastAsia="en-AU"/>
              </w:rPr>
              <w:t>27 067.7</w:t>
            </w:r>
          </w:p>
        </w:tc>
        <w:tc>
          <w:tcPr>
            <w:tcW w:w="958" w:type="dxa"/>
            <w:tcBorders>
              <w:top w:val="single" w:sz="6" w:space="0" w:color="000000"/>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19"/>
                <w:lang w:eastAsia="en-AU"/>
              </w:rPr>
            </w:pPr>
            <w:r w:rsidRPr="001E7FA9">
              <w:rPr>
                <w:rFonts w:ascii="Calibri" w:eastAsiaTheme="minorEastAsia" w:hAnsi="Calibri" w:cs="Calibri"/>
                <w:b/>
                <w:bCs/>
                <w:color w:val="000000"/>
                <w:sz w:val="19"/>
                <w:lang w:eastAsia="en-AU"/>
              </w:rPr>
              <w:t>26 974.2</w:t>
            </w:r>
          </w:p>
        </w:tc>
        <w:tc>
          <w:tcPr>
            <w:tcW w:w="958" w:type="dxa"/>
            <w:tcBorders>
              <w:top w:val="single" w:sz="6" w:space="0" w:color="000000"/>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19"/>
                <w:lang w:eastAsia="en-AU"/>
              </w:rPr>
            </w:pPr>
            <w:r w:rsidRPr="001E7FA9">
              <w:rPr>
                <w:rFonts w:ascii="Calibri" w:eastAsiaTheme="minorEastAsia" w:hAnsi="Calibri" w:cs="Calibri"/>
                <w:b/>
                <w:bCs/>
                <w:color w:val="000000"/>
                <w:sz w:val="19"/>
                <w:lang w:eastAsia="en-AU"/>
              </w:rPr>
              <w:t>27 081.0</w:t>
            </w:r>
          </w:p>
        </w:tc>
      </w:tr>
      <w:tr w:rsidR="00965D85" w:rsidRPr="001E7FA9" w:rsidTr="008B46DF">
        <w:tc>
          <w:tcPr>
            <w:tcW w:w="2977" w:type="dxa"/>
            <w:tcBorders>
              <w:top w:val="single" w:sz="6" w:space="0" w:color="000000"/>
              <w:left w:val="nil"/>
              <w:bottom w:val="single" w:sz="12" w:space="0" w:color="000000"/>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b/>
                <w:bCs/>
                <w:color w:val="000000"/>
                <w:sz w:val="19"/>
                <w:lang w:eastAsia="en-AU"/>
              </w:rPr>
            </w:pPr>
            <w:r w:rsidRPr="001E7FA9">
              <w:rPr>
                <w:rFonts w:ascii="Calibri" w:eastAsiaTheme="minorEastAsia" w:hAnsi="Calibri" w:cs="Calibri"/>
                <w:b/>
                <w:bCs/>
                <w:color w:val="000000"/>
                <w:sz w:val="19"/>
                <w:lang w:eastAsia="en-AU"/>
              </w:rPr>
              <w:t>Net assets</w:t>
            </w:r>
          </w:p>
        </w:tc>
        <w:tc>
          <w:tcPr>
            <w:tcW w:w="958" w:type="dxa"/>
            <w:tcBorders>
              <w:top w:val="single" w:sz="6" w:space="0" w:color="000000"/>
              <w:left w:val="nil"/>
              <w:bottom w:val="single" w:sz="12"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19"/>
                <w:lang w:eastAsia="en-AU"/>
              </w:rPr>
            </w:pPr>
            <w:r w:rsidRPr="001E7FA9">
              <w:rPr>
                <w:rFonts w:ascii="Calibri" w:eastAsiaTheme="minorEastAsia" w:hAnsi="Calibri" w:cs="Calibri"/>
                <w:b/>
                <w:bCs/>
                <w:color w:val="000000"/>
                <w:sz w:val="19"/>
                <w:lang w:eastAsia="en-AU"/>
              </w:rPr>
              <w:t>79 127.9</w:t>
            </w:r>
          </w:p>
        </w:tc>
        <w:tc>
          <w:tcPr>
            <w:tcW w:w="958" w:type="dxa"/>
            <w:tcBorders>
              <w:top w:val="single" w:sz="6" w:space="0" w:color="000000"/>
              <w:left w:val="nil"/>
              <w:bottom w:val="single" w:sz="12"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19"/>
                <w:lang w:eastAsia="en-AU"/>
              </w:rPr>
            </w:pPr>
            <w:r w:rsidRPr="001E7FA9">
              <w:rPr>
                <w:rFonts w:ascii="Calibri" w:eastAsiaTheme="minorEastAsia" w:hAnsi="Calibri" w:cs="Calibri"/>
                <w:b/>
                <w:bCs/>
                <w:color w:val="000000"/>
                <w:sz w:val="19"/>
                <w:lang w:eastAsia="en-AU"/>
              </w:rPr>
              <w:t>77 595.1</w:t>
            </w:r>
          </w:p>
        </w:tc>
        <w:tc>
          <w:tcPr>
            <w:tcW w:w="958" w:type="dxa"/>
            <w:tcBorders>
              <w:top w:val="single" w:sz="6" w:space="0" w:color="000000"/>
              <w:left w:val="nil"/>
              <w:bottom w:val="single" w:sz="12"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19"/>
                <w:lang w:eastAsia="en-AU"/>
              </w:rPr>
            </w:pPr>
            <w:r w:rsidRPr="001E7FA9">
              <w:rPr>
                <w:rFonts w:ascii="Calibri" w:eastAsiaTheme="minorEastAsia" w:hAnsi="Calibri" w:cs="Calibri"/>
                <w:b/>
                <w:bCs/>
                <w:color w:val="000000"/>
                <w:sz w:val="19"/>
                <w:lang w:eastAsia="en-AU"/>
              </w:rPr>
              <w:t>78 912.2</w:t>
            </w:r>
          </w:p>
        </w:tc>
        <w:tc>
          <w:tcPr>
            <w:tcW w:w="958" w:type="dxa"/>
            <w:tcBorders>
              <w:top w:val="single" w:sz="6" w:space="0" w:color="000000"/>
              <w:left w:val="nil"/>
              <w:bottom w:val="single" w:sz="12"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19"/>
                <w:lang w:eastAsia="en-AU"/>
              </w:rPr>
            </w:pPr>
            <w:r w:rsidRPr="001E7FA9">
              <w:rPr>
                <w:rFonts w:ascii="Calibri" w:eastAsiaTheme="minorEastAsia" w:hAnsi="Calibri" w:cs="Calibri"/>
                <w:b/>
                <w:bCs/>
                <w:color w:val="000000"/>
                <w:sz w:val="19"/>
                <w:lang w:eastAsia="en-AU"/>
              </w:rPr>
              <w:t>80 736.7</w:t>
            </w:r>
          </w:p>
        </w:tc>
        <w:tc>
          <w:tcPr>
            <w:tcW w:w="958" w:type="dxa"/>
            <w:tcBorders>
              <w:top w:val="single" w:sz="6" w:space="0" w:color="000000"/>
              <w:left w:val="nil"/>
              <w:bottom w:val="single" w:sz="12"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19"/>
                <w:lang w:eastAsia="en-AU"/>
              </w:rPr>
            </w:pPr>
            <w:r w:rsidRPr="001E7FA9">
              <w:rPr>
                <w:rFonts w:ascii="Calibri" w:eastAsiaTheme="minorEastAsia" w:hAnsi="Calibri" w:cs="Calibri"/>
                <w:b/>
                <w:bCs/>
                <w:color w:val="000000"/>
                <w:sz w:val="19"/>
                <w:lang w:eastAsia="en-AU"/>
              </w:rPr>
              <w:t>82 843.6</w:t>
            </w:r>
          </w:p>
        </w:tc>
      </w:tr>
      <w:tr w:rsidR="00965D85" w:rsidRPr="001E7FA9" w:rsidTr="008B46DF">
        <w:tc>
          <w:tcPr>
            <w:tcW w:w="2977" w:type="dxa"/>
            <w:tcBorders>
              <w:top w:val="single" w:sz="12" w:space="0" w:color="000000"/>
              <w:left w:val="nil"/>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Accumulated surplus/(deficit)</w:t>
            </w:r>
          </w:p>
        </w:tc>
        <w:tc>
          <w:tcPr>
            <w:tcW w:w="958" w:type="dxa"/>
            <w:tcBorders>
              <w:top w:val="single" w:sz="12" w:space="0" w:color="000000"/>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8 848.6</w:t>
            </w:r>
          </w:p>
        </w:tc>
        <w:tc>
          <w:tcPr>
            <w:tcW w:w="958" w:type="dxa"/>
            <w:tcBorders>
              <w:top w:val="single" w:sz="12" w:space="0" w:color="000000"/>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3 630.3</w:t>
            </w:r>
          </w:p>
        </w:tc>
        <w:tc>
          <w:tcPr>
            <w:tcW w:w="958" w:type="dxa"/>
            <w:tcBorders>
              <w:top w:val="single" w:sz="12" w:space="0" w:color="000000"/>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2 372.2</w:t>
            </w:r>
          </w:p>
        </w:tc>
        <w:tc>
          <w:tcPr>
            <w:tcW w:w="958" w:type="dxa"/>
            <w:tcBorders>
              <w:top w:val="single" w:sz="12" w:space="0" w:color="000000"/>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2 009.5</w:t>
            </w:r>
          </w:p>
        </w:tc>
        <w:tc>
          <w:tcPr>
            <w:tcW w:w="958" w:type="dxa"/>
            <w:tcBorders>
              <w:top w:val="single" w:sz="12" w:space="0" w:color="000000"/>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1 698.4</w:t>
            </w:r>
          </w:p>
        </w:tc>
      </w:tr>
      <w:tr w:rsidR="00965D85" w:rsidRPr="001E7FA9" w:rsidTr="008B46DF">
        <w:tc>
          <w:tcPr>
            <w:tcW w:w="2977" w:type="dxa"/>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Reserves</w:t>
            </w:r>
          </w:p>
        </w:tc>
        <w:tc>
          <w:tcPr>
            <w:tcW w:w="958" w:type="dxa"/>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70 279.3</w:t>
            </w:r>
          </w:p>
        </w:tc>
        <w:tc>
          <w:tcPr>
            <w:tcW w:w="958" w:type="dxa"/>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73 964.8</w:t>
            </w:r>
          </w:p>
        </w:tc>
        <w:tc>
          <w:tcPr>
            <w:tcW w:w="958" w:type="dxa"/>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76 540.1</w:t>
            </w:r>
          </w:p>
        </w:tc>
        <w:tc>
          <w:tcPr>
            <w:tcW w:w="958" w:type="dxa"/>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78 727.1</w:t>
            </w:r>
          </w:p>
        </w:tc>
        <w:tc>
          <w:tcPr>
            <w:tcW w:w="958" w:type="dxa"/>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81 145.2</w:t>
            </w:r>
          </w:p>
        </w:tc>
      </w:tr>
      <w:tr w:rsidR="00965D85" w:rsidRPr="001E7FA9" w:rsidTr="008B46DF">
        <w:tc>
          <w:tcPr>
            <w:tcW w:w="2977" w:type="dxa"/>
            <w:tcBorders>
              <w:top w:val="single" w:sz="6" w:space="0" w:color="000000"/>
              <w:left w:val="nil"/>
              <w:bottom w:val="single" w:sz="12" w:space="0" w:color="000000"/>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b/>
                <w:bCs/>
                <w:color w:val="000000"/>
                <w:sz w:val="19"/>
                <w:lang w:eastAsia="en-AU"/>
              </w:rPr>
            </w:pPr>
            <w:r w:rsidRPr="001E7FA9">
              <w:rPr>
                <w:rFonts w:ascii="Calibri" w:eastAsiaTheme="minorEastAsia" w:hAnsi="Calibri" w:cs="Calibri"/>
                <w:b/>
                <w:bCs/>
                <w:color w:val="000000"/>
                <w:sz w:val="19"/>
                <w:lang w:eastAsia="en-AU"/>
              </w:rPr>
              <w:t>Net worth</w:t>
            </w:r>
          </w:p>
        </w:tc>
        <w:tc>
          <w:tcPr>
            <w:tcW w:w="958" w:type="dxa"/>
            <w:tcBorders>
              <w:top w:val="single" w:sz="6" w:space="0" w:color="000000"/>
              <w:left w:val="nil"/>
              <w:bottom w:val="single" w:sz="12"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19"/>
                <w:lang w:eastAsia="en-AU"/>
              </w:rPr>
            </w:pPr>
            <w:r w:rsidRPr="001E7FA9">
              <w:rPr>
                <w:rFonts w:ascii="Calibri" w:eastAsiaTheme="minorEastAsia" w:hAnsi="Calibri" w:cs="Calibri"/>
                <w:b/>
                <w:bCs/>
                <w:color w:val="000000"/>
                <w:sz w:val="19"/>
                <w:lang w:eastAsia="en-AU"/>
              </w:rPr>
              <w:t>79 127.9</w:t>
            </w:r>
          </w:p>
        </w:tc>
        <w:tc>
          <w:tcPr>
            <w:tcW w:w="958" w:type="dxa"/>
            <w:tcBorders>
              <w:top w:val="single" w:sz="6" w:space="0" w:color="000000"/>
              <w:left w:val="nil"/>
              <w:bottom w:val="single" w:sz="12"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19"/>
                <w:lang w:eastAsia="en-AU"/>
              </w:rPr>
            </w:pPr>
            <w:r w:rsidRPr="001E7FA9">
              <w:rPr>
                <w:rFonts w:ascii="Calibri" w:eastAsiaTheme="minorEastAsia" w:hAnsi="Calibri" w:cs="Calibri"/>
                <w:b/>
                <w:bCs/>
                <w:color w:val="000000"/>
                <w:sz w:val="19"/>
                <w:lang w:eastAsia="en-AU"/>
              </w:rPr>
              <w:t>77 595.1</w:t>
            </w:r>
          </w:p>
        </w:tc>
        <w:tc>
          <w:tcPr>
            <w:tcW w:w="958" w:type="dxa"/>
            <w:tcBorders>
              <w:top w:val="single" w:sz="6" w:space="0" w:color="000000"/>
              <w:left w:val="nil"/>
              <w:bottom w:val="single" w:sz="12"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19"/>
                <w:lang w:eastAsia="en-AU"/>
              </w:rPr>
            </w:pPr>
            <w:r w:rsidRPr="001E7FA9">
              <w:rPr>
                <w:rFonts w:ascii="Calibri" w:eastAsiaTheme="minorEastAsia" w:hAnsi="Calibri" w:cs="Calibri"/>
                <w:b/>
                <w:bCs/>
                <w:color w:val="000000"/>
                <w:sz w:val="19"/>
                <w:lang w:eastAsia="en-AU"/>
              </w:rPr>
              <w:t>78 912.2</w:t>
            </w:r>
          </w:p>
        </w:tc>
        <w:tc>
          <w:tcPr>
            <w:tcW w:w="958" w:type="dxa"/>
            <w:tcBorders>
              <w:top w:val="single" w:sz="6" w:space="0" w:color="000000"/>
              <w:left w:val="nil"/>
              <w:bottom w:val="single" w:sz="12"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19"/>
                <w:lang w:eastAsia="en-AU"/>
              </w:rPr>
            </w:pPr>
            <w:r w:rsidRPr="001E7FA9">
              <w:rPr>
                <w:rFonts w:ascii="Calibri" w:eastAsiaTheme="minorEastAsia" w:hAnsi="Calibri" w:cs="Calibri"/>
                <w:b/>
                <w:bCs/>
                <w:color w:val="000000"/>
                <w:sz w:val="19"/>
                <w:lang w:eastAsia="en-AU"/>
              </w:rPr>
              <w:t>80 736.7</w:t>
            </w:r>
          </w:p>
        </w:tc>
        <w:tc>
          <w:tcPr>
            <w:tcW w:w="958" w:type="dxa"/>
            <w:tcBorders>
              <w:top w:val="single" w:sz="6" w:space="0" w:color="000000"/>
              <w:left w:val="nil"/>
              <w:bottom w:val="single" w:sz="12"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19"/>
                <w:lang w:eastAsia="en-AU"/>
              </w:rPr>
            </w:pPr>
            <w:r w:rsidRPr="001E7FA9">
              <w:rPr>
                <w:rFonts w:ascii="Calibri" w:eastAsiaTheme="minorEastAsia" w:hAnsi="Calibri" w:cs="Calibri"/>
                <w:b/>
                <w:bCs/>
                <w:color w:val="000000"/>
                <w:sz w:val="19"/>
                <w:lang w:eastAsia="en-AU"/>
              </w:rPr>
              <w:t>82 843.6</w:t>
            </w:r>
          </w:p>
        </w:tc>
      </w:tr>
      <w:tr w:rsidR="00965D85" w:rsidRPr="001E7FA9" w:rsidTr="008B46DF">
        <w:trPr>
          <w:trHeight w:hRule="exact" w:val="120"/>
        </w:trPr>
        <w:tc>
          <w:tcPr>
            <w:tcW w:w="2977" w:type="dxa"/>
            <w:tcBorders>
              <w:top w:val="single" w:sz="12" w:space="0" w:color="000000"/>
              <w:left w:val="nil"/>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 xml:space="preserve"> </w:t>
            </w:r>
          </w:p>
        </w:tc>
        <w:tc>
          <w:tcPr>
            <w:tcW w:w="958" w:type="dxa"/>
            <w:tcBorders>
              <w:top w:val="single" w:sz="12" w:space="0" w:color="000000"/>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p>
        </w:tc>
        <w:tc>
          <w:tcPr>
            <w:tcW w:w="958" w:type="dxa"/>
            <w:tcBorders>
              <w:top w:val="single" w:sz="12" w:space="0" w:color="000000"/>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p>
        </w:tc>
        <w:tc>
          <w:tcPr>
            <w:tcW w:w="958" w:type="dxa"/>
            <w:tcBorders>
              <w:top w:val="single" w:sz="12" w:space="0" w:color="000000"/>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p>
        </w:tc>
        <w:tc>
          <w:tcPr>
            <w:tcW w:w="958" w:type="dxa"/>
            <w:tcBorders>
              <w:top w:val="single" w:sz="12" w:space="0" w:color="000000"/>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p>
        </w:tc>
        <w:tc>
          <w:tcPr>
            <w:tcW w:w="958" w:type="dxa"/>
            <w:tcBorders>
              <w:top w:val="single" w:sz="12" w:space="0" w:color="000000"/>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p>
        </w:tc>
      </w:tr>
      <w:tr w:rsidR="00965D85" w:rsidRPr="001E7FA9" w:rsidTr="008B46DF">
        <w:tc>
          <w:tcPr>
            <w:tcW w:w="2977" w:type="dxa"/>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b/>
                <w:bCs/>
                <w:color w:val="000000"/>
                <w:sz w:val="19"/>
                <w:lang w:eastAsia="en-AU"/>
              </w:rPr>
            </w:pPr>
            <w:r w:rsidRPr="001E7FA9">
              <w:rPr>
                <w:rFonts w:ascii="Calibri" w:eastAsiaTheme="minorEastAsia" w:hAnsi="Calibri" w:cs="Calibri"/>
                <w:b/>
                <w:bCs/>
                <w:color w:val="000000"/>
                <w:sz w:val="19"/>
                <w:lang w:eastAsia="en-AU"/>
              </w:rPr>
              <w:t>FISCAL AGGREGATES</w:t>
            </w:r>
          </w:p>
        </w:tc>
        <w:tc>
          <w:tcPr>
            <w:tcW w:w="958"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958"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958"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958"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958"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r>
      <w:tr w:rsidR="00965D85" w:rsidRPr="001E7FA9" w:rsidTr="008B46DF">
        <w:tc>
          <w:tcPr>
            <w:tcW w:w="2977" w:type="dxa"/>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Net financial worth</w:t>
            </w:r>
          </w:p>
        </w:tc>
        <w:tc>
          <w:tcPr>
            <w:tcW w:w="958"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(22 714.8)</w:t>
            </w:r>
          </w:p>
        </w:tc>
        <w:tc>
          <w:tcPr>
            <w:tcW w:w="958"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(22 419.8)</w:t>
            </w:r>
          </w:p>
        </w:tc>
        <w:tc>
          <w:tcPr>
            <w:tcW w:w="958"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(22 934.5)</w:t>
            </w:r>
          </w:p>
        </w:tc>
        <w:tc>
          <w:tcPr>
            <w:tcW w:w="958"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(22 931.5)</w:t>
            </w:r>
          </w:p>
        </w:tc>
        <w:tc>
          <w:tcPr>
            <w:tcW w:w="958"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(23 044.0)</w:t>
            </w:r>
          </w:p>
        </w:tc>
      </w:tr>
      <w:tr w:rsidR="00965D85" w:rsidRPr="001E7FA9" w:rsidTr="008B46DF">
        <w:tc>
          <w:tcPr>
            <w:tcW w:w="2977" w:type="dxa"/>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Net financial liabilities</w:t>
            </w:r>
          </w:p>
        </w:tc>
        <w:tc>
          <w:tcPr>
            <w:tcW w:w="958"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22 714.8</w:t>
            </w:r>
          </w:p>
        </w:tc>
        <w:tc>
          <w:tcPr>
            <w:tcW w:w="958"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22 419.8</w:t>
            </w:r>
          </w:p>
        </w:tc>
        <w:tc>
          <w:tcPr>
            <w:tcW w:w="958"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22 934.5</w:t>
            </w:r>
          </w:p>
        </w:tc>
        <w:tc>
          <w:tcPr>
            <w:tcW w:w="958"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22 931.5</w:t>
            </w:r>
          </w:p>
        </w:tc>
        <w:tc>
          <w:tcPr>
            <w:tcW w:w="958"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23 044.0</w:t>
            </w:r>
          </w:p>
        </w:tc>
      </w:tr>
      <w:tr w:rsidR="00965D85" w:rsidRPr="001E7FA9" w:rsidTr="008B46DF">
        <w:tc>
          <w:tcPr>
            <w:tcW w:w="2977" w:type="dxa"/>
            <w:tcBorders>
              <w:top w:val="nil"/>
              <w:left w:val="nil"/>
              <w:bottom w:val="single" w:sz="12" w:space="0" w:color="auto"/>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Net debt</w:t>
            </w:r>
          </w:p>
        </w:tc>
        <w:tc>
          <w:tcPr>
            <w:tcW w:w="958" w:type="dxa"/>
            <w:tcBorders>
              <w:top w:val="nil"/>
              <w:left w:val="nil"/>
              <w:bottom w:val="single" w:sz="12" w:space="0" w:color="auto"/>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14 874.8</w:t>
            </w:r>
          </w:p>
        </w:tc>
        <w:tc>
          <w:tcPr>
            <w:tcW w:w="958" w:type="dxa"/>
            <w:tcBorders>
              <w:top w:val="nil"/>
              <w:left w:val="nil"/>
              <w:bottom w:val="single" w:sz="12" w:space="0" w:color="auto"/>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15 056.9</w:t>
            </w:r>
          </w:p>
        </w:tc>
        <w:tc>
          <w:tcPr>
            <w:tcW w:w="958" w:type="dxa"/>
            <w:tcBorders>
              <w:top w:val="nil"/>
              <w:left w:val="nil"/>
              <w:bottom w:val="single" w:sz="12" w:space="0" w:color="auto"/>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15 714.7</w:t>
            </w:r>
          </w:p>
        </w:tc>
        <w:tc>
          <w:tcPr>
            <w:tcW w:w="958" w:type="dxa"/>
            <w:tcBorders>
              <w:top w:val="nil"/>
              <w:left w:val="nil"/>
              <w:bottom w:val="single" w:sz="12" w:space="0" w:color="auto"/>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16 140.9</w:t>
            </w:r>
          </w:p>
        </w:tc>
        <w:tc>
          <w:tcPr>
            <w:tcW w:w="958" w:type="dxa"/>
            <w:tcBorders>
              <w:top w:val="nil"/>
              <w:left w:val="nil"/>
              <w:bottom w:val="single" w:sz="12" w:space="0" w:color="auto"/>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16 469.2</w:t>
            </w:r>
          </w:p>
        </w:tc>
      </w:tr>
      <w:tr w:rsidR="00965D85" w:rsidRPr="001E7FA9" w:rsidTr="008B46DF">
        <w:tc>
          <w:tcPr>
            <w:tcW w:w="7767" w:type="dxa"/>
            <w:gridSpan w:val="6"/>
            <w:tcBorders>
              <w:top w:val="single" w:sz="12" w:space="0" w:color="auto"/>
              <w:left w:val="nil"/>
              <w:bottom w:val="nil"/>
              <w:right w:val="nil"/>
            </w:tcBorders>
            <w:shd w:val="clear" w:color="auto" w:fill="auto"/>
          </w:tcPr>
          <w:p w:rsidR="00965D85" w:rsidRPr="001E7FA9" w:rsidRDefault="00965D85" w:rsidP="008B46DF">
            <w:pPr>
              <w:pStyle w:val="Source"/>
              <w:rPr>
                <w:rFonts w:eastAsiaTheme="minorEastAsia"/>
                <w:lang w:eastAsia="en-AU"/>
              </w:rPr>
            </w:pPr>
            <w:r w:rsidRPr="001E7FA9">
              <w:rPr>
                <w:rFonts w:eastAsiaTheme="minorEastAsia"/>
                <w:lang w:eastAsia="en-AU"/>
              </w:rPr>
              <w:t>Source: Department of Treasury and Finance</w:t>
            </w:r>
          </w:p>
        </w:tc>
      </w:tr>
    </w:tbl>
    <w:p w:rsidR="00965D85" w:rsidRPr="00936B85" w:rsidRDefault="00965D85" w:rsidP="008B46DF">
      <w:pPr>
        <w:pStyle w:val="Notes"/>
        <w:rPr>
          <w:lang w:eastAsia="en-AU"/>
        </w:rPr>
      </w:pPr>
      <w:r w:rsidRPr="00936B85">
        <w:rPr>
          <w:lang w:eastAsia="en-AU"/>
        </w:rPr>
        <w:t>Note:</w:t>
      </w:r>
    </w:p>
    <w:p w:rsidR="00965D85" w:rsidRPr="007728B0" w:rsidRDefault="00965D85" w:rsidP="008B46DF">
      <w:pPr>
        <w:pStyle w:val="Notes"/>
        <w:rPr>
          <w:lang w:eastAsia="en-AU"/>
        </w:rPr>
      </w:pPr>
      <w:r w:rsidRPr="00936B85">
        <w:rPr>
          <w:lang w:eastAsia="en-AU"/>
        </w:rPr>
        <w:t>(a)</w:t>
      </w:r>
      <w:r w:rsidRPr="00936B85">
        <w:rPr>
          <w:lang w:eastAsia="en-AU"/>
        </w:rPr>
        <w:tab/>
        <w:t>Balances represent actual opening balances at 1 July 2015 plus 2015</w:t>
      </w:r>
      <w:r>
        <w:rPr>
          <w:lang w:eastAsia="en-AU"/>
        </w:rPr>
        <w:noBreakHyphen/>
      </w:r>
      <w:r w:rsidRPr="00936B85">
        <w:rPr>
          <w:lang w:eastAsia="en-AU"/>
        </w:rPr>
        <w:t>16 budgeted movements.</w:t>
      </w:r>
    </w:p>
    <w:p w:rsidR="00965D85" w:rsidRDefault="00965D85" w:rsidP="008B46DF">
      <w:pPr>
        <w:rPr>
          <w:rFonts w:asciiTheme="minorHAnsi" w:hAnsiTheme="minorHAnsi" w:cs="Tms Rmn"/>
          <w:i/>
          <w:color w:val="000000"/>
          <w:sz w:val="15"/>
          <w:szCs w:val="15"/>
          <w:lang w:eastAsia="en-AU"/>
        </w:rPr>
      </w:pPr>
    </w:p>
    <w:p w:rsidR="00965D85" w:rsidRDefault="00965D85">
      <w:pPr>
        <w:spacing w:after="0"/>
        <w:rPr>
          <w:rFonts w:ascii="Calibri" w:eastAsiaTheme="minorEastAsia" w:hAnsi="Calibri"/>
          <w:b/>
          <w:lang w:eastAsia="en-AU"/>
        </w:rPr>
      </w:pPr>
      <w:r>
        <w:rPr>
          <w:rFonts w:eastAsiaTheme="minorEastAsia"/>
          <w:lang w:eastAsia="en-AU"/>
        </w:rPr>
        <w:br w:type="page"/>
      </w:r>
    </w:p>
    <w:p w:rsidR="00965D85" w:rsidRPr="001E7FA9" w:rsidRDefault="00965D85" w:rsidP="008B46DF">
      <w:pPr>
        <w:pStyle w:val="Tableheading"/>
        <w:rPr>
          <w:rFonts w:ascii="Times New Roman" w:hAnsi="Times New Roman"/>
          <w:b w:val="0"/>
          <w:sz w:val="20"/>
          <w:lang w:eastAsia="en-AU"/>
        </w:rPr>
      </w:pPr>
      <w:r>
        <w:rPr>
          <w:rFonts w:eastAsiaTheme="minorEastAsia"/>
          <w:lang w:eastAsia="en-AU"/>
        </w:rPr>
        <w:lastRenderedPageBreak/>
        <w:t>Table 5.3:</w:t>
      </w:r>
      <w:r>
        <w:rPr>
          <w:rFonts w:eastAsiaTheme="minorEastAsia"/>
          <w:lang w:eastAsia="en-AU"/>
        </w:rPr>
        <w:tab/>
        <w:t>Public non</w:t>
      </w:r>
      <w:r>
        <w:rPr>
          <w:rFonts w:eastAsiaTheme="minorEastAsia"/>
          <w:lang w:eastAsia="en-AU"/>
        </w:rPr>
        <w:noBreakHyphen/>
        <w:t>financial corporations sector cash flow statement for the financial year ended 30 June</w:t>
      </w:r>
      <w:r w:rsidRPr="00504697">
        <w:rPr>
          <w:rFonts w:eastAsiaTheme="minorEastAsia"/>
          <w:vertAlign w:val="superscript"/>
          <w:lang w:eastAsia="en-AU"/>
        </w:rPr>
        <w:t>(a)</w:t>
      </w:r>
    </w:p>
    <w:tbl>
      <w:tblPr>
        <w:tblW w:w="7767" w:type="dxa"/>
        <w:tblInd w:w="28" w:type="dxa"/>
        <w:tblLayout w:type="fixed"/>
        <w:tblCellMar>
          <w:left w:w="28" w:type="dxa"/>
          <w:right w:w="28" w:type="dxa"/>
        </w:tblCellMar>
        <w:tblLook w:val="0000" w:firstRow="0" w:lastRow="0" w:firstColumn="0" w:lastColumn="0" w:noHBand="0" w:noVBand="0"/>
      </w:tblPr>
      <w:tblGrid>
        <w:gridCol w:w="3261"/>
        <w:gridCol w:w="901"/>
        <w:gridCol w:w="901"/>
        <w:gridCol w:w="901"/>
        <w:gridCol w:w="901"/>
        <w:gridCol w:w="902"/>
      </w:tblGrid>
      <w:tr w:rsidR="00965D85" w:rsidRPr="001E7FA9" w:rsidTr="008B46DF">
        <w:trPr>
          <w:tblHeader/>
        </w:trPr>
        <w:tc>
          <w:tcPr>
            <w:tcW w:w="7767" w:type="dxa"/>
            <w:gridSpan w:val="6"/>
            <w:tcBorders>
              <w:top w:val="nil"/>
              <w:left w:val="nil"/>
              <w:bottom w:val="nil"/>
              <w:right w:val="nil"/>
            </w:tcBorders>
          </w:tcPr>
          <w:p w:rsidR="00965D85" w:rsidRPr="001E7FA9" w:rsidRDefault="00965D85" w:rsidP="008B46DF">
            <w:pPr>
              <w:pStyle w:val="million"/>
              <w:rPr>
                <w:rFonts w:eastAsiaTheme="minorEastAsia" w:cs="Calibri"/>
                <w:iCs/>
                <w:color w:val="000000"/>
                <w:sz w:val="20"/>
                <w:lang w:eastAsia="en-AU"/>
              </w:rPr>
            </w:pPr>
            <w:r w:rsidRPr="001E7FA9">
              <w:rPr>
                <w:rFonts w:eastAsiaTheme="minorEastAsia"/>
                <w:lang w:eastAsia="en-AU"/>
              </w:rPr>
              <w:t>($ million</w:t>
            </w:r>
            <w:r w:rsidRPr="001E7FA9">
              <w:rPr>
                <w:rFonts w:eastAsiaTheme="minorEastAsia" w:cs="Calibri"/>
                <w:iCs/>
                <w:color w:val="000000"/>
                <w:sz w:val="20"/>
                <w:lang w:eastAsia="en-AU"/>
              </w:rPr>
              <w:t>)</w:t>
            </w:r>
          </w:p>
        </w:tc>
      </w:tr>
      <w:tr w:rsidR="00965D85" w:rsidRPr="001E7FA9" w:rsidTr="008B46DF">
        <w:trPr>
          <w:trHeight w:val="464"/>
          <w:tblHeader/>
        </w:trPr>
        <w:tc>
          <w:tcPr>
            <w:tcW w:w="3261" w:type="dxa"/>
            <w:tcBorders>
              <w:top w:val="nil"/>
              <w:left w:val="nil"/>
              <w:right w:val="nil"/>
            </w:tcBorders>
            <w:shd w:val="solid" w:color="000000" w:fill="auto"/>
          </w:tcPr>
          <w:p w:rsidR="00965D85" w:rsidRPr="001E7FA9" w:rsidRDefault="00965D85" w:rsidP="008B46DF">
            <w:pPr>
              <w:autoSpaceDE w:val="0"/>
              <w:autoSpaceDN w:val="0"/>
              <w:adjustRightInd w:val="0"/>
              <w:spacing w:after="0"/>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 xml:space="preserve"> </w:t>
            </w:r>
          </w:p>
          <w:p w:rsidR="00965D85" w:rsidRPr="001E7FA9" w:rsidRDefault="00965D85" w:rsidP="008B46DF">
            <w:pPr>
              <w:autoSpaceDE w:val="0"/>
              <w:autoSpaceDN w:val="0"/>
              <w:adjustRightInd w:val="0"/>
              <w:spacing w:after="0"/>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 xml:space="preserve"> </w:t>
            </w:r>
          </w:p>
        </w:tc>
        <w:tc>
          <w:tcPr>
            <w:tcW w:w="901" w:type="dxa"/>
            <w:tcBorders>
              <w:top w:val="nil"/>
              <w:left w:val="nil"/>
              <w:right w:val="nil"/>
            </w:tcBorders>
            <w:shd w:val="solid" w:color="000000" w:fill="auto"/>
          </w:tcPr>
          <w:p w:rsidR="00965D85" w:rsidRPr="001E7FA9" w:rsidRDefault="00965D85" w:rsidP="008B46DF">
            <w:pPr>
              <w:autoSpaceDE w:val="0"/>
              <w:autoSpaceDN w:val="0"/>
              <w:adjustRightInd w:val="0"/>
              <w:spacing w:after="0"/>
              <w:jc w:val="right"/>
              <w:rPr>
                <w:rFonts w:ascii="Calibri" w:eastAsiaTheme="minorEastAsia" w:hAnsi="Calibri" w:cs="Calibri"/>
                <w:i/>
                <w:iCs/>
                <w:color w:val="FFFFFF"/>
                <w:sz w:val="19"/>
                <w:lang w:eastAsia="en-AU"/>
              </w:rPr>
            </w:pPr>
            <w:r w:rsidRPr="001E7FA9">
              <w:rPr>
                <w:rFonts w:ascii="Calibri" w:eastAsiaTheme="minorEastAsia" w:hAnsi="Calibri" w:cs="Calibri"/>
                <w:i/>
                <w:iCs/>
                <w:color w:val="FFFFFF"/>
                <w:sz w:val="19"/>
                <w:lang w:eastAsia="en-AU"/>
              </w:rPr>
              <w:t>2015</w:t>
            </w:r>
            <w:r>
              <w:rPr>
                <w:rFonts w:ascii="Calibri" w:eastAsiaTheme="minorEastAsia" w:hAnsi="Calibri" w:cs="Calibri"/>
                <w:i/>
                <w:iCs/>
                <w:color w:val="FFFFFF"/>
                <w:sz w:val="19"/>
                <w:lang w:eastAsia="en-AU"/>
              </w:rPr>
              <w:noBreakHyphen/>
            </w:r>
            <w:r w:rsidRPr="001E7FA9">
              <w:rPr>
                <w:rFonts w:ascii="Calibri" w:eastAsiaTheme="minorEastAsia" w:hAnsi="Calibri" w:cs="Calibri"/>
                <w:i/>
                <w:iCs/>
                <w:color w:val="FFFFFF"/>
                <w:sz w:val="19"/>
                <w:lang w:eastAsia="en-AU"/>
              </w:rPr>
              <w:t>16</w:t>
            </w:r>
          </w:p>
          <w:p w:rsidR="00965D85" w:rsidRPr="001E7FA9" w:rsidRDefault="00965D85" w:rsidP="008B46DF">
            <w:pPr>
              <w:autoSpaceDE w:val="0"/>
              <w:autoSpaceDN w:val="0"/>
              <w:adjustRightInd w:val="0"/>
              <w:spacing w:after="0"/>
              <w:jc w:val="right"/>
              <w:rPr>
                <w:rFonts w:ascii="Calibri" w:eastAsiaTheme="minorEastAsia" w:hAnsi="Calibri" w:cs="Calibri"/>
                <w:i/>
                <w:iCs/>
                <w:color w:val="FFFFFF"/>
                <w:sz w:val="19"/>
                <w:lang w:eastAsia="en-AU"/>
              </w:rPr>
            </w:pPr>
            <w:r w:rsidRPr="001E7FA9">
              <w:rPr>
                <w:rFonts w:ascii="Calibri" w:eastAsiaTheme="minorEastAsia" w:hAnsi="Calibri" w:cs="Calibri"/>
                <w:i/>
                <w:iCs/>
                <w:color w:val="FFFFFF"/>
                <w:sz w:val="19"/>
                <w:lang w:eastAsia="en-AU"/>
              </w:rPr>
              <w:t>budget</w:t>
            </w:r>
          </w:p>
        </w:tc>
        <w:tc>
          <w:tcPr>
            <w:tcW w:w="901" w:type="dxa"/>
            <w:tcBorders>
              <w:top w:val="nil"/>
              <w:left w:val="nil"/>
              <w:right w:val="nil"/>
            </w:tcBorders>
            <w:shd w:val="solid" w:color="000000" w:fill="auto"/>
          </w:tcPr>
          <w:p w:rsidR="00965D85" w:rsidRPr="001E7FA9" w:rsidRDefault="00965D85" w:rsidP="008B46DF">
            <w:pPr>
              <w:autoSpaceDE w:val="0"/>
              <w:autoSpaceDN w:val="0"/>
              <w:adjustRightInd w:val="0"/>
              <w:spacing w:after="0"/>
              <w:jc w:val="right"/>
              <w:rPr>
                <w:rFonts w:ascii="Calibri" w:eastAsiaTheme="minorEastAsia" w:hAnsi="Calibri" w:cs="Calibri"/>
                <w:i/>
                <w:iCs/>
                <w:color w:val="FFFFFF"/>
                <w:sz w:val="19"/>
                <w:lang w:eastAsia="en-AU"/>
              </w:rPr>
            </w:pPr>
            <w:r w:rsidRPr="001E7FA9">
              <w:rPr>
                <w:rFonts w:ascii="Calibri" w:eastAsiaTheme="minorEastAsia" w:hAnsi="Calibri" w:cs="Calibri"/>
                <w:i/>
                <w:iCs/>
                <w:color w:val="FFFFFF"/>
                <w:sz w:val="19"/>
                <w:lang w:eastAsia="en-AU"/>
              </w:rPr>
              <w:t>2015</w:t>
            </w:r>
            <w:r>
              <w:rPr>
                <w:rFonts w:ascii="Calibri" w:eastAsiaTheme="minorEastAsia" w:hAnsi="Calibri" w:cs="Calibri"/>
                <w:i/>
                <w:iCs/>
                <w:color w:val="FFFFFF"/>
                <w:sz w:val="19"/>
                <w:lang w:eastAsia="en-AU"/>
              </w:rPr>
              <w:noBreakHyphen/>
            </w:r>
            <w:r w:rsidRPr="001E7FA9">
              <w:rPr>
                <w:rFonts w:ascii="Calibri" w:eastAsiaTheme="minorEastAsia" w:hAnsi="Calibri" w:cs="Calibri"/>
                <w:i/>
                <w:iCs/>
                <w:color w:val="FFFFFF"/>
                <w:sz w:val="19"/>
                <w:lang w:eastAsia="en-AU"/>
              </w:rPr>
              <w:t>16</w:t>
            </w:r>
          </w:p>
          <w:p w:rsidR="00965D85" w:rsidRPr="001E7FA9" w:rsidRDefault="00965D85" w:rsidP="008B46DF">
            <w:pPr>
              <w:autoSpaceDE w:val="0"/>
              <w:autoSpaceDN w:val="0"/>
              <w:adjustRightInd w:val="0"/>
              <w:spacing w:after="0"/>
              <w:jc w:val="right"/>
              <w:rPr>
                <w:rFonts w:ascii="Calibri" w:eastAsiaTheme="minorEastAsia" w:hAnsi="Calibri" w:cs="Calibri"/>
                <w:i/>
                <w:iCs/>
                <w:color w:val="FFFFFF"/>
                <w:sz w:val="19"/>
                <w:lang w:eastAsia="en-AU"/>
              </w:rPr>
            </w:pPr>
            <w:r w:rsidRPr="001E7FA9">
              <w:rPr>
                <w:rFonts w:ascii="Calibri" w:eastAsiaTheme="minorEastAsia" w:hAnsi="Calibri" w:cs="Calibri"/>
                <w:i/>
                <w:iCs/>
                <w:color w:val="FFFFFF"/>
                <w:sz w:val="19"/>
                <w:lang w:eastAsia="en-AU"/>
              </w:rPr>
              <w:t>revised</w:t>
            </w:r>
          </w:p>
        </w:tc>
        <w:tc>
          <w:tcPr>
            <w:tcW w:w="901" w:type="dxa"/>
            <w:tcBorders>
              <w:top w:val="nil"/>
              <w:left w:val="nil"/>
              <w:right w:val="nil"/>
            </w:tcBorders>
            <w:shd w:val="solid" w:color="000000" w:fill="auto"/>
          </w:tcPr>
          <w:p w:rsidR="00965D85" w:rsidRPr="001E7FA9" w:rsidRDefault="00965D85" w:rsidP="008B46DF">
            <w:pPr>
              <w:autoSpaceDE w:val="0"/>
              <w:autoSpaceDN w:val="0"/>
              <w:adjustRightInd w:val="0"/>
              <w:spacing w:after="0"/>
              <w:jc w:val="right"/>
              <w:rPr>
                <w:rFonts w:ascii="Calibri" w:eastAsiaTheme="minorEastAsia" w:hAnsi="Calibri" w:cs="Calibri"/>
                <w:i/>
                <w:iCs/>
                <w:color w:val="FFFFFF"/>
                <w:sz w:val="19"/>
                <w:lang w:eastAsia="en-AU"/>
              </w:rPr>
            </w:pPr>
            <w:r w:rsidRPr="001E7FA9">
              <w:rPr>
                <w:rFonts w:ascii="Calibri" w:eastAsiaTheme="minorEastAsia" w:hAnsi="Calibri" w:cs="Calibri"/>
                <w:i/>
                <w:iCs/>
                <w:color w:val="FFFFFF"/>
                <w:sz w:val="19"/>
                <w:lang w:eastAsia="en-AU"/>
              </w:rPr>
              <w:t>2016</w:t>
            </w:r>
            <w:r>
              <w:rPr>
                <w:rFonts w:ascii="Calibri" w:eastAsiaTheme="minorEastAsia" w:hAnsi="Calibri" w:cs="Calibri"/>
                <w:i/>
                <w:iCs/>
                <w:color w:val="FFFFFF"/>
                <w:sz w:val="19"/>
                <w:lang w:eastAsia="en-AU"/>
              </w:rPr>
              <w:noBreakHyphen/>
            </w:r>
            <w:r w:rsidRPr="001E7FA9">
              <w:rPr>
                <w:rFonts w:ascii="Calibri" w:eastAsiaTheme="minorEastAsia" w:hAnsi="Calibri" w:cs="Calibri"/>
                <w:i/>
                <w:iCs/>
                <w:color w:val="FFFFFF"/>
                <w:sz w:val="19"/>
                <w:lang w:eastAsia="en-AU"/>
              </w:rPr>
              <w:t>17</w:t>
            </w:r>
          </w:p>
          <w:p w:rsidR="00965D85" w:rsidRPr="001E7FA9" w:rsidRDefault="00965D85" w:rsidP="008B46DF">
            <w:pPr>
              <w:autoSpaceDE w:val="0"/>
              <w:autoSpaceDN w:val="0"/>
              <w:adjustRightInd w:val="0"/>
              <w:spacing w:after="0"/>
              <w:jc w:val="right"/>
              <w:rPr>
                <w:rFonts w:ascii="Calibri" w:eastAsiaTheme="minorEastAsia" w:hAnsi="Calibri" w:cs="Calibri"/>
                <w:i/>
                <w:iCs/>
                <w:color w:val="FFFFFF"/>
                <w:sz w:val="19"/>
                <w:lang w:eastAsia="en-AU"/>
              </w:rPr>
            </w:pPr>
            <w:r w:rsidRPr="001E7FA9">
              <w:rPr>
                <w:rFonts w:ascii="Calibri" w:eastAsiaTheme="minorEastAsia" w:hAnsi="Calibri" w:cs="Calibri"/>
                <w:i/>
                <w:iCs/>
                <w:color w:val="FFFFFF"/>
                <w:sz w:val="19"/>
                <w:lang w:eastAsia="en-AU"/>
              </w:rPr>
              <w:t>estimate</w:t>
            </w:r>
          </w:p>
        </w:tc>
        <w:tc>
          <w:tcPr>
            <w:tcW w:w="901" w:type="dxa"/>
            <w:tcBorders>
              <w:top w:val="nil"/>
              <w:left w:val="nil"/>
              <w:right w:val="nil"/>
            </w:tcBorders>
            <w:shd w:val="solid" w:color="000000" w:fill="auto"/>
          </w:tcPr>
          <w:p w:rsidR="00965D85" w:rsidRPr="001E7FA9" w:rsidRDefault="00965D85" w:rsidP="008B46DF">
            <w:pPr>
              <w:autoSpaceDE w:val="0"/>
              <w:autoSpaceDN w:val="0"/>
              <w:adjustRightInd w:val="0"/>
              <w:spacing w:after="0"/>
              <w:jc w:val="right"/>
              <w:rPr>
                <w:rFonts w:ascii="Calibri" w:eastAsiaTheme="minorEastAsia" w:hAnsi="Calibri" w:cs="Calibri"/>
                <w:i/>
                <w:iCs/>
                <w:color w:val="FFFFFF"/>
                <w:sz w:val="19"/>
                <w:lang w:eastAsia="en-AU"/>
              </w:rPr>
            </w:pPr>
            <w:r w:rsidRPr="001E7FA9">
              <w:rPr>
                <w:rFonts w:ascii="Calibri" w:eastAsiaTheme="minorEastAsia" w:hAnsi="Calibri" w:cs="Calibri"/>
                <w:i/>
                <w:iCs/>
                <w:color w:val="FFFFFF"/>
                <w:sz w:val="19"/>
                <w:lang w:eastAsia="en-AU"/>
              </w:rPr>
              <w:t>2017</w:t>
            </w:r>
            <w:r>
              <w:rPr>
                <w:rFonts w:ascii="Calibri" w:eastAsiaTheme="minorEastAsia" w:hAnsi="Calibri" w:cs="Calibri"/>
                <w:i/>
                <w:iCs/>
                <w:color w:val="FFFFFF"/>
                <w:sz w:val="19"/>
                <w:lang w:eastAsia="en-AU"/>
              </w:rPr>
              <w:noBreakHyphen/>
            </w:r>
            <w:r w:rsidRPr="001E7FA9">
              <w:rPr>
                <w:rFonts w:ascii="Calibri" w:eastAsiaTheme="minorEastAsia" w:hAnsi="Calibri" w:cs="Calibri"/>
                <w:i/>
                <w:iCs/>
                <w:color w:val="FFFFFF"/>
                <w:sz w:val="19"/>
                <w:lang w:eastAsia="en-AU"/>
              </w:rPr>
              <w:t>18</w:t>
            </w:r>
          </w:p>
          <w:p w:rsidR="00965D85" w:rsidRPr="001E7FA9" w:rsidRDefault="00965D85" w:rsidP="008B46DF">
            <w:pPr>
              <w:autoSpaceDE w:val="0"/>
              <w:autoSpaceDN w:val="0"/>
              <w:adjustRightInd w:val="0"/>
              <w:spacing w:after="0"/>
              <w:jc w:val="right"/>
              <w:rPr>
                <w:rFonts w:ascii="Calibri" w:eastAsiaTheme="minorEastAsia" w:hAnsi="Calibri" w:cs="Calibri"/>
                <w:i/>
                <w:iCs/>
                <w:color w:val="FFFFFF"/>
                <w:sz w:val="19"/>
                <w:lang w:eastAsia="en-AU"/>
              </w:rPr>
            </w:pPr>
            <w:r w:rsidRPr="001E7FA9">
              <w:rPr>
                <w:rFonts w:ascii="Calibri" w:eastAsiaTheme="minorEastAsia" w:hAnsi="Calibri" w:cs="Calibri"/>
                <w:i/>
                <w:iCs/>
                <w:color w:val="FFFFFF"/>
                <w:sz w:val="19"/>
                <w:lang w:eastAsia="en-AU"/>
              </w:rPr>
              <w:t>estimate</w:t>
            </w:r>
          </w:p>
        </w:tc>
        <w:tc>
          <w:tcPr>
            <w:tcW w:w="902" w:type="dxa"/>
            <w:tcBorders>
              <w:top w:val="nil"/>
              <w:left w:val="nil"/>
              <w:right w:val="nil"/>
            </w:tcBorders>
            <w:shd w:val="solid" w:color="000000" w:fill="auto"/>
          </w:tcPr>
          <w:p w:rsidR="00965D85" w:rsidRPr="001E7FA9" w:rsidRDefault="00965D85" w:rsidP="008B46DF">
            <w:pPr>
              <w:autoSpaceDE w:val="0"/>
              <w:autoSpaceDN w:val="0"/>
              <w:adjustRightInd w:val="0"/>
              <w:spacing w:after="0"/>
              <w:jc w:val="right"/>
              <w:rPr>
                <w:rFonts w:ascii="Calibri" w:eastAsiaTheme="minorEastAsia" w:hAnsi="Calibri" w:cs="Calibri"/>
                <w:i/>
                <w:iCs/>
                <w:color w:val="FFFFFF"/>
                <w:sz w:val="19"/>
                <w:lang w:eastAsia="en-AU"/>
              </w:rPr>
            </w:pPr>
            <w:r w:rsidRPr="001E7FA9">
              <w:rPr>
                <w:rFonts w:ascii="Calibri" w:eastAsiaTheme="minorEastAsia" w:hAnsi="Calibri" w:cs="Calibri"/>
                <w:i/>
                <w:iCs/>
                <w:color w:val="FFFFFF"/>
                <w:sz w:val="19"/>
                <w:lang w:eastAsia="en-AU"/>
              </w:rPr>
              <w:t>2018</w:t>
            </w:r>
            <w:r>
              <w:rPr>
                <w:rFonts w:ascii="Calibri" w:eastAsiaTheme="minorEastAsia" w:hAnsi="Calibri" w:cs="Calibri"/>
                <w:i/>
                <w:iCs/>
                <w:color w:val="FFFFFF"/>
                <w:sz w:val="19"/>
                <w:lang w:eastAsia="en-AU"/>
              </w:rPr>
              <w:noBreakHyphen/>
            </w:r>
            <w:r w:rsidRPr="001E7FA9">
              <w:rPr>
                <w:rFonts w:ascii="Calibri" w:eastAsiaTheme="minorEastAsia" w:hAnsi="Calibri" w:cs="Calibri"/>
                <w:i/>
                <w:iCs/>
                <w:color w:val="FFFFFF"/>
                <w:sz w:val="19"/>
                <w:lang w:eastAsia="en-AU"/>
              </w:rPr>
              <w:t>19</w:t>
            </w:r>
          </w:p>
          <w:p w:rsidR="00965D85" w:rsidRPr="001E7FA9" w:rsidRDefault="00965D85" w:rsidP="008B46DF">
            <w:pPr>
              <w:autoSpaceDE w:val="0"/>
              <w:autoSpaceDN w:val="0"/>
              <w:adjustRightInd w:val="0"/>
              <w:spacing w:after="0"/>
              <w:jc w:val="right"/>
              <w:rPr>
                <w:rFonts w:ascii="Calibri" w:eastAsiaTheme="minorEastAsia" w:hAnsi="Calibri" w:cs="Calibri"/>
                <w:i/>
                <w:iCs/>
                <w:color w:val="FFFFFF"/>
                <w:sz w:val="19"/>
                <w:lang w:eastAsia="en-AU"/>
              </w:rPr>
            </w:pPr>
            <w:r w:rsidRPr="001E7FA9">
              <w:rPr>
                <w:rFonts w:ascii="Calibri" w:eastAsiaTheme="minorEastAsia" w:hAnsi="Calibri" w:cs="Calibri"/>
                <w:i/>
                <w:iCs/>
                <w:color w:val="FFFFFF"/>
                <w:sz w:val="19"/>
                <w:lang w:eastAsia="en-AU"/>
              </w:rPr>
              <w:t>estimate</w:t>
            </w:r>
          </w:p>
        </w:tc>
      </w:tr>
      <w:tr w:rsidR="00965D85" w:rsidRPr="001E7FA9" w:rsidTr="008B46DF">
        <w:tc>
          <w:tcPr>
            <w:tcW w:w="3261" w:type="dxa"/>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b/>
                <w:bCs/>
                <w:color w:val="000000"/>
                <w:sz w:val="19"/>
                <w:lang w:eastAsia="en-AU"/>
              </w:rPr>
            </w:pPr>
            <w:r w:rsidRPr="001E7FA9">
              <w:rPr>
                <w:rFonts w:ascii="Calibri" w:eastAsiaTheme="minorEastAsia" w:hAnsi="Calibri" w:cs="Calibri"/>
                <w:b/>
                <w:bCs/>
                <w:color w:val="000000"/>
                <w:sz w:val="19"/>
                <w:lang w:eastAsia="en-AU"/>
              </w:rPr>
              <w:t>Cash flows from operating activities</w:t>
            </w:r>
          </w:p>
        </w:tc>
        <w:tc>
          <w:tcPr>
            <w:tcW w:w="901"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901"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901"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901"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902"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r>
      <w:tr w:rsidR="00965D85" w:rsidRPr="001E7FA9" w:rsidTr="008B46DF">
        <w:tc>
          <w:tcPr>
            <w:tcW w:w="3261" w:type="dxa"/>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b/>
                <w:bCs/>
                <w:color w:val="000000"/>
                <w:sz w:val="19"/>
                <w:lang w:eastAsia="en-AU"/>
              </w:rPr>
            </w:pPr>
            <w:r w:rsidRPr="001E7FA9">
              <w:rPr>
                <w:rFonts w:ascii="Calibri" w:eastAsiaTheme="minorEastAsia" w:hAnsi="Calibri" w:cs="Calibri"/>
                <w:b/>
                <w:bCs/>
                <w:color w:val="000000"/>
                <w:sz w:val="19"/>
                <w:lang w:eastAsia="en-AU"/>
              </w:rPr>
              <w:t>Receipts</w:t>
            </w:r>
          </w:p>
        </w:tc>
        <w:tc>
          <w:tcPr>
            <w:tcW w:w="901"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901"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901"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901"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902"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r>
      <w:tr w:rsidR="00965D85" w:rsidRPr="001E7FA9" w:rsidTr="008B46DF">
        <w:tc>
          <w:tcPr>
            <w:tcW w:w="3261" w:type="dxa"/>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Grants</w:t>
            </w:r>
          </w:p>
        </w:tc>
        <w:tc>
          <w:tcPr>
            <w:tcW w:w="901"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3 013.1</w:t>
            </w:r>
          </w:p>
        </w:tc>
        <w:tc>
          <w:tcPr>
            <w:tcW w:w="901"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3 076.5</w:t>
            </w:r>
          </w:p>
        </w:tc>
        <w:tc>
          <w:tcPr>
            <w:tcW w:w="901"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3 131.2</w:t>
            </w:r>
          </w:p>
        </w:tc>
        <w:tc>
          <w:tcPr>
            <w:tcW w:w="901"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3 094.7</w:t>
            </w:r>
          </w:p>
        </w:tc>
        <w:tc>
          <w:tcPr>
            <w:tcW w:w="902"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3 024.3</w:t>
            </w:r>
          </w:p>
        </w:tc>
      </w:tr>
      <w:tr w:rsidR="00965D85" w:rsidRPr="001E7FA9" w:rsidTr="008B46DF">
        <w:tc>
          <w:tcPr>
            <w:tcW w:w="3261" w:type="dxa"/>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color w:val="000000"/>
                <w:sz w:val="20"/>
                <w:vertAlign w:val="superscript"/>
                <w:lang w:eastAsia="en-AU"/>
              </w:rPr>
            </w:pPr>
            <w:r w:rsidRPr="001E7FA9">
              <w:rPr>
                <w:rFonts w:ascii="Calibri" w:eastAsiaTheme="minorEastAsia" w:hAnsi="Calibri" w:cs="Calibri"/>
                <w:color w:val="000000"/>
                <w:sz w:val="19"/>
                <w:lang w:eastAsia="en-AU"/>
              </w:rPr>
              <w:t>Sales of goods and services</w:t>
            </w:r>
            <w:r w:rsidRPr="001E7FA9">
              <w:rPr>
                <w:rFonts w:ascii="Calibri" w:eastAsiaTheme="minorEastAsia" w:hAnsi="Calibri" w:cs="Calibri"/>
                <w:color w:val="000000"/>
                <w:sz w:val="19"/>
                <w:vertAlign w:val="superscript"/>
                <w:lang w:eastAsia="en-AU"/>
              </w:rPr>
              <w:t xml:space="preserve"> (b)</w:t>
            </w:r>
          </w:p>
        </w:tc>
        <w:tc>
          <w:tcPr>
            <w:tcW w:w="901"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6 685.7</w:t>
            </w:r>
          </w:p>
        </w:tc>
        <w:tc>
          <w:tcPr>
            <w:tcW w:w="901"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6 819.2</w:t>
            </w:r>
          </w:p>
        </w:tc>
        <w:tc>
          <w:tcPr>
            <w:tcW w:w="901"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6 662.7</w:t>
            </w:r>
          </w:p>
        </w:tc>
        <w:tc>
          <w:tcPr>
            <w:tcW w:w="901"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6 840.6</w:t>
            </w:r>
          </w:p>
        </w:tc>
        <w:tc>
          <w:tcPr>
            <w:tcW w:w="902"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6 917.6</w:t>
            </w:r>
          </w:p>
        </w:tc>
      </w:tr>
      <w:tr w:rsidR="00965D85" w:rsidRPr="001E7FA9" w:rsidTr="008B46DF">
        <w:tc>
          <w:tcPr>
            <w:tcW w:w="3261" w:type="dxa"/>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Interest received</w:t>
            </w:r>
          </w:p>
        </w:tc>
        <w:tc>
          <w:tcPr>
            <w:tcW w:w="901"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28.9</w:t>
            </w:r>
          </w:p>
        </w:tc>
        <w:tc>
          <w:tcPr>
            <w:tcW w:w="901"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27.2</w:t>
            </w:r>
          </w:p>
        </w:tc>
        <w:tc>
          <w:tcPr>
            <w:tcW w:w="901"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21.4</w:t>
            </w:r>
          </w:p>
        </w:tc>
        <w:tc>
          <w:tcPr>
            <w:tcW w:w="901"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15.0</w:t>
            </w:r>
          </w:p>
        </w:tc>
        <w:tc>
          <w:tcPr>
            <w:tcW w:w="902"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14.5</w:t>
            </w:r>
          </w:p>
        </w:tc>
      </w:tr>
      <w:tr w:rsidR="00965D85" w:rsidRPr="001E7FA9" w:rsidTr="008B46DF">
        <w:tc>
          <w:tcPr>
            <w:tcW w:w="3261" w:type="dxa"/>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Dividends and income tax equivalent and rate equivalent receipts</w:t>
            </w:r>
          </w:p>
        </w:tc>
        <w:tc>
          <w:tcPr>
            <w:tcW w:w="901"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73.0</w:t>
            </w:r>
          </w:p>
        </w:tc>
        <w:tc>
          <w:tcPr>
            <w:tcW w:w="901"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16.5</w:t>
            </w:r>
          </w:p>
        </w:tc>
        <w:tc>
          <w:tcPr>
            <w:tcW w:w="901"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17.6</w:t>
            </w:r>
          </w:p>
        </w:tc>
        <w:tc>
          <w:tcPr>
            <w:tcW w:w="901"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18.1</w:t>
            </w:r>
          </w:p>
        </w:tc>
        <w:tc>
          <w:tcPr>
            <w:tcW w:w="902"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18.7</w:t>
            </w:r>
          </w:p>
        </w:tc>
      </w:tr>
      <w:tr w:rsidR="00965D85" w:rsidRPr="001E7FA9" w:rsidTr="008B46DF">
        <w:tc>
          <w:tcPr>
            <w:tcW w:w="3261" w:type="dxa"/>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Other receipts</w:t>
            </w:r>
          </w:p>
        </w:tc>
        <w:tc>
          <w:tcPr>
            <w:tcW w:w="901" w:type="dxa"/>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295.7</w:t>
            </w:r>
          </w:p>
        </w:tc>
        <w:tc>
          <w:tcPr>
            <w:tcW w:w="901" w:type="dxa"/>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265.2</w:t>
            </w:r>
          </w:p>
        </w:tc>
        <w:tc>
          <w:tcPr>
            <w:tcW w:w="901" w:type="dxa"/>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266.0</w:t>
            </w:r>
          </w:p>
        </w:tc>
        <w:tc>
          <w:tcPr>
            <w:tcW w:w="901" w:type="dxa"/>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272.1</w:t>
            </w:r>
          </w:p>
        </w:tc>
        <w:tc>
          <w:tcPr>
            <w:tcW w:w="902" w:type="dxa"/>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301.7</w:t>
            </w:r>
          </w:p>
        </w:tc>
      </w:tr>
      <w:tr w:rsidR="00965D85" w:rsidRPr="001E7FA9" w:rsidTr="008B46DF">
        <w:tc>
          <w:tcPr>
            <w:tcW w:w="3261" w:type="dxa"/>
            <w:tcBorders>
              <w:top w:val="single" w:sz="6" w:space="0" w:color="000000"/>
              <w:left w:val="nil"/>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b/>
                <w:bCs/>
                <w:color w:val="000000"/>
                <w:sz w:val="19"/>
                <w:lang w:eastAsia="en-AU"/>
              </w:rPr>
            </w:pPr>
            <w:r w:rsidRPr="001E7FA9">
              <w:rPr>
                <w:rFonts w:ascii="Calibri" w:eastAsiaTheme="minorEastAsia" w:hAnsi="Calibri" w:cs="Calibri"/>
                <w:b/>
                <w:bCs/>
                <w:color w:val="000000"/>
                <w:sz w:val="19"/>
                <w:lang w:eastAsia="en-AU"/>
              </w:rPr>
              <w:t>Total receipts</w:t>
            </w:r>
          </w:p>
        </w:tc>
        <w:tc>
          <w:tcPr>
            <w:tcW w:w="901" w:type="dxa"/>
            <w:tcBorders>
              <w:top w:val="single" w:sz="6" w:space="0" w:color="000000"/>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19"/>
                <w:lang w:eastAsia="en-AU"/>
              </w:rPr>
            </w:pPr>
            <w:r w:rsidRPr="001E7FA9">
              <w:rPr>
                <w:rFonts w:ascii="Calibri" w:eastAsiaTheme="minorEastAsia" w:hAnsi="Calibri" w:cs="Calibri"/>
                <w:b/>
                <w:bCs/>
                <w:color w:val="000000"/>
                <w:sz w:val="19"/>
                <w:lang w:eastAsia="en-AU"/>
              </w:rPr>
              <w:t>10 096.4</w:t>
            </w:r>
          </w:p>
        </w:tc>
        <w:tc>
          <w:tcPr>
            <w:tcW w:w="901" w:type="dxa"/>
            <w:tcBorders>
              <w:top w:val="single" w:sz="6" w:space="0" w:color="000000"/>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19"/>
                <w:lang w:eastAsia="en-AU"/>
              </w:rPr>
            </w:pPr>
            <w:r w:rsidRPr="001E7FA9">
              <w:rPr>
                <w:rFonts w:ascii="Calibri" w:eastAsiaTheme="minorEastAsia" w:hAnsi="Calibri" w:cs="Calibri"/>
                <w:b/>
                <w:bCs/>
                <w:color w:val="000000"/>
                <w:sz w:val="19"/>
                <w:lang w:eastAsia="en-AU"/>
              </w:rPr>
              <w:t>10 204.5</w:t>
            </w:r>
          </w:p>
        </w:tc>
        <w:tc>
          <w:tcPr>
            <w:tcW w:w="901" w:type="dxa"/>
            <w:tcBorders>
              <w:top w:val="single" w:sz="6" w:space="0" w:color="000000"/>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19"/>
                <w:lang w:eastAsia="en-AU"/>
              </w:rPr>
            </w:pPr>
            <w:r w:rsidRPr="001E7FA9">
              <w:rPr>
                <w:rFonts w:ascii="Calibri" w:eastAsiaTheme="minorEastAsia" w:hAnsi="Calibri" w:cs="Calibri"/>
                <w:b/>
                <w:bCs/>
                <w:color w:val="000000"/>
                <w:sz w:val="19"/>
                <w:lang w:eastAsia="en-AU"/>
              </w:rPr>
              <w:t>10 098.9</w:t>
            </w:r>
          </w:p>
        </w:tc>
        <w:tc>
          <w:tcPr>
            <w:tcW w:w="901" w:type="dxa"/>
            <w:tcBorders>
              <w:top w:val="single" w:sz="6" w:space="0" w:color="000000"/>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19"/>
                <w:lang w:eastAsia="en-AU"/>
              </w:rPr>
            </w:pPr>
            <w:r w:rsidRPr="001E7FA9">
              <w:rPr>
                <w:rFonts w:ascii="Calibri" w:eastAsiaTheme="minorEastAsia" w:hAnsi="Calibri" w:cs="Calibri"/>
                <w:b/>
                <w:bCs/>
                <w:color w:val="000000"/>
                <w:sz w:val="19"/>
                <w:lang w:eastAsia="en-AU"/>
              </w:rPr>
              <w:t>10 240.5</w:t>
            </w:r>
          </w:p>
        </w:tc>
        <w:tc>
          <w:tcPr>
            <w:tcW w:w="902" w:type="dxa"/>
            <w:tcBorders>
              <w:top w:val="single" w:sz="6" w:space="0" w:color="000000"/>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19"/>
                <w:lang w:eastAsia="en-AU"/>
              </w:rPr>
            </w:pPr>
            <w:r w:rsidRPr="001E7FA9">
              <w:rPr>
                <w:rFonts w:ascii="Calibri" w:eastAsiaTheme="minorEastAsia" w:hAnsi="Calibri" w:cs="Calibri"/>
                <w:b/>
                <w:bCs/>
                <w:color w:val="000000"/>
                <w:sz w:val="19"/>
                <w:lang w:eastAsia="en-AU"/>
              </w:rPr>
              <w:t>10 276.8</w:t>
            </w:r>
          </w:p>
        </w:tc>
      </w:tr>
      <w:tr w:rsidR="00965D85" w:rsidRPr="001E7FA9" w:rsidTr="008B46DF">
        <w:tc>
          <w:tcPr>
            <w:tcW w:w="3261" w:type="dxa"/>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b/>
                <w:bCs/>
                <w:color w:val="000000"/>
                <w:sz w:val="19"/>
                <w:lang w:eastAsia="en-AU"/>
              </w:rPr>
            </w:pPr>
            <w:r w:rsidRPr="001E7FA9">
              <w:rPr>
                <w:rFonts w:ascii="Calibri" w:eastAsiaTheme="minorEastAsia" w:hAnsi="Calibri" w:cs="Calibri"/>
                <w:b/>
                <w:bCs/>
                <w:color w:val="000000"/>
                <w:sz w:val="19"/>
                <w:lang w:eastAsia="en-AU"/>
              </w:rPr>
              <w:t>Payments</w:t>
            </w:r>
          </w:p>
        </w:tc>
        <w:tc>
          <w:tcPr>
            <w:tcW w:w="901"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901"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901"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901"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902"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r>
      <w:tr w:rsidR="00965D85" w:rsidRPr="001E7FA9" w:rsidTr="008B46DF">
        <w:tc>
          <w:tcPr>
            <w:tcW w:w="3261" w:type="dxa"/>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Payments for employees</w:t>
            </w:r>
          </w:p>
        </w:tc>
        <w:tc>
          <w:tcPr>
            <w:tcW w:w="901"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(1 083.9)</w:t>
            </w:r>
          </w:p>
        </w:tc>
        <w:tc>
          <w:tcPr>
            <w:tcW w:w="901"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(1 144.5)</w:t>
            </w:r>
          </w:p>
        </w:tc>
        <w:tc>
          <w:tcPr>
            <w:tcW w:w="901"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(1 115.7)</w:t>
            </w:r>
          </w:p>
        </w:tc>
        <w:tc>
          <w:tcPr>
            <w:tcW w:w="901"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(1 144.0)</w:t>
            </w:r>
          </w:p>
        </w:tc>
        <w:tc>
          <w:tcPr>
            <w:tcW w:w="902"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(1 161.9)</w:t>
            </w:r>
          </w:p>
        </w:tc>
      </w:tr>
      <w:tr w:rsidR="00965D85" w:rsidRPr="001E7FA9" w:rsidTr="008B46DF">
        <w:tc>
          <w:tcPr>
            <w:tcW w:w="3261" w:type="dxa"/>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Superannuation</w:t>
            </w:r>
          </w:p>
        </w:tc>
        <w:tc>
          <w:tcPr>
            <w:tcW w:w="901"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(108.7)</w:t>
            </w:r>
          </w:p>
        </w:tc>
        <w:tc>
          <w:tcPr>
            <w:tcW w:w="901"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(113.9)</w:t>
            </w:r>
          </w:p>
        </w:tc>
        <w:tc>
          <w:tcPr>
            <w:tcW w:w="901"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(99.5)</w:t>
            </w:r>
          </w:p>
        </w:tc>
        <w:tc>
          <w:tcPr>
            <w:tcW w:w="901"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(101.8)</w:t>
            </w:r>
          </w:p>
        </w:tc>
        <w:tc>
          <w:tcPr>
            <w:tcW w:w="902"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(103.4)</w:t>
            </w:r>
          </w:p>
        </w:tc>
      </w:tr>
      <w:tr w:rsidR="00965D85" w:rsidRPr="001E7FA9" w:rsidTr="008B46DF">
        <w:tc>
          <w:tcPr>
            <w:tcW w:w="3261" w:type="dxa"/>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Interest paid</w:t>
            </w:r>
          </w:p>
        </w:tc>
        <w:tc>
          <w:tcPr>
            <w:tcW w:w="901"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(1 136.3)</w:t>
            </w:r>
          </w:p>
        </w:tc>
        <w:tc>
          <w:tcPr>
            <w:tcW w:w="901"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(1 068.5)</w:t>
            </w:r>
          </w:p>
        </w:tc>
        <w:tc>
          <w:tcPr>
            <w:tcW w:w="901"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(1 071.1)</w:t>
            </w:r>
          </w:p>
        </w:tc>
        <w:tc>
          <w:tcPr>
            <w:tcW w:w="901"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(1 033.7)</w:t>
            </w:r>
          </w:p>
        </w:tc>
        <w:tc>
          <w:tcPr>
            <w:tcW w:w="902"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(1 033.0)</w:t>
            </w:r>
          </w:p>
        </w:tc>
      </w:tr>
      <w:tr w:rsidR="00965D85" w:rsidRPr="001E7FA9" w:rsidTr="008B46DF">
        <w:tc>
          <w:tcPr>
            <w:tcW w:w="3261" w:type="dxa"/>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Grants and subsidies</w:t>
            </w:r>
          </w:p>
        </w:tc>
        <w:tc>
          <w:tcPr>
            <w:tcW w:w="901"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(119.4)</w:t>
            </w:r>
          </w:p>
        </w:tc>
        <w:tc>
          <w:tcPr>
            <w:tcW w:w="901"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(112.7)</w:t>
            </w:r>
          </w:p>
        </w:tc>
        <w:tc>
          <w:tcPr>
            <w:tcW w:w="901"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(74.8)</w:t>
            </w:r>
          </w:p>
        </w:tc>
        <w:tc>
          <w:tcPr>
            <w:tcW w:w="901"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(45.7)</w:t>
            </w:r>
          </w:p>
        </w:tc>
        <w:tc>
          <w:tcPr>
            <w:tcW w:w="902"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(43.4)</w:t>
            </w:r>
          </w:p>
        </w:tc>
      </w:tr>
      <w:tr w:rsidR="00965D85" w:rsidRPr="001E7FA9" w:rsidTr="008B46DF">
        <w:tc>
          <w:tcPr>
            <w:tcW w:w="3261" w:type="dxa"/>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color w:val="000000"/>
                <w:sz w:val="20"/>
                <w:vertAlign w:val="superscript"/>
                <w:lang w:eastAsia="en-AU"/>
              </w:rPr>
            </w:pPr>
            <w:r w:rsidRPr="001E7FA9">
              <w:rPr>
                <w:rFonts w:ascii="Calibri" w:eastAsiaTheme="minorEastAsia" w:hAnsi="Calibri" w:cs="Calibri"/>
                <w:color w:val="000000"/>
                <w:sz w:val="19"/>
                <w:lang w:eastAsia="en-AU"/>
              </w:rPr>
              <w:t>Goods and services</w:t>
            </w:r>
            <w:r w:rsidRPr="001E7FA9">
              <w:rPr>
                <w:rFonts w:ascii="Calibri" w:eastAsiaTheme="minorEastAsia" w:hAnsi="Calibri" w:cs="Calibri"/>
                <w:color w:val="000000"/>
                <w:sz w:val="19"/>
                <w:vertAlign w:val="superscript"/>
                <w:lang w:eastAsia="en-AU"/>
              </w:rPr>
              <w:t xml:space="preserve"> (b)</w:t>
            </w:r>
          </w:p>
        </w:tc>
        <w:tc>
          <w:tcPr>
            <w:tcW w:w="901"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(4 167.0)</w:t>
            </w:r>
          </w:p>
        </w:tc>
        <w:tc>
          <w:tcPr>
            <w:tcW w:w="901"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(4 306.5)</w:t>
            </w:r>
          </w:p>
        </w:tc>
        <w:tc>
          <w:tcPr>
            <w:tcW w:w="901"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(3 997.3)</w:t>
            </w:r>
          </w:p>
        </w:tc>
        <w:tc>
          <w:tcPr>
            <w:tcW w:w="901"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(4 133.8)</w:t>
            </w:r>
          </w:p>
        </w:tc>
        <w:tc>
          <w:tcPr>
            <w:tcW w:w="902"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(3 806.7)</w:t>
            </w:r>
          </w:p>
        </w:tc>
      </w:tr>
      <w:tr w:rsidR="00965D85" w:rsidRPr="001E7FA9" w:rsidTr="008B46DF">
        <w:tc>
          <w:tcPr>
            <w:tcW w:w="3261" w:type="dxa"/>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Other payments</w:t>
            </w:r>
          </w:p>
        </w:tc>
        <w:tc>
          <w:tcPr>
            <w:tcW w:w="901" w:type="dxa"/>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(1 831.5)</w:t>
            </w:r>
          </w:p>
        </w:tc>
        <w:tc>
          <w:tcPr>
            <w:tcW w:w="901" w:type="dxa"/>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(1 941.7)</w:t>
            </w:r>
          </w:p>
        </w:tc>
        <w:tc>
          <w:tcPr>
            <w:tcW w:w="901" w:type="dxa"/>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(2 190.3)</w:t>
            </w:r>
          </w:p>
        </w:tc>
        <w:tc>
          <w:tcPr>
            <w:tcW w:w="901" w:type="dxa"/>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(2 266.4)</w:t>
            </w:r>
          </w:p>
        </w:tc>
        <w:tc>
          <w:tcPr>
            <w:tcW w:w="902" w:type="dxa"/>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(2 314.9)</w:t>
            </w:r>
          </w:p>
        </w:tc>
      </w:tr>
      <w:tr w:rsidR="00965D85" w:rsidRPr="001E7FA9" w:rsidTr="008B46DF">
        <w:tc>
          <w:tcPr>
            <w:tcW w:w="3261" w:type="dxa"/>
            <w:tcBorders>
              <w:top w:val="single" w:sz="6" w:space="0" w:color="000000"/>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b/>
                <w:bCs/>
                <w:color w:val="000000"/>
                <w:sz w:val="19"/>
                <w:lang w:eastAsia="en-AU"/>
              </w:rPr>
            </w:pPr>
            <w:r w:rsidRPr="001E7FA9">
              <w:rPr>
                <w:rFonts w:ascii="Calibri" w:eastAsiaTheme="minorEastAsia" w:hAnsi="Calibri" w:cs="Calibri"/>
                <w:b/>
                <w:bCs/>
                <w:color w:val="000000"/>
                <w:sz w:val="19"/>
                <w:lang w:eastAsia="en-AU"/>
              </w:rPr>
              <w:t>Total payments</w:t>
            </w:r>
          </w:p>
        </w:tc>
        <w:tc>
          <w:tcPr>
            <w:tcW w:w="901" w:type="dxa"/>
            <w:tcBorders>
              <w:top w:val="single" w:sz="6" w:space="0" w:color="000000"/>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19"/>
                <w:lang w:eastAsia="en-AU"/>
              </w:rPr>
              <w:t>(8 446.7)</w:t>
            </w:r>
          </w:p>
        </w:tc>
        <w:tc>
          <w:tcPr>
            <w:tcW w:w="901" w:type="dxa"/>
            <w:tcBorders>
              <w:top w:val="single" w:sz="6" w:space="0" w:color="000000"/>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19"/>
                <w:lang w:eastAsia="en-AU"/>
              </w:rPr>
              <w:t>(8 687.7)</w:t>
            </w:r>
          </w:p>
        </w:tc>
        <w:tc>
          <w:tcPr>
            <w:tcW w:w="901" w:type="dxa"/>
            <w:tcBorders>
              <w:top w:val="single" w:sz="6" w:space="0" w:color="000000"/>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19"/>
                <w:lang w:eastAsia="en-AU"/>
              </w:rPr>
              <w:t>(8 548.8)</w:t>
            </w:r>
          </w:p>
        </w:tc>
        <w:tc>
          <w:tcPr>
            <w:tcW w:w="901" w:type="dxa"/>
            <w:tcBorders>
              <w:top w:val="single" w:sz="6" w:space="0" w:color="000000"/>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19"/>
                <w:lang w:eastAsia="en-AU"/>
              </w:rPr>
              <w:t>(8 725.5)</w:t>
            </w:r>
          </w:p>
        </w:tc>
        <w:tc>
          <w:tcPr>
            <w:tcW w:w="902" w:type="dxa"/>
            <w:tcBorders>
              <w:top w:val="single" w:sz="6" w:space="0" w:color="000000"/>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19"/>
                <w:lang w:eastAsia="en-AU"/>
              </w:rPr>
              <w:t>(8 463.3)</w:t>
            </w:r>
          </w:p>
        </w:tc>
      </w:tr>
      <w:tr w:rsidR="00965D85" w:rsidRPr="001E7FA9" w:rsidTr="008B46DF">
        <w:tc>
          <w:tcPr>
            <w:tcW w:w="3261" w:type="dxa"/>
            <w:tcBorders>
              <w:top w:val="single" w:sz="6" w:space="0" w:color="000000"/>
              <w:left w:val="nil"/>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b/>
                <w:bCs/>
                <w:color w:val="000000"/>
                <w:sz w:val="19"/>
                <w:lang w:eastAsia="en-AU"/>
              </w:rPr>
            </w:pPr>
            <w:r w:rsidRPr="001E7FA9">
              <w:rPr>
                <w:rFonts w:ascii="Calibri" w:eastAsiaTheme="minorEastAsia" w:hAnsi="Calibri" w:cs="Calibri"/>
                <w:b/>
                <w:bCs/>
                <w:color w:val="000000"/>
                <w:sz w:val="19"/>
                <w:lang w:eastAsia="en-AU"/>
              </w:rPr>
              <w:t>Net cash flows from operating activities</w:t>
            </w:r>
          </w:p>
        </w:tc>
        <w:tc>
          <w:tcPr>
            <w:tcW w:w="901" w:type="dxa"/>
            <w:tcBorders>
              <w:top w:val="single" w:sz="6" w:space="0" w:color="000000"/>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19"/>
                <w:lang w:eastAsia="en-AU"/>
              </w:rPr>
            </w:pPr>
            <w:r w:rsidRPr="001E7FA9">
              <w:rPr>
                <w:rFonts w:ascii="Calibri" w:eastAsiaTheme="minorEastAsia" w:hAnsi="Calibri" w:cs="Calibri"/>
                <w:b/>
                <w:bCs/>
                <w:color w:val="000000"/>
                <w:sz w:val="19"/>
                <w:lang w:eastAsia="en-AU"/>
              </w:rPr>
              <w:t>1 649.7</w:t>
            </w:r>
          </w:p>
        </w:tc>
        <w:tc>
          <w:tcPr>
            <w:tcW w:w="901" w:type="dxa"/>
            <w:tcBorders>
              <w:top w:val="single" w:sz="6" w:space="0" w:color="000000"/>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19"/>
                <w:lang w:eastAsia="en-AU"/>
              </w:rPr>
            </w:pPr>
            <w:r w:rsidRPr="001E7FA9">
              <w:rPr>
                <w:rFonts w:ascii="Calibri" w:eastAsiaTheme="minorEastAsia" w:hAnsi="Calibri" w:cs="Calibri"/>
                <w:b/>
                <w:bCs/>
                <w:color w:val="000000"/>
                <w:sz w:val="19"/>
                <w:lang w:eastAsia="en-AU"/>
              </w:rPr>
              <w:t>1 516.8</w:t>
            </w:r>
          </w:p>
        </w:tc>
        <w:tc>
          <w:tcPr>
            <w:tcW w:w="901" w:type="dxa"/>
            <w:tcBorders>
              <w:top w:val="single" w:sz="6" w:space="0" w:color="000000"/>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19"/>
                <w:lang w:eastAsia="en-AU"/>
              </w:rPr>
            </w:pPr>
            <w:r w:rsidRPr="001E7FA9">
              <w:rPr>
                <w:rFonts w:ascii="Calibri" w:eastAsiaTheme="minorEastAsia" w:hAnsi="Calibri" w:cs="Calibri"/>
                <w:b/>
                <w:bCs/>
                <w:color w:val="000000"/>
                <w:sz w:val="19"/>
                <w:lang w:eastAsia="en-AU"/>
              </w:rPr>
              <w:t>1 550.1</w:t>
            </w:r>
          </w:p>
        </w:tc>
        <w:tc>
          <w:tcPr>
            <w:tcW w:w="901" w:type="dxa"/>
            <w:tcBorders>
              <w:top w:val="single" w:sz="6" w:space="0" w:color="000000"/>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19"/>
                <w:lang w:eastAsia="en-AU"/>
              </w:rPr>
            </w:pPr>
            <w:r w:rsidRPr="001E7FA9">
              <w:rPr>
                <w:rFonts w:ascii="Calibri" w:eastAsiaTheme="minorEastAsia" w:hAnsi="Calibri" w:cs="Calibri"/>
                <w:b/>
                <w:bCs/>
                <w:color w:val="000000"/>
                <w:sz w:val="19"/>
                <w:lang w:eastAsia="en-AU"/>
              </w:rPr>
              <w:t>1 515.1</w:t>
            </w:r>
          </w:p>
        </w:tc>
        <w:tc>
          <w:tcPr>
            <w:tcW w:w="902" w:type="dxa"/>
            <w:tcBorders>
              <w:top w:val="single" w:sz="6" w:space="0" w:color="000000"/>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19"/>
                <w:lang w:eastAsia="en-AU"/>
              </w:rPr>
            </w:pPr>
            <w:r w:rsidRPr="001E7FA9">
              <w:rPr>
                <w:rFonts w:ascii="Calibri" w:eastAsiaTheme="minorEastAsia" w:hAnsi="Calibri" w:cs="Calibri"/>
                <w:b/>
                <w:bCs/>
                <w:color w:val="000000"/>
                <w:sz w:val="19"/>
                <w:lang w:eastAsia="en-AU"/>
              </w:rPr>
              <w:t>1 813.5</w:t>
            </w:r>
          </w:p>
        </w:tc>
      </w:tr>
      <w:tr w:rsidR="00965D85" w:rsidRPr="001E7FA9" w:rsidTr="008B46DF">
        <w:tc>
          <w:tcPr>
            <w:tcW w:w="3261" w:type="dxa"/>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b/>
                <w:bCs/>
                <w:color w:val="000000"/>
                <w:sz w:val="19"/>
                <w:lang w:eastAsia="en-AU"/>
              </w:rPr>
            </w:pPr>
            <w:r w:rsidRPr="001E7FA9">
              <w:rPr>
                <w:rFonts w:ascii="Calibri" w:eastAsiaTheme="minorEastAsia" w:hAnsi="Calibri" w:cs="Calibri"/>
                <w:b/>
                <w:bCs/>
                <w:color w:val="000000"/>
                <w:sz w:val="19"/>
                <w:lang w:eastAsia="en-AU"/>
              </w:rPr>
              <w:t>Cash flows from investing activities</w:t>
            </w:r>
          </w:p>
        </w:tc>
        <w:tc>
          <w:tcPr>
            <w:tcW w:w="901"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901"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901"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901"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902"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r>
      <w:tr w:rsidR="00965D85" w:rsidRPr="001E7FA9" w:rsidTr="008B46DF">
        <w:tc>
          <w:tcPr>
            <w:tcW w:w="3261" w:type="dxa"/>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Net cash flows from investments in non</w:t>
            </w:r>
            <w:r>
              <w:rPr>
                <w:rFonts w:ascii="Calibri" w:eastAsiaTheme="minorEastAsia" w:hAnsi="Calibri" w:cs="Calibri"/>
                <w:color w:val="000000"/>
                <w:sz w:val="19"/>
                <w:lang w:eastAsia="en-AU"/>
              </w:rPr>
              <w:noBreakHyphen/>
            </w:r>
            <w:r w:rsidRPr="001E7FA9">
              <w:rPr>
                <w:rFonts w:ascii="Calibri" w:eastAsiaTheme="minorEastAsia" w:hAnsi="Calibri" w:cs="Calibri"/>
                <w:color w:val="000000"/>
                <w:sz w:val="19"/>
                <w:lang w:eastAsia="en-AU"/>
              </w:rPr>
              <w:t>financial assets</w:t>
            </w:r>
          </w:p>
        </w:tc>
        <w:tc>
          <w:tcPr>
            <w:tcW w:w="901"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4 423.6</w:t>
            </w:r>
          </w:p>
        </w:tc>
        <w:tc>
          <w:tcPr>
            <w:tcW w:w="901"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4 570.6</w:t>
            </w:r>
          </w:p>
        </w:tc>
        <w:tc>
          <w:tcPr>
            <w:tcW w:w="901"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(2 172.9)</w:t>
            </w:r>
          </w:p>
        </w:tc>
        <w:tc>
          <w:tcPr>
            <w:tcW w:w="901"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(2 047.1)</w:t>
            </w:r>
          </w:p>
        </w:tc>
        <w:tc>
          <w:tcPr>
            <w:tcW w:w="902"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(2 264.9)</w:t>
            </w:r>
          </w:p>
        </w:tc>
      </w:tr>
      <w:tr w:rsidR="00965D85" w:rsidRPr="001E7FA9" w:rsidTr="008B46DF">
        <w:tc>
          <w:tcPr>
            <w:tcW w:w="3261" w:type="dxa"/>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Net cash flows from investments in financial assets for policy purposes</w:t>
            </w:r>
          </w:p>
        </w:tc>
        <w:tc>
          <w:tcPr>
            <w:tcW w:w="901"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(41.9)</w:t>
            </w:r>
          </w:p>
        </w:tc>
        <w:tc>
          <w:tcPr>
            <w:tcW w:w="901"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(210.5)</w:t>
            </w:r>
          </w:p>
        </w:tc>
        <w:tc>
          <w:tcPr>
            <w:tcW w:w="901"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63.1</w:t>
            </w:r>
          </w:p>
        </w:tc>
        <w:tc>
          <w:tcPr>
            <w:tcW w:w="901"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61.1</w:t>
            </w:r>
          </w:p>
        </w:tc>
        <w:tc>
          <w:tcPr>
            <w:tcW w:w="902"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64.3</w:t>
            </w:r>
          </w:p>
        </w:tc>
      </w:tr>
      <w:tr w:rsidR="00965D85" w:rsidRPr="001E7FA9" w:rsidTr="008B46DF">
        <w:tc>
          <w:tcPr>
            <w:tcW w:w="3261" w:type="dxa"/>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Net cash flows from investment in financial assets for liquidity management purposes</w:t>
            </w:r>
          </w:p>
        </w:tc>
        <w:tc>
          <w:tcPr>
            <w:tcW w:w="901" w:type="dxa"/>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(61.6)</w:t>
            </w:r>
          </w:p>
        </w:tc>
        <w:tc>
          <w:tcPr>
            <w:tcW w:w="901" w:type="dxa"/>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84.3</w:t>
            </w:r>
          </w:p>
        </w:tc>
        <w:tc>
          <w:tcPr>
            <w:tcW w:w="901" w:type="dxa"/>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233.8</w:t>
            </w:r>
          </w:p>
        </w:tc>
        <w:tc>
          <w:tcPr>
            <w:tcW w:w="901" w:type="dxa"/>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16.9</w:t>
            </w:r>
          </w:p>
        </w:tc>
        <w:tc>
          <w:tcPr>
            <w:tcW w:w="902" w:type="dxa"/>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(20.5)</w:t>
            </w:r>
          </w:p>
        </w:tc>
      </w:tr>
      <w:tr w:rsidR="00965D85" w:rsidRPr="001E7FA9" w:rsidTr="008B46DF">
        <w:tc>
          <w:tcPr>
            <w:tcW w:w="3261" w:type="dxa"/>
            <w:tcBorders>
              <w:top w:val="single" w:sz="6" w:space="0" w:color="000000"/>
              <w:left w:val="nil"/>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b/>
                <w:bCs/>
                <w:color w:val="000000"/>
                <w:sz w:val="19"/>
                <w:lang w:eastAsia="en-AU"/>
              </w:rPr>
            </w:pPr>
            <w:r w:rsidRPr="001E7FA9">
              <w:rPr>
                <w:rFonts w:ascii="Calibri" w:eastAsiaTheme="minorEastAsia" w:hAnsi="Calibri" w:cs="Calibri"/>
                <w:b/>
                <w:bCs/>
                <w:color w:val="000000"/>
                <w:sz w:val="19"/>
                <w:lang w:eastAsia="en-AU"/>
              </w:rPr>
              <w:t>Net cash flows from investing activities</w:t>
            </w:r>
          </w:p>
        </w:tc>
        <w:tc>
          <w:tcPr>
            <w:tcW w:w="901" w:type="dxa"/>
            <w:tcBorders>
              <w:top w:val="single" w:sz="6" w:space="0" w:color="000000"/>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19"/>
                <w:lang w:eastAsia="en-AU"/>
              </w:rPr>
            </w:pPr>
            <w:r w:rsidRPr="001E7FA9">
              <w:rPr>
                <w:rFonts w:ascii="Calibri" w:eastAsiaTheme="minorEastAsia" w:hAnsi="Calibri" w:cs="Calibri"/>
                <w:b/>
                <w:bCs/>
                <w:color w:val="000000"/>
                <w:sz w:val="19"/>
                <w:lang w:eastAsia="en-AU"/>
              </w:rPr>
              <w:t>4 320.0</w:t>
            </w:r>
          </w:p>
        </w:tc>
        <w:tc>
          <w:tcPr>
            <w:tcW w:w="901" w:type="dxa"/>
            <w:tcBorders>
              <w:top w:val="single" w:sz="6" w:space="0" w:color="000000"/>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19"/>
                <w:lang w:eastAsia="en-AU"/>
              </w:rPr>
            </w:pPr>
            <w:r w:rsidRPr="001E7FA9">
              <w:rPr>
                <w:rFonts w:ascii="Calibri" w:eastAsiaTheme="minorEastAsia" w:hAnsi="Calibri" w:cs="Calibri"/>
                <w:b/>
                <w:bCs/>
                <w:color w:val="000000"/>
                <w:sz w:val="19"/>
                <w:lang w:eastAsia="en-AU"/>
              </w:rPr>
              <w:t>4 444.4</w:t>
            </w:r>
          </w:p>
        </w:tc>
        <w:tc>
          <w:tcPr>
            <w:tcW w:w="901" w:type="dxa"/>
            <w:tcBorders>
              <w:top w:val="single" w:sz="6" w:space="0" w:color="000000"/>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19"/>
                <w:lang w:eastAsia="en-AU"/>
              </w:rPr>
              <w:t>(1 876.1)</w:t>
            </w:r>
          </w:p>
        </w:tc>
        <w:tc>
          <w:tcPr>
            <w:tcW w:w="901" w:type="dxa"/>
            <w:tcBorders>
              <w:top w:val="single" w:sz="6" w:space="0" w:color="000000"/>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19"/>
                <w:lang w:eastAsia="en-AU"/>
              </w:rPr>
              <w:t>(1 969.1)</w:t>
            </w:r>
          </w:p>
        </w:tc>
        <w:tc>
          <w:tcPr>
            <w:tcW w:w="902" w:type="dxa"/>
            <w:tcBorders>
              <w:top w:val="single" w:sz="6" w:space="0" w:color="000000"/>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19"/>
                <w:lang w:eastAsia="en-AU"/>
              </w:rPr>
              <w:t>(2 221.1)</w:t>
            </w:r>
          </w:p>
        </w:tc>
      </w:tr>
      <w:tr w:rsidR="00965D85" w:rsidRPr="001E7FA9" w:rsidTr="008B46DF">
        <w:tc>
          <w:tcPr>
            <w:tcW w:w="3261" w:type="dxa"/>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b/>
                <w:bCs/>
                <w:color w:val="000000"/>
                <w:sz w:val="19"/>
                <w:lang w:eastAsia="en-AU"/>
              </w:rPr>
            </w:pPr>
            <w:r w:rsidRPr="001E7FA9">
              <w:rPr>
                <w:rFonts w:ascii="Calibri" w:eastAsiaTheme="minorEastAsia" w:hAnsi="Calibri" w:cs="Calibri"/>
                <w:b/>
                <w:bCs/>
                <w:color w:val="000000"/>
                <w:sz w:val="19"/>
                <w:lang w:eastAsia="en-AU"/>
              </w:rPr>
              <w:t>Cash flows from financing activities</w:t>
            </w:r>
          </w:p>
        </w:tc>
        <w:tc>
          <w:tcPr>
            <w:tcW w:w="901"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901"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901"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901"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902"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r>
      <w:tr w:rsidR="00965D85" w:rsidRPr="001E7FA9" w:rsidTr="008B46DF">
        <w:tc>
          <w:tcPr>
            <w:tcW w:w="3261" w:type="dxa"/>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Advances received (net)</w:t>
            </w:r>
          </w:p>
        </w:tc>
        <w:tc>
          <w:tcPr>
            <w:tcW w:w="901"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1.1</w:t>
            </w:r>
          </w:p>
        </w:tc>
        <w:tc>
          <w:tcPr>
            <w:tcW w:w="901"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1.1</w:t>
            </w:r>
          </w:p>
        </w:tc>
        <w:tc>
          <w:tcPr>
            <w:tcW w:w="901"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(1.6)</w:t>
            </w:r>
          </w:p>
        </w:tc>
        <w:tc>
          <w:tcPr>
            <w:tcW w:w="901"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(0.7)</w:t>
            </w:r>
          </w:p>
        </w:tc>
        <w:tc>
          <w:tcPr>
            <w:tcW w:w="902"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(1.1)</w:t>
            </w:r>
          </w:p>
        </w:tc>
      </w:tr>
      <w:tr w:rsidR="00965D85" w:rsidRPr="001E7FA9" w:rsidTr="008B46DF">
        <w:tc>
          <w:tcPr>
            <w:tcW w:w="3261" w:type="dxa"/>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Net borrowings</w:t>
            </w:r>
          </w:p>
        </w:tc>
        <w:tc>
          <w:tcPr>
            <w:tcW w:w="901"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626.0</w:t>
            </w:r>
          </w:p>
        </w:tc>
        <w:tc>
          <w:tcPr>
            <w:tcW w:w="901"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368.8</w:t>
            </w:r>
          </w:p>
        </w:tc>
        <w:tc>
          <w:tcPr>
            <w:tcW w:w="901"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353.4</w:t>
            </w:r>
          </w:p>
        </w:tc>
        <w:tc>
          <w:tcPr>
            <w:tcW w:w="901"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272.3</w:t>
            </w:r>
          </w:p>
        </w:tc>
        <w:tc>
          <w:tcPr>
            <w:tcW w:w="902"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315.6</w:t>
            </w:r>
          </w:p>
        </w:tc>
      </w:tr>
      <w:tr w:rsidR="00965D85" w:rsidRPr="001E7FA9" w:rsidTr="008B46DF">
        <w:tc>
          <w:tcPr>
            <w:tcW w:w="3261" w:type="dxa"/>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Deposits received (net)</w:t>
            </w:r>
          </w:p>
        </w:tc>
        <w:tc>
          <w:tcPr>
            <w:tcW w:w="901"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(0.2)</w:t>
            </w:r>
          </w:p>
        </w:tc>
        <w:tc>
          <w:tcPr>
            <w:tcW w:w="901"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2.2</w:t>
            </w:r>
          </w:p>
        </w:tc>
        <w:tc>
          <w:tcPr>
            <w:tcW w:w="901"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1.0</w:t>
            </w:r>
          </w:p>
        </w:tc>
        <w:tc>
          <w:tcPr>
            <w:tcW w:w="901"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0.7</w:t>
            </w:r>
          </w:p>
        </w:tc>
        <w:tc>
          <w:tcPr>
            <w:tcW w:w="902"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2.1</w:t>
            </w:r>
          </w:p>
        </w:tc>
      </w:tr>
      <w:tr w:rsidR="00965D85" w:rsidRPr="001E7FA9" w:rsidTr="008B46DF">
        <w:tc>
          <w:tcPr>
            <w:tcW w:w="3261" w:type="dxa"/>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Other financing (net)</w:t>
            </w:r>
          </w:p>
        </w:tc>
        <w:tc>
          <w:tcPr>
            <w:tcW w:w="901" w:type="dxa"/>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(6 705.5)</w:t>
            </w:r>
          </w:p>
        </w:tc>
        <w:tc>
          <w:tcPr>
            <w:tcW w:w="901" w:type="dxa"/>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(6 733.2)</w:t>
            </w:r>
          </w:p>
        </w:tc>
        <w:tc>
          <w:tcPr>
            <w:tcW w:w="901" w:type="dxa"/>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(93.5)</w:t>
            </w:r>
          </w:p>
        </w:tc>
        <w:tc>
          <w:tcPr>
            <w:tcW w:w="901" w:type="dxa"/>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46.3</w:t>
            </w:r>
          </w:p>
        </w:tc>
        <w:tc>
          <w:tcPr>
            <w:tcW w:w="902" w:type="dxa"/>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61.8</w:t>
            </w:r>
          </w:p>
        </w:tc>
      </w:tr>
      <w:tr w:rsidR="00965D85" w:rsidRPr="001E7FA9" w:rsidTr="008B46DF">
        <w:tc>
          <w:tcPr>
            <w:tcW w:w="3261" w:type="dxa"/>
            <w:tcBorders>
              <w:top w:val="single" w:sz="6" w:space="0" w:color="000000"/>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b/>
                <w:bCs/>
                <w:color w:val="000000"/>
                <w:sz w:val="19"/>
                <w:lang w:eastAsia="en-AU"/>
              </w:rPr>
            </w:pPr>
            <w:r w:rsidRPr="001E7FA9">
              <w:rPr>
                <w:rFonts w:ascii="Calibri" w:eastAsiaTheme="minorEastAsia" w:hAnsi="Calibri" w:cs="Calibri"/>
                <w:b/>
                <w:bCs/>
                <w:color w:val="000000"/>
                <w:sz w:val="19"/>
                <w:lang w:eastAsia="en-AU"/>
              </w:rPr>
              <w:t>Net cash flows from financing activities</w:t>
            </w:r>
          </w:p>
        </w:tc>
        <w:tc>
          <w:tcPr>
            <w:tcW w:w="901" w:type="dxa"/>
            <w:tcBorders>
              <w:top w:val="single" w:sz="6" w:space="0" w:color="000000"/>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19"/>
                <w:lang w:eastAsia="en-AU"/>
              </w:rPr>
              <w:t>(6 078.5)</w:t>
            </w:r>
          </w:p>
        </w:tc>
        <w:tc>
          <w:tcPr>
            <w:tcW w:w="901" w:type="dxa"/>
            <w:tcBorders>
              <w:top w:val="single" w:sz="6" w:space="0" w:color="000000"/>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19"/>
                <w:lang w:eastAsia="en-AU"/>
              </w:rPr>
              <w:t>(6 361.0)</w:t>
            </w:r>
          </w:p>
        </w:tc>
        <w:tc>
          <w:tcPr>
            <w:tcW w:w="901" w:type="dxa"/>
            <w:tcBorders>
              <w:top w:val="single" w:sz="6" w:space="0" w:color="000000"/>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19"/>
                <w:lang w:eastAsia="en-AU"/>
              </w:rPr>
              <w:t>259.4</w:t>
            </w:r>
          </w:p>
        </w:tc>
        <w:tc>
          <w:tcPr>
            <w:tcW w:w="901" w:type="dxa"/>
            <w:tcBorders>
              <w:top w:val="single" w:sz="6" w:space="0" w:color="000000"/>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19"/>
                <w:lang w:eastAsia="en-AU"/>
              </w:rPr>
              <w:t>318.6</w:t>
            </w:r>
          </w:p>
        </w:tc>
        <w:tc>
          <w:tcPr>
            <w:tcW w:w="902" w:type="dxa"/>
            <w:tcBorders>
              <w:top w:val="single" w:sz="6" w:space="0" w:color="000000"/>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19"/>
                <w:lang w:eastAsia="en-AU"/>
              </w:rPr>
              <w:t>378.3</w:t>
            </w:r>
          </w:p>
        </w:tc>
      </w:tr>
      <w:tr w:rsidR="00965D85" w:rsidRPr="001E7FA9" w:rsidTr="008B46DF">
        <w:tc>
          <w:tcPr>
            <w:tcW w:w="3261" w:type="dxa"/>
            <w:tcBorders>
              <w:top w:val="single" w:sz="6" w:space="0" w:color="000000"/>
              <w:left w:val="nil"/>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b/>
                <w:bCs/>
                <w:color w:val="000000"/>
                <w:sz w:val="19"/>
                <w:lang w:eastAsia="en-AU"/>
              </w:rPr>
            </w:pPr>
            <w:r w:rsidRPr="001E7FA9">
              <w:rPr>
                <w:rFonts w:ascii="Calibri" w:eastAsiaTheme="minorEastAsia" w:hAnsi="Calibri" w:cs="Calibri"/>
                <w:b/>
                <w:bCs/>
                <w:color w:val="000000"/>
                <w:sz w:val="19"/>
                <w:lang w:eastAsia="en-AU"/>
              </w:rPr>
              <w:t>Net increase/(decrease) in cash and cash equivalents</w:t>
            </w:r>
          </w:p>
        </w:tc>
        <w:tc>
          <w:tcPr>
            <w:tcW w:w="901" w:type="dxa"/>
            <w:tcBorders>
              <w:top w:val="single" w:sz="6" w:space="0" w:color="000000"/>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19"/>
                <w:lang w:eastAsia="en-AU"/>
              </w:rPr>
              <w:t>(108.8)</w:t>
            </w:r>
          </w:p>
        </w:tc>
        <w:tc>
          <w:tcPr>
            <w:tcW w:w="901" w:type="dxa"/>
            <w:tcBorders>
              <w:top w:val="single" w:sz="6" w:space="0" w:color="000000"/>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19"/>
                <w:lang w:eastAsia="en-AU"/>
              </w:rPr>
              <w:t>(399.8)</w:t>
            </w:r>
          </w:p>
        </w:tc>
        <w:tc>
          <w:tcPr>
            <w:tcW w:w="901" w:type="dxa"/>
            <w:tcBorders>
              <w:top w:val="single" w:sz="6" w:space="0" w:color="000000"/>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19"/>
                <w:lang w:eastAsia="en-AU"/>
              </w:rPr>
              <w:t>(66.6)</w:t>
            </w:r>
          </w:p>
        </w:tc>
        <w:tc>
          <w:tcPr>
            <w:tcW w:w="901" w:type="dxa"/>
            <w:tcBorders>
              <w:top w:val="single" w:sz="6" w:space="0" w:color="000000"/>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19"/>
                <w:lang w:eastAsia="en-AU"/>
              </w:rPr>
              <w:t>(135.5)</w:t>
            </w:r>
          </w:p>
        </w:tc>
        <w:tc>
          <w:tcPr>
            <w:tcW w:w="902" w:type="dxa"/>
            <w:tcBorders>
              <w:top w:val="single" w:sz="6" w:space="0" w:color="000000"/>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19"/>
                <w:lang w:eastAsia="en-AU"/>
              </w:rPr>
              <w:t>(29.3)</w:t>
            </w:r>
          </w:p>
        </w:tc>
      </w:tr>
      <w:tr w:rsidR="00965D85" w:rsidRPr="001E7FA9" w:rsidTr="008B46DF">
        <w:tc>
          <w:tcPr>
            <w:tcW w:w="3261" w:type="dxa"/>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color w:val="000000"/>
                <w:sz w:val="20"/>
                <w:vertAlign w:val="superscript"/>
                <w:lang w:eastAsia="en-AU"/>
              </w:rPr>
            </w:pPr>
            <w:r w:rsidRPr="001E7FA9">
              <w:rPr>
                <w:rFonts w:ascii="Calibri" w:eastAsiaTheme="minorEastAsia" w:hAnsi="Calibri" w:cs="Calibri"/>
                <w:color w:val="000000"/>
                <w:sz w:val="19"/>
                <w:lang w:eastAsia="en-AU"/>
              </w:rPr>
              <w:t>Cash and cash equivalents at beginning of reporting period</w:t>
            </w:r>
            <w:r w:rsidRPr="001E7FA9">
              <w:rPr>
                <w:rFonts w:ascii="Calibri" w:eastAsiaTheme="minorEastAsia" w:hAnsi="Calibri" w:cs="Calibri"/>
                <w:color w:val="000000"/>
                <w:sz w:val="19"/>
                <w:vertAlign w:val="superscript"/>
                <w:lang w:eastAsia="en-AU"/>
              </w:rPr>
              <w:t xml:space="preserve"> </w:t>
            </w:r>
            <w:r w:rsidRPr="001E7FA9">
              <w:rPr>
                <w:rFonts w:ascii="Calibri" w:eastAsiaTheme="minorEastAsia" w:hAnsi="Calibri" w:cs="Calibri"/>
                <w:color w:val="000000"/>
                <w:sz w:val="20"/>
                <w:vertAlign w:val="superscript"/>
                <w:lang w:eastAsia="en-AU"/>
              </w:rPr>
              <w:t>(c)</w:t>
            </w:r>
          </w:p>
        </w:tc>
        <w:tc>
          <w:tcPr>
            <w:tcW w:w="901" w:type="dxa"/>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1 091.8</w:t>
            </w:r>
          </w:p>
        </w:tc>
        <w:tc>
          <w:tcPr>
            <w:tcW w:w="901" w:type="dxa"/>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1 091.8</w:t>
            </w:r>
          </w:p>
        </w:tc>
        <w:tc>
          <w:tcPr>
            <w:tcW w:w="901" w:type="dxa"/>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692.0</w:t>
            </w:r>
          </w:p>
        </w:tc>
        <w:tc>
          <w:tcPr>
            <w:tcW w:w="901" w:type="dxa"/>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625.5</w:t>
            </w:r>
          </w:p>
        </w:tc>
        <w:tc>
          <w:tcPr>
            <w:tcW w:w="902" w:type="dxa"/>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489.9</w:t>
            </w:r>
          </w:p>
        </w:tc>
      </w:tr>
      <w:tr w:rsidR="00965D85" w:rsidRPr="001E7FA9" w:rsidTr="008B46DF">
        <w:tc>
          <w:tcPr>
            <w:tcW w:w="3261" w:type="dxa"/>
            <w:tcBorders>
              <w:top w:val="single" w:sz="6" w:space="0" w:color="000000"/>
              <w:left w:val="nil"/>
              <w:bottom w:val="single" w:sz="12" w:space="0" w:color="000000"/>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b/>
                <w:bCs/>
                <w:color w:val="000000"/>
                <w:sz w:val="20"/>
                <w:vertAlign w:val="superscript"/>
                <w:lang w:eastAsia="en-AU"/>
              </w:rPr>
            </w:pPr>
            <w:r w:rsidRPr="001E7FA9">
              <w:rPr>
                <w:rFonts w:ascii="Calibri" w:eastAsiaTheme="minorEastAsia" w:hAnsi="Calibri" w:cs="Calibri"/>
                <w:b/>
                <w:bCs/>
                <w:color w:val="000000"/>
                <w:sz w:val="19"/>
                <w:lang w:eastAsia="en-AU"/>
              </w:rPr>
              <w:t>Cash and cash equivalents at end of reporting period</w:t>
            </w:r>
            <w:r w:rsidRPr="001E7FA9">
              <w:rPr>
                <w:rFonts w:ascii="Calibri" w:eastAsiaTheme="minorEastAsia" w:hAnsi="Calibri" w:cs="Calibri"/>
                <w:b/>
                <w:bCs/>
                <w:color w:val="000000"/>
                <w:sz w:val="19"/>
                <w:vertAlign w:val="superscript"/>
                <w:lang w:eastAsia="en-AU"/>
              </w:rPr>
              <w:t xml:space="preserve"> (c)</w:t>
            </w:r>
          </w:p>
        </w:tc>
        <w:tc>
          <w:tcPr>
            <w:tcW w:w="901" w:type="dxa"/>
            <w:tcBorders>
              <w:top w:val="single" w:sz="6" w:space="0" w:color="000000"/>
              <w:left w:val="nil"/>
              <w:bottom w:val="single" w:sz="12"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19"/>
                <w:lang w:eastAsia="en-AU"/>
              </w:rPr>
              <w:t>983.1</w:t>
            </w:r>
          </w:p>
        </w:tc>
        <w:tc>
          <w:tcPr>
            <w:tcW w:w="901" w:type="dxa"/>
            <w:tcBorders>
              <w:top w:val="single" w:sz="6" w:space="0" w:color="000000"/>
              <w:left w:val="nil"/>
              <w:bottom w:val="single" w:sz="12"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19"/>
                <w:lang w:eastAsia="en-AU"/>
              </w:rPr>
              <w:t>692.0</w:t>
            </w:r>
          </w:p>
        </w:tc>
        <w:tc>
          <w:tcPr>
            <w:tcW w:w="901" w:type="dxa"/>
            <w:tcBorders>
              <w:top w:val="single" w:sz="6" w:space="0" w:color="000000"/>
              <w:left w:val="nil"/>
              <w:bottom w:val="single" w:sz="12"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19"/>
                <w:lang w:eastAsia="en-AU"/>
              </w:rPr>
              <w:t>625.5</w:t>
            </w:r>
          </w:p>
        </w:tc>
        <w:tc>
          <w:tcPr>
            <w:tcW w:w="901" w:type="dxa"/>
            <w:tcBorders>
              <w:top w:val="single" w:sz="6" w:space="0" w:color="000000"/>
              <w:left w:val="nil"/>
              <w:bottom w:val="single" w:sz="12"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19"/>
                <w:lang w:eastAsia="en-AU"/>
              </w:rPr>
              <w:t>489.9</w:t>
            </w:r>
          </w:p>
        </w:tc>
        <w:tc>
          <w:tcPr>
            <w:tcW w:w="902" w:type="dxa"/>
            <w:tcBorders>
              <w:top w:val="single" w:sz="6" w:space="0" w:color="000000"/>
              <w:left w:val="nil"/>
              <w:bottom w:val="single" w:sz="12"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19"/>
                <w:lang w:eastAsia="en-AU"/>
              </w:rPr>
              <w:t>460.7</w:t>
            </w:r>
          </w:p>
        </w:tc>
      </w:tr>
      <w:tr w:rsidR="00965D85" w:rsidRPr="001E7FA9" w:rsidTr="008B46DF">
        <w:trPr>
          <w:trHeight w:hRule="exact" w:val="120"/>
        </w:trPr>
        <w:tc>
          <w:tcPr>
            <w:tcW w:w="3261" w:type="dxa"/>
            <w:tcBorders>
              <w:top w:val="single" w:sz="12" w:space="0" w:color="000000"/>
              <w:left w:val="nil"/>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 xml:space="preserve"> </w:t>
            </w:r>
          </w:p>
        </w:tc>
        <w:tc>
          <w:tcPr>
            <w:tcW w:w="901" w:type="dxa"/>
            <w:tcBorders>
              <w:top w:val="single" w:sz="12" w:space="0" w:color="000000"/>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p>
        </w:tc>
        <w:tc>
          <w:tcPr>
            <w:tcW w:w="901" w:type="dxa"/>
            <w:tcBorders>
              <w:top w:val="single" w:sz="12" w:space="0" w:color="000000"/>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p>
        </w:tc>
        <w:tc>
          <w:tcPr>
            <w:tcW w:w="901" w:type="dxa"/>
            <w:tcBorders>
              <w:top w:val="single" w:sz="12" w:space="0" w:color="000000"/>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p>
        </w:tc>
        <w:tc>
          <w:tcPr>
            <w:tcW w:w="901" w:type="dxa"/>
            <w:tcBorders>
              <w:top w:val="single" w:sz="12" w:space="0" w:color="000000"/>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p>
        </w:tc>
        <w:tc>
          <w:tcPr>
            <w:tcW w:w="902" w:type="dxa"/>
            <w:tcBorders>
              <w:top w:val="single" w:sz="12" w:space="0" w:color="000000"/>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p>
        </w:tc>
      </w:tr>
    </w:tbl>
    <w:p w:rsidR="00965D85" w:rsidRDefault="00965D85"/>
    <w:p w:rsidR="00965D85" w:rsidRDefault="00965D85"/>
    <w:p w:rsidR="00965D85" w:rsidRPr="001E7FA9" w:rsidRDefault="00965D85" w:rsidP="008B46DF">
      <w:pPr>
        <w:pStyle w:val="Tableheading"/>
        <w:rPr>
          <w:rFonts w:ascii="Times New Roman" w:hAnsi="Times New Roman"/>
          <w:b w:val="0"/>
          <w:sz w:val="20"/>
          <w:lang w:eastAsia="en-AU"/>
        </w:rPr>
      </w:pPr>
      <w:r>
        <w:rPr>
          <w:rFonts w:eastAsiaTheme="minorEastAsia"/>
          <w:lang w:eastAsia="en-AU"/>
        </w:rPr>
        <w:lastRenderedPageBreak/>
        <w:t>Table 5.3:</w:t>
      </w:r>
      <w:r>
        <w:rPr>
          <w:rFonts w:eastAsiaTheme="minorEastAsia"/>
          <w:lang w:eastAsia="en-AU"/>
        </w:rPr>
        <w:tab/>
        <w:t>Public non</w:t>
      </w:r>
      <w:r>
        <w:rPr>
          <w:rFonts w:eastAsiaTheme="minorEastAsia"/>
          <w:lang w:eastAsia="en-AU"/>
        </w:rPr>
        <w:noBreakHyphen/>
        <w:t>financial corporations sector cash flow statement for the financial year ended 30 June</w:t>
      </w:r>
      <w:r w:rsidRPr="00504697">
        <w:rPr>
          <w:rFonts w:eastAsiaTheme="minorEastAsia"/>
          <w:vertAlign w:val="superscript"/>
          <w:lang w:eastAsia="en-AU"/>
        </w:rPr>
        <w:t>(a)</w:t>
      </w:r>
      <w:r>
        <w:rPr>
          <w:rFonts w:eastAsiaTheme="minorEastAsia"/>
          <w:vertAlign w:val="superscript"/>
          <w:lang w:eastAsia="en-AU"/>
        </w:rPr>
        <w:t xml:space="preserve"> </w:t>
      </w:r>
      <w:r w:rsidRPr="007762A0">
        <w:rPr>
          <w:rFonts w:eastAsiaTheme="minorEastAsia"/>
          <w:i/>
          <w:lang w:eastAsia="en-AU"/>
        </w:rPr>
        <w:t>(continued)</w:t>
      </w:r>
    </w:p>
    <w:tbl>
      <w:tblPr>
        <w:tblW w:w="7767" w:type="dxa"/>
        <w:tblInd w:w="28" w:type="dxa"/>
        <w:tblLayout w:type="fixed"/>
        <w:tblCellMar>
          <w:left w:w="28" w:type="dxa"/>
          <w:right w:w="28" w:type="dxa"/>
        </w:tblCellMar>
        <w:tblLook w:val="0000" w:firstRow="0" w:lastRow="0" w:firstColumn="0" w:lastColumn="0" w:noHBand="0" w:noVBand="0"/>
      </w:tblPr>
      <w:tblGrid>
        <w:gridCol w:w="3261"/>
        <w:gridCol w:w="901"/>
        <w:gridCol w:w="901"/>
        <w:gridCol w:w="901"/>
        <w:gridCol w:w="901"/>
        <w:gridCol w:w="902"/>
      </w:tblGrid>
      <w:tr w:rsidR="00965D85" w:rsidRPr="001E7FA9" w:rsidTr="008B46DF">
        <w:trPr>
          <w:tblHeader/>
        </w:trPr>
        <w:tc>
          <w:tcPr>
            <w:tcW w:w="7767" w:type="dxa"/>
            <w:gridSpan w:val="6"/>
            <w:tcBorders>
              <w:top w:val="nil"/>
              <w:left w:val="nil"/>
              <w:bottom w:val="nil"/>
              <w:right w:val="nil"/>
            </w:tcBorders>
          </w:tcPr>
          <w:p w:rsidR="00965D85" w:rsidRPr="001E7FA9" w:rsidRDefault="00965D85" w:rsidP="008B46DF">
            <w:pPr>
              <w:pStyle w:val="million"/>
              <w:rPr>
                <w:rFonts w:eastAsiaTheme="minorEastAsia" w:cs="Calibri"/>
                <w:iCs/>
                <w:color w:val="000000"/>
                <w:sz w:val="20"/>
                <w:lang w:eastAsia="en-AU"/>
              </w:rPr>
            </w:pPr>
            <w:r w:rsidRPr="001E7FA9">
              <w:rPr>
                <w:rFonts w:eastAsiaTheme="minorEastAsia"/>
                <w:lang w:eastAsia="en-AU"/>
              </w:rPr>
              <w:t>($ million</w:t>
            </w:r>
            <w:r w:rsidRPr="001E7FA9">
              <w:rPr>
                <w:rFonts w:eastAsiaTheme="minorEastAsia" w:cs="Calibri"/>
                <w:iCs/>
                <w:color w:val="000000"/>
                <w:sz w:val="20"/>
                <w:lang w:eastAsia="en-AU"/>
              </w:rPr>
              <w:t>)</w:t>
            </w:r>
          </w:p>
        </w:tc>
      </w:tr>
      <w:tr w:rsidR="00965D85" w:rsidRPr="001E7FA9" w:rsidTr="008B46DF">
        <w:trPr>
          <w:trHeight w:val="464"/>
          <w:tblHeader/>
        </w:trPr>
        <w:tc>
          <w:tcPr>
            <w:tcW w:w="3261" w:type="dxa"/>
            <w:tcBorders>
              <w:top w:val="nil"/>
              <w:left w:val="nil"/>
              <w:right w:val="nil"/>
            </w:tcBorders>
            <w:shd w:val="solid" w:color="000000" w:fill="auto"/>
          </w:tcPr>
          <w:p w:rsidR="00965D85" w:rsidRPr="001E7FA9" w:rsidRDefault="00965D85" w:rsidP="008B46DF">
            <w:pPr>
              <w:autoSpaceDE w:val="0"/>
              <w:autoSpaceDN w:val="0"/>
              <w:adjustRightInd w:val="0"/>
              <w:spacing w:after="0"/>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 xml:space="preserve"> </w:t>
            </w:r>
          </w:p>
          <w:p w:rsidR="00965D85" w:rsidRPr="001E7FA9" w:rsidRDefault="00965D85" w:rsidP="008B46DF">
            <w:pPr>
              <w:autoSpaceDE w:val="0"/>
              <w:autoSpaceDN w:val="0"/>
              <w:adjustRightInd w:val="0"/>
              <w:spacing w:after="0"/>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 xml:space="preserve"> </w:t>
            </w:r>
          </w:p>
        </w:tc>
        <w:tc>
          <w:tcPr>
            <w:tcW w:w="901" w:type="dxa"/>
            <w:tcBorders>
              <w:top w:val="nil"/>
              <w:left w:val="nil"/>
              <w:right w:val="nil"/>
            </w:tcBorders>
            <w:shd w:val="solid" w:color="000000" w:fill="auto"/>
          </w:tcPr>
          <w:p w:rsidR="00965D85" w:rsidRPr="001E7FA9" w:rsidRDefault="00965D85" w:rsidP="008B46DF">
            <w:pPr>
              <w:autoSpaceDE w:val="0"/>
              <w:autoSpaceDN w:val="0"/>
              <w:adjustRightInd w:val="0"/>
              <w:spacing w:after="0"/>
              <w:jc w:val="right"/>
              <w:rPr>
                <w:rFonts w:ascii="Calibri" w:eastAsiaTheme="minorEastAsia" w:hAnsi="Calibri" w:cs="Calibri"/>
                <w:i/>
                <w:iCs/>
                <w:color w:val="FFFFFF"/>
                <w:sz w:val="19"/>
                <w:lang w:eastAsia="en-AU"/>
              </w:rPr>
            </w:pPr>
            <w:r w:rsidRPr="001E7FA9">
              <w:rPr>
                <w:rFonts w:ascii="Calibri" w:eastAsiaTheme="minorEastAsia" w:hAnsi="Calibri" w:cs="Calibri"/>
                <w:i/>
                <w:iCs/>
                <w:color w:val="FFFFFF"/>
                <w:sz w:val="19"/>
                <w:lang w:eastAsia="en-AU"/>
              </w:rPr>
              <w:t>2015</w:t>
            </w:r>
            <w:r>
              <w:rPr>
                <w:rFonts w:ascii="Calibri" w:eastAsiaTheme="minorEastAsia" w:hAnsi="Calibri" w:cs="Calibri"/>
                <w:i/>
                <w:iCs/>
                <w:color w:val="FFFFFF"/>
                <w:sz w:val="19"/>
                <w:lang w:eastAsia="en-AU"/>
              </w:rPr>
              <w:noBreakHyphen/>
            </w:r>
            <w:r w:rsidRPr="001E7FA9">
              <w:rPr>
                <w:rFonts w:ascii="Calibri" w:eastAsiaTheme="minorEastAsia" w:hAnsi="Calibri" w:cs="Calibri"/>
                <w:i/>
                <w:iCs/>
                <w:color w:val="FFFFFF"/>
                <w:sz w:val="19"/>
                <w:lang w:eastAsia="en-AU"/>
              </w:rPr>
              <w:t>16</w:t>
            </w:r>
          </w:p>
          <w:p w:rsidR="00965D85" w:rsidRPr="001E7FA9" w:rsidRDefault="00965D85" w:rsidP="008B46DF">
            <w:pPr>
              <w:autoSpaceDE w:val="0"/>
              <w:autoSpaceDN w:val="0"/>
              <w:adjustRightInd w:val="0"/>
              <w:spacing w:after="0"/>
              <w:jc w:val="right"/>
              <w:rPr>
                <w:rFonts w:ascii="Calibri" w:eastAsiaTheme="minorEastAsia" w:hAnsi="Calibri" w:cs="Calibri"/>
                <w:i/>
                <w:iCs/>
                <w:color w:val="FFFFFF"/>
                <w:sz w:val="19"/>
                <w:lang w:eastAsia="en-AU"/>
              </w:rPr>
            </w:pPr>
            <w:r w:rsidRPr="001E7FA9">
              <w:rPr>
                <w:rFonts w:ascii="Calibri" w:eastAsiaTheme="minorEastAsia" w:hAnsi="Calibri" w:cs="Calibri"/>
                <w:i/>
                <w:iCs/>
                <w:color w:val="FFFFFF"/>
                <w:sz w:val="19"/>
                <w:lang w:eastAsia="en-AU"/>
              </w:rPr>
              <w:t>budget</w:t>
            </w:r>
          </w:p>
        </w:tc>
        <w:tc>
          <w:tcPr>
            <w:tcW w:w="901" w:type="dxa"/>
            <w:tcBorders>
              <w:top w:val="nil"/>
              <w:left w:val="nil"/>
              <w:right w:val="nil"/>
            </w:tcBorders>
            <w:shd w:val="solid" w:color="000000" w:fill="auto"/>
          </w:tcPr>
          <w:p w:rsidR="00965D85" w:rsidRPr="001E7FA9" w:rsidRDefault="00965D85" w:rsidP="008B46DF">
            <w:pPr>
              <w:autoSpaceDE w:val="0"/>
              <w:autoSpaceDN w:val="0"/>
              <w:adjustRightInd w:val="0"/>
              <w:spacing w:after="0"/>
              <w:jc w:val="right"/>
              <w:rPr>
                <w:rFonts w:ascii="Calibri" w:eastAsiaTheme="minorEastAsia" w:hAnsi="Calibri" w:cs="Calibri"/>
                <w:i/>
                <w:iCs/>
                <w:color w:val="FFFFFF"/>
                <w:sz w:val="19"/>
                <w:lang w:eastAsia="en-AU"/>
              </w:rPr>
            </w:pPr>
            <w:r w:rsidRPr="001E7FA9">
              <w:rPr>
                <w:rFonts w:ascii="Calibri" w:eastAsiaTheme="minorEastAsia" w:hAnsi="Calibri" w:cs="Calibri"/>
                <w:i/>
                <w:iCs/>
                <w:color w:val="FFFFFF"/>
                <w:sz w:val="19"/>
                <w:lang w:eastAsia="en-AU"/>
              </w:rPr>
              <w:t>2015</w:t>
            </w:r>
            <w:r>
              <w:rPr>
                <w:rFonts w:ascii="Calibri" w:eastAsiaTheme="minorEastAsia" w:hAnsi="Calibri" w:cs="Calibri"/>
                <w:i/>
                <w:iCs/>
                <w:color w:val="FFFFFF"/>
                <w:sz w:val="19"/>
                <w:lang w:eastAsia="en-AU"/>
              </w:rPr>
              <w:noBreakHyphen/>
            </w:r>
            <w:r w:rsidRPr="001E7FA9">
              <w:rPr>
                <w:rFonts w:ascii="Calibri" w:eastAsiaTheme="minorEastAsia" w:hAnsi="Calibri" w:cs="Calibri"/>
                <w:i/>
                <w:iCs/>
                <w:color w:val="FFFFFF"/>
                <w:sz w:val="19"/>
                <w:lang w:eastAsia="en-AU"/>
              </w:rPr>
              <w:t>16</w:t>
            </w:r>
          </w:p>
          <w:p w:rsidR="00965D85" w:rsidRPr="001E7FA9" w:rsidRDefault="00965D85" w:rsidP="008B46DF">
            <w:pPr>
              <w:autoSpaceDE w:val="0"/>
              <w:autoSpaceDN w:val="0"/>
              <w:adjustRightInd w:val="0"/>
              <w:spacing w:after="0"/>
              <w:jc w:val="right"/>
              <w:rPr>
                <w:rFonts w:ascii="Calibri" w:eastAsiaTheme="minorEastAsia" w:hAnsi="Calibri" w:cs="Calibri"/>
                <w:i/>
                <w:iCs/>
                <w:color w:val="FFFFFF"/>
                <w:sz w:val="19"/>
                <w:lang w:eastAsia="en-AU"/>
              </w:rPr>
            </w:pPr>
            <w:r w:rsidRPr="001E7FA9">
              <w:rPr>
                <w:rFonts w:ascii="Calibri" w:eastAsiaTheme="minorEastAsia" w:hAnsi="Calibri" w:cs="Calibri"/>
                <w:i/>
                <w:iCs/>
                <w:color w:val="FFFFFF"/>
                <w:sz w:val="19"/>
                <w:lang w:eastAsia="en-AU"/>
              </w:rPr>
              <w:t>revised</w:t>
            </w:r>
          </w:p>
        </w:tc>
        <w:tc>
          <w:tcPr>
            <w:tcW w:w="901" w:type="dxa"/>
            <w:tcBorders>
              <w:top w:val="nil"/>
              <w:left w:val="nil"/>
              <w:right w:val="nil"/>
            </w:tcBorders>
            <w:shd w:val="solid" w:color="000000" w:fill="auto"/>
          </w:tcPr>
          <w:p w:rsidR="00965D85" w:rsidRPr="001E7FA9" w:rsidRDefault="00965D85" w:rsidP="008B46DF">
            <w:pPr>
              <w:autoSpaceDE w:val="0"/>
              <w:autoSpaceDN w:val="0"/>
              <w:adjustRightInd w:val="0"/>
              <w:spacing w:after="0"/>
              <w:jc w:val="right"/>
              <w:rPr>
                <w:rFonts w:ascii="Calibri" w:eastAsiaTheme="minorEastAsia" w:hAnsi="Calibri" w:cs="Calibri"/>
                <w:i/>
                <w:iCs/>
                <w:color w:val="FFFFFF"/>
                <w:sz w:val="19"/>
                <w:lang w:eastAsia="en-AU"/>
              </w:rPr>
            </w:pPr>
            <w:r w:rsidRPr="001E7FA9">
              <w:rPr>
                <w:rFonts w:ascii="Calibri" w:eastAsiaTheme="minorEastAsia" w:hAnsi="Calibri" w:cs="Calibri"/>
                <w:i/>
                <w:iCs/>
                <w:color w:val="FFFFFF"/>
                <w:sz w:val="19"/>
                <w:lang w:eastAsia="en-AU"/>
              </w:rPr>
              <w:t>2016</w:t>
            </w:r>
            <w:r>
              <w:rPr>
                <w:rFonts w:ascii="Calibri" w:eastAsiaTheme="minorEastAsia" w:hAnsi="Calibri" w:cs="Calibri"/>
                <w:i/>
                <w:iCs/>
                <w:color w:val="FFFFFF"/>
                <w:sz w:val="19"/>
                <w:lang w:eastAsia="en-AU"/>
              </w:rPr>
              <w:noBreakHyphen/>
            </w:r>
            <w:r w:rsidRPr="001E7FA9">
              <w:rPr>
                <w:rFonts w:ascii="Calibri" w:eastAsiaTheme="minorEastAsia" w:hAnsi="Calibri" w:cs="Calibri"/>
                <w:i/>
                <w:iCs/>
                <w:color w:val="FFFFFF"/>
                <w:sz w:val="19"/>
                <w:lang w:eastAsia="en-AU"/>
              </w:rPr>
              <w:t>17</w:t>
            </w:r>
          </w:p>
          <w:p w:rsidR="00965D85" w:rsidRPr="001E7FA9" w:rsidRDefault="00965D85" w:rsidP="008B46DF">
            <w:pPr>
              <w:autoSpaceDE w:val="0"/>
              <w:autoSpaceDN w:val="0"/>
              <w:adjustRightInd w:val="0"/>
              <w:spacing w:after="0"/>
              <w:jc w:val="right"/>
              <w:rPr>
                <w:rFonts w:ascii="Calibri" w:eastAsiaTheme="minorEastAsia" w:hAnsi="Calibri" w:cs="Calibri"/>
                <w:i/>
                <w:iCs/>
                <w:color w:val="FFFFFF"/>
                <w:sz w:val="19"/>
                <w:lang w:eastAsia="en-AU"/>
              </w:rPr>
            </w:pPr>
            <w:r w:rsidRPr="001E7FA9">
              <w:rPr>
                <w:rFonts w:ascii="Calibri" w:eastAsiaTheme="minorEastAsia" w:hAnsi="Calibri" w:cs="Calibri"/>
                <w:i/>
                <w:iCs/>
                <w:color w:val="FFFFFF"/>
                <w:sz w:val="19"/>
                <w:lang w:eastAsia="en-AU"/>
              </w:rPr>
              <w:t>estimate</w:t>
            </w:r>
          </w:p>
        </w:tc>
        <w:tc>
          <w:tcPr>
            <w:tcW w:w="901" w:type="dxa"/>
            <w:tcBorders>
              <w:top w:val="nil"/>
              <w:left w:val="nil"/>
              <w:right w:val="nil"/>
            </w:tcBorders>
            <w:shd w:val="solid" w:color="000000" w:fill="auto"/>
          </w:tcPr>
          <w:p w:rsidR="00965D85" w:rsidRPr="001E7FA9" w:rsidRDefault="00965D85" w:rsidP="008B46DF">
            <w:pPr>
              <w:autoSpaceDE w:val="0"/>
              <w:autoSpaceDN w:val="0"/>
              <w:adjustRightInd w:val="0"/>
              <w:spacing w:after="0"/>
              <w:jc w:val="right"/>
              <w:rPr>
                <w:rFonts w:ascii="Calibri" w:eastAsiaTheme="minorEastAsia" w:hAnsi="Calibri" w:cs="Calibri"/>
                <w:i/>
                <w:iCs/>
                <w:color w:val="FFFFFF"/>
                <w:sz w:val="19"/>
                <w:lang w:eastAsia="en-AU"/>
              </w:rPr>
            </w:pPr>
            <w:r w:rsidRPr="001E7FA9">
              <w:rPr>
                <w:rFonts w:ascii="Calibri" w:eastAsiaTheme="minorEastAsia" w:hAnsi="Calibri" w:cs="Calibri"/>
                <w:i/>
                <w:iCs/>
                <w:color w:val="FFFFFF"/>
                <w:sz w:val="19"/>
                <w:lang w:eastAsia="en-AU"/>
              </w:rPr>
              <w:t>2017</w:t>
            </w:r>
            <w:r>
              <w:rPr>
                <w:rFonts w:ascii="Calibri" w:eastAsiaTheme="minorEastAsia" w:hAnsi="Calibri" w:cs="Calibri"/>
                <w:i/>
                <w:iCs/>
                <w:color w:val="FFFFFF"/>
                <w:sz w:val="19"/>
                <w:lang w:eastAsia="en-AU"/>
              </w:rPr>
              <w:noBreakHyphen/>
            </w:r>
            <w:r w:rsidRPr="001E7FA9">
              <w:rPr>
                <w:rFonts w:ascii="Calibri" w:eastAsiaTheme="minorEastAsia" w:hAnsi="Calibri" w:cs="Calibri"/>
                <w:i/>
                <w:iCs/>
                <w:color w:val="FFFFFF"/>
                <w:sz w:val="19"/>
                <w:lang w:eastAsia="en-AU"/>
              </w:rPr>
              <w:t>18</w:t>
            </w:r>
          </w:p>
          <w:p w:rsidR="00965D85" w:rsidRPr="001E7FA9" w:rsidRDefault="00965D85" w:rsidP="008B46DF">
            <w:pPr>
              <w:autoSpaceDE w:val="0"/>
              <w:autoSpaceDN w:val="0"/>
              <w:adjustRightInd w:val="0"/>
              <w:spacing w:after="0"/>
              <w:jc w:val="right"/>
              <w:rPr>
                <w:rFonts w:ascii="Calibri" w:eastAsiaTheme="minorEastAsia" w:hAnsi="Calibri" w:cs="Calibri"/>
                <w:i/>
                <w:iCs/>
                <w:color w:val="FFFFFF"/>
                <w:sz w:val="19"/>
                <w:lang w:eastAsia="en-AU"/>
              </w:rPr>
            </w:pPr>
            <w:r w:rsidRPr="001E7FA9">
              <w:rPr>
                <w:rFonts w:ascii="Calibri" w:eastAsiaTheme="minorEastAsia" w:hAnsi="Calibri" w:cs="Calibri"/>
                <w:i/>
                <w:iCs/>
                <w:color w:val="FFFFFF"/>
                <w:sz w:val="19"/>
                <w:lang w:eastAsia="en-AU"/>
              </w:rPr>
              <w:t>estimate</w:t>
            </w:r>
          </w:p>
        </w:tc>
        <w:tc>
          <w:tcPr>
            <w:tcW w:w="902" w:type="dxa"/>
            <w:tcBorders>
              <w:top w:val="nil"/>
              <w:left w:val="nil"/>
              <w:right w:val="nil"/>
            </w:tcBorders>
            <w:shd w:val="solid" w:color="000000" w:fill="auto"/>
          </w:tcPr>
          <w:p w:rsidR="00965D85" w:rsidRPr="001E7FA9" w:rsidRDefault="00965D85" w:rsidP="008B46DF">
            <w:pPr>
              <w:autoSpaceDE w:val="0"/>
              <w:autoSpaceDN w:val="0"/>
              <w:adjustRightInd w:val="0"/>
              <w:spacing w:after="0"/>
              <w:jc w:val="right"/>
              <w:rPr>
                <w:rFonts w:ascii="Calibri" w:eastAsiaTheme="minorEastAsia" w:hAnsi="Calibri" w:cs="Calibri"/>
                <w:i/>
                <w:iCs/>
                <w:color w:val="FFFFFF"/>
                <w:sz w:val="19"/>
                <w:lang w:eastAsia="en-AU"/>
              </w:rPr>
            </w:pPr>
            <w:r w:rsidRPr="001E7FA9">
              <w:rPr>
                <w:rFonts w:ascii="Calibri" w:eastAsiaTheme="minorEastAsia" w:hAnsi="Calibri" w:cs="Calibri"/>
                <w:i/>
                <w:iCs/>
                <w:color w:val="FFFFFF"/>
                <w:sz w:val="19"/>
                <w:lang w:eastAsia="en-AU"/>
              </w:rPr>
              <w:t>2018</w:t>
            </w:r>
            <w:r>
              <w:rPr>
                <w:rFonts w:ascii="Calibri" w:eastAsiaTheme="minorEastAsia" w:hAnsi="Calibri" w:cs="Calibri"/>
                <w:i/>
                <w:iCs/>
                <w:color w:val="FFFFFF"/>
                <w:sz w:val="19"/>
                <w:lang w:eastAsia="en-AU"/>
              </w:rPr>
              <w:noBreakHyphen/>
            </w:r>
            <w:r w:rsidRPr="001E7FA9">
              <w:rPr>
                <w:rFonts w:ascii="Calibri" w:eastAsiaTheme="minorEastAsia" w:hAnsi="Calibri" w:cs="Calibri"/>
                <w:i/>
                <w:iCs/>
                <w:color w:val="FFFFFF"/>
                <w:sz w:val="19"/>
                <w:lang w:eastAsia="en-AU"/>
              </w:rPr>
              <w:t>19</w:t>
            </w:r>
          </w:p>
          <w:p w:rsidR="00965D85" w:rsidRPr="001E7FA9" w:rsidRDefault="00965D85" w:rsidP="008B46DF">
            <w:pPr>
              <w:autoSpaceDE w:val="0"/>
              <w:autoSpaceDN w:val="0"/>
              <w:adjustRightInd w:val="0"/>
              <w:spacing w:after="0"/>
              <w:jc w:val="right"/>
              <w:rPr>
                <w:rFonts w:ascii="Calibri" w:eastAsiaTheme="minorEastAsia" w:hAnsi="Calibri" w:cs="Calibri"/>
                <w:i/>
                <w:iCs/>
                <w:color w:val="FFFFFF"/>
                <w:sz w:val="19"/>
                <w:lang w:eastAsia="en-AU"/>
              </w:rPr>
            </w:pPr>
            <w:r w:rsidRPr="001E7FA9">
              <w:rPr>
                <w:rFonts w:ascii="Calibri" w:eastAsiaTheme="minorEastAsia" w:hAnsi="Calibri" w:cs="Calibri"/>
                <w:i/>
                <w:iCs/>
                <w:color w:val="FFFFFF"/>
                <w:sz w:val="19"/>
                <w:lang w:eastAsia="en-AU"/>
              </w:rPr>
              <w:t>estimate</w:t>
            </w:r>
          </w:p>
        </w:tc>
      </w:tr>
      <w:tr w:rsidR="00965D85" w:rsidRPr="001E7FA9" w:rsidTr="008B46DF">
        <w:tc>
          <w:tcPr>
            <w:tcW w:w="3261" w:type="dxa"/>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b/>
                <w:bCs/>
                <w:color w:val="000000"/>
                <w:sz w:val="19"/>
                <w:lang w:eastAsia="en-AU"/>
              </w:rPr>
            </w:pPr>
            <w:r w:rsidRPr="001E7FA9">
              <w:rPr>
                <w:rFonts w:ascii="Calibri" w:eastAsiaTheme="minorEastAsia" w:hAnsi="Calibri" w:cs="Calibri"/>
                <w:b/>
                <w:bCs/>
                <w:color w:val="000000"/>
                <w:sz w:val="19"/>
                <w:lang w:eastAsia="en-AU"/>
              </w:rPr>
              <w:t>FISCAL AGGREGATES</w:t>
            </w:r>
          </w:p>
        </w:tc>
        <w:tc>
          <w:tcPr>
            <w:tcW w:w="901"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901"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901"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901"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902"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r>
      <w:tr w:rsidR="00965D85" w:rsidRPr="001E7FA9" w:rsidTr="008B46DF">
        <w:tc>
          <w:tcPr>
            <w:tcW w:w="3261" w:type="dxa"/>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Net cash flows from operating activities</w:t>
            </w:r>
          </w:p>
        </w:tc>
        <w:tc>
          <w:tcPr>
            <w:tcW w:w="901"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1 649.7</w:t>
            </w:r>
          </w:p>
        </w:tc>
        <w:tc>
          <w:tcPr>
            <w:tcW w:w="901"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1 516.8</w:t>
            </w:r>
          </w:p>
        </w:tc>
        <w:tc>
          <w:tcPr>
            <w:tcW w:w="901"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1 550.1</w:t>
            </w:r>
          </w:p>
        </w:tc>
        <w:tc>
          <w:tcPr>
            <w:tcW w:w="901"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1 515.1</w:t>
            </w:r>
          </w:p>
        </w:tc>
        <w:tc>
          <w:tcPr>
            <w:tcW w:w="902"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1 813.5</w:t>
            </w:r>
          </w:p>
        </w:tc>
      </w:tr>
      <w:tr w:rsidR="00965D85" w:rsidRPr="001E7FA9" w:rsidTr="008B46DF">
        <w:tc>
          <w:tcPr>
            <w:tcW w:w="3261" w:type="dxa"/>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Dividends paid</w:t>
            </w:r>
          </w:p>
        </w:tc>
        <w:tc>
          <w:tcPr>
            <w:tcW w:w="901"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(215.6)</w:t>
            </w:r>
          </w:p>
        </w:tc>
        <w:tc>
          <w:tcPr>
            <w:tcW w:w="901"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(229.7)</w:t>
            </w:r>
          </w:p>
        </w:tc>
        <w:tc>
          <w:tcPr>
            <w:tcW w:w="901"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(219.1)</w:t>
            </w:r>
          </w:p>
        </w:tc>
        <w:tc>
          <w:tcPr>
            <w:tcW w:w="901"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(175.3)</w:t>
            </w:r>
          </w:p>
        </w:tc>
        <w:tc>
          <w:tcPr>
            <w:tcW w:w="902"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(212.6)</w:t>
            </w:r>
          </w:p>
        </w:tc>
      </w:tr>
      <w:tr w:rsidR="00965D85" w:rsidRPr="001E7FA9" w:rsidTr="008B46DF">
        <w:tc>
          <w:tcPr>
            <w:tcW w:w="3261" w:type="dxa"/>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Net cash flows from investments in non</w:t>
            </w:r>
            <w:r>
              <w:rPr>
                <w:rFonts w:ascii="Calibri" w:eastAsiaTheme="minorEastAsia" w:hAnsi="Calibri" w:cs="Calibri"/>
                <w:color w:val="000000"/>
                <w:sz w:val="19"/>
                <w:lang w:eastAsia="en-AU"/>
              </w:rPr>
              <w:noBreakHyphen/>
            </w:r>
            <w:r w:rsidRPr="001E7FA9">
              <w:rPr>
                <w:rFonts w:ascii="Calibri" w:eastAsiaTheme="minorEastAsia" w:hAnsi="Calibri" w:cs="Calibri"/>
                <w:color w:val="000000"/>
                <w:sz w:val="19"/>
                <w:lang w:eastAsia="en-AU"/>
              </w:rPr>
              <w:t>financial assets</w:t>
            </w:r>
          </w:p>
        </w:tc>
        <w:tc>
          <w:tcPr>
            <w:tcW w:w="901" w:type="dxa"/>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4 423.6</w:t>
            </w:r>
          </w:p>
        </w:tc>
        <w:tc>
          <w:tcPr>
            <w:tcW w:w="901" w:type="dxa"/>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4 570.6</w:t>
            </w:r>
          </w:p>
        </w:tc>
        <w:tc>
          <w:tcPr>
            <w:tcW w:w="901" w:type="dxa"/>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(2 172.9)</w:t>
            </w:r>
          </w:p>
        </w:tc>
        <w:tc>
          <w:tcPr>
            <w:tcW w:w="901" w:type="dxa"/>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(2 047.1)</w:t>
            </w:r>
          </w:p>
        </w:tc>
        <w:tc>
          <w:tcPr>
            <w:tcW w:w="902" w:type="dxa"/>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(2 264.9)</w:t>
            </w:r>
          </w:p>
        </w:tc>
      </w:tr>
      <w:tr w:rsidR="00965D85" w:rsidRPr="001E7FA9" w:rsidTr="008B46DF">
        <w:tc>
          <w:tcPr>
            <w:tcW w:w="3261" w:type="dxa"/>
            <w:tcBorders>
              <w:top w:val="single" w:sz="6" w:space="0" w:color="000000"/>
              <w:left w:val="nil"/>
              <w:bottom w:val="single" w:sz="12" w:space="0" w:color="auto"/>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b/>
                <w:bCs/>
                <w:color w:val="000000"/>
                <w:sz w:val="19"/>
                <w:lang w:eastAsia="en-AU"/>
              </w:rPr>
            </w:pPr>
            <w:r w:rsidRPr="001E7FA9">
              <w:rPr>
                <w:rFonts w:ascii="Calibri" w:eastAsiaTheme="minorEastAsia" w:hAnsi="Calibri" w:cs="Calibri"/>
                <w:b/>
                <w:bCs/>
                <w:color w:val="000000"/>
                <w:sz w:val="19"/>
                <w:lang w:eastAsia="en-AU"/>
              </w:rPr>
              <w:t>Cash surplus/(deficit)</w:t>
            </w:r>
          </w:p>
        </w:tc>
        <w:tc>
          <w:tcPr>
            <w:tcW w:w="901" w:type="dxa"/>
            <w:tcBorders>
              <w:top w:val="single" w:sz="6" w:space="0" w:color="000000"/>
              <w:left w:val="nil"/>
              <w:bottom w:val="single" w:sz="12" w:space="0" w:color="auto"/>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19"/>
                <w:lang w:eastAsia="en-AU"/>
              </w:rPr>
            </w:pPr>
            <w:r w:rsidRPr="001E7FA9">
              <w:rPr>
                <w:rFonts w:ascii="Calibri" w:eastAsiaTheme="minorEastAsia" w:hAnsi="Calibri" w:cs="Calibri"/>
                <w:b/>
                <w:bCs/>
                <w:color w:val="000000"/>
                <w:sz w:val="19"/>
                <w:lang w:eastAsia="en-AU"/>
              </w:rPr>
              <w:t>5 857.7</w:t>
            </w:r>
          </w:p>
        </w:tc>
        <w:tc>
          <w:tcPr>
            <w:tcW w:w="901" w:type="dxa"/>
            <w:tcBorders>
              <w:top w:val="single" w:sz="6" w:space="0" w:color="000000"/>
              <w:left w:val="nil"/>
              <w:bottom w:val="single" w:sz="12" w:space="0" w:color="auto"/>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19"/>
                <w:lang w:eastAsia="en-AU"/>
              </w:rPr>
            </w:pPr>
            <w:r w:rsidRPr="001E7FA9">
              <w:rPr>
                <w:rFonts w:ascii="Calibri" w:eastAsiaTheme="minorEastAsia" w:hAnsi="Calibri" w:cs="Calibri"/>
                <w:b/>
                <w:bCs/>
                <w:color w:val="000000"/>
                <w:sz w:val="19"/>
                <w:lang w:eastAsia="en-AU"/>
              </w:rPr>
              <w:t>5 857.7</w:t>
            </w:r>
          </w:p>
        </w:tc>
        <w:tc>
          <w:tcPr>
            <w:tcW w:w="901" w:type="dxa"/>
            <w:tcBorders>
              <w:top w:val="single" w:sz="6" w:space="0" w:color="000000"/>
              <w:left w:val="nil"/>
              <w:bottom w:val="single" w:sz="12" w:space="0" w:color="auto"/>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19"/>
                <w:lang w:eastAsia="en-AU"/>
              </w:rPr>
              <w:t>(841.9)</w:t>
            </w:r>
          </w:p>
        </w:tc>
        <w:tc>
          <w:tcPr>
            <w:tcW w:w="901" w:type="dxa"/>
            <w:tcBorders>
              <w:top w:val="single" w:sz="6" w:space="0" w:color="000000"/>
              <w:left w:val="nil"/>
              <w:bottom w:val="single" w:sz="12" w:space="0" w:color="auto"/>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19"/>
                <w:lang w:eastAsia="en-AU"/>
              </w:rPr>
              <w:t>(707.4)</w:t>
            </w:r>
          </w:p>
        </w:tc>
        <w:tc>
          <w:tcPr>
            <w:tcW w:w="902" w:type="dxa"/>
            <w:tcBorders>
              <w:top w:val="single" w:sz="6" w:space="0" w:color="000000"/>
              <w:left w:val="nil"/>
              <w:bottom w:val="single" w:sz="12" w:space="0" w:color="auto"/>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19"/>
                <w:lang w:eastAsia="en-AU"/>
              </w:rPr>
              <w:t>(664.0)</w:t>
            </w:r>
          </w:p>
        </w:tc>
      </w:tr>
      <w:tr w:rsidR="00965D85" w:rsidRPr="001E7FA9" w:rsidTr="008B46DF">
        <w:tc>
          <w:tcPr>
            <w:tcW w:w="7767" w:type="dxa"/>
            <w:gridSpan w:val="6"/>
            <w:tcBorders>
              <w:top w:val="single" w:sz="12" w:space="0" w:color="auto"/>
              <w:left w:val="nil"/>
              <w:bottom w:val="nil"/>
              <w:right w:val="nil"/>
            </w:tcBorders>
            <w:shd w:val="clear" w:color="auto" w:fill="auto"/>
          </w:tcPr>
          <w:p w:rsidR="00965D85" w:rsidRPr="001E7FA9" w:rsidRDefault="00965D85" w:rsidP="008B46DF">
            <w:pPr>
              <w:pStyle w:val="Source"/>
              <w:rPr>
                <w:rFonts w:eastAsiaTheme="minorEastAsia"/>
                <w:lang w:eastAsia="en-AU"/>
              </w:rPr>
            </w:pPr>
            <w:r w:rsidRPr="001E7FA9">
              <w:rPr>
                <w:rFonts w:eastAsiaTheme="minorEastAsia"/>
                <w:lang w:eastAsia="en-AU"/>
              </w:rPr>
              <w:t>Source: Department of Treasury and Finance</w:t>
            </w:r>
          </w:p>
        </w:tc>
      </w:tr>
    </w:tbl>
    <w:p w:rsidR="00965D85" w:rsidRPr="00504697" w:rsidRDefault="00965D85" w:rsidP="008B46DF">
      <w:pPr>
        <w:pStyle w:val="Notes"/>
        <w:rPr>
          <w:lang w:eastAsia="en-AU"/>
        </w:rPr>
      </w:pPr>
      <w:r w:rsidRPr="00504697">
        <w:rPr>
          <w:lang w:eastAsia="en-AU"/>
        </w:rPr>
        <w:t>Notes:</w:t>
      </w:r>
    </w:p>
    <w:p w:rsidR="00965D85" w:rsidRPr="00504697" w:rsidRDefault="00965D85" w:rsidP="008B46DF">
      <w:pPr>
        <w:pStyle w:val="Notes"/>
        <w:rPr>
          <w:lang w:eastAsia="en-AU"/>
        </w:rPr>
      </w:pPr>
      <w:r w:rsidRPr="00504697">
        <w:rPr>
          <w:lang w:eastAsia="en-AU"/>
        </w:rPr>
        <w:t>(a)</w:t>
      </w:r>
      <w:r w:rsidRPr="00504697">
        <w:rPr>
          <w:lang w:eastAsia="en-AU"/>
        </w:rPr>
        <w:tab/>
        <w:t>Certain line items have been aggregated in the table above</w:t>
      </w:r>
      <w:r>
        <w:rPr>
          <w:lang w:eastAsia="en-AU"/>
        </w:rPr>
        <w:t xml:space="preserve"> due</w:t>
      </w:r>
      <w:r w:rsidRPr="00504697">
        <w:rPr>
          <w:lang w:eastAsia="en-AU"/>
        </w:rPr>
        <w:t xml:space="preserve"> to commercial sensitivities of balances.</w:t>
      </w:r>
    </w:p>
    <w:p w:rsidR="00965D85" w:rsidRPr="00504697" w:rsidRDefault="00965D85" w:rsidP="008B46DF">
      <w:pPr>
        <w:pStyle w:val="Notes"/>
        <w:rPr>
          <w:lang w:eastAsia="en-AU"/>
        </w:rPr>
      </w:pPr>
      <w:r w:rsidRPr="00504697">
        <w:rPr>
          <w:lang w:eastAsia="en-AU"/>
        </w:rPr>
        <w:t>(b)</w:t>
      </w:r>
      <w:r w:rsidRPr="00504697">
        <w:rPr>
          <w:lang w:eastAsia="en-AU"/>
        </w:rPr>
        <w:tab/>
        <w:t>Inclusive of goods and services tax.</w:t>
      </w:r>
    </w:p>
    <w:p w:rsidR="00965D85" w:rsidRPr="000E2577" w:rsidRDefault="00965D85" w:rsidP="008B46DF">
      <w:pPr>
        <w:pStyle w:val="Notes"/>
      </w:pPr>
      <w:r w:rsidRPr="000E2577">
        <w:t>(c)</w:t>
      </w:r>
      <w:r w:rsidRPr="000E2577">
        <w:tab/>
      </w:r>
      <w:r w:rsidRPr="00B02648">
        <w:rPr>
          <w:i w:val="0"/>
        </w:rPr>
        <w:t>2015</w:t>
      </w:r>
      <w:r>
        <w:rPr>
          <w:i w:val="0"/>
        </w:rPr>
        <w:noBreakHyphen/>
      </w:r>
      <w:r w:rsidRPr="00B02648">
        <w:rPr>
          <w:i w:val="0"/>
        </w:rPr>
        <w:t xml:space="preserve">16 </w:t>
      </w:r>
      <w:r>
        <w:rPr>
          <w:i w:val="0"/>
        </w:rPr>
        <w:t>B</w:t>
      </w:r>
      <w:r w:rsidRPr="00B02648">
        <w:rPr>
          <w:i w:val="0"/>
        </w:rPr>
        <w:t>udget</w:t>
      </w:r>
      <w:r w:rsidRPr="000E2577">
        <w:t xml:space="preserve"> figures have been restated to represent actual opening balances at 1 July 2015.</w:t>
      </w:r>
    </w:p>
    <w:p w:rsidR="00965D85" w:rsidRDefault="00965D85" w:rsidP="008B46DF">
      <w:pPr>
        <w:rPr>
          <w:rFonts w:asciiTheme="minorHAnsi" w:hAnsiTheme="minorHAnsi" w:cs="Tms Rmn"/>
          <w:i/>
          <w:color w:val="000000"/>
          <w:sz w:val="15"/>
          <w:szCs w:val="15"/>
          <w:lang w:eastAsia="en-AU"/>
        </w:rPr>
      </w:pPr>
    </w:p>
    <w:p w:rsidR="00965D85" w:rsidRDefault="00965D85">
      <w:pPr>
        <w:spacing w:after="0"/>
        <w:rPr>
          <w:rFonts w:ascii="Calibri" w:hAnsi="Calibri"/>
          <w:b/>
          <w:lang w:eastAsia="en-AU"/>
        </w:rPr>
      </w:pPr>
      <w:r>
        <w:rPr>
          <w:lang w:eastAsia="en-AU"/>
        </w:rPr>
        <w:br w:type="page"/>
      </w:r>
    </w:p>
    <w:p w:rsidR="00965D85" w:rsidRDefault="00965D85" w:rsidP="008B46DF">
      <w:pPr>
        <w:pStyle w:val="Tableheading"/>
        <w:rPr>
          <w:rFonts w:ascii="Times New Roman" w:hAnsi="Times New Roman"/>
          <w:i/>
          <w:sz w:val="20"/>
          <w:lang w:eastAsia="en-AU"/>
        </w:rPr>
      </w:pPr>
      <w:r w:rsidRPr="005773FB">
        <w:rPr>
          <w:lang w:eastAsia="en-AU"/>
        </w:rPr>
        <w:lastRenderedPageBreak/>
        <w:t>Table 5.4:</w:t>
      </w:r>
      <w:r w:rsidRPr="005773FB">
        <w:rPr>
          <w:lang w:eastAsia="en-AU"/>
        </w:rPr>
        <w:tab/>
        <w:t>Public non</w:t>
      </w:r>
      <w:r>
        <w:rPr>
          <w:lang w:eastAsia="en-AU"/>
        </w:rPr>
        <w:noBreakHyphen/>
      </w:r>
      <w:r w:rsidRPr="005773FB">
        <w:rPr>
          <w:lang w:eastAsia="en-AU"/>
        </w:rPr>
        <w:t>financial corporation sector s</w:t>
      </w:r>
      <w:r>
        <w:rPr>
          <w:lang w:eastAsia="en-AU"/>
        </w:rPr>
        <w:t>tatement of changes in equity</w:t>
      </w:r>
    </w:p>
    <w:tbl>
      <w:tblPr>
        <w:tblW w:w="7767" w:type="dxa"/>
        <w:tblInd w:w="28" w:type="dxa"/>
        <w:tblLayout w:type="fixed"/>
        <w:tblCellMar>
          <w:left w:w="28" w:type="dxa"/>
          <w:right w:w="28" w:type="dxa"/>
        </w:tblCellMar>
        <w:tblLook w:val="0000" w:firstRow="0" w:lastRow="0" w:firstColumn="0" w:lastColumn="0" w:noHBand="0" w:noVBand="0"/>
      </w:tblPr>
      <w:tblGrid>
        <w:gridCol w:w="4962"/>
        <w:gridCol w:w="1417"/>
        <w:gridCol w:w="1388"/>
      </w:tblGrid>
      <w:tr w:rsidR="00965D85" w:rsidRPr="001E7FA9" w:rsidTr="008B46DF">
        <w:trPr>
          <w:tblHeader/>
        </w:trPr>
        <w:tc>
          <w:tcPr>
            <w:tcW w:w="7767" w:type="dxa"/>
            <w:gridSpan w:val="3"/>
            <w:tcBorders>
              <w:top w:val="nil"/>
              <w:left w:val="nil"/>
              <w:bottom w:val="nil"/>
              <w:right w:val="nil"/>
            </w:tcBorders>
          </w:tcPr>
          <w:p w:rsidR="00965D85" w:rsidRPr="001E7FA9" w:rsidRDefault="00965D85" w:rsidP="008B46DF">
            <w:pPr>
              <w:pStyle w:val="million"/>
              <w:rPr>
                <w:rFonts w:eastAsiaTheme="minorEastAsia" w:cs="Calibri"/>
                <w:iCs/>
                <w:color w:val="000000"/>
                <w:sz w:val="20"/>
                <w:lang w:eastAsia="en-AU"/>
              </w:rPr>
            </w:pPr>
            <w:r w:rsidRPr="001E7FA9">
              <w:rPr>
                <w:rFonts w:eastAsiaTheme="minorEastAsia"/>
                <w:sz w:val="20"/>
                <w:lang w:eastAsia="en-AU"/>
              </w:rPr>
              <w:t>($ million)</w:t>
            </w:r>
          </w:p>
        </w:tc>
      </w:tr>
      <w:tr w:rsidR="00965D85" w:rsidRPr="001E7FA9" w:rsidTr="008B46DF">
        <w:trPr>
          <w:tblHeader/>
        </w:trPr>
        <w:tc>
          <w:tcPr>
            <w:tcW w:w="4962" w:type="dxa"/>
            <w:tcBorders>
              <w:top w:val="single" w:sz="6" w:space="0" w:color="auto"/>
              <w:left w:val="single" w:sz="6" w:space="0" w:color="auto"/>
              <w:bottom w:val="single" w:sz="6" w:space="0" w:color="auto"/>
              <w:right w:val="nil"/>
            </w:tcBorders>
            <w:shd w:val="solid" w:color="000000" w:fill="auto"/>
          </w:tcPr>
          <w:p w:rsidR="00965D85" w:rsidRPr="001E7FA9" w:rsidRDefault="00965D85" w:rsidP="008B46DF">
            <w:pPr>
              <w:autoSpaceDE w:val="0"/>
              <w:autoSpaceDN w:val="0"/>
              <w:adjustRightInd w:val="0"/>
              <w:spacing w:after="0"/>
              <w:rPr>
                <w:rFonts w:ascii="Calibri" w:eastAsiaTheme="minorEastAsia" w:hAnsi="Calibri" w:cs="Calibri"/>
                <w:i/>
                <w:iCs/>
                <w:color w:val="FFFFFF"/>
                <w:sz w:val="20"/>
                <w:lang w:eastAsia="en-AU"/>
              </w:rPr>
            </w:pPr>
            <w:r w:rsidRPr="001E7FA9">
              <w:rPr>
                <w:rFonts w:ascii="Calibri" w:eastAsiaTheme="minorEastAsia" w:hAnsi="Calibri" w:cs="Calibri"/>
                <w:i/>
                <w:iCs/>
                <w:color w:val="FFFFFF"/>
                <w:sz w:val="20"/>
                <w:lang w:eastAsia="en-AU"/>
              </w:rPr>
              <w:t xml:space="preserve"> </w:t>
            </w:r>
          </w:p>
        </w:tc>
        <w:tc>
          <w:tcPr>
            <w:tcW w:w="1417" w:type="dxa"/>
            <w:tcBorders>
              <w:top w:val="single" w:sz="6" w:space="0" w:color="auto"/>
              <w:left w:val="nil"/>
              <w:bottom w:val="single" w:sz="6" w:space="0" w:color="auto"/>
              <w:right w:val="nil"/>
            </w:tcBorders>
            <w:shd w:val="solid" w:color="000000" w:fill="auto"/>
          </w:tcPr>
          <w:p w:rsidR="00965D85" w:rsidRPr="001E7FA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p>
          <w:p w:rsidR="00965D85" w:rsidRPr="001E7FA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1E7FA9">
              <w:rPr>
                <w:rFonts w:ascii="Calibri" w:eastAsiaTheme="minorEastAsia" w:hAnsi="Calibri" w:cs="Calibri"/>
                <w:i/>
                <w:iCs/>
                <w:color w:val="FFFFFF"/>
                <w:sz w:val="20"/>
                <w:lang w:eastAsia="en-AU"/>
              </w:rPr>
              <w:t>Accumulated surplus/(deficit)</w:t>
            </w:r>
          </w:p>
        </w:tc>
        <w:tc>
          <w:tcPr>
            <w:tcW w:w="1388" w:type="dxa"/>
            <w:tcBorders>
              <w:top w:val="single" w:sz="6" w:space="0" w:color="auto"/>
              <w:left w:val="nil"/>
              <w:bottom w:val="single" w:sz="6" w:space="0" w:color="auto"/>
              <w:right w:val="nil"/>
            </w:tcBorders>
            <w:shd w:val="solid" w:color="000000" w:fill="auto"/>
          </w:tcPr>
          <w:p w:rsidR="00965D85" w:rsidRPr="001E7FA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p>
          <w:p w:rsidR="00965D85" w:rsidRPr="001E7FA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1E7FA9">
              <w:rPr>
                <w:rFonts w:ascii="Calibri" w:eastAsiaTheme="minorEastAsia" w:hAnsi="Calibri" w:cs="Calibri"/>
                <w:i/>
                <w:iCs/>
                <w:color w:val="FFFFFF"/>
                <w:sz w:val="20"/>
                <w:lang w:eastAsia="en-AU"/>
              </w:rPr>
              <w:t>Contribution</w:t>
            </w:r>
          </w:p>
          <w:p w:rsidR="00965D85" w:rsidRPr="001E7FA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1E7FA9">
              <w:rPr>
                <w:rFonts w:ascii="Calibri" w:eastAsiaTheme="minorEastAsia" w:hAnsi="Calibri" w:cs="Calibri"/>
                <w:i/>
                <w:iCs/>
                <w:color w:val="FFFFFF"/>
                <w:sz w:val="20"/>
                <w:lang w:eastAsia="en-AU"/>
              </w:rPr>
              <w:t>by owners</w:t>
            </w:r>
          </w:p>
        </w:tc>
      </w:tr>
      <w:tr w:rsidR="00965D85" w:rsidRPr="001E7FA9" w:rsidTr="008B46DF">
        <w:tc>
          <w:tcPr>
            <w:tcW w:w="4962" w:type="dxa"/>
            <w:tcBorders>
              <w:top w:val="single" w:sz="6" w:space="0" w:color="auto"/>
              <w:left w:val="nil"/>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b/>
                <w:bCs/>
                <w:color w:val="000000"/>
                <w:sz w:val="20"/>
                <w:vertAlign w:val="superscript"/>
                <w:lang w:eastAsia="en-AU"/>
              </w:rPr>
            </w:pPr>
            <w:r w:rsidRPr="001E7FA9">
              <w:rPr>
                <w:rFonts w:ascii="Calibri" w:eastAsiaTheme="minorEastAsia" w:hAnsi="Calibri" w:cs="Calibri"/>
                <w:b/>
                <w:bCs/>
                <w:color w:val="000000"/>
                <w:sz w:val="20"/>
                <w:lang w:eastAsia="en-AU"/>
              </w:rPr>
              <w:t>2015</w:t>
            </w:r>
            <w:r>
              <w:rPr>
                <w:rFonts w:ascii="Calibri" w:eastAsiaTheme="minorEastAsia" w:hAnsi="Calibri" w:cs="Calibri"/>
                <w:b/>
                <w:bCs/>
                <w:color w:val="000000"/>
                <w:sz w:val="20"/>
                <w:lang w:eastAsia="en-AU"/>
              </w:rPr>
              <w:noBreakHyphen/>
            </w:r>
            <w:r w:rsidRPr="001E7FA9">
              <w:rPr>
                <w:rFonts w:ascii="Calibri" w:eastAsiaTheme="minorEastAsia" w:hAnsi="Calibri" w:cs="Calibri"/>
                <w:b/>
                <w:bCs/>
                <w:color w:val="000000"/>
                <w:sz w:val="20"/>
                <w:lang w:eastAsia="en-AU"/>
              </w:rPr>
              <w:t>16 budget</w:t>
            </w:r>
            <w:r w:rsidRPr="001E7FA9">
              <w:rPr>
                <w:rFonts w:ascii="Calibri" w:eastAsiaTheme="minorEastAsia" w:hAnsi="Calibri" w:cs="Calibri"/>
                <w:b/>
                <w:bCs/>
                <w:color w:val="000000"/>
                <w:sz w:val="20"/>
                <w:vertAlign w:val="superscript"/>
                <w:lang w:eastAsia="en-AU"/>
              </w:rPr>
              <w:t>(a)</w:t>
            </w:r>
          </w:p>
        </w:tc>
        <w:tc>
          <w:tcPr>
            <w:tcW w:w="1417" w:type="dxa"/>
            <w:tcBorders>
              <w:top w:val="single" w:sz="6" w:space="0" w:color="auto"/>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FF"/>
                <w:sz w:val="20"/>
                <w:lang w:eastAsia="en-AU"/>
              </w:rPr>
            </w:pPr>
          </w:p>
        </w:tc>
        <w:tc>
          <w:tcPr>
            <w:tcW w:w="1388" w:type="dxa"/>
            <w:tcBorders>
              <w:top w:val="single" w:sz="6" w:space="0" w:color="auto"/>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FF"/>
                <w:sz w:val="20"/>
                <w:lang w:eastAsia="en-AU"/>
              </w:rPr>
            </w:pPr>
          </w:p>
        </w:tc>
      </w:tr>
      <w:tr w:rsidR="00965D85" w:rsidRPr="001E7FA9" w:rsidTr="008B46DF">
        <w:tc>
          <w:tcPr>
            <w:tcW w:w="4962" w:type="dxa"/>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Balance at 1 July 2015</w:t>
            </w:r>
          </w:p>
        </w:tc>
        <w:tc>
          <w:tcPr>
            <w:tcW w:w="1417"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4 429.8</w:t>
            </w:r>
          </w:p>
        </w:tc>
        <w:tc>
          <w:tcPr>
            <w:tcW w:w="1388"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49 942.9</w:t>
            </w:r>
          </w:p>
        </w:tc>
      </w:tr>
      <w:tr w:rsidR="00965D85" w:rsidRPr="001E7FA9" w:rsidTr="008B46DF">
        <w:tc>
          <w:tcPr>
            <w:tcW w:w="4962" w:type="dxa"/>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Net result</w:t>
            </w:r>
          </w:p>
        </w:tc>
        <w:tc>
          <w:tcPr>
            <w:tcW w:w="1417"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4 092.6</w:t>
            </w:r>
          </w:p>
        </w:tc>
        <w:tc>
          <w:tcPr>
            <w:tcW w:w="1388"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w:t>
            </w:r>
          </w:p>
        </w:tc>
      </w:tr>
      <w:tr w:rsidR="00965D85" w:rsidRPr="001E7FA9" w:rsidTr="008B46DF">
        <w:tc>
          <w:tcPr>
            <w:tcW w:w="4962" w:type="dxa"/>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Other comprehensive income for the year</w:t>
            </w:r>
          </w:p>
        </w:tc>
        <w:tc>
          <w:tcPr>
            <w:tcW w:w="1417"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541.8</w:t>
            </w:r>
          </w:p>
        </w:tc>
        <w:tc>
          <w:tcPr>
            <w:tcW w:w="1388"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w:t>
            </w:r>
          </w:p>
        </w:tc>
      </w:tr>
      <w:tr w:rsidR="00965D85" w:rsidRPr="001E7FA9" w:rsidTr="008B46DF">
        <w:tc>
          <w:tcPr>
            <w:tcW w:w="4962" w:type="dxa"/>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Dividends paid</w:t>
            </w:r>
          </w:p>
        </w:tc>
        <w:tc>
          <w:tcPr>
            <w:tcW w:w="1417"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(215.6)</w:t>
            </w:r>
          </w:p>
        </w:tc>
        <w:tc>
          <w:tcPr>
            <w:tcW w:w="1388"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w:t>
            </w:r>
          </w:p>
        </w:tc>
      </w:tr>
      <w:tr w:rsidR="00965D85" w:rsidRPr="001E7FA9" w:rsidTr="008B46DF">
        <w:tc>
          <w:tcPr>
            <w:tcW w:w="4962" w:type="dxa"/>
            <w:tcBorders>
              <w:top w:val="nil"/>
              <w:left w:val="nil"/>
              <w:bottom w:val="single" w:sz="6" w:space="0" w:color="auto"/>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Transactions with owners in their capacity as owners</w:t>
            </w:r>
          </w:p>
        </w:tc>
        <w:tc>
          <w:tcPr>
            <w:tcW w:w="1417" w:type="dxa"/>
            <w:tcBorders>
              <w:top w:val="nil"/>
              <w:left w:val="nil"/>
              <w:bottom w:val="single" w:sz="6" w:space="0" w:color="auto"/>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w:t>
            </w:r>
          </w:p>
        </w:tc>
        <w:tc>
          <w:tcPr>
            <w:tcW w:w="1388" w:type="dxa"/>
            <w:tcBorders>
              <w:top w:val="nil"/>
              <w:left w:val="nil"/>
              <w:bottom w:val="single" w:sz="6" w:space="0" w:color="auto"/>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(5 157.5)</w:t>
            </w:r>
          </w:p>
        </w:tc>
      </w:tr>
      <w:tr w:rsidR="00965D85" w:rsidRPr="001E7FA9" w:rsidTr="008B46DF">
        <w:tc>
          <w:tcPr>
            <w:tcW w:w="4962" w:type="dxa"/>
            <w:tcBorders>
              <w:top w:val="single" w:sz="6" w:space="0" w:color="auto"/>
              <w:left w:val="nil"/>
              <w:bottom w:val="single" w:sz="12" w:space="0" w:color="auto"/>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b/>
                <w:bCs/>
                <w:color w:val="000000"/>
                <w:sz w:val="20"/>
                <w:lang w:eastAsia="en-AU"/>
              </w:rPr>
            </w:pPr>
            <w:r w:rsidRPr="001E7FA9">
              <w:rPr>
                <w:rFonts w:ascii="Calibri" w:eastAsiaTheme="minorEastAsia" w:hAnsi="Calibri" w:cs="Calibri"/>
                <w:b/>
                <w:bCs/>
                <w:color w:val="000000"/>
                <w:sz w:val="20"/>
                <w:lang w:eastAsia="en-AU"/>
              </w:rPr>
              <w:t>Total equity at end of period</w:t>
            </w:r>
          </w:p>
        </w:tc>
        <w:tc>
          <w:tcPr>
            <w:tcW w:w="1417" w:type="dxa"/>
            <w:tcBorders>
              <w:top w:val="single" w:sz="6" w:space="0" w:color="auto"/>
              <w:left w:val="nil"/>
              <w:bottom w:val="single" w:sz="12" w:space="0" w:color="auto"/>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1E7FA9">
              <w:rPr>
                <w:rFonts w:ascii="Calibri" w:eastAsiaTheme="minorEastAsia" w:hAnsi="Calibri" w:cs="Calibri"/>
                <w:b/>
                <w:bCs/>
                <w:color w:val="000000"/>
                <w:sz w:val="20"/>
                <w:lang w:eastAsia="en-AU"/>
              </w:rPr>
              <w:t>8 848.6</w:t>
            </w:r>
          </w:p>
        </w:tc>
        <w:tc>
          <w:tcPr>
            <w:tcW w:w="1388" w:type="dxa"/>
            <w:tcBorders>
              <w:top w:val="single" w:sz="6" w:space="0" w:color="auto"/>
              <w:left w:val="nil"/>
              <w:bottom w:val="single" w:sz="12" w:space="0" w:color="auto"/>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1E7FA9">
              <w:rPr>
                <w:rFonts w:ascii="Calibri" w:eastAsiaTheme="minorEastAsia" w:hAnsi="Calibri" w:cs="Calibri"/>
                <w:b/>
                <w:bCs/>
                <w:color w:val="000000"/>
                <w:sz w:val="20"/>
                <w:lang w:eastAsia="en-AU"/>
              </w:rPr>
              <w:t>44 785.4</w:t>
            </w:r>
          </w:p>
        </w:tc>
      </w:tr>
      <w:tr w:rsidR="00965D85" w:rsidRPr="001E7FA9" w:rsidTr="008B46DF">
        <w:tc>
          <w:tcPr>
            <w:tcW w:w="4962" w:type="dxa"/>
            <w:tcBorders>
              <w:top w:val="single" w:sz="12" w:space="0" w:color="auto"/>
              <w:left w:val="nil"/>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b/>
                <w:bCs/>
                <w:color w:val="000000"/>
                <w:sz w:val="20"/>
                <w:lang w:eastAsia="en-AU"/>
              </w:rPr>
            </w:pPr>
            <w:r w:rsidRPr="001E7FA9">
              <w:rPr>
                <w:rFonts w:ascii="Calibri" w:eastAsiaTheme="minorEastAsia" w:hAnsi="Calibri" w:cs="Calibri"/>
                <w:b/>
                <w:bCs/>
                <w:color w:val="000000"/>
                <w:sz w:val="20"/>
                <w:lang w:eastAsia="en-AU"/>
              </w:rPr>
              <w:t>2015</w:t>
            </w:r>
            <w:r>
              <w:rPr>
                <w:rFonts w:ascii="Calibri" w:eastAsiaTheme="minorEastAsia" w:hAnsi="Calibri" w:cs="Calibri"/>
                <w:b/>
                <w:bCs/>
                <w:color w:val="000000"/>
                <w:sz w:val="20"/>
                <w:lang w:eastAsia="en-AU"/>
              </w:rPr>
              <w:noBreakHyphen/>
            </w:r>
            <w:r w:rsidRPr="001E7FA9">
              <w:rPr>
                <w:rFonts w:ascii="Calibri" w:eastAsiaTheme="minorEastAsia" w:hAnsi="Calibri" w:cs="Calibri"/>
                <w:b/>
                <w:bCs/>
                <w:color w:val="000000"/>
                <w:sz w:val="20"/>
                <w:lang w:eastAsia="en-AU"/>
              </w:rPr>
              <w:t>16 revised</w:t>
            </w:r>
          </w:p>
        </w:tc>
        <w:tc>
          <w:tcPr>
            <w:tcW w:w="1417" w:type="dxa"/>
            <w:tcBorders>
              <w:top w:val="single" w:sz="12" w:space="0" w:color="auto"/>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FF"/>
                <w:sz w:val="20"/>
                <w:lang w:eastAsia="en-AU"/>
              </w:rPr>
            </w:pPr>
          </w:p>
        </w:tc>
        <w:tc>
          <w:tcPr>
            <w:tcW w:w="1388" w:type="dxa"/>
            <w:tcBorders>
              <w:top w:val="single" w:sz="12" w:space="0" w:color="auto"/>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FF"/>
                <w:sz w:val="20"/>
                <w:lang w:eastAsia="en-AU"/>
              </w:rPr>
            </w:pPr>
          </w:p>
        </w:tc>
      </w:tr>
      <w:tr w:rsidR="00965D85" w:rsidRPr="001E7FA9" w:rsidTr="008B46DF">
        <w:tc>
          <w:tcPr>
            <w:tcW w:w="4962" w:type="dxa"/>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Balance at 1 July 2015</w:t>
            </w:r>
          </w:p>
        </w:tc>
        <w:tc>
          <w:tcPr>
            <w:tcW w:w="1417"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4 429.8</w:t>
            </w:r>
          </w:p>
        </w:tc>
        <w:tc>
          <w:tcPr>
            <w:tcW w:w="1388"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49 942.9</w:t>
            </w:r>
          </w:p>
        </w:tc>
      </w:tr>
      <w:tr w:rsidR="00965D85" w:rsidRPr="001E7FA9" w:rsidTr="008B46DF">
        <w:tc>
          <w:tcPr>
            <w:tcW w:w="4962" w:type="dxa"/>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Net result</w:t>
            </w:r>
          </w:p>
        </w:tc>
        <w:tc>
          <w:tcPr>
            <w:tcW w:w="1417"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3 529.4</w:t>
            </w:r>
          </w:p>
        </w:tc>
        <w:tc>
          <w:tcPr>
            <w:tcW w:w="1388"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w:t>
            </w:r>
          </w:p>
        </w:tc>
      </w:tr>
      <w:tr w:rsidR="00965D85" w:rsidRPr="001E7FA9" w:rsidTr="008B46DF">
        <w:tc>
          <w:tcPr>
            <w:tcW w:w="4962" w:type="dxa"/>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Other comprehensive income for the year</w:t>
            </w:r>
          </w:p>
        </w:tc>
        <w:tc>
          <w:tcPr>
            <w:tcW w:w="1417"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(300.0)</w:t>
            </w:r>
          </w:p>
        </w:tc>
        <w:tc>
          <w:tcPr>
            <w:tcW w:w="1388"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w:t>
            </w:r>
          </w:p>
        </w:tc>
      </w:tr>
      <w:tr w:rsidR="00965D85" w:rsidRPr="001E7FA9" w:rsidTr="008B46DF">
        <w:tc>
          <w:tcPr>
            <w:tcW w:w="4962" w:type="dxa"/>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Dividends paid</w:t>
            </w:r>
          </w:p>
        </w:tc>
        <w:tc>
          <w:tcPr>
            <w:tcW w:w="1417"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(229.7)</w:t>
            </w:r>
          </w:p>
        </w:tc>
        <w:tc>
          <w:tcPr>
            <w:tcW w:w="1388"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w:t>
            </w:r>
          </w:p>
        </w:tc>
      </w:tr>
      <w:tr w:rsidR="00965D85" w:rsidRPr="001E7FA9" w:rsidTr="008B46DF">
        <w:tc>
          <w:tcPr>
            <w:tcW w:w="4962" w:type="dxa"/>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Transfer to accumulated surplus</w:t>
            </w:r>
          </w:p>
        </w:tc>
        <w:tc>
          <w:tcPr>
            <w:tcW w:w="1417"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(3 799.3)</w:t>
            </w:r>
          </w:p>
        </w:tc>
        <w:tc>
          <w:tcPr>
            <w:tcW w:w="1388"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w:t>
            </w:r>
          </w:p>
        </w:tc>
      </w:tr>
      <w:tr w:rsidR="00965D85" w:rsidRPr="001E7FA9" w:rsidTr="008B46DF">
        <w:tc>
          <w:tcPr>
            <w:tcW w:w="4962" w:type="dxa"/>
            <w:tcBorders>
              <w:top w:val="nil"/>
              <w:left w:val="nil"/>
              <w:bottom w:val="single" w:sz="6" w:space="0" w:color="auto"/>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Transactions with owners in their capacity as owners</w:t>
            </w:r>
          </w:p>
        </w:tc>
        <w:tc>
          <w:tcPr>
            <w:tcW w:w="1417" w:type="dxa"/>
            <w:tcBorders>
              <w:top w:val="nil"/>
              <w:left w:val="nil"/>
              <w:bottom w:val="single" w:sz="6" w:space="0" w:color="auto"/>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w:t>
            </w:r>
          </w:p>
        </w:tc>
        <w:tc>
          <w:tcPr>
            <w:tcW w:w="1388" w:type="dxa"/>
            <w:tcBorders>
              <w:top w:val="nil"/>
              <w:left w:val="nil"/>
              <w:bottom w:val="single" w:sz="6" w:space="0" w:color="auto"/>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(322.8)</w:t>
            </w:r>
          </w:p>
        </w:tc>
      </w:tr>
      <w:tr w:rsidR="00965D85" w:rsidRPr="001E7FA9" w:rsidTr="008B46DF">
        <w:tc>
          <w:tcPr>
            <w:tcW w:w="4962" w:type="dxa"/>
            <w:tcBorders>
              <w:top w:val="single" w:sz="6" w:space="0" w:color="auto"/>
              <w:left w:val="nil"/>
              <w:bottom w:val="single" w:sz="12" w:space="0" w:color="auto"/>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b/>
                <w:bCs/>
                <w:color w:val="000000"/>
                <w:sz w:val="20"/>
                <w:lang w:eastAsia="en-AU"/>
              </w:rPr>
            </w:pPr>
            <w:r w:rsidRPr="001E7FA9">
              <w:rPr>
                <w:rFonts w:ascii="Calibri" w:eastAsiaTheme="minorEastAsia" w:hAnsi="Calibri" w:cs="Calibri"/>
                <w:b/>
                <w:bCs/>
                <w:color w:val="000000"/>
                <w:sz w:val="20"/>
                <w:lang w:eastAsia="en-AU"/>
              </w:rPr>
              <w:t>Total equity at end of period</w:t>
            </w:r>
          </w:p>
        </w:tc>
        <w:tc>
          <w:tcPr>
            <w:tcW w:w="1417" w:type="dxa"/>
            <w:tcBorders>
              <w:top w:val="single" w:sz="6" w:space="0" w:color="auto"/>
              <w:left w:val="nil"/>
              <w:bottom w:val="single" w:sz="12" w:space="0" w:color="auto"/>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1E7FA9">
              <w:rPr>
                <w:rFonts w:ascii="Calibri" w:eastAsiaTheme="minorEastAsia" w:hAnsi="Calibri" w:cs="Calibri"/>
                <w:b/>
                <w:bCs/>
                <w:color w:val="000000"/>
                <w:sz w:val="20"/>
                <w:lang w:eastAsia="en-AU"/>
              </w:rPr>
              <w:t>3 630.3</w:t>
            </w:r>
          </w:p>
        </w:tc>
        <w:tc>
          <w:tcPr>
            <w:tcW w:w="1388" w:type="dxa"/>
            <w:tcBorders>
              <w:top w:val="single" w:sz="6" w:space="0" w:color="auto"/>
              <w:left w:val="nil"/>
              <w:bottom w:val="single" w:sz="12" w:space="0" w:color="auto"/>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1E7FA9">
              <w:rPr>
                <w:rFonts w:ascii="Calibri" w:eastAsiaTheme="minorEastAsia" w:hAnsi="Calibri" w:cs="Calibri"/>
                <w:b/>
                <w:bCs/>
                <w:color w:val="000000"/>
                <w:sz w:val="20"/>
                <w:lang w:eastAsia="en-AU"/>
              </w:rPr>
              <w:t>49 620.1</w:t>
            </w:r>
          </w:p>
        </w:tc>
      </w:tr>
      <w:tr w:rsidR="00965D85" w:rsidRPr="001E7FA9" w:rsidTr="008B46DF">
        <w:tc>
          <w:tcPr>
            <w:tcW w:w="4962" w:type="dxa"/>
            <w:tcBorders>
              <w:top w:val="single" w:sz="12" w:space="0" w:color="auto"/>
              <w:left w:val="nil"/>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b/>
                <w:bCs/>
                <w:color w:val="000000"/>
                <w:sz w:val="20"/>
                <w:lang w:eastAsia="en-AU"/>
              </w:rPr>
            </w:pPr>
            <w:r w:rsidRPr="001E7FA9">
              <w:rPr>
                <w:rFonts w:ascii="Calibri" w:eastAsiaTheme="minorEastAsia" w:hAnsi="Calibri" w:cs="Calibri"/>
                <w:b/>
                <w:bCs/>
                <w:color w:val="000000"/>
                <w:sz w:val="20"/>
                <w:lang w:eastAsia="en-AU"/>
              </w:rPr>
              <w:t>2016</w:t>
            </w:r>
            <w:r>
              <w:rPr>
                <w:rFonts w:ascii="Calibri" w:eastAsiaTheme="minorEastAsia" w:hAnsi="Calibri" w:cs="Calibri"/>
                <w:b/>
                <w:bCs/>
                <w:color w:val="000000"/>
                <w:sz w:val="20"/>
                <w:lang w:eastAsia="en-AU"/>
              </w:rPr>
              <w:noBreakHyphen/>
            </w:r>
            <w:r w:rsidRPr="001E7FA9">
              <w:rPr>
                <w:rFonts w:ascii="Calibri" w:eastAsiaTheme="minorEastAsia" w:hAnsi="Calibri" w:cs="Calibri"/>
                <w:b/>
                <w:bCs/>
                <w:color w:val="000000"/>
                <w:sz w:val="20"/>
                <w:lang w:eastAsia="en-AU"/>
              </w:rPr>
              <w:t>17 estimate</w:t>
            </w:r>
          </w:p>
        </w:tc>
        <w:tc>
          <w:tcPr>
            <w:tcW w:w="1417" w:type="dxa"/>
            <w:tcBorders>
              <w:top w:val="single" w:sz="12" w:space="0" w:color="auto"/>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FF"/>
                <w:sz w:val="20"/>
                <w:lang w:eastAsia="en-AU"/>
              </w:rPr>
            </w:pPr>
          </w:p>
        </w:tc>
        <w:tc>
          <w:tcPr>
            <w:tcW w:w="1388" w:type="dxa"/>
            <w:tcBorders>
              <w:top w:val="single" w:sz="12" w:space="0" w:color="auto"/>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FF"/>
                <w:sz w:val="20"/>
                <w:lang w:eastAsia="en-AU"/>
              </w:rPr>
            </w:pPr>
          </w:p>
        </w:tc>
      </w:tr>
      <w:tr w:rsidR="00965D85" w:rsidRPr="001E7FA9" w:rsidTr="008B46DF">
        <w:tc>
          <w:tcPr>
            <w:tcW w:w="4962" w:type="dxa"/>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Balance at 1 July 2016</w:t>
            </w:r>
          </w:p>
        </w:tc>
        <w:tc>
          <w:tcPr>
            <w:tcW w:w="1417"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3 630.3</w:t>
            </w:r>
          </w:p>
        </w:tc>
        <w:tc>
          <w:tcPr>
            <w:tcW w:w="1388"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49 620.1</w:t>
            </w:r>
          </w:p>
        </w:tc>
      </w:tr>
      <w:tr w:rsidR="00965D85" w:rsidRPr="001E7FA9" w:rsidTr="008B46DF">
        <w:tc>
          <w:tcPr>
            <w:tcW w:w="4962" w:type="dxa"/>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Net result</w:t>
            </w:r>
          </w:p>
        </w:tc>
        <w:tc>
          <w:tcPr>
            <w:tcW w:w="1417"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(197.0)</w:t>
            </w:r>
          </w:p>
        </w:tc>
        <w:tc>
          <w:tcPr>
            <w:tcW w:w="1388"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w:t>
            </w:r>
          </w:p>
        </w:tc>
      </w:tr>
      <w:tr w:rsidR="00965D85" w:rsidRPr="001E7FA9" w:rsidTr="008B46DF">
        <w:tc>
          <w:tcPr>
            <w:tcW w:w="4962" w:type="dxa"/>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Other comprehensive income for the year</w:t>
            </w:r>
          </w:p>
        </w:tc>
        <w:tc>
          <w:tcPr>
            <w:tcW w:w="1417"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(71.9)</w:t>
            </w:r>
          </w:p>
        </w:tc>
        <w:tc>
          <w:tcPr>
            <w:tcW w:w="1388"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w:t>
            </w:r>
          </w:p>
        </w:tc>
      </w:tr>
      <w:tr w:rsidR="00965D85" w:rsidRPr="001E7FA9" w:rsidTr="008B46DF">
        <w:tc>
          <w:tcPr>
            <w:tcW w:w="4962" w:type="dxa"/>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Dividends paid</w:t>
            </w:r>
          </w:p>
        </w:tc>
        <w:tc>
          <w:tcPr>
            <w:tcW w:w="1417"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(219.1)</w:t>
            </w:r>
          </w:p>
        </w:tc>
        <w:tc>
          <w:tcPr>
            <w:tcW w:w="1388"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w:t>
            </w:r>
          </w:p>
        </w:tc>
      </w:tr>
      <w:tr w:rsidR="00965D85" w:rsidRPr="001E7FA9" w:rsidTr="008B46DF">
        <w:tc>
          <w:tcPr>
            <w:tcW w:w="4962" w:type="dxa"/>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Transfer to accumulated surplus</w:t>
            </w:r>
          </w:p>
        </w:tc>
        <w:tc>
          <w:tcPr>
            <w:tcW w:w="1417"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(770.1)</w:t>
            </w:r>
          </w:p>
        </w:tc>
        <w:tc>
          <w:tcPr>
            <w:tcW w:w="1388"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w:t>
            </w:r>
          </w:p>
        </w:tc>
      </w:tr>
      <w:tr w:rsidR="00965D85" w:rsidRPr="001E7FA9" w:rsidTr="008B46DF">
        <w:tc>
          <w:tcPr>
            <w:tcW w:w="4962" w:type="dxa"/>
            <w:tcBorders>
              <w:top w:val="nil"/>
              <w:left w:val="nil"/>
              <w:bottom w:val="single" w:sz="6" w:space="0" w:color="auto"/>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Transactions with owners in their capacity as owners</w:t>
            </w:r>
          </w:p>
        </w:tc>
        <w:tc>
          <w:tcPr>
            <w:tcW w:w="1417" w:type="dxa"/>
            <w:tcBorders>
              <w:top w:val="nil"/>
              <w:left w:val="nil"/>
              <w:bottom w:val="single" w:sz="6" w:space="0" w:color="auto"/>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w:t>
            </w:r>
          </w:p>
        </w:tc>
        <w:tc>
          <w:tcPr>
            <w:tcW w:w="1388" w:type="dxa"/>
            <w:tcBorders>
              <w:top w:val="nil"/>
              <w:left w:val="nil"/>
              <w:bottom w:val="single" w:sz="6" w:space="0" w:color="auto"/>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2 555.1</w:t>
            </w:r>
          </w:p>
        </w:tc>
      </w:tr>
      <w:tr w:rsidR="00965D85" w:rsidRPr="001E7FA9" w:rsidTr="008B46DF">
        <w:tc>
          <w:tcPr>
            <w:tcW w:w="4962" w:type="dxa"/>
            <w:tcBorders>
              <w:top w:val="single" w:sz="6" w:space="0" w:color="auto"/>
              <w:left w:val="nil"/>
              <w:bottom w:val="single" w:sz="12" w:space="0" w:color="auto"/>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b/>
                <w:bCs/>
                <w:color w:val="000000"/>
                <w:sz w:val="20"/>
                <w:lang w:eastAsia="en-AU"/>
              </w:rPr>
            </w:pPr>
            <w:r w:rsidRPr="001E7FA9">
              <w:rPr>
                <w:rFonts w:ascii="Calibri" w:eastAsiaTheme="minorEastAsia" w:hAnsi="Calibri" w:cs="Calibri"/>
                <w:b/>
                <w:bCs/>
                <w:color w:val="000000"/>
                <w:sz w:val="20"/>
                <w:lang w:eastAsia="en-AU"/>
              </w:rPr>
              <w:t>Total equity at end of period</w:t>
            </w:r>
          </w:p>
        </w:tc>
        <w:tc>
          <w:tcPr>
            <w:tcW w:w="1417" w:type="dxa"/>
            <w:tcBorders>
              <w:top w:val="single" w:sz="6" w:space="0" w:color="auto"/>
              <w:left w:val="nil"/>
              <w:bottom w:val="single" w:sz="12" w:space="0" w:color="auto"/>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1E7FA9">
              <w:rPr>
                <w:rFonts w:ascii="Calibri" w:eastAsiaTheme="minorEastAsia" w:hAnsi="Calibri" w:cs="Calibri"/>
                <w:b/>
                <w:bCs/>
                <w:color w:val="000000"/>
                <w:sz w:val="20"/>
                <w:lang w:eastAsia="en-AU"/>
              </w:rPr>
              <w:t>2 372.2</w:t>
            </w:r>
          </w:p>
        </w:tc>
        <w:tc>
          <w:tcPr>
            <w:tcW w:w="1388" w:type="dxa"/>
            <w:tcBorders>
              <w:top w:val="single" w:sz="6" w:space="0" w:color="auto"/>
              <w:left w:val="nil"/>
              <w:bottom w:val="single" w:sz="12" w:space="0" w:color="auto"/>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1E7FA9">
              <w:rPr>
                <w:rFonts w:ascii="Calibri" w:eastAsiaTheme="minorEastAsia" w:hAnsi="Calibri" w:cs="Calibri"/>
                <w:b/>
                <w:bCs/>
                <w:color w:val="000000"/>
                <w:sz w:val="20"/>
                <w:lang w:eastAsia="en-AU"/>
              </w:rPr>
              <w:t>52 175.2</w:t>
            </w:r>
          </w:p>
        </w:tc>
      </w:tr>
      <w:tr w:rsidR="00965D85" w:rsidRPr="001E7FA9" w:rsidTr="008B46DF">
        <w:tc>
          <w:tcPr>
            <w:tcW w:w="4962" w:type="dxa"/>
            <w:tcBorders>
              <w:top w:val="single" w:sz="12" w:space="0" w:color="auto"/>
              <w:left w:val="nil"/>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b/>
                <w:bCs/>
                <w:color w:val="000000"/>
                <w:sz w:val="20"/>
                <w:lang w:eastAsia="en-AU"/>
              </w:rPr>
            </w:pPr>
            <w:r w:rsidRPr="001E7FA9">
              <w:rPr>
                <w:rFonts w:ascii="Calibri" w:eastAsiaTheme="minorEastAsia" w:hAnsi="Calibri" w:cs="Calibri"/>
                <w:b/>
                <w:bCs/>
                <w:color w:val="000000"/>
                <w:sz w:val="20"/>
                <w:lang w:eastAsia="en-AU"/>
              </w:rPr>
              <w:t>2017</w:t>
            </w:r>
            <w:r>
              <w:rPr>
                <w:rFonts w:ascii="Calibri" w:eastAsiaTheme="minorEastAsia" w:hAnsi="Calibri" w:cs="Calibri"/>
                <w:b/>
                <w:bCs/>
                <w:color w:val="000000"/>
                <w:sz w:val="20"/>
                <w:lang w:eastAsia="en-AU"/>
              </w:rPr>
              <w:noBreakHyphen/>
            </w:r>
            <w:r w:rsidRPr="001E7FA9">
              <w:rPr>
                <w:rFonts w:ascii="Calibri" w:eastAsiaTheme="minorEastAsia" w:hAnsi="Calibri" w:cs="Calibri"/>
                <w:b/>
                <w:bCs/>
                <w:color w:val="000000"/>
                <w:sz w:val="20"/>
                <w:lang w:eastAsia="en-AU"/>
              </w:rPr>
              <w:t>18 estimate</w:t>
            </w:r>
          </w:p>
        </w:tc>
        <w:tc>
          <w:tcPr>
            <w:tcW w:w="1417" w:type="dxa"/>
            <w:tcBorders>
              <w:top w:val="single" w:sz="12" w:space="0" w:color="auto"/>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FF"/>
                <w:sz w:val="20"/>
                <w:lang w:eastAsia="en-AU"/>
              </w:rPr>
            </w:pPr>
          </w:p>
        </w:tc>
        <w:tc>
          <w:tcPr>
            <w:tcW w:w="1388" w:type="dxa"/>
            <w:tcBorders>
              <w:top w:val="single" w:sz="12" w:space="0" w:color="auto"/>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FF"/>
                <w:sz w:val="20"/>
                <w:lang w:eastAsia="en-AU"/>
              </w:rPr>
            </w:pPr>
          </w:p>
        </w:tc>
      </w:tr>
      <w:tr w:rsidR="00965D85" w:rsidRPr="001E7FA9" w:rsidTr="008B46DF">
        <w:tc>
          <w:tcPr>
            <w:tcW w:w="4962" w:type="dxa"/>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Balance at 1 July 2017</w:t>
            </w:r>
          </w:p>
        </w:tc>
        <w:tc>
          <w:tcPr>
            <w:tcW w:w="1417"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2 372.2</w:t>
            </w:r>
          </w:p>
        </w:tc>
        <w:tc>
          <w:tcPr>
            <w:tcW w:w="1388"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52 175.2</w:t>
            </w:r>
          </w:p>
        </w:tc>
      </w:tr>
      <w:tr w:rsidR="00965D85" w:rsidRPr="001E7FA9" w:rsidTr="008B46DF">
        <w:tc>
          <w:tcPr>
            <w:tcW w:w="4962" w:type="dxa"/>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Net result</w:t>
            </w:r>
          </w:p>
        </w:tc>
        <w:tc>
          <w:tcPr>
            <w:tcW w:w="1417"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(140.8)</w:t>
            </w:r>
          </w:p>
        </w:tc>
        <w:tc>
          <w:tcPr>
            <w:tcW w:w="1388"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w:t>
            </w:r>
          </w:p>
        </w:tc>
      </w:tr>
      <w:tr w:rsidR="00965D85" w:rsidRPr="001E7FA9" w:rsidTr="008B46DF">
        <w:tc>
          <w:tcPr>
            <w:tcW w:w="4962" w:type="dxa"/>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Other comprehensive income for the year</w:t>
            </w:r>
          </w:p>
        </w:tc>
        <w:tc>
          <w:tcPr>
            <w:tcW w:w="1417"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(46.5)</w:t>
            </w:r>
          </w:p>
        </w:tc>
        <w:tc>
          <w:tcPr>
            <w:tcW w:w="1388"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w:t>
            </w:r>
          </w:p>
        </w:tc>
      </w:tr>
      <w:tr w:rsidR="00965D85" w:rsidRPr="001E7FA9" w:rsidTr="008B46DF">
        <w:tc>
          <w:tcPr>
            <w:tcW w:w="4962" w:type="dxa"/>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Dividends paid</w:t>
            </w:r>
          </w:p>
        </w:tc>
        <w:tc>
          <w:tcPr>
            <w:tcW w:w="1417"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(175.3)</w:t>
            </w:r>
          </w:p>
        </w:tc>
        <w:tc>
          <w:tcPr>
            <w:tcW w:w="1388"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w:t>
            </w:r>
          </w:p>
        </w:tc>
      </w:tr>
      <w:tr w:rsidR="00965D85" w:rsidRPr="001E7FA9" w:rsidTr="008B46DF">
        <w:tc>
          <w:tcPr>
            <w:tcW w:w="4962" w:type="dxa"/>
            <w:tcBorders>
              <w:top w:val="nil"/>
              <w:left w:val="nil"/>
              <w:bottom w:val="single" w:sz="6" w:space="0" w:color="auto"/>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Transactions with owners in their capacity as owners</w:t>
            </w:r>
          </w:p>
        </w:tc>
        <w:tc>
          <w:tcPr>
            <w:tcW w:w="1417" w:type="dxa"/>
            <w:tcBorders>
              <w:top w:val="nil"/>
              <w:left w:val="nil"/>
              <w:bottom w:val="single" w:sz="6" w:space="0" w:color="auto"/>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w:t>
            </w:r>
          </w:p>
        </w:tc>
        <w:tc>
          <w:tcPr>
            <w:tcW w:w="1388" w:type="dxa"/>
            <w:tcBorders>
              <w:top w:val="nil"/>
              <w:left w:val="nil"/>
              <w:bottom w:val="single" w:sz="6" w:space="0" w:color="auto"/>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2 164.5</w:t>
            </w:r>
          </w:p>
        </w:tc>
      </w:tr>
      <w:tr w:rsidR="00965D85" w:rsidRPr="001E7FA9" w:rsidTr="008B46DF">
        <w:tc>
          <w:tcPr>
            <w:tcW w:w="4962" w:type="dxa"/>
            <w:tcBorders>
              <w:top w:val="single" w:sz="6" w:space="0" w:color="auto"/>
              <w:left w:val="nil"/>
              <w:bottom w:val="single" w:sz="12" w:space="0" w:color="auto"/>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b/>
                <w:bCs/>
                <w:color w:val="000000"/>
                <w:sz w:val="20"/>
                <w:lang w:eastAsia="en-AU"/>
              </w:rPr>
            </w:pPr>
            <w:r w:rsidRPr="001E7FA9">
              <w:rPr>
                <w:rFonts w:ascii="Calibri" w:eastAsiaTheme="minorEastAsia" w:hAnsi="Calibri" w:cs="Calibri"/>
                <w:b/>
                <w:bCs/>
                <w:color w:val="000000"/>
                <w:sz w:val="20"/>
                <w:lang w:eastAsia="en-AU"/>
              </w:rPr>
              <w:t>Total equity at end of period</w:t>
            </w:r>
          </w:p>
        </w:tc>
        <w:tc>
          <w:tcPr>
            <w:tcW w:w="1417" w:type="dxa"/>
            <w:tcBorders>
              <w:top w:val="single" w:sz="6" w:space="0" w:color="auto"/>
              <w:left w:val="nil"/>
              <w:bottom w:val="single" w:sz="12" w:space="0" w:color="auto"/>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1E7FA9">
              <w:rPr>
                <w:rFonts w:ascii="Calibri" w:eastAsiaTheme="minorEastAsia" w:hAnsi="Calibri" w:cs="Calibri"/>
                <w:b/>
                <w:bCs/>
                <w:color w:val="000000"/>
                <w:sz w:val="20"/>
                <w:lang w:eastAsia="en-AU"/>
              </w:rPr>
              <w:t>2 009.5</w:t>
            </w:r>
          </w:p>
        </w:tc>
        <w:tc>
          <w:tcPr>
            <w:tcW w:w="1388" w:type="dxa"/>
            <w:tcBorders>
              <w:top w:val="single" w:sz="6" w:space="0" w:color="auto"/>
              <w:left w:val="nil"/>
              <w:bottom w:val="single" w:sz="12" w:space="0" w:color="auto"/>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1E7FA9">
              <w:rPr>
                <w:rFonts w:ascii="Calibri" w:eastAsiaTheme="minorEastAsia" w:hAnsi="Calibri" w:cs="Calibri"/>
                <w:b/>
                <w:bCs/>
                <w:color w:val="000000"/>
                <w:sz w:val="20"/>
                <w:lang w:eastAsia="en-AU"/>
              </w:rPr>
              <w:t>54 339.7</w:t>
            </w:r>
          </w:p>
        </w:tc>
      </w:tr>
      <w:tr w:rsidR="00965D85" w:rsidRPr="001E7FA9" w:rsidTr="008B46DF">
        <w:tc>
          <w:tcPr>
            <w:tcW w:w="4962" w:type="dxa"/>
            <w:tcBorders>
              <w:top w:val="single" w:sz="12" w:space="0" w:color="auto"/>
              <w:left w:val="nil"/>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b/>
                <w:bCs/>
                <w:color w:val="000000"/>
                <w:sz w:val="20"/>
                <w:lang w:eastAsia="en-AU"/>
              </w:rPr>
            </w:pPr>
            <w:r w:rsidRPr="001E7FA9">
              <w:rPr>
                <w:rFonts w:ascii="Calibri" w:eastAsiaTheme="minorEastAsia" w:hAnsi="Calibri" w:cs="Calibri"/>
                <w:b/>
                <w:bCs/>
                <w:color w:val="000000"/>
                <w:sz w:val="20"/>
                <w:lang w:eastAsia="en-AU"/>
              </w:rPr>
              <w:t>2018</w:t>
            </w:r>
            <w:r>
              <w:rPr>
                <w:rFonts w:ascii="Calibri" w:eastAsiaTheme="minorEastAsia" w:hAnsi="Calibri" w:cs="Calibri"/>
                <w:b/>
                <w:bCs/>
                <w:color w:val="000000"/>
                <w:sz w:val="20"/>
                <w:lang w:eastAsia="en-AU"/>
              </w:rPr>
              <w:noBreakHyphen/>
            </w:r>
            <w:r w:rsidRPr="001E7FA9">
              <w:rPr>
                <w:rFonts w:ascii="Calibri" w:eastAsiaTheme="minorEastAsia" w:hAnsi="Calibri" w:cs="Calibri"/>
                <w:b/>
                <w:bCs/>
                <w:color w:val="000000"/>
                <w:sz w:val="20"/>
                <w:lang w:eastAsia="en-AU"/>
              </w:rPr>
              <w:t>19 estimate</w:t>
            </w:r>
          </w:p>
        </w:tc>
        <w:tc>
          <w:tcPr>
            <w:tcW w:w="1417" w:type="dxa"/>
            <w:tcBorders>
              <w:top w:val="single" w:sz="12" w:space="0" w:color="auto"/>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FF"/>
                <w:sz w:val="20"/>
                <w:lang w:eastAsia="en-AU"/>
              </w:rPr>
            </w:pPr>
          </w:p>
        </w:tc>
        <w:tc>
          <w:tcPr>
            <w:tcW w:w="1388" w:type="dxa"/>
            <w:tcBorders>
              <w:top w:val="single" w:sz="12" w:space="0" w:color="auto"/>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FF"/>
                <w:sz w:val="20"/>
                <w:lang w:eastAsia="en-AU"/>
              </w:rPr>
            </w:pPr>
          </w:p>
        </w:tc>
      </w:tr>
      <w:tr w:rsidR="00965D85" w:rsidRPr="001E7FA9" w:rsidTr="008B46DF">
        <w:tc>
          <w:tcPr>
            <w:tcW w:w="4962" w:type="dxa"/>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Balance at 1 July 2018</w:t>
            </w:r>
          </w:p>
        </w:tc>
        <w:tc>
          <w:tcPr>
            <w:tcW w:w="1417"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2 009.5</w:t>
            </w:r>
          </w:p>
        </w:tc>
        <w:tc>
          <w:tcPr>
            <w:tcW w:w="1388"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54 339.7</w:t>
            </w:r>
          </w:p>
        </w:tc>
      </w:tr>
      <w:tr w:rsidR="00965D85" w:rsidRPr="001E7FA9" w:rsidTr="008B46DF">
        <w:tc>
          <w:tcPr>
            <w:tcW w:w="4962" w:type="dxa"/>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Net result</w:t>
            </w:r>
          </w:p>
        </w:tc>
        <w:tc>
          <w:tcPr>
            <w:tcW w:w="1417"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(57.2)</w:t>
            </w:r>
          </w:p>
        </w:tc>
        <w:tc>
          <w:tcPr>
            <w:tcW w:w="1388"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w:t>
            </w:r>
          </w:p>
        </w:tc>
      </w:tr>
      <w:tr w:rsidR="00965D85" w:rsidRPr="001E7FA9" w:rsidTr="008B46DF">
        <w:tc>
          <w:tcPr>
            <w:tcW w:w="4962" w:type="dxa"/>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Other comprehensive income for the year</w:t>
            </w:r>
          </w:p>
        </w:tc>
        <w:tc>
          <w:tcPr>
            <w:tcW w:w="1417"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(41.4)</w:t>
            </w:r>
          </w:p>
        </w:tc>
        <w:tc>
          <w:tcPr>
            <w:tcW w:w="1388"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w:t>
            </w:r>
          </w:p>
        </w:tc>
      </w:tr>
      <w:tr w:rsidR="00965D85" w:rsidRPr="001E7FA9" w:rsidTr="008B46DF">
        <w:tc>
          <w:tcPr>
            <w:tcW w:w="4962" w:type="dxa"/>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Dividends paid</w:t>
            </w:r>
          </w:p>
        </w:tc>
        <w:tc>
          <w:tcPr>
            <w:tcW w:w="1417"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(212.6)</w:t>
            </w:r>
          </w:p>
        </w:tc>
        <w:tc>
          <w:tcPr>
            <w:tcW w:w="1388"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w:t>
            </w:r>
          </w:p>
        </w:tc>
      </w:tr>
      <w:tr w:rsidR="00965D85" w:rsidRPr="001E7FA9" w:rsidTr="008B46DF">
        <w:tc>
          <w:tcPr>
            <w:tcW w:w="4962" w:type="dxa"/>
            <w:tcBorders>
              <w:top w:val="nil"/>
              <w:left w:val="nil"/>
              <w:bottom w:val="single" w:sz="6" w:space="0" w:color="auto"/>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Transactions with owners in their capacity as owners</w:t>
            </w:r>
          </w:p>
        </w:tc>
        <w:tc>
          <w:tcPr>
            <w:tcW w:w="1417" w:type="dxa"/>
            <w:tcBorders>
              <w:top w:val="nil"/>
              <w:left w:val="nil"/>
              <w:bottom w:val="single" w:sz="6" w:space="0" w:color="auto"/>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w:t>
            </w:r>
          </w:p>
        </w:tc>
        <w:tc>
          <w:tcPr>
            <w:tcW w:w="1388" w:type="dxa"/>
            <w:tcBorders>
              <w:top w:val="nil"/>
              <w:left w:val="nil"/>
              <w:bottom w:val="single" w:sz="6" w:space="0" w:color="auto"/>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2 398.4</w:t>
            </w:r>
          </w:p>
        </w:tc>
      </w:tr>
      <w:tr w:rsidR="00965D85" w:rsidRPr="001E7FA9" w:rsidTr="008B46DF">
        <w:tc>
          <w:tcPr>
            <w:tcW w:w="4962" w:type="dxa"/>
            <w:tcBorders>
              <w:top w:val="single" w:sz="6" w:space="0" w:color="auto"/>
              <w:left w:val="nil"/>
              <w:bottom w:val="single" w:sz="12" w:space="0" w:color="auto"/>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b/>
                <w:bCs/>
                <w:color w:val="000000"/>
                <w:sz w:val="20"/>
                <w:lang w:eastAsia="en-AU"/>
              </w:rPr>
            </w:pPr>
            <w:r w:rsidRPr="001E7FA9">
              <w:rPr>
                <w:rFonts w:ascii="Calibri" w:eastAsiaTheme="minorEastAsia" w:hAnsi="Calibri" w:cs="Calibri"/>
                <w:b/>
                <w:bCs/>
                <w:color w:val="000000"/>
                <w:sz w:val="20"/>
                <w:lang w:eastAsia="en-AU"/>
              </w:rPr>
              <w:t>Total equity at end of period</w:t>
            </w:r>
          </w:p>
        </w:tc>
        <w:tc>
          <w:tcPr>
            <w:tcW w:w="1417" w:type="dxa"/>
            <w:tcBorders>
              <w:top w:val="single" w:sz="6" w:space="0" w:color="auto"/>
              <w:left w:val="nil"/>
              <w:bottom w:val="single" w:sz="12" w:space="0" w:color="auto"/>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1E7FA9">
              <w:rPr>
                <w:rFonts w:ascii="Calibri" w:eastAsiaTheme="minorEastAsia" w:hAnsi="Calibri" w:cs="Calibri"/>
                <w:b/>
                <w:bCs/>
                <w:color w:val="000000"/>
                <w:sz w:val="20"/>
                <w:lang w:eastAsia="en-AU"/>
              </w:rPr>
              <w:t>1 698.4</w:t>
            </w:r>
          </w:p>
        </w:tc>
        <w:tc>
          <w:tcPr>
            <w:tcW w:w="1388" w:type="dxa"/>
            <w:tcBorders>
              <w:top w:val="single" w:sz="6" w:space="0" w:color="auto"/>
              <w:left w:val="nil"/>
              <w:bottom w:val="single" w:sz="12" w:space="0" w:color="auto"/>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1E7FA9">
              <w:rPr>
                <w:rFonts w:ascii="Calibri" w:eastAsiaTheme="minorEastAsia" w:hAnsi="Calibri" w:cs="Calibri"/>
                <w:b/>
                <w:bCs/>
                <w:color w:val="000000"/>
                <w:sz w:val="20"/>
                <w:lang w:eastAsia="en-AU"/>
              </w:rPr>
              <w:t>56 738.2</w:t>
            </w:r>
          </w:p>
        </w:tc>
      </w:tr>
      <w:tr w:rsidR="00965D85" w:rsidRPr="001E7FA9" w:rsidTr="008B46DF">
        <w:tc>
          <w:tcPr>
            <w:tcW w:w="7767" w:type="dxa"/>
            <w:gridSpan w:val="3"/>
            <w:tcBorders>
              <w:top w:val="single" w:sz="12" w:space="0" w:color="auto"/>
              <w:left w:val="nil"/>
              <w:bottom w:val="nil"/>
              <w:right w:val="nil"/>
            </w:tcBorders>
            <w:shd w:val="clear" w:color="auto" w:fill="auto"/>
          </w:tcPr>
          <w:p w:rsidR="00965D85" w:rsidRPr="001E7FA9" w:rsidRDefault="00965D85" w:rsidP="008B46DF">
            <w:pPr>
              <w:pStyle w:val="Source"/>
              <w:rPr>
                <w:rFonts w:eastAsiaTheme="minorEastAsia"/>
                <w:lang w:eastAsia="en-AU"/>
              </w:rPr>
            </w:pPr>
            <w:r w:rsidRPr="001E7FA9">
              <w:rPr>
                <w:rFonts w:eastAsiaTheme="minorEastAsia"/>
                <w:lang w:eastAsia="en-AU"/>
              </w:rPr>
              <w:t>Source: Department of Treasury and Finance</w:t>
            </w:r>
          </w:p>
        </w:tc>
      </w:tr>
    </w:tbl>
    <w:p w:rsidR="00965D85" w:rsidRPr="00190643" w:rsidRDefault="00965D85" w:rsidP="008B46DF">
      <w:pPr>
        <w:pStyle w:val="Notes"/>
        <w:rPr>
          <w:lang w:eastAsia="en-AU"/>
        </w:rPr>
      </w:pPr>
      <w:r w:rsidRPr="00190643">
        <w:rPr>
          <w:lang w:eastAsia="en-AU"/>
        </w:rPr>
        <w:t>Note:</w:t>
      </w:r>
    </w:p>
    <w:p w:rsidR="00965D85" w:rsidRDefault="00965D85" w:rsidP="008B46DF">
      <w:pPr>
        <w:pStyle w:val="Notes"/>
        <w:rPr>
          <w:i w:val="0"/>
          <w:lang w:eastAsia="en-AU"/>
        </w:rPr>
      </w:pPr>
      <w:r w:rsidRPr="00190643">
        <w:rPr>
          <w:lang w:eastAsia="en-AU"/>
        </w:rPr>
        <w:t>(a)</w:t>
      </w:r>
      <w:r w:rsidRPr="00190643">
        <w:rPr>
          <w:lang w:eastAsia="en-AU"/>
        </w:rPr>
        <w:tab/>
        <w:t>Balances represent actual opening balances at 1 July 2015 plus 2015</w:t>
      </w:r>
      <w:r>
        <w:rPr>
          <w:lang w:eastAsia="en-AU"/>
        </w:rPr>
        <w:noBreakHyphen/>
      </w:r>
      <w:r w:rsidRPr="00190643">
        <w:rPr>
          <w:lang w:eastAsia="en-AU"/>
        </w:rPr>
        <w:t>16 budgeted movements.</w:t>
      </w:r>
      <w:r>
        <w:rPr>
          <w:lang w:eastAsia="en-AU"/>
        </w:rPr>
        <w:br w:type="page"/>
      </w:r>
    </w:p>
    <w:p w:rsidR="00965D85" w:rsidRPr="001E7FA9" w:rsidRDefault="00965D85" w:rsidP="008B46DF">
      <w:pPr>
        <w:pStyle w:val="Tableheading"/>
        <w:rPr>
          <w:lang w:eastAsia="en-AU"/>
        </w:rPr>
      </w:pPr>
    </w:p>
    <w:tbl>
      <w:tblPr>
        <w:tblW w:w="7767" w:type="dxa"/>
        <w:tblInd w:w="28" w:type="dxa"/>
        <w:tblLayout w:type="fixed"/>
        <w:tblCellMar>
          <w:left w:w="28" w:type="dxa"/>
          <w:right w:w="28" w:type="dxa"/>
        </w:tblCellMar>
        <w:tblLook w:val="0000" w:firstRow="0" w:lastRow="0" w:firstColumn="0" w:lastColumn="0" w:noHBand="0" w:noVBand="0"/>
      </w:tblPr>
      <w:tblGrid>
        <w:gridCol w:w="2977"/>
        <w:gridCol w:w="2201"/>
        <w:gridCol w:w="2589"/>
      </w:tblGrid>
      <w:tr w:rsidR="00965D85" w:rsidRPr="001E7FA9" w:rsidTr="008B46DF">
        <w:trPr>
          <w:tblHeader/>
        </w:trPr>
        <w:tc>
          <w:tcPr>
            <w:tcW w:w="7767" w:type="dxa"/>
            <w:gridSpan w:val="3"/>
            <w:tcBorders>
              <w:top w:val="nil"/>
              <w:left w:val="nil"/>
              <w:bottom w:val="nil"/>
              <w:right w:val="nil"/>
            </w:tcBorders>
          </w:tcPr>
          <w:p w:rsidR="00965D85" w:rsidRPr="001E7FA9" w:rsidRDefault="00965D85" w:rsidP="008B46DF">
            <w:pPr>
              <w:pStyle w:val="million"/>
              <w:rPr>
                <w:rFonts w:eastAsiaTheme="minorEastAsia"/>
                <w:sz w:val="20"/>
                <w:lang w:eastAsia="en-AU"/>
              </w:rPr>
            </w:pPr>
            <w:r w:rsidRPr="001E7FA9">
              <w:rPr>
                <w:rFonts w:eastAsiaTheme="minorEastAsia"/>
                <w:sz w:val="20"/>
                <w:lang w:eastAsia="en-AU"/>
              </w:rPr>
              <w:t xml:space="preserve"> </w:t>
            </w:r>
          </w:p>
        </w:tc>
      </w:tr>
      <w:tr w:rsidR="00965D85" w:rsidRPr="001E7FA9" w:rsidTr="008B46DF">
        <w:trPr>
          <w:tblHeader/>
        </w:trPr>
        <w:tc>
          <w:tcPr>
            <w:tcW w:w="2977" w:type="dxa"/>
            <w:tcBorders>
              <w:top w:val="single" w:sz="6" w:space="0" w:color="auto"/>
              <w:left w:val="nil"/>
              <w:bottom w:val="single" w:sz="6" w:space="0" w:color="auto"/>
              <w:right w:val="nil"/>
            </w:tcBorders>
            <w:shd w:val="solid" w:color="000000" w:fill="auto"/>
          </w:tcPr>
          <w:p w:rsidR="00965D85" w:rsidRPr="001E7FA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1E7FA9">
              <w:rPr>
                <w:rFonts w:ascii="Calibri" w:eastAsiaTheme="minorEastAsia" w:hAnsi="Calibri" w:cs="Calibri"/>
                <w:i/>
                <w:iCs/>
                <w:color w:val="FFFFFF"/>
                <w:sz w:val="20"/>
                <w:lang w:eastAsia="en-AU"/>
              </w:rPr>
              <w:t>Land, buildings, infrastructure,</w:t>
            </w:r>
          </w:p>
          <w:p w:rsidR="00965D85" w:rsidRPr="001E7FA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1E7FA9">
              <w:rPr>
                <w:rFonts w:ascii="Calibri" w:eastAsiaTheme="minorEastAsia" w:hAnsi="Calibri" w:cs="Calibri"/>
                <w:i/>
                <w:iCs/>
                <w:color w:val="FFFFFF"/>
                <w:sz w:val="20"/>
                <w:lang w:eastAsia="en-AU"/>
              </w:rPr>
              <w:t xml:space="preserve"> plant and equipment</w:t>
            </w:r>
          </w:p>
          <w:p w:rsidR="00965D85" w:rsidRPr="001E7FA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1E7FA9">
              <w:rPr>
                <w:rFonts w:ascii="Calibri" w:eastAsiaTheme="minorEastAsia" w:hAnsi="Calibri" w:cs="Calibri"/>
                <w:i/>
                <w:iCs/>
                <w:color w:val="FFFFFF"/>
                <w:sz w:val="20"/>
                <w:lang w:eastAsia="en-AU"/>
              </w:rPr>
              <w:t xml:space="preserve"> revaluation surplus</w:t>
            </w:r>
          </w:p>
        </w:tc>
        <w:tc>
          <w:tcPr>
            <w:tcW w:w="2201" w:type="dxa"/>
            <w:tcBorders>
              <w:top w:val="single" w:sz="6" w:space="0" w:color="auto"/>
              <w:left w:val="nil"/>
              <w:bottom w:val="single" w:sz="6" w:space="0" w:color="auto"/>
              <w:right w:val="nil"/>
            </w:tcBorders>
            <w:shd w:val="solid" w:color="000000" w:fill="auto"/>
          </w:tcPr>
          <w:p w:rsidR="00965D85" w:rsidRPr="001E7FA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p>
          <w:p w:rsidR="00965D85" w:rsidRPr="001E7FA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1E7FA9">
              <w:rPr>
                <w:rFonts w:ascii="Calibri" w:eastAsiaTheme="minorEastAsia" w:hAnsi="Calibri" w:cs="Calibri"/>
                <w:i/>
                <w:iCs/>
                <w:color w:val="FFFFFF"/>
                <w:sz w:val="20"/>
                <w:lang w:eastAsia="en-AU"/>
              </w:rPr>
              <w:t>Other</w:t>
            </w:r>
          </w:p>
          <w:p w:rsidR="00965D85" w:rsidRPr="001E7FA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1E7FA9">
              <w:rPr>
                <w:rFonts w:ascii="Calibri" w:eastAsiaTheme="minorEastAsia" w:hAnsi="Calibri" w:cs="Calibri"/>
                <w:i/>
                <w:iCs/>
                <w:color w:val="FFFFFF"/>
                <w:sz w:val="20"/>
                <w:lang w:eastAsia="en-AU"/>
              </w:rPr>
              <w:t xml:space="preserve"> reserves</w:t>
            </w:r>
          </w:p>
        </w:tc>
        <w:tc>
          <w:tcPr>
            <w:tcW w:w="2589" w:type="dxa"/>
            <w:tcBorders>
              <w:top w:val="single" w:sz="6" w:space="0" w:color="auto"/>
              <w:left w:val="nil"/>
              <w:bottom w:val="single" w:sz="6" w:space="0" w:color="auto"/>
              <w:right w:val="nil"/>
            </w:tcBorders>
            <w:shd w:val="solid" w:color="000000" w:fill="auto"/>
          </w:tcPr>
          <w:p w:rsidR="00965D85" w:rsidRPr="001E7FA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p>
          <w:p w:rsidR="00965D85" w:rsidRPr="001E7FA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p>
          <w:p w:rsidR="00965D85" w:rsidRPr="001E7FA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1E7FA9">
              <w:rPr>
                <w:rFonts w:ascii="Calibri" w:eastAsiaTheme="minorEastAsia" w:hAnsi="Calibri" w:cs="Calibri"/>
                <w:i/>
                <w:iCs/>
                <w:color w:val="FFFFFF"/>
                <w:sz w:val="20"/>
                <w:lang w:eastAsia="en-AU"/>
              </w:rPr>
              <w:t>Total</w:t>
            </w:r>
          </w:p>
        </w:tc>
      </w:tr>
      <w:tr w:rsidR="00965D85" w:rsidRPr="001E7FA9" w:rsidTr="008B46DF">
        <w:tc>
          <w:tcPr>
            <w:tcW w:w="2977" w:type="dxa"/>
            <w:tcBorders>
              <w:top w:val="single" w:sz="6" w:space="0" w:color="auto"/>
              <w:left w:val="nil"/>
              <w:right w:val="nil"/>
            </w:tcBorders>
            <w:shd w:val="clear" w:color="auto" w:fill="FFFFFF"/>
          </w:tcPr>
          <w:p w:rsidR="00965D85" w:rsidRPr="001E7FA9" w:rsidRDefault="00965D85" w:rsidP="008B46DF">
            <w:pPr>
              <w:autoSpaceDE w:val="0"/>
              <w:autoSpaceDN w:val="0"/>
              <w:adjustRightInd w:val="0"/>
              <w:spacing w:after="0"/>
              <w:ind w:left="227" w:hanging="227"/>
              <w:jc w:val="right"/>
              <w:rPr>
                <w:rFonts w:ascii="Calibri" w:eastAsiaTheme="minorEastAsia" w:hAnsi="Calibri" w:cs="Calibri"/>
                <w:b/>
                <w:bCs/>
                <w:color w:val="000000"/>
                <w:sz w:val="20"/>
                <w:lang w:eastAsia="en-AU"/>
              </w:rPr>
            </w:pPr>
            <w:r w:rsidRPr="001E7FA9">
              <w:rPr>
                <w:rFonts w:ascii="Calibri" w:eastAsiaTheme="minorEastAsia" w:hAnsi="Calibri" w:cs="Calibri"/>
                <w:b/>
                <w:bCs/>
                <w:color w:val="000000"/>
                <w:sz w:val="20"/>
                <w:lang w:eastAsia="en-AU"/>
              </w:rPr>
              <w:t xml:space="preserve"> </w:t>
            </w:r>
          </w:p>
        </w:tc>
        <w:tc>
          <w:tcPr>
            <w:tcW w:w="2201" w:type="dxa"/>
            <w:tcBorders>
              <w:top w:val="single" w:sz="6" w:space="0" w:color="auto"/>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FF"/>
                <w:sz w:val="20"/>
                <w:lang w:eastAsia="en-AU"/>
              </w:rPr>
            </w:pPr>
          </w:p>
        </w:tc>
        <w:tc>
          <w:tcPr>
            <w:tcW w:w="2589" w:type="dxa"/>
            <w:tcBorders>
              <w:top w:val="single" w:sz="6" w:space="0" w:color="auto"/>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FF"/>
                <w:sz w:val="20"/>
                <w:lang w:eastAsia="en-AU"/>
              </w:rPr>
            </w:pPr>
          </w:p>
        </w:tc>
      </w:tr>
      <w:tr w:rsidR="00965D85" w:rsidRPr="001E7FA9" w:rsidTr="008B46DF">
        <w:tc>
          <w:tcPr>
            <w:tcW w:w="2977" w:type="dxa"/>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24 161.5</w:t>
            </w:r>
          </w:p>
        </w:tc>
        <w:tc>
          <w:tcPr>
            <w:tcW w:w="2201"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437.3</w:t>
            </w:r>
          </w:p>
        </w:tc>
        <w:tc>
          <w:tcPr>
            <w:tcW w:w="2589"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78 971.5</w:t>
            </w:r>
          </w:p>
        </w:tc>
      </w:tr>
      <w:tr w:rsidR="00965D85" w:rsidRPr="001E7FA9" w:rsidTr="008B46DF">
        <w:tc>
          <w:tcPr>
            <w:tcW w:w="2977" w:type="dxa"/>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w:t>
            </w:r>
          </w:p>
        </w:tc>
        <w:tc>
          <w:tcPr>
            <w:tcW w:w="2201"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w:t>
            </w:r>
          </w:p>
        </w:tc>
        <w:tc>
          <w:tcPr>
            <w:tcW w:w="2589"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4 092.6</w:t>
            </w:r>
          </w:p>
        </w:tc>
      </w:tr>
      <w:tr w:rsidR="00965D85" w:rsidRPr="001E7FA9" w:rsidTr="008B46DF">
        <w:tc>
          <w:tcPr>
            <w:tcW w:w="2977" w:type="dxa"/>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 xml:space="preserve"> 830.3</w:t>
            </w:r>
          </w:p>
        </w:tc>
        <w:tc>
          <w:tcPr>
            <w:tcW w:w="2201"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64.7</w:t>
            </w:r>
          </w:p>
        </w:tc>
        <w:tc>
          <w:tcPr>
            <w:tcW w:w="2589"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1 436.9</w:t>
            </w:r>
          </w:p>
        </w:tc>
      </w:tr>
      <w:tr w:rsidR="00965D85" w:rsidRPr="001E7FA9" w:rsidTr="008B46DF">
        <w:tc>
          <w:tcPr>
            <w:tcW w:w="2977" w:type="dxa"/>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w:t>
            </w:r>
          </w:p>
        </w:tc>
        <w:tc>
          <w:tcPr>
            <w:tcW w:w="2201"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w:t>
            </w:r>
          </w:p>
        </w:tc>
        <w:tc>
          <w:tcPr>
            <w:tcW w:w="2589"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(215.6)</w:t>
            </w:r>
          </w:p>
        </w:tc>
      </w:tr>
      <w:tr w:rsidR="00965D85" w:rsidRPr="001E7FA9" w:rsidTr="008B46DF">
        <w:tc>
          <w:tcPr>
            <w:tcW w:w="2977" w:type="dxa"/>
            <w:tcBorders>
              <w:top w:val="nil"/>
              <w:left w:val="nil"/>
              <w:bottom w:val="single" w:sz="6" w:space="0" w:color="auto"/>
              <w:right w:val="nil"/>
            </w:tcBorders>
            <w:shd w:val="clear" w:color="auto" w:fill="FFFFFF"/>
          </w:tcPr>
          <w:p w:rsidR="00965D85" w:rsidRPr="001E7FA9" w:rsidRDefault="00965D85" w:rsidP="008B46DF">
            <w:pPr>
              <w:autoSpaceDE w:val="0"/>
              <w:autoSpaceDN w:val="0"/>
              <w:adjustRightInd w:val="0"/>
              <w:spacing w:after="0"/>
              <w:ind w:left="227" w:hanging="227"/>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w:t>
            </w:r>
          </w:p>
        </w:tc>
        <w:tc>
          <w:tcPr>
            <w:tcW w:w="2201" w:type="dxa"/>
            <w:tcBorders>
              <w:top w:val="nil"/>
              <w:left w:val="nil"/>
              <w:bottom w:val="single" w:sz="6" w:space="0" w:color="auto"/>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w:t>
            </w:r>
          </w:p>
        </w:tc>
        <w:tc>
          <w:tcPr>
            <w:tcW w:w="2589" w:type="dxa"/>
            <w:tcBorders>
              <w:top w:val="nil"/>
              <w:left w:val="nil"/>
              <w:bottom w:val="single" w:sz="6" w:space="0" w:color="auto"/>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(5 157.5)</w:t>
            </w:r>
          </w:p>
        </w:tc>
      </w:tr>
      <w:tr w:rsidR="00965D85" w:rsidRPr="001E7FA9" w:rsidTr="008B46DF">
        <w:tc>
          <w:tcPr>
            <w:tcW w:w="2977" w:type="dxa"/>
            <w:tcBorders>
              <w:top w:val="single" w:sz="6" w:space="0" w:color="auto"/>
              <w:left w:val="nil"/>
              <w:bottom w:val="single" w:sz="12" w:space="0" w:color="auto"/>
              <w:right w:val="nil"/>
            </w:tcBorders>
            <w:shd w:val="clear" w:color="auto" w:fill="FFFFFF"/>
          </w:tcPr>
          <w:p w:rsidR="00965D85" w:rsidRPr="001E7FA9" w:rsidRDefault="00965D85" w:rsidP="008B46DF">
            <w:pPr>
              <w:autoSpaceDE w:val="0"/>
              <w:autoSpaceDN w:val="0"/>
              <w:adjustRightInd w:val="0"/>
              <w:spacing w:after="0"/>
              <w:ind w:left="227" w:hanging="227"/>
              <w:jc w:val="right"/>
              <w:rPr>
                <w:rFonts w:ascii="Calibri" w:eastAsiaTheme="minorEastAsia" w:hAnsi="Calibri" w:cs="Calibri"/>
                <w:b/>
                <w:bCs/>
                <w:color w:val="000000"/>
                <w:sz w:val="20"/>
                <w:lang w:eastAsia="en-AU"/>
              </w:rPr>
            </w:pPr>
            <w:r w:rsidRPr="001E7FA9">
              <w:rPr>
                <w:rFonts w:ascii="Calibri" w:eastAsiaTheme="minorEastAsia" w:hAnsi="Calibri" w:cs="Calibri"/>
                <w:b/>
                <w:bCs/>
                <w:color w:val="000000"/>
                <w:sz w:val="20"/>
                <w:lang w:eastAsia="en-AU"/>
              </w:rPr>
              <w:t>24 991.8</w:t>
            </w:r>
          </w:p>
        </w:tc>
        <w:tc>
          <w:tcPr>
            <w:tcW w:w="2201" w:type="dxa"/>
            <w:tcBorders>
              <w:top w:val="single" w:sz="6" w:space="0" w:color="auto"/>
              <w:left w:val="nil"/>
              <w:bottom w:val="single" w:sz="12" w:space="0" w:color="auto"/>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20"/>
                <w:lang w:eastAsia="en-AU"/>
              </w:rPr>
              <w:t>502.1</w:t>
            </w:r>
          </w:p>
        </w:tc>
        <w:tc>
          <w:tcPr>
            <w:tcW w:w="2589" w:type="dxa"/>
            <w:tcBorders>
              <w:top w:val="single" w:sz="6" w:space="0" w:color="auto"/>
              <w:left w:val="nil"/>
              <w:bottom w:val="single" w:sz="12" w:space="0" w:color="auto"/>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1E7FA9">
              <w:rPr>
                <w:rFonts w:ascii="Calibri" w:eastAsiaTheme="minorEastAsia" w:hAnsi="Calibri" w:cs="Calibri"/>
                <w:b/>
                <w:bCs/>
                <w:color w:val="000000"/>
                <w:sz w:val="20"/>
                <w:lang w:eastAsia="en-AU"/>
              </w:rPr>
              <w:t>79 127.9</w:t>
            </w:r>
          </w:p>
        </w:tc>
      </w:tr>
      <w:tr w:rsidR="00965D85" w:rsidRPr="001E7FA9" w:rsidTr="008B46DF">
        <w:tc>
          <w:tcPr>
            <w:tcW w:w="2977" w:type="dxa"/>
            <w:tcBorders>
              <w:top w:val="single" w:sz="12" w:space="0" w:color="auto"/>
              <w:left w:val="nil"/>
              <w:right w:val="nil"/>
            </w:tcBorders>
            <w:shd w:val="clear" w:color="auto" w:fill="FFFFFF"/>
          </w:tcPr>
          <w:p w:rsidR="00965D85" w:rsidRPr="001E7FA9" w:rsidRDefault="00965D85" w:rsidP="008B46DF">
            <w:pPr>
              <w:autoSpaceDE w:val="0"/>
              <w:autoSpaceDN w:val="0"/>
              <w:adjustRightInd w:val="0"/>
              <w:spacing w:after="0"/>
              <w:ind w:left="227" w:hanging="227"/>
              <w:jc w:val="right"/>
              <w:rPr>
                <w:rFonts w:ascii="Calibri" w:eastAsiaTheme="minorEastAsia" w:hAnsi="Calibri" w:cs="Calibri"/>
                <w:b/>
                <w:bCs/>
                <w:color w:val="000000"/>
                <w:sz w:val="20"/>
                <w:lang w:eastAsia="en-AU"/>
              </w:rPr>
            </w:pPr>
            <w:r w:rsidRPr="001E7FA9">
              <w:rPr>
                <w:rFonts w:ascii="Calibri" w:eastAsiaTheme="minorEastAsia" w:hAnsi="Calibri" w:cs="Calibri"/>
                <w:b/>
                <w:bCs/>
                <w:color w:val="000000"/>
                <w:sz w:val="20"/>
                <w:lang w:eastAsia="en-AU"/>
              </w:rPr>
              <w:t xml:space="preserve"> </w:t>
            </w:r>
          </w:p>
        </w:tc>
        <w:tc>
          <w:tcPr>
            <w:tcW w:w="2201" w:type="dxa"/>
            <w:tcBorders>
              <w:top w:val="single" w:sz="12" w:space="0" w:color="auto"/>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FF"/>
                <w:sz w:val="20"/>
                <w:lang w:eastAsia="en-AU"/>
              </w:rPr>
            </w:pPr>
          </w:p>
        </w:tc>
        <w:tc>
          <w:tcPr>
            <w:tcW w:w="2589" w:type="dxa"/>
            <w:tcBorders>
              <w:top w:val="single" w:sz="12" w:space="0" w:color="auto"/>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FF"/>
                <w:sz w:val="20"/>
                <w:lang w:eastAsia="en-AU"/>
              </w:rPr>
            </w:pPr>
          </w:p>
        </w:tc>
      </w:tr>
      <w:tr w:rsidR="00965D85" w:rsidRPr="001E7FA9" w:rsidTr="008B46DF">
        <w:tc>
          <w:tcPr>
            <w:tcW w:w="2977" w:type="dxa"/>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24 161.5</w:t>
            </w:r>
          </w:p>
        </w:tc>
        <w:tc>
          <w:tcPr>
            <w:tcW w:w="2201"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437.3</w:t>
            </w:r>
          </w:p>
        </w:tc>
        <w:tc>
          <w:tcPr>
            <w:tcW w:w="2589"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78 971.5</w:t>
            </w:r>
          </w:p>
        </w:tc>
      </w:tr>
      <w:tr w:rsidR="00965D85" w:rsidRPr="001E7FA9" w:rsidTr="008B46DF">
        <w:tc>
          <w:tcPr>
            <w:tcW w:w="2977" w:type="dxa"/>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w:t>
            </w:r>
          </w:p>
        </w:tc>
        <w:tc>
          <w:tcPr>
            <w:tcW w:w="2201"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w:t>
            </w:r>
          </w:p>
        </w:tc>
        <w:tc>
          <w:tcPr>
            <w:tcW w:w="2589"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3 529.4</w:t>
            </w:r>
          </w:p>
        </w:tc>
      </w:tr>
      <w:tr w:rsidR="00965D85" w:rsidRPr="001E7FA9" w:rsidTr="008B46DF">
        <w:tc>
          <w:tcPr>
            <w:tcW w:w="2977" w:type="dxa"/>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1 283.2</w:t>
            </w:r>
          </w:p>
        </w:tc>
        <w:tc>
          <w:tcPr>
            <w:tcW w:w="2201"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53.1</w:t>
            </w:r>
          </w:p>
        </w:tc>
        <w:tc>
          <w:tcPr>
            <w:tcW w:w="2589"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1 036.3</w:t>
            </w:r>
          </w:p>
        </w:tc>
      </w:tr>
      <w:tr w:rsidR="00965D85" w:rsidRPr="001E7FA9" w:rsidTr="008B46DF">
        <w:tc>
          <w:tcPr>
            <w:tcW w:w="2977" w:type="dxa"/>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w:t>
            </w:r>
          </w:p>
        </w:tc>
        <w:tc>
          <w:tcPr>
            <w:tcW w:w="2201"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w:t>
            </w:r>
          </w:p>
        </w:tc>
        <w:tc>
          <w:tcPr>
            <w:tcW w:w="2589"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(229.7)</w:t>
            </w:r>
          </w:p>
        </w:tc>
      </w:tr>
      <w:tr w:rsidR="00965D85" w:rsidRPr="001E7FA9" w:rsidTr="008B46DF">
        <w:tc>
          <w:tcPr>
            <w:tcW w:w="2977" w:type="dxa"/>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(1 590.4)</w:t>
            </w:r>
          </w:p>
        </w:tc>
        <w:tc>
          <w:tcPr>
            <w:tcW w:w="2201"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w:t>
            </w:r>
          </w:p>
        </w:tc>
        <w:tc>
          <w:tcPr>
            <w:tcW w:w="2589"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(5 389.7)</w:t>
            </w:r>
          </w:p>
        </w:tc>
      </w:tr>
      <w:tr w:rsidR="00965D85" w:rsidRPr="001E7FA9" w:rsidTr="008B46DF">
        <w:tc>
          <w:tcPr>
            <w:tcW w:w="2977" w:type="dxa"/>
            <w:tcBorders>
              <w:top w:val="nil"/>
              <w:left w:val="nil"/>
              <w:bottom w:val="single" w:sz="6" w:space="0" w:color="auto"/>
              <w:right w:val="nil"/>
            </w:tcBorders>
            <w:shd w:val="clear" w:color="auto" w:fill="FFFFFF"/>
          </w:tcPr>
          <w:p w:rsidR="00965D85" w:rsidRPr="001E7FA9" w:rsidRDefault="00965D85" w:rsidP="008B46DF">
            <w:pPr>
              <w:autoSpaceDE w:val="0"/>
              <w:autoSpaceDN w:val="0"/>
              <w:adjustRightInd w:val="0"/>
              <w:spacing w:after="0"/>
              <w:ind w:left="227" w:hanging="227"/>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w:t>
            </w:r>
          </w:p>
        </w:tc>
        <w:tc>
          <w:tcPr>
            <w:tcW w:w="2201" w:type="dxa"/>
            <w:tcBorders>
              <w:top w:val="nil"/>
              <w:left w:val="nil"/>
              <w:bottom w:val="single" w:sz="6" w:space="0" w:color="auto"/>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w:t>
            </w:r>
          </w:p>
        </w:tc>
        <w:tc>
          <w:tcPr>
            <w:tcW w:w="2589" w:type="dxa"/>
            <w:tcBorders>
              <w:top w:val="nil"/>
              <w:left w:val="nil"/>
              <w:bottom w:val="single" w:sz="6" w:space="0" w:color="auto"/>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(322.8)</w:t>
            </w:r>
          </w:p>
        </w:tc>
      </w:tr>
      <w:tr w:rsidR="00965D85" w:rsidRPr="001E7FA9" w:rsidTr="008B46DF">
        <w:tc>
          <w:tcPr>
            <w:tcW w:w="2977" w:type="dxa"/>
            <w:tcBorders>
              <w:top w:val="single" w:sz="6" w:space="0" w:color="auto"/>
              <w:left w:val="nil"/>
              <w:bottom w:val="single" w:sz="12" w:space="0" w:color="auto"/>
              <w:right w:val="nil"/>
            </w:tcBorders>
            <w:shd w:val="clear" w:color="auto" w:fill="FFFFFF"/>
          </w:tcPr>
          <w:p w:rsidR="00965D85" w:rsidRPr="001E7FA9" w:rsidRDefault="00965D85" w:rsidP="008B46DF">
            <w:pPr>
              <w:autoSpaceDE w:val="0"/>
              <w:autoSpaceDN w:val="0"/>
              <w:adjustRightInd w:val="0"/>
              <w:spacing w:after="0"/>
              <w:ind w:left="227" w:hanging="227"/>
              <w:jc w:val="right"/>
              <w:rPr>
                <w:rFonts w:ascii="Calibri" w:eastAsiaTheme="minorEastAsia" w:hAnsi="Calibri" w:cs="Calibri"/>
                <w:b/>
                <w:bCs/>
                <w:color w:val="000000"/>
                <w:sz w:val="20"/>
                <w:lang w:eastAsia="en-AU"/>
              </w:rPr>
            </w:pPr>
            <w:r w:rsidRPr="001E7FA9">
              <w:rPr>
                <w:rFonts w:ascii="Calibri" w:eastAsiaTheme="minorEastAsia" w:hAnsi="Calibri" w:cs="Calibri"/>
                <w:b/>
                <w:bCs/>
                <w:color w:val="000000"/>
                <w:sz w:val="20"/>
                <w:lang w:eastAsia="en-AU"/>
              </w:rPr>
              <w:t>23 854.3</w:t>
            </w:r>
          </w:p>
        </w:tc>
        <w:tc>
          <w:tcPr>
            <w:tcW w:w="2201" w:type="dxa"/>
            <w:tcBorders>
              <w:top w:val="single" w:sz="6" w:space="0" w:color="auto"/>
              <w:left w:val="nil"/>
              <w:bottom w:val="single" w:sz="12" w:space="0" w:color="auto"/>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20"/>
                <w:lang w:eastAsia="en-AU"/>
              </w:rPr>
              <w:t>490.4</w:t>
            </w:r>
          </w:p>
        </w:tc>
        <w:tc>
          <w:tcPr>
            <w:tcW w:w="2589" w:type="dxa"/>
            <w:tcBorders>
              <w:top w:val="single" w:sz="6" w:space="0" w:color="auto"/>
              <w:left w:val="nil"/>
              <w:bottom w:val="single" w:sz="12" w:space="0" w:color="auto"/>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1E7FA9">
              <w:rPr>
                <w:rFonts w:ascii="Calibri" w:eastAsiaTheme="minorEastAsia" w:hAnsi="Calibri" w:cs="Calibri"/>
                <w:b/>
                <w:bCs/>
                <w:color w:val="000000"/>
                <w:sz w:val="20"/>
                <w:lang w:eastAsia="en-AU"/>
              </w:rPr>
              <w:t>77 595.1</w:t>
            </w:r>
          </w:p>
        </w:tc>
      </w:tr>
      <w:tr w:rsidR="00965D85" w:rsidRPr="001E7FA9" w:rsidTr="008B46DF">
        <w:tc>
          <w:tcPr>
            <w:tcW w:w="2977" w:type="dxa"/>
            <w:tcBorders>
              <w:top w:val="single" w:sz="12" w:space="0" w:color="auto"/>
              <w:left w:val="nil"/>
              <w:right w:val="nil"/>
            </w:tcBorders>
            <w:shd w:val="clear" w:color="auto" w:fill="FFFFFF"/>
          </w:tcPr>
          <w:p w:rsidR="00965D85" w:rsidRPr="001E7FA9" w:rsidRDefault="00965D85" w:rsidP="008B46DF">
            <w:pPr>
              <w:autoSpaceDE w:val="0"/>
              <w:autoSpaceDN w:val="0"/>
              <w:adjustRightInd w:val="0"/>
              <w:spacing w:after="0"/>
              <w:ind w:left="227" w:hanging="227"/>
              <w:jc w:val="right"/>
              <w:rPr>
                <w:rFonts w:ascii="Calibri" w:eastAsiaTheme="minorEastAsia" w:hAnsi="Calibri" w:cs="Calibri"/>
                <w:b/>
                <w:bCs/>
                <w:color w:val="000000"/>
                <w:sz w:val="20"/>
                <w:lang w:eastAsia="en-AU"/>
              </w:rPr>
            </w:pPr>
            <w:r w:rsidRPr="001E7FA9">
              <w:rPr>
                <w:rFonts w:ascii="Calibri" w:eastAsiaTheme="minorEastAsia" w:hAnsi="Calibri" w:cs="Calibri"/>
                <w:b/>
                <w:bCs/>
                <w:color w:val="000000"/>
                <w:sz w:val="20"/>
                <w:lang w:eastAsia="en-AU"/>
              </w:rPr>
              <w:t xml:space="preserve"> </w:t>
            </w:r>
          </w:p>
        </w:tc>
        <w:tc>
          <w:tcPr>
            <w:tcW w:w="2201" w:type="dxa"/>
            <w:tcBorders>
              <w:top w:val="single" w:sz="12" w:space="0" w:color="auto"/>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FF"/>
                <w:sz w:val="20"/>
                <w:lang w:eastAsia="en-AU"/>
              </w:rPr>
            </w:pPr>
          </w:p>
        </w:tc>
        <w:tc>
          <w:tcPr>
            <w:tcW w:w="2589" w:type="dxa"/>
            <w:tcBorders>
              <w:top w:val="single" w:sz="12" w:space="0" w:color="auto"/>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FF"/>
                <w:sz w:val="20"/>
                <w:lang w:eastAsia="en-AU"/>
              </w:rPr>
            </w:pPr>
          </w:p>
        </w:tc>
      </w:tr>
      <w:tr w:rsidR="00965D85" w:rsidRPr="001E7FA9" w:rsidTr="008B46DF">
        <w:tc>
          <w:tcPr>
            <w:tcW w:w="2977" w:type="dxa"/>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23 854.3</w:t>
            </w:r>
          </w:p>
        </w:tc>
        <w:tc>
          <w:tcPr>
            <w:tcW w:w="2201"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490.4</w:t>
            </w:r>
          </w:p>
        </w:tc>
        <w:tc>
          <w:tcPr>
            <w:tcW w:w="2589"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77 595.1</w:t>
            </w:r>
          </w:p>
        </w:tc>
      </w:tr>
      <w:tr w:rsidR="00965D85" w:rsidRPr="001E7FA9" w:rsidTr="008B46DF">
        <w:tc>
          <w:tcPr>
            <w:tcW w:w="2977" w:type="dxa"/>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w:t>
            </w:r>
          </w:p>
        </w:tc>
        <w:tc>
          <w:tcPr>
            <w:tcW w:w="2201"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w:t>
            </w:r>
          </w:p>
        </w:tc>
        <w:tc>
          <w:tcPr>
            <w:tcW w:w="2589"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(197.0)</w:t>
            </w:r>
          </w:p>
        </w:tc>
      </w:tr>
      <w:tr w:rsidR="00965D85" w:rsidRPr="001E7FA9" w:rsidTr="008B46DF">
        <w:tc>
          <w:tcPr>
            <w:tcW w:w="2977" w:type="dxa"/>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(7.5)</w:t>
            </w:r>
          </w:p>
        </w:tc>
        <w:tc>
          <w:tcPr>
            <w:tcW w:w="2201"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27.6</w:t>
            </w:r>
          </w:p>
        </w:tc>
        <w:tc>
          <w:tcPr>
            <w:tcW w:w="2589"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(51.8)</w:t>
            </w:r>
          </w:p>
        </w:tc>
      </w:tr>
      <w:tr w:rsidR="00965D85" w:rsidRPr="001E7FA9" w:rsidTr="008B46DF">
        <w:tc>
          <w:tcPr>
            <w:tcW w:w="2977" w:type="dxa"/>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w:t>
            </w:r>
          </w:p>
        </w:tc>
        <w:tc>
          <w:tcPr>
            <w:tcW w:w="2201"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w:t>
            </w:r>
          </w:p>
        </w:tc>
        <w:tc>
          <w:tcPr>
            <w:tcW w:w="2589"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(219.1)</w:t>
            </w:r>
          </w:p>
        </w:tc>
      </w:tr>
      <w:tr w:rsidR="00965D85" w:rsidRPr="001E7FA9" w:rsidTr="008B46DF">
        <w:tc>
          <w:tcPr>
            <w:tcW w:w="2977" w:type="dxa"/>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w:t>
            </w:r>
          </w:p>
        </w:tc>
        <w:tc>
          <w:tcPr>
            <w:tcW w:w="2201"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w:t>
            </w:r>
          </w:p>
        </w:tc>
        <w:tc>
          <w:tcPr>
            <w:tcW w:w="2589"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(770.1)</w:t>
            </w:r>
          </w:p>
        </w:tc>
      </w:tr>
      <w:tr w:rsidR="00965D85" w:rsidRPr="001E7FA9" w:rsidTr="008B46DF">
        <w:tc>
          <w:tcPr>
            <w:tcW w:w="2977" w:type="dxa"/>
            <w:tcBorders>
              <w:top w:val="nil"/>
              <w:left w:val="nil"/>
              <w:bottom w:val="single" w:sz="6" w:space="0" w:color="auto"/>
              <w:right w:val="nil"/>
            </w:tcBorders>
            <w:shd w:val="clear" w:color="auto" w:fill="FFFFFF"/>
          </w:tcPr>
          <w:p w:rsidR="00965D85" w:rsidRPr="001E7FA9" w:rsidRDefault="00965D85" w:rsidP="008B46DF">
            <w:pPr>
              <w:autoSpaceDE w:val="0"/>
              <w:autoSpaceDN w:val="0"/>
              <w:adjustRightInd w:val="0"/>
              <w:spacing w:after="0"/>
              <w:ind w:left="227" w:hanging="227"/>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w:t>
            </w:r>
          </w:p>
        </w:tc>
        <w:tc>
          <w:tcPr>
            <w:tcW w:w="2201" w:type="dxa"/>
            <w:tcBorders>
              <w:top w:val="nil"/>
              <w:left w:val="nil"/>
              <w:bottom w:val="single" w:sz="6" w:space="0" w:color="auto"/>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w:t>
            </w:r>
          </w:p>
        </w:tc>
        <w:tc>
          <w:tcPr>
            <w:tcW w:w="2589" w:type="dxa"/>
            <w:tcBorders>
              <w:top w:val="nil"/>
              <w:left w:val="nil"/>
              <w:bottom w:val="single" w:sz="6" w:space="0" w:color="auto"/>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2 555.1</w:t>
            </w:r>
          </w:p>
        </w:tc>
      </w:tr>
      <w:tr w:rsidR="00965D85" w:rsidRPr="001E7FA9" w:rsidTr="008B46DF">
        <w:tc>
          <w:tcPr>
            <w:tcW w:w="2977" w:type="dxa"/>
            <w:tcBorders>
              <w:top w:val="single" w:sz="6" w:space="0" w:color="auto"/>
              <w:left w:val="nil"/>
              <w:bottom w:val="single" w:sz="12" w:space="0" w:color="auto"/>
              <w:right w:val="nil"/>
            </w:tcBorders>
            <w:shd w:val="clear" w:color="auto" w:fill="FFFFFF"/>
          </w:tcPr>
          <w:p w:rsidR="00965D85" w:rsidRPr="001E7FA9" w:rsidRDefault="00965D85" w:rsidP="008B46DF">
            <w:pPr>
              <w:autoSpaceDE w:val="0"/>
              <w:autoSpaceDN w:val="0"/>
              <w:adjustRightInd w:val="0"/>
              <w:spacing w:after="0"/>
              <w:ind w:left="227" w:hanging="227"/>
              <w:jc w:val="right"/>
              <w:rPr>
                <w:rFonts w:ascii="Calibri" w:eastAsiaTheme="minorEastAsia" w:hAnsi="Calibri" w:cs="Calibri"/>
                <w:b/>
                <w:bCs/>
                <w:color w:val="000000"/>
                <w:sz w:val="20"/>
                <w:lang w:eastAsia="en-AU"/>
              </w:rPr>
            </w:pPr>
            <w:r w:rsidRPr="001E7FA9">
              <w:rPr>
                <w:rFonts w:ascii="Calibri" w:eastAsiaTheme="minorEastAsia" w:hAnsi="Calibri" w:cs="Calibri"/>
                <w:b/>
                <w:bCs/>
                <w:color w:val="000000"/>
                <w:sz w:val="20"/>
                <w:lang w:eastAsia="en-AU"/>
              </w:rPr>
              <w:t>23 846.8</w:t>
            </w:r>
          </w:p>
        </w:tc>
        <w:tc>
          <w:tcPr>
            <w:tcW w:w="2201" w:type="dxa"/>
            <w:tcBorders>
              <w:top w:val="single" w:sz="6" w:space="0" w:color="auto"/>
              <w:left w:val="nil"/>
              <w:bottom w:val="single" w:sz="12" w:space="0" w:color="auto"/>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20"/>
                <w:lang w:eastAsia="en-AU"/>
              </w:rPr>
              <w:t>518.0</w:t>
            </w:r>
          </w:p>
        </w:tc>
        <w:tc>
          <w:tcPr>
            <w:tcW w:w="2589" w:type="dxa"/>
            <w:tcBorders>
              <w:top w:val="single" w:sz="6" w:space="0" w:color="auto"/>
              <w:left w:val="nil"/>
              <w:bottom w:val="single" w:sz="12" w:space="0" w:color="auto"/>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1E7FA9">
              <w:rPr>
                <w:rFonts w:ascii="Calibri" w:eastAsiaTheme="minorEastAsia" w:hAnsi="Calibri" w:cs="Calibri"/>
                <w:b/>
                <w:bCs/>
                <w:color w:val="000000"/>
                <w:sz w:val="20"/>
                <w:lang w:eastAsia="en-AU"/>
              </w:rPr>
              <w:t>78 912.2</w:t>
            </w:r>
          </w:p>
        </w:tc>
      </w:tr>
      <w:tr w:rsidR="00965D85" w:rsidRPr="001E7FA9" w:rsidTr="008B46DF">
        <w:tc>
          <w:tcPr>
            <w:tcW w:w="2977" w:type="dxa"/>
            <w:tcBorders>
              <w:top w:val="single" w:sz="12" w:space="0" w:color="auto"/>
              <w:left w:val="nil"/>
              <w:right w:val="nil"/>
            </w:tcBorders>
            <w:shd w:val="clear" w:color="auto" w:fill="FFFFFF"/>
          </w:tcPr>
          <w:p w:rsidR="00965D85" w:rsidRPr="001E7FA9" w:rsidRDefault="00965D85" w:rsidP="008B46DF">
            <w:pPr>
              <w:autoSpaceDE w:val="0"/>
              <w:autoSpaceDN w:val="0"/>
              <w:adjustRightInd w:val="0"/>
              <w:spacing w:after="0"/>
              <w:ind w:left="227" w:hanging="227"/>
              <w:jc w:val="right"/>
              <w:rPr>
                <w:rFonts w:ascii="Calibri" w:eastAsiaTheme="minorEastAsia" w:hAnsi="Calibri" w:cs="Calibri"/>
                <w:b/>
                <w:bCs/>
                <w:color w:val="000000"/>
                <w:sz w:val="20"/>
                <w:lang w:eastAsia="en-AU"/>
              </w:rPr>
            </w:pPr>
            <w:r w:rsidRPr="001E7FA9">
              <w:rPr>
                <w:rFonts w:ascii="Calibri" w:eastAsiaTheme="minorEastAsia" w:hAnsi="Calibri" w:cs="Calibri"/>
                <w:b/>
                <w:bCs/>
                <w:color w:val="000000"/>
                <w:sz w:val="20"/>
                <w:lang w:eastAsia="en-AU"/>
              </w:rPr>
              <w:t xml:space="preserve"> </w:t>
            </w:r>
          </w:p>
        </w:tc>
        <w:tc>
          <w:tcPr>
            <w:tcW w:w="2201" w:type="dxa"/>
            <w:tcBorders>
              <w:top w:val="single" w:sz="12" w:space="0" w:color="auto"/>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FF"/>
                <w:sz w:val="20"/>
                <w:lang w:eastAsia="en-AU"/>
              </w:rPr>
            </w:pPr>
          </w:p>
        </w:tc>
        <w:tc>
          <w:tcPr>
            <w:tcW w:w="2589" w:type="dxa"/>
            <w:tcBorders>
              <w:top w:val="single" w:sz="12" w:space="0" w:color="auto"/>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FF"/>
                <w:sz w:val="20"/>
                <w:lang w:eastAsia="en-AU"/>
              </w:rPr>
            </w:pPr>
          </w:p>
        </w:tc>
      </w:tr>
      <w:tr w:rsidR="00965D85" w:rsidRPr="001E7FA9" w:rsidTr="008B46DF">
        <w:tc>
          <w:tcPr>
            <w:tcW w:w="2977" w:type="dxa"/>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23 846.8</w:t>
            </w:r>
          </w:p>
        </w:tc>
        <w:tc>
          <w:tcPr>
            <w:tcW w:w="2201"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518.0</w:t>
            </w:r>
          </w:p>
        </w:tc>
        <w:tc>
          <w:tcPr>
            <w:tcW w:w="2589"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78 912.2</w:t>
            </w:r>
          </w:p>
        </w:tc>
      </w:tr>
      <w:tr w:rsidR="00965D85" w:rsidRPr="001E7FA9" w:rsidTr="008B46DF">
        <w:tc>
          <w:tcPr>
            <w:tcW w:w="2977" w:type="dxa"/>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w:t>
            </w:r>
          </w:p>
        </w:tc>
        <w:tc>
          <w:tcPr>
            <w:tcW w:w="2201"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w:t>
            </w:r>
          </w:p>
        </w:tc>
        <w:tc>
          <w:tcPr>
            <w:tcW w:w="2589"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(140.8)</w:t>
            </w:r>
          </w:p>
        </w:tc>
      </w:tr>
      <w:tr w:rsidR="00965D85" w:rsidRPr="001E7FA9" w:rsidTr="008B46DF">
        <w:tc>
          <w:tcPr>
            <w:tcW w:w="2977" w:type="dxa"/>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(8.0)</w:t>
            </w:r>
          </w:p>
        </w:tc>
        <w:tc>
          <w:tcPr>
            <w:tcW w:w="2201"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30.5</w:t>
            </w:r>
          </w:p>
        </w:tc>
        <w:tc>
          <w:tcPr>
            <w:tcW w:w="2589"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(24.0)</w:t>
            </w:r>
          </w:p>
        </w:tc>
      </w:tr>
      <w:tr w:rsidR="00965D85" w:rsidRPr="001E7FA9" w:rsidTr="008B46DF">
        <w:tc>
          <w:tcPr>
            <w:tcW w:w="2977" w:type="dxa"/>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w:t>
            </w:r>
          </w:p>
        </w:tc>
        <w:tc>
          <w:tcPr>
            <w:tcW w:w="2201"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w:t>
            </w:r>
          </w:p>
        </w:tc>
        <w:tc>
          <w:tcPr>
            <w:tcW w:w="2589"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(175.3)</w:t>
            </w:r>
          </w:p>
        </w:tc>
      </w:tr>
      <w:tr w:rsidR="00965D85" w:rsidRPr="001E7FA9" w:rsidTr="008B46DF">
        <w:tc>
          <w:tcPr>
            <w:tcW w:w="2977" w:type="dxa"/>
            <w:tcBorders>
              <w:top w:val="nil"/>
              <w:left w:val="nil"/>
              <w:bottom w:val="single" w:sz="6" w:space="0" w:color="auto"/>
              <w:right w:val="nil"/>
            </w:tcBorders>
            <w:shd w:val="clear" w:color="auto" w:fill="FFFFFF"/>
          </w:tcPr>
          <w:p w:rsidR="00965D85" w:rsidRPr="001E7FA9" w:rsidRDefault="00965D85" w:rsidP="008B46DF">
            <w:pPr>
              <w:autoSpaceDE w:val="0"/>
              <w:autoSpaceDN w:val="0"/>
              <w:adjustRightInd w:val="0"/>
              <w:spacing w:after="0"/>
              <w:ind w:left="227" w:hanging="227"/>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w:t>
            </w:r>
          </w:p>
        </w:tc>
        <w:tc>
          <w:tcPr>
            <w:tcW w:w="2201" w:type="dxa"/>
            <w:tcBorders>
              <w:top w:val="nil"/>
              <w:left w:val="nil"/>
              <w:bottom w:val="single" w:sz="6" w:space="0" w:color="auto"/>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w:t>
            </w:r>
          </w:p>
        </w:tc>
        <w:tc>
          <w:tcPr>
            <w:tcW w:w="2589" w:type="dxa"/>
            <w:tcBorders>
              <w:top w:val="nil"/>
              <w:left w:val="nil"/>
              <w:bottom w:val="single" w:sz="6" w:space="0" w:color="auto"/>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2 164.5</w:t>
            </w:r>
          </w:p>
        </w:tc>
      </w:tr>
      <w:tr w:rsidR="00965D85" w:rsidRPr="001E7FA9" w:rsidTr="008B46DF">
        <w:tc>
          <w:tcPr>
            <w:tcW w:w="2977" w:type="dxa"/>
            <w:tcBorders>
              <w:top w:val="single" w:sz="6" w:space="0" w:color="auto"/>
              <w:left w:val="nil"/>
              <w:bottom w:val="single" w:sz="12" w:space="0" w:color="auto"/>
              <w:right w:val="nil"/>
            </w:tcBorders>
            <w:shd w:val="clear" w:color="auto" w:fill="FFFFFF"/>
          </w:tcPr>
          <w:p w:rsidR="00965D85" w:rsidRPr="001E7FA9" w:rsidRDefault="00965D85" w:rsidP="008B46DF">
            <w:pPr>
              <w:autoSpaceDE w:val="0"/>
              <w:autoSpaceDN w:val="0"/>
              <w:adjustRightInd w:val="0"/>
              <w:spacing w:after="0"/>
              <w:ind w:left="227" w:hanging="227"/>
              <w:jc w:val="right"/>
              <w:rPr>
                <w:rFonts w:ascii="Calibri" w:eastAsiaTheme="minorEastAsia" w:hAnsi="Calibri" w:cs="Calibri"/>
                <w:b/>
                <w:bCs/>
                <w:color w:val="000000"/>
                <w:sz w:val="20"/>
                <w:lang w:eastAsia="en-AU"/>
              </w:rPr>
            </w:pPr>
            <w:r w:rsidRPr="001E7FA9">
              <w:rPr>
                <w:rFonts w:ascii="Calibri" w:eastAsiaTheme="minorEastAsia" w:hAnsi="Calibri" w:cs="Calibri"/>
                <w:b/>
                <w:bCs/>
                <w:color w:val="000000"/>
                <w:sz w:val="20"/>
                <w:lang w:eastAsia="en-AU"/>
              </w:rPr>
              <w:t>23 838.8</w:t>
            </w:r>
          </w:p>
        </w:tc>
        <w:tc>
          <w:tcPr>
            <w:tcW w:w="2201" w:type="dxa"/>
            <w:tcBorders>
              <w:top w:val="single" w:sz="6" w:space="0" w:color="auto"/>
              <w:left w:val="nil"/>
              <w:bottom w:val="single" w:sz="12" w:space="0" w:color="auto"/>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20"/>
                <w:lang w:eastAsia="en-AU"/>
              </w:rPr>
              <w:t>548.6</w:t>
            </w:r>
          </w:p>
        </w:tc>
        <w:tc>
          <w:tcPr>
            <w:tcW w:w="2589" w:type="dxa"/>
            <w:tcBorders>
              <w:top w:val="single" w:sz="6" w:space="0" w:color="auto"/>
              <w:left w:val="nil"/>
              <w:bottom w:val="single" w:sz="12" w:space="0" w:color="auto"/>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1E7FA9">
              <w:rPr>
                <w:rFonts w:ascii="Calibri" w:eastAsiaTheme="minorEastAsia" w:hAnsi="Calibri" w:cs="Calibri"/>
                <w:b/>
                <w:bCs/>
                <w:color w:val="000000"/>
                <w:sz w:val="20"/>
                <w:lang w:eastAsia="en-AU"/>
              </w:rPr>
              <w:t>80 736.7</w:t>
            </w:r>
          </w:p>
        </w:tc>
      </w:tr>
      <w:tr w:rsidR="00965D85" w:rsidRPr="001E7FA9" w:rsidTr="008B46DF">
        <w:tc>
          <w:tcPr>
            <w:tcW w:w="2977" w:type="dxa"/>
            <w:tcBorders>
              <w:top w:val="single" w:sz="12" w:space="0" w:color="auto"/>
              <w:left w:val="nil"/>
              <w:right w:val="nil"/>
            </w:tcBorders>
            <w:shd w:val="clear" w:color="auto" w:fill="FFFFFF"/>
          </w:tcPr>
          <w:p w:rsidR="00965D85" w:rsidRPr="001E7FA9" w:rsidRDefault="00965D85" w:rsidP="008B46DF">
            <w:pPr>
              <w:autoSpaceDE w:val="0"/>
              <w:autoSpaceDN w:val="0"/>
              <w:adjustRightInd w:val="0"/>
              <w:spacing w:after="0"/>
              <w:ind w:left="227" w:hanging="227"/>
              <w:jc w:val="right"/>
              <w:rPr>
                <w:rFonts w:ascii="Calibri" w:eastAsiaTheme="minorEastAsia" w:hAnsi="Calibri" w:cs="Calibri"/>
                <w:b/>
                <w:bCs/>
                <w:color w:val="000000"/>
                <w:sz w:val="20"/>
                <w:lang w:eastAsia="en-AU"/>
              </w:rPr>
            </w:pPr>
            <w:r w:rsidRPr="001E7FA9">
              <w:rPr>
                <w:rFonts w:ascii="Calibri" w:eastAsiaTheme="minorEastAsia" w:hAnsi="Calibri" w:cs="Calibri"/>
                <w:b/>
                <w:bCs/>
                <w:color w:val="000000"/>
                <w:sz w:val="20"/>
                <w:lang w:eastAsia="en-AU"/>
              </w:rPr>
              <w:t xml:space="preserve"> </w:t>
            </w:r>
          </w:p>
        </w:tc>
        <w:tc>
          <w:tcPr>
            <w:tcW w:w="2201" w:type="dxa"/>
            <w:tcBorders>
              <w:top w:val="single" w:sz="12" w:space="0" w:color="auto"/>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FF"/>
                <w:sz w:val="20"/>
                <w:lang w:eastAsia="en-AU"/>
              </w:rPr>
            </w:pPr>
          </w:p>
        </w:tc>
        <w:tc>
          <w:tcPr>
            <w:tcW w:w="2589" w:type="dxa"/>
            <w:tcBorders>
              <w:top w:val="single" w:sz="12" w:space="0" w:color="auto"/>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FF"/>
                <w:sz w:val="20"/>
                <w:lang w:eastAsia="en-AU"/>
              </w:rPr>
            </w:pPr>
          </w:p>
        </w:tc>
      </w:tr>
      <w:tr w:rsidR="00965D85" w:rsidRPr="001E7FA9" w:rsidTr="008B46DF">
        <w:tc>
          <w:tcPr>
            <w:tcW w:w="2977" w:type="dxa"/>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23 838.8</w:t>
            </w:r>
          </w:p>
        </w:tc>
        <w:tc>
          <w:tcPr>
            <w:tcW w:w="2201"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548.6</w:t>
            </w:r>
          </w:p>
        </w:tc>
        <w:tc>
          <w:tcPr>
            <w:tcW w:w="2589"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80 736.7</w:t>
            </w:r>
          </w:p>
        </w:tc>
      </w:tr>
      <w:tr w:rsidR="00965D85" w:rsidRPr="001E7FA9" w:rsidTr="008B46DF">
        <w:tc>
          <w:tcPr>
            <w:tcW w:w="2977" w:type="dxa"/>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w:t>
            </w:r>
          </w:p>
        </w:tc>
        <w:tc>
          <w:tcPr>
            <w:tcW w:w="2201"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w:t>
            </w:r>
          </w:p>
        </w:tc>
        <w:tc>
          <w:tcPr>
            <w:tcW w:w="2589"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(57.2)</w:t>
            </w:r>
          </w:p>
        </w:tc>
      </w:tr>
      <w:tr w:rsidR="00965D85" w:rsidRPr="001E7FA9" w:rsidTr="008B46DF">
        <w:tc>
          <w:tcPr>
            <w:tcW w:w="2977" w:type="dxa"/>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(7.9)</w:t>
            </w:r>
          </w:p>
        </w:tc>
        <w:tc>
          <w:tcPr>
            <w:tcW w:w="2201"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27.5</w:t>
            </w:r>
          </w:p>
        </w:tc>
        <w:tc>
          <w:tcPr>
            <w:tcW w:w="2589"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(21.7)</w:t>
            </w:r>
          </w:p>
        </w:tc>
      </w:tr>
      <w:tr w:rsidR="00965D85" w:rsidRPr="001E7FA9" w:rsidTr="008B46DF">
        <w:tc>
          <w:tcPr>
            <w:tcW w:w="2977" w:type="dxa"/>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w:t>
            </w:r>
          </w:p>
        </w:tc>
        <w:tc>
          <w:tcPr>
            <w:tcW w:w="2201"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w:t>
            </w:r>
          </w:p>
        </w:tc>
        <w:tc>
          <w:tcPr>
            <w:tcW w:w="2589"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(212.6)</w:t>
            </w:r>
          </w:p>
        </w:tc>
      </w:tr>
      <w:tr w:rsidR="00965D85" w:rsidRPr="001E7FA9" w:rsidTr="008B46DF">
        <w:tc>
          <w:tcPr>
            <w:tcW w:w="2977" w:type="dxa"/>
            <w:tcBorders>
              <w:top w:val="nil"/>
              <w:left w:val="nil"/>
              <w:bottom w:val="single" w:sz="6" w:space="0" w:color="auto"/>
              <w:right w:val="nil"/>
            </w:tcBorders>
            <w:shd w:val="clear" w:color="auto" w:fill="FFFFFF"/>
          </w:tcPr>
          <w:p w:rsidR="00965D85" w:rsidRPr="001E7FA9" w:rsidRDefault="00965D85" w:rsidP="008B46DF">
            <w:pPr>
              <w:autoSpaceDE w:val="0"/>
              <w:autoSpaceDN w:val="0"/>
              <w:adjustRightInd w:val="0"/>
              <w:spacing w:after="0"/>
              <w:ind w:left="227" w:hanging="227"/>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w:t>
            </w:r>
          </w:p>
        </w:tc>
        <w:tc>
          <w:tcPr>
            <w:tcW w:w="2201" w:type="dxa"/>
            <w:tcBorders>
              <w:top w:val="nil"/>
              <w:left w:val="nil"/>
              <w:bottom w:val="single" w:sz="6" w:space="0" w:color="auto"/>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w:t>
            </w:r>
          </w:p>
        </w:tc>
        <w:tc>
          <w:tcPr>
            <w:tcW w:w="2589" w:type="dxa"/>
            <w:tcBorders>
              <w:top w:val="nil"/>
              <w:left w:val="nil"/>
              <w:bottom w:val="single" w:sz="6" w:space="0" w:color="auto"/>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2 398.4</w:t>
            </w:r>
          </w:p>
        </w:tc>
      </w:tr>
      <w:tr w:rsidR="00965D85" w:rsidRPr="001E7FA9" w:rsidTr="008B46DF">
        <w:tc>
          <w:tcPr>
            <w:tcW w:w="2977" w:type="dxa"/>
            <w:tcBorders>
              <w:top w:val="single" w:sz="6" w:space="0" w:color="auto"/>
              <w:left w:val="nil"/>
              <w:bottom w:val="single" w:sz="12" w:space="0" w:color="auto"/>
              <w:right w:val="nil"/>
            </w:tcBorders>
            <w:shd w:val="clear" w:color="auto" w:fill="FFFFFF"/>
          </w:tcPr>
          <w:p w:rsidR="00965D85" w:rsidRPr="001E7FA9" w:rsidRDefault="00965D85" w:rsidP="008B46DF">
            <w:pPr>
              <w:autoSpaceDE w:val="0"/>
              <w:autoSpaceDN w:val="0"/>
              <w:adjustRightInd w:val="0"/>
              <w:spacing w:after="0"/>
              <w:ind w:left="227" w:hanging="227"/>
              <w:jc w:val="right"/>
              <w:rPr>
                <w:rFonts w:ascii="Calibri" w:eastAsiaTheme="minorEastAsia" w:hAnsi="Calibri" w:cs="Calibri"/>
                <w:b/>
                <w:bCs/>
                <w:color w:val="000000"/>
                <w:sz w:val="20"/>
                <w:lang w:eastAsia="en-AU"/>
              </w:rPr>
            </w:pPr>
            <w:r w:rsidRPr="001E7FA9">
              <w:rPr>
                <w:rFonts w:ascii="Calibri" w:eastAsiaTheme="minorEastAsia" w:hAnsi="Calibri" w:cs="Calibri"/>
                <w:b/>
                <w:bCs/>
                <w:color w:val="000000"/>
                <w:sz w:val="20"/>
                <w:lang w:eastAsia="en-AU"/>
              </w:rPr>
              <w:t>23 831.0</w:t>
            </w:r>
          </w:p>
        </w:tc>
        <w:tc>
          <w:tcPr>
            <w:tcW w:w="2201" w:type="dxa"/>
            <w:tcBorders>
              <w:top w:val="single" w:sz="6" w:space="0" w:color="auto"/>
              <w:left w:val="nil"/>
              <w:bottom w:val="single" w:sz="12" w:space="0" w:color="auto"/>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20"/>
                <w:lang w:eastAsia="en-AU"/>
              </w:rPr>
              <w:t>576.0</w:t>
            </w:r>
          </w:p>
        </w:tc>
        <w:tc>
          <w:tcPr>
            <w:tcW w:w="2589" w:type="dxa"/>
            <w:tcBorders>
              <w:top w:val="single" w:sz="6" w:space="0" w:color="auto"/>
              <w:left w:val="nil"/>
              <w:bottom w:val="single" w:sz="12" w:space="0" w:color="auto"/>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1E7FA9">
              <w:rPr>
                <w:rFonts w:ascii="Calibri" w:eastAsiaTheme="minorEastAsia" w:hAnsi="Calibri" w:cs="Calibri"/>
                <w:b/>
                <w:bCs/>
                <w:color w:val="000000"/>
                <w:sz w:val="20"/>
                <w:lang w:eastAsia="en-AU"/>
              </w:rPr>
              <w:t>82 843.6</w:t>
            </w:r>
          </w:p>
        </w:tc>
      </w:tr>
      <w:tr w:rsidR="00965D85" w:rsidRPr="001E7FA9" w:rsidTr="008B46DF">
        <w:tc>
          <w:tcPr>
            <w:tcW w:w="7767" w:type="dxa"/>
            <w:gridSpan w:val="3"/>
            <w:tcBorders>
              <w:top w:val="single" w:sz="12" w:space="0" w:color="auto"/>
              <w:left w:val="nil"/>
              <w:bottom w:val="nil"/>
              <w:right w:val="nil"/>
            </w:tcBorders>
            <w:shd w:val="clear" w:color="auto" w:fill="auto"/>
          </w:tcPr>
          <w:p w:rsidR="00965D85" w:rsidRPr="001E7FA9" w:rsidRDefault="00965D85" w:rsidP="008B46DF">
            <w:pPr>
              <w:tabs>
                <w:tab w:val="left" w:pos="454"/>
              </w:tabs>
              <w:autoSpaceDE w:val="0"/>
              <w:autoSpaceDN w:val="0"/>
              <w:adjustRightInd w:val="0"/>
              <w:spacing w:after="0"/>
              <w:jc w:val="right"/>
              <w:rPr>
                <w:rFonts w:ascii="Calibri" w:eastAsiaTheme="minorEastAsia" w:hAnsi="Calibri" w:cs="Calibri"/>
                <w:bCs/>
                <w:color w:val="000000"/>
                <w:sz w:val="20"/>
                <w:lang w:eastAsia="en-AU"/>
              </w:rPr>
            </w:pPr>
            <w:r w:rsidRPr="001E7FA9">
              <w:rPr>
                <w:rFonts w:ascii="Calibri" w:eastAsiaTheme="minorEastAsia" w:hAnsi="Calibri" w:cs="Calibri"/>
                <w:bCs/>
                <w:color w:val="000000"/>
                <w:sz w:val="20"/>
                <w:lang w:eastAsia="en-AU"/>
              </w:rPr>
              <w:t xml:space="preserve"> </w:t>
            </w:r>
          </w:p>
        </w:tc>
      </w:tr>
    </w:tbl>
    <w:p w:rsidR="00965D85" w:rsidRDefault="00965D85" w:rsidP="008B46DF">
      <w:pPr>
        <w:pStyle w:val="Notes"/>
        <w:rPr>
          <w:rFonts w:ascii="Tms Rmn" w:hAnsi="Tms Rmn" w:cs="Tms Rmn"/>
          <w:color w:val="000000"/>
          <w:sz w:val="18"/>
          <w:szCs w:val="18"/>
          <w:lang w:eastAsia="en-AU"/>
        </w:rPr>
      </w:pPr>
    </w:p>
    <w:p w:rsidR="00965D85" w:rsidRDefault="00965D85" w:rsidP="008B46DF">
      <w:pPr>
        <w:pStyle w:val="Notes"/>
        <w:rPr>
          <w:rFonts w:ascii="Tms Rmn" w:hAnsi="Tms Rmn" w:cs="Tms Rmn"/>
          <w:color w:val="000000"/>
          <w:sz w:val="18"/>
          <w:szCs w:val="18"/>
          <w:lang w:eastAsia="en-AU"/>
        </w:rPr>
      </w:pPr>
      <w:r>
        <w:rPr>
          <w:rFonts w:ascii="Tms Rmn" w:hAnsi="Tms Rmn" w:cs="Tms Rmn"/>
          <w:color w:val="000000"/>
          <w:sz w:val="18"/>
          <w:szCs w:val="18"/>
          <w:lang w:eastAsia="en-AU"/>
        </w:rPr>
        <w:t xml:space="preserve"> </w:t>
      </w:r>
    </w:p>
    <w:p w:rsidR="00965D85" w:rsidRDefault="00965D85" w:rsidP="008B46DF">
      <w:pPr>
        <w:pStyle w:val="Tableheading"/>
        <w:rPr>
          <w:rFonts w:ascii="Times New Roman" w:hAnsi="Times New Roman"/>
          <w:i/>
          <w:sz w:val="20"/>
          <w:lang w:eastAsia="en-AU"/>
        </w:rPr>
      </w:pPr>
      <w:r w:rsidRPr="005773FB">
        <w:rPr>
          <w:lang w:eastAsia="en-AU"/>
        </w:rPr>
        <w:lastRenderedPageBreak/>
        <w:t>Table 5.5:</w:t>
      </w:r>
      <w:r w:rsidRPr="005773FB">
        <w:rPr>
          <w:lang w:eastAsia="en-AU"/>
        </w:rPr>
        <w:tab/>
        <w:t>Derivation of public non</w:t>
      </w:r>
      <w:r>
        <w:rPr>
          <w:lang w:eastAsia="en-AU"/>
        </w:rPr>
        <w:noBreakHyphen/>
      </w:r>
      <w:r w:rsidRPr="005773FB">
        <w:rPr>
          <w:lang w:eastAsia="en-AU"/>
        </w:rPr>
        <w:t>financial corporations sector GFS cash surplus/(deficit)</w:t>
      </w:r>
    </w:p>
    <w:tbl>
      <w:tblPr>
        <w:tblW w:w="7767" w:type="dxa"/>
        <w:tblInd w:w="28" w:type="dxa"/>
        <w:tblLayout w:type="fixed"/>
        <w:tblCellMar>
          <w:left w:w="28" w:type="dxa"/>
          <w:right w:w="28" w:type="dxa"/>
        </w:tblCellMar>
        <w:tblLook w:val="0000" w:firstRow="0" w:lastRow="0" w:firstColumn="0" w:lastColumn="0" w:noHBand="0" w:noVBand="0"/>
      </w:tblPr>
      <w:tblGrid>
        <w:gridCol w:w="2947"/>
        <w:gridCol w:w="964"/>
        <w:gridCol w:w="964"/>
        <w:gridCol w:w="964"/>
        <w:gridCol w:w="964"/>
        <w:gridCol w:w="964"/>
      </w:tblGrid>
      <w:tr w:rsidR="00965D85" w:rsidRPr="001E7FA9" w:rsidTr="008B46DF">
        <w:trPr>
          <w:tblHeader/>
        </w:trPr>
        <w:tc>
          <w:tcPr>
            <w:tcW w:w="7767" w:type="dxa"/>
            <w:gridSpan w:val="6"/>
            <w:tcBorders>
              <w:top w:val="nil"/>
              <w:left w:val="nil"/>
              <w:bottom w:val="nil"/>
              <w:right w:val="nil"/>
            </w:tcBorders>
          </w:tcPr>
          <w:p w:rsidR="00965D85" w:rsidRPr="001E7FA9" w:rsidRDefault="00965D85" w:rsidP="008B46DF">
            <w:pPr>
              <w:pStyle w:val="million"/>
              <w:rPr>
                <w:rFonts w:eastAsiaTheme="minorEastAsia" w:cs="Calibri"/>
                <w:iCs/>
                <w:color w:val="000000"/>
                <w:sz w:val="20"/>
                <w:lang w:eastAsia="en-AU"/>
              </w:rPr>
            </w:pPr>
            <w:r w:rsidRPr="001E7FA9">
              <w:rPr>
                <w:rFonts w:eastAsiaTheme="minorEastAsia"/>
                <w:lang w:eastAsia="en-AU"/>
              </w:rPr>
              <w:t>($ million</w:t>
            </w:r>
            <w:r w:rsidRPr="001E7FA9">
              <w:rPr>
                <w:rFonts w:eastAsiaTheme="minorEastAsia" w:cs="Calibri"/>
                <w:iCs/>
                <w:color w:val="000000"/>
                <w:sz w:val="20"/>
                <w:lang w:eastAsia="en-AU"/>
              </w:rPr>
              <w:t>)</w:t>
            </w:r>
          </w:p>
        </w:tc>
      </w:tr>
      <w:tr w:rsidR="00965D85" w:rsidRPr="001E7FA9" w:rsidTr="008B46DF">
        <w:trPr>
          <w:trHeight w:val="488"/>
          <w:tblHeader/>
        </w:trPr>
        <w:tc>
          <w:tcPr>
            <w:tcW w:w="2947" w:type="dxa"/>
            <w:tcBorders>
              <w:top w:val="nil"/>
              <w:left w:val="nil"/>
              <w:right w:val="nil"/>
            </w:tcBorders>
            <w:shd w:val="solid" w:color="000000" w:fill="auto"/>
          </w:tcPr>
          <w:p w:rsidR="00965D85" w:rsidRPr="001E7FA9" w:rsidRDefault="00965D85" w:rsidP="008B46DF">
            <w:pPr>
              <w:autoSpaceDE w:val="0"/>
              <w:autoSpaceDN w:val="0"/>
              <w:adjustRightInd w:val="0"/>
              <w:spacing w:after="0"/>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 xml:space="preserve"> </w:t>
            </w:r>
          </w:p>
          <w:p w:rsidR="00965D85" w:rsidRPr="001E7FA9" w:rsidRDefault="00965D85" w:rsidP="008B46DF">
            <w:pPr>
              <w:autoSpaceDE w:val="0"/>
              <w:autoSpaceDN w:val="0"/>
              <w:adjustRightInd w:val="0"/>
              <w:spacing w:after="0"/>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 xml:space="preserve"> </w:t>
            </w:r>
          </w:p>
        </w:tc>
        <w:tc>
          <w:tcPr>
            <w:tcW w:w="964" w:type="dxa"/>
            <w:tcBorders>
              <w:top w:val="nil"/>
              <w:left w:val="nil"/>
              <w:right w:val="nil"/>
            </w:tcBorders>
            <w:shd w:val="solid" w:color="000000" w:fill="auto"/>
          </w:tcPr>
          <w:p w:rsidR="00965D85" w:rsidRPr="001E7FA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1E7FA9">
              <w:rPr>
                <w:rFonts w:ascii="Calibri" w:eastAsiaTheme="minorEastAsia" w:hAnsi="Calibri" w:cs="Calibri"/>
                <w:i/>
                <w:iCs/>
                <w:color w:val="FFFFFF"/>
                <w:sz w:val="20"/>
                <w:lang w:eastAsia="en-AU"/>
              </w:rPr>
              <w:t>2015</w:t>
            </w:r>
            <w:r>
              <w:rPr>
                <w:rFonts w:ascii="Calibri" w:eastAsiaTheme="minorEastAsia" w:hAnsi="Calibri" w:cs="Calibri"/>
                <w:i/>
                <w:iCs/>
                <w:color w:val="FFFFFF"/>
                <w:sz w:val="20"/>
                <w:lang w:eastAsia="en-AU"/>
              </w:rPr>
              <w:noBreakHyphen/>
            </w:r>
            <w:r w:rsidRPr="001E7FA9">
              <w:rPr>
                <w:rFonts w:ascii="Calibri" w:eastAsiaTheme="minorEastAsia" w:hAnsi="Calibri" w:cs="Calibri"/>
                <w:i/>
                <w:iCs/>
                <w:color w:val="FFFFFF"/>
                <w:sz w:val="20"/>
                <w:lang w:eastAsia="en-AU"/>
              </w:rPr>
              <w:t>16</w:t>
            </w:r>
          </w:p>
          <w:p w:rsidR="00965D85" w:rsidRPr="001E7FA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1E7FA9">
              <w:rPr>
                <w:rFonts w:ascii="Calibri" w:eastAsiaTheme="minorEastAsia" w:hAnsi="Calibri" w:cs="Calibri"/>
                <w:i/>
                <w:iCs/>
                <w:color w:val="FFFFFF"/>
                <w:sz w:val="20"/>
                <w:lang w:eastAsia="en-AU"/>
              </w:rPr>
              <w:t>budget</w:t>
            </w:r>
          </w:p>
        </w:tc>
        <w:tc>
          <w:tcPr>
            <w:tcW w:w="964" w:type="dxa"/>
            <w:tcBorders>
              <w:top w:val="nil"/>
              <w:left w:val="nil"/>
              <w:right w:val="nil"/>
            </w:tcBorders>
            <w:shd w:val="solid" w:color="000000" w:fill="auto"/>
          </w:tcPr>
          <w:p w:rsidR="00965D85" w:rsidRPr="001E7FA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1E7FA9">
              <w:rPr>
                <w:rFonts w:ascii="Calibri" w:eastAsiaTheme="minorEastAsia" w:hAnsi="Calibri" w:cs="Calibri"/>
                <w:i/>
                <w:iCs/>
                <w:color w:val="FFFFFF"/>
                <w:sz w:val="20"/>
                <w:lang w:eastAsia="en-AU"/>
              </w:rPr>
              <w:t>2015</w:t>
            </w:r>
            <w:r>
              <w:rPr>
                <w:rFonts w:ascii="Calibri" w:eastAsiaTheme="minorEastAsia" w:hAnsi="Calibri" w:cs="Calibri"/>
                <w:i/>
                <w:iCs/>
                <w:color w:val="FFFFFF"/>
                <w:sz w:val="20"/>
                <w:lang w:eastAsia="en-AU"/>
              </w:rPr>
              <w:noBreakHyphen/>
            </w:r>
            <w:r w:rsidRPr="001E7FA9">
              <w:rPr>
                <w:rFonts w:ascii="Calibri" w:eastAsiaTheme="minorEastAsia" w:hAnsi="Calibri" w:cs="Calibri"/>
                <w:i/>
                <w:iCs/>
                <w:color w:val="FFFFFF"/>
                <w:sz w:val="20"/>
                <w:lang w:eastAsia="en-AU"/>
              </w:rPr>
              <w:t>16</w:t>
            </w:r>
          </w:p>
          <w:p w:rsidR="00965D85" w:rsidRPr="001E7FA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1E7FA9">
              <w:rPr>
                <w:rFonts w:ascii="Calibri" w:eastAsiaTheme="minorEastAsia" w:hAnsi="Calibri" w:cs="Calibri"/>
                <w:i/>
                <w:iCs/>
                <w:color w:val="FFFFFF"/>
                <w:sz w:val="20"/>
                <w:lang w:eastAsia="en-AU"/>
              </w:rPr>
              <w:t>revised</w:t>
            </w:r>
          </w:p>
        </w:tc>
        <w:tc>
          <w:tcPr>
            <w:tcW w:w="964" w:type="dxa"/>
            <w:tcBorders>
              <w:top w:val="nil"/>
              <w:left w:val="nil"/>
              <w:right w:val="nil"/>
            </w:tcBorders>
            <w:shd w:val="solid" w:color="000000" w:fill="auto"/>
          </w:tcPr>
          <w:p w:rsidR="00965D85" w:rsidRPr="001E7FA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1E7FA9">
              <w:rPr>
                <w:rFonts w:ascii="Calibri" w:eastAsiaTheme="minorEastAsia" w:hAnsi="Calibri" w:cs="Calibri"/>
                <w:i/>
                <w:iCs/>
                <w:color w:val="FFFFFF"/>
                <w:sz w:val="20"/>
                <w:lang w:eastAsia="en-AU"/>
              </w:rPr>
              <w:t>2016</w:t>
            </w:r>
            <w:r>
              <w:rPr>
                <w:rFonts w:ascii="Calibri" w:eastAsiaTheme="minorEastAsia" w:hAnsi="Calibri" w:cs="Calibri"/>
                <w:i/>
                <w:iCs/>
                <w:color w:val="FFFFFF"/>
                <w:sz w:val="20"/>
                <w:lang w:eastAsia="en-AU"/>
              </w:rPr>
              <w:noBreakHyphen/>
            </w:r>
            <w:r w:rsidRPr="001E7FA9">
              <w:rPr>
                <w:rFonts w:ascii="Calibri" w:eastAsiaTheme="minorEastAsia" w:hAnsi="Calibri" w:cs="Calibri"/>
                <w:i/>
                <w:iCs/>
                <w:color w:val="FFFFFF"/>
                <w:sz w:val="20"/>
                <w:lang w:eastAsia="en-AU"/>
              </w:rPr>
              <w:t>17</w:t>
            </w:r>
          </w:p>
          <w:p w:rsidR="00965D85" w:rsidRPr="001E7FA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1E7FA9">
              <w:rPr>
                <w:rFonts w:ascii="Calibri" w:eastAsiaTheme="minorEastAsia" w:hAnsi="Calibri" w:cs="Calibri"/>
                <w:i/>
                <w:iCs/>
                <w:color w:val="FFFFFF"/>
                <w:sz w:val="20"/>
                <w:lang w:eastAsia="en-AU"/>
              </w:rPr>
              <w:t>estimate</w:t>
            </w:r>
          </w:p>
        </w:tc>
        <w:tc>
          <w:tcPr>
            <w:tcW w:w="964" w:type="dxa"/>
            <w:tcBorders>
              <w:top w:val="nil"/>
              <w:left w:val="nil"/>
              <w:right w:val="nil"/>
            </w:tcBorders>
            <w:shd w:val="solid" w:color="000000" w:fill="auto"/>
          </w:tcPr>
          <w:p w:rsidR="00965D85" w:rsidRPr="001E7FA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1E7FA9">
              <w:rPr>
                <w:rFonts w:ascii="Calibri" w:eastAsiaTheme="minorEastAsia" w:hAnsi="Calibri" w:cs="Calibri"/>
                <w:i/>
                <w:iCs/>
                <w:color w:val="FFFFFF"/>
                <w:sz w:val="20"/>
                <w:lang w:eastAsia="en-AU"/>
              </w:rPr>
              <w:t>2017</w:t>
            </w:r>
            <w:r>
              <w:rPr>
                <w:rFonts w:ascii="Calibri" w:eastAsiaTheme="minorEastAsia" w:hAnsi="Calibri" w:cs="Calibri"/>
                <w:i/>
                <w:iCs/>
                <w:color w:val="FFFFFF"/>
                <w:sz w:val="20"/>
                <w:lang w:eastAsia="en-AU"/>
              </w:rPr>
              <w:noBreakHyphen/>
            </w:r>
            <w:r w:rsidRPr="001E7FA9">
              <w:rPr>
                <w:rFonts w:ascii="Calibri" w:eastAsiaTheme="minorEastAsia" w:hAnsi="Calibri" w:cs="Calibri"/>
                <w:i/>
                <w:iCs/>
                <w:color w:val="FFFFFF"/>
                <w:sz w:val="20"/>
                <w:lang w:eastAsia="en-AU"/>
              </w:rPr>
              <w:t>18</w:t>
            </w:r>
          </w:p>
          <w:p w:rsidR="00965D85" w:rsidRPr="001E7FA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1E7FA9">
              <w:rPr>
                <w:rFonts w:ascii="Calibri" w:eastAsiaTheme="minorEastAsia" w:hAnsi="Calibri" w:cs="Calibri"/>
                <w:i/>
                <w:iCs/>
                <w:color w:val="FFFFFF"/>
                <w:sz w:val="20"/>
                <w:lang w:eastAsia="en-AU"/>
              </w:rPr>
              <w:t>estimate</w:t>
            </w:r>
          </w:p>
        </w:tc>
        <w:tc>
          <w:tcPr>
            <w:tcW w:w="964" w:type="dxa"/>
            <w:tcBorders>
              <w:top w:val="nil"/>
              <w:left w:val="nil"/>
              <w:right w:val="nil"/>
            </w:tcBorders>
            <w:shd w:val="solid" w:color="000000" w:fill="auto"/>
          </w:tcPr>
          <w:p w:rsidR="00965D85" w:rsidRPr="001E7FA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1E7FA9">
              <w:rPr>
                <w:rFonts w:ascii="Calibri" w:eastAsiaTheme="minorEastAsia" w:hAnsi="Calibri" w:cs="Calibri"/>
                <w:i/>
                <w:iCs/>
                <w:color w:val="FFFFFF"/>
                <w:sz w:val="20"/>
                <w:lang w:eastAsia="en-AU"/>
              </w:rPr>
              <w:t>2018</w:t>
            </w:r>
            <w:r>
              <w:rPr>
                <w:rFonts w:ascii="Calibri" w:eastAsiaTheme="minorEastAsia" w:hAnsi="Calibri" w:cs="Calibri"/>
                <w:i/>
                <w:iCs/>
                <w:color w:val="FFFFFF"/>
                <w:sz w:val="20"/>
                <w:lang w:eastAsia="en-AU"/>
              </w:rPr>
              <w:noBreakHyphen/>
            </w:r>
            <w:r w:rsidRPr="001E7FA9">
              <w:rPr>
                <w:rFonts w:ascii="Calibri" w:eastAsiaTheme="minorEastAsia" w:hAnsi="Calibri" w:cs="Calibri"/>
                <w:i/>
                <w:iCs/>
                <w:color w:val="FFFFFF"/>
                <w:sz w:val="20"/>
                <w:lang w:eastAsia="en-AU"/>
              </w:rPr>
              <w:t>19</w:t>
            </w:r>
          </w:p>
          <w:p w:rsidR="00965D85" w:rsidRPr="001E7FA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1E7FA9">
              <w:rPr>
                <w:rFonts w:ascii="Calibri" w:eastAsiaTheme="minorEastAsia" w:hAnsi="Calibri" w:cs="Calibri"/>
                <w:i/>
                <w:iCs/>
                <w:color w:val="FFFFFF"/>
                <w:sz w:val="20"/>
                <w:lang w:eastAsia="en-AU"/>
              </w:rPr>
              <w:t>estimate</w:t>
            </w:r>
          </w:p>
        </w:tc>
      </w:tr>
      <w:tr w:rsidR="00965D85" w:rsidRPr="001E7FA9" w:rsidTr="008B46DF">
        <w:tc>
          <w:tcPr>
            <w:tcW w:w="2947" w:type="dxa"/>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b/>
                <w:bCs/>
                <w:color w:val="000000"/>
                <w:sz w:val="20"/>
                <w:lang w:eastAsia="en-AU"/>
              </w:rPr>
            </w:pPr>
            <w:r w:rsidRPr="001E7FA9">
              <w:rPr>
                <w:rFonts w:ascii="Calibri" w:eastAsiaTheme="minorEastAsia" w:hAnsi="Calibri" w:cs="Calibri"/>
                <w:b/>
                <w:bCs/>
                <w:color w:val="000000"/>
                <w:sz w:val="20"/>
                <w:lang w:eastAsia="en-AU"/>
              </w:rPr>
              <w:t>Cash surplus/(deficit)</w:t>
            </w: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1E7FA9">
              <w:rPr>
                <w:rFonts w:ascii="Calibri" w:eastAsiaTheme="minorEastAsia" w:hAnsi="Calibri" w:cs="Calibri"/>
                <w:b/>
                <w:bCs/>
                <w:color w:val="000000"/>
                <w:sz w:val="20"/>
                <w:lang w:eastAsia="en-AU"/>
              </w:rPr>
              <w:t>5 857.7</w:t>
            </w: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1E7FA9">
              <w:rPr>
                <w:rFonts w:ascii="Calibri" w:eastAsiaTheme="minorEastAsia" w:hAnsi="Calibri" w:cs="Calibri"/>
                <w:b/>
                <w:bCs/>
                <w:color w:val="000000"/>
                <w:sz w:val="20"/>
                <w:lang w:eastAsia="en-AU"/>
              </w:rPr>
              <w:t>5 857.7</w:t>
            </w: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20"/>
                <w:lang w:eastAsia="en-AU"/>
              </w:rPr>
              <w:t>(841.9)</w:t>
            </w: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20"/>
                <w:lang w:eastAsia="en-AU"/>
              </w:rPr>
              <w:t>(707.4)</w:t>
            </w: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20"/>
                <w:lang w:eastAsia="en-AU"/>
              </w:rPr>
              <w:t>(664.0)</w:t>
            </w:r>
          </w:p>
        </w:tc>
      </w:tr>
      <w:tr w:rsidR="00965D85" w:rsidRPr="001E7FA9" w:rsidTr="008B46DF">
        <w:tc>
          <w:tcPr>
            <w:tcW w:w="2947" w:type="dxa"/>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Convergence differences:</w:t>
            </w: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p>
        </w:tc>
      </w:tr>
      <w:tr w:rsidR="00965D85" w:rsidRPr="001E7FA9" w:rsidTr="008B46DF">
        <w:tc>
          <w:tcPr>
            <w:tcW w:w="2947" w:type="dxa"/>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Acquisitions under finance leases and similar arrangements</w:t>
            </w:r>
          </w:p>
        </w:tc>
        <w:tc>
          <w:tcPr>
            <w:tcW w:w="964" w:type="dxa"/>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w:t>
            </w:r>
          </w:p>
        </w:tc>
        <w:tc>
          <w:tcPr>
            <w:tcW w:w="964" w:type="dxa"/>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w:t>
            </w:r>
          </w:p>
        </w:tc>
        <w:tc>
          <w:tcPr>
            <w:tcW w:w="964" w:type="dxa"/>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w:t>
            </w:r>
          </w:p>
        </w:tc>
        <w:tc>
          <w:tcPr>
            <w:tcW w:w="964" w:type="dxa"/>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w:t>
            </w:r>
          </w:p>
        </w:tc>
        <w:tc>
          <w:tcPr>
            <w:tcW w:w="964" w:type="dxa"/>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w:t>
            </w:r>
          </w:p>
        </w:tc>
      </w:tr>
      <w:tr w:rsidR="00965D85" w:rsidRPr="001E7FA9" w:rsidTr="008B46DF">
        <w:tc>
          <w:tcPr>
            <w:tcW w:w="2947" w:type="dxa"/>
            <w:tcBorders>
              <w:top w:val="single" w:sz="6" w:space="0" w:color="000000"/>
              <w:left w:val="nil"/>
              <w:bottom w:val="single" w:sz="12" w:space="0" w:color="auto"/>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b/>
                <w:bCs/>
                <w:color w:val="000000"/>
                <w:sz w:val="20"/>
                <w:vertAlign w:val="superscript"/>
                <w:lang w:eastAsia="en-AU"/>
              </w:rPr>
            </w:pPr>
            <w:r w:rsidRPr="001E7FA9">
              <w:rPr>
                <w:rFonts w:ascii="Calibri" w:eastAsiaTheme="minorEastAsia" w:hAnsi="Calibri" w:cs="Calibri"/>
                <w:b/>
                <w:bCs/>
                <w:color w:val="000000"/>
                <w:sz w:val="20"/>
                <w:lang w:eastAsia="en-AU"/>
              </w:rPr>
              <w:t>GFS cash surplus/(deficit)</w:t>
            </w:r>
            <w:r w:rsidRPr="001E7FA9">
              <w:rPr>
                <w:rFonts w:ascii="Calibri" w:eastAsiaTheme="minorEastAsia" w:hAnsi="Calibri" w:cs="Calibri"/>
                <w:b/>
                <w:bCs/>
                <w:color w:val="000000"/>
                <w:sz w:val="20"/>
                <w:vertAlign w:val="superscript"/>
                <w:lang w:eastAsia="en-AU"/>
              </w:rPr>
              <w:t xml:space="preserve"> (a)</w:t>
            </w:r>
          </w:p>
        </w:tc>
        <w:tc>
          <w:tcPr>
            <w:tcW w:w="964" w:type="dxa"/>
            <w:tcBorders>
              <w:top w:val="single" w:sz="6" w:space="0" w:color="000000"/>
              <w:left w:val="nil"/>
              <w:bottom w:val="single" w:sz="12" w:space="0" w:color="auto"/>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1E7FA9">
              <w:rPr>
                <w:rFonts w:ascii="Calibri" w:eastAsiaTheme="minorEastAsia" w:hAnsi="Calibri" w:cs="Calibri"/>
                <w:b/>
                <w:bCs/>
                <w:color w:val="000000"/>
                <w:sz w:val="20"/>
                <w:lang w:eastAsia="en-AU"/>
              </w:rPr>
              <w:t>5 857.7</w:t>
            </w:r>
          </w:p>
        </w:tc>
        <w:tc>
          <w:tcPr>
            <w:tcW w:w="964" w:type="dxa"/>
            <w:tcBorders>
              <w:top w:val="single" w:sz="6" w:space="0" w:color="000000"/>
              <w:left w:val="nil"/>
              <w:bottom w:val="single" w:sz="12" w:space="0" w:color="auto"/>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1E7FA9">
              <w:rPr>
                <w:rFonts w:ascii="Calibri" w:eastAsiaTheme="minorEastAsia" w:hAnsi="Calibri" w:cs="Calibri"/>
                <w:b/>
                <w:bCs/>
                <w:color w:val="000000"/>
                <w:sz w:val="20"/>
                <w:lang w:eastAsia="en-AU"/>
              </w:rPr>
              <w:t>5 857.7</w:t>
            </w:r>
          </w:p>
        </w:tc>
        <w:tc>
          <w:tcPr>
            <w:tcW w:w="964" w:type="dxa"/>
            <w:tcBorders>
              <w:top w:val="single" w:sz="6" w:space="0" w:color="000000"/>
              <w:left w:val="nil"/>
              <w:bottom w:val="single" w:sz="12" w:space="0" w:color="auto"/>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20"/>
                <w:lang w:eastAsia="en-AU"/>
              </w:rPr>
              <w:t>(841.9)</w:t>
            </w:r>
          </w:p>
        </w:tc>
        <w:tc>
          <w:tcPr>
            <w:tcW w:w="964" w:type="dxa"/>
            <w:tcBorders>
              <w:top w:val="single" w:sz="6" w:space="0" w:color="000000"/>
              <w:left w:val="nil"/>
              <w:bottom w:val="single" w:sz="12" w:space="0" w:color="auto"/>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20"/>
                <w:lang w:eastAsia="en-AU"/>
              </w:rPr>
              <w:t>(707.4)</w:t>
            </w:r>
          </w:p>
        </w:tc>
        <w:tc>
          <w:tcPr>
            <w:tcW w:w="964" w:type="dxa"/>
            <w:tcBorders>
              <w:top w:val="single" w:sz="6" w:space="0" w:color="000000"/>
              <w:left w:val="nil"/>
              <w:bottom w:val="single" w:sz="12" w:space="0" w:color="auto"/>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20"/>
                <w:lang w:eastAsia="en-AU"/>
              </w:rPr>
              <w:t>(664.0)</w:t>
            </w:r>
          </w:p>
        </w:tc>
      </w:tr>
      <w:tr w:rsidR="00965D85" w:rsidRPr="001E7FA9" w:rsidTr="008B46DF">
        <w:tc>
          <w:tcPr>
            <w:tcW w:w="7767" w:type="dxa"/>
            <w:gridSpan w:val="6"/>
            <w:tcBorders>
              <w:top w:val="single" w:sz="12" w:space="0" w:color="auto"/>
              <w:left w:val="nil"/>
              <w:bottom w:val="nil"/>
              <w:right w:val="nil"/>
            </w:tcBorders>
            <w:shd w:val="clear" w:color="auto" w:fill="auto"/>
          </w:tcPr>
          <w:p w:rsidR="00965D85" w:rsidRPr="001E7FA9" w:rsidRDefault="00965D85" w:rsidP="008B46DF">
            <w:pPr>
              <w:pStyle w:val="Source"/>
              <w:rPr>
                <w:rFonts w:eastAsiaTheme="minorEastAsia"/>
                <w:lang w:eastAsia="en-AU"/>
              </w:rPr>
            </w:pPr>
            <w:r w:rsidRPr="001E7FA9">
              <w:rPr>
                <w:rFonts w:eastAsiaTheme="minorEastAsia"/>
                <w:lang w:eastAsia="en-AU"/>
              </w:rPr>
              <w:t>Source: Department of Treasury and Finance</w:t>
            </w:r>
          </w:p>
        </w:tc>
      </w:tr>
    </w:tbl>
    <w:p w:rsidR="00965D85" w:rsidRPr="00115F05" w:rsidRDefault="00965D85" w:rsidP="008B46DF">
      <w:pPr>
        <w:pStyle w:val="Notes"/>
        <w:rPr>
          <w:lang w:eastAsia="en-AU"/>
        </w:rPr>
      </w:pPr>
      <w:r w:rsidRPr="00115F05">
        <w:rPr>
          <w:lang w:eastAsia="en-AU"/>
        </w:rPr>
        <w:t>Note:</w:t>
      </w:r>
    </w:p>
    <w:p w:rsidR="00965D85" w:rsidRDefault="00965D85" w:rsidP="008B46DF">
      <w:pPr>
        <w:pStyle w:val="Notes"/>
        <w:rPr>
          <w:lang w:eastAsia="en-AU"/>
        </w:rPr>
      </w:pPr>
      <w:r w:rsidRPr="00115F05">
        <w:rPr>
          <w:lang w:eastAsia="en-AU"/>
        </w:rPr>
        <w:t>(a)</w:t>
      </w:r>
      <w:r w:rsidRPr="00115F05">
        <w:rPr>
          <w:lang w:eastAsia="en-AU"/>
        </w:rPr>
        <w:tab/>
        <w:t>Determined in accordance with the ABS GFS manual.</w:t>
      </w:r>
    </w:p>
    <w:p w:rsidR="00965D85" w:rsidRDefault="00965D85" w:rsidP="008B46DF">
      <w:pPr>
        <w:rPr>
          <w:lang w:eastAsia="en-AU"/>
        </w:rPr>
      </w:pPr>
    </w:p>
    <w:p w:rsidR="00965D85" w:rsidRDefault="00965D85" w:rsidP="008B46DF">
      <w:pPr>
        <w:rPr>
          <w:lang w:eastAsia="en-AU"/>
        </w:rPr>
      </w:pPr>
    </w:p>
    <w:p w:rsidR="00965D85" w:rsidRDefault="00965D85" w:rsidP="008B46DF">
      <w:pPr>
        <w:pStyle w:val="Tableheading"/>
        <w:rPr>
          <w:rFonts w:ascii="Times New Roman" w:hAnsi="Times New Roman"/>
          <w:i/>
          <w:sz w:val="20"/>
          <w:lang w:eastAsia="en-AU"/>
        </w:rPr>
      </w:pPr>
      <w:r w:rsidRPr="005773FB">
        <w:rPr>
          <w:lang w:eastAsia="en-AU"/>
        </w:rPr>
        <w:t>Table 5.6:</w:t>
      </w:r>
      <w:r w:rsidRPr="005773FB">
        <w:rPr>
          <w:lang w:eastAsia="en-AU"/>
        </w:rPr>
        <w:tab/>
        <w:t>Net acquisition of non</w:t>
      </w:r>
      <w:r>
        <w:rPr>
          <w:lang w:eastAsia="en-AU"/>
        </w:rPr>
        <w:noBreakHyphen/>
      </w:r>
      <w:r w:rsidRPr="005773FB">
        <w:rPr>
          <w:lang w:eastAsia="en-AU"/>
        </w:rPr>
        <w:t>financial assets</w:t>
      </w:r>
      <w:r>
        <w:rPr>
          <w:lang w:eastAsia="en-AU"/>
        </w:rPr>
        <w:t xml:space="preserve"> – </w:t>
      </w:r>
      <w:r w:rsidRPr="005773FB">
        <w:rPr>
          <w:lang w:eastAsia="en-AU"/>
        </w:rPr>
        <w:t>public non</w:t>
      </w:r>
      <w:r>
        <w:rPr>
          <w:lang w:eastAsia="en-AU"/>
        </w:rPr>
        <w:noBreakHyphen/>
      </w:r>
      <w:r w:rsidRPr="005773FB">
        <w:rPr>
          <w:lang w:eastAsia="en-AU"/>
        </w:rPr>
        <w:t>financial corporations sector</w:t>
      </w:r>
      <w:r w:rsidRPr="00167396">
        <w:rPr>
          <w:vertAlign w:val="superscript"/>
          <w:lang w:eastAsia="en-AU"/>
        </w:rPr>
        <w:t>(a)</w:t>
      </w:r>
    </w:p>
    <w:tbl>
      <w:tblPr>
        <w:tblW w:w="7767" w:type="dxa"/>
        <w:tblInd w:w="28" w:type="dxa"/>
        <w:tblLayout w:type="fixed"/>
        <w:tblCellMar>
          <w:left w:w="28" w:type="dxa"/>
          <w:right w:w="28" w:type="dxa"/>
        </w:tblCellMar>
        <w:tblLook w:val="0000" w:firstRow="0" w:lastRow="0" w:firstColumn="0" w:lastColumn="0" w:noHBand="0" w:noVBand="0"/>
      </w:tblPr>
      <w:tblGrid>
        <w:gridCol w:w="3080"/>
        <w:gridCol w:w="937"/>
        <w:gridCol w:w="937"/>
        <w:gridCol w:w="938"/>
        <w:gridCol w:w="937"/>
        <w:gridCol w:w="938"/>
      </w:tblGrid>
      <w:tr w:rsidR="00965D85" w:rsidRPr="001E7FA9" w:rsidTr="008B46DF">
        <w:trPr>
          <w:tblHeader/>
        </w:trPr>
        <w:tc>
          <w:tcPr>
            <w:tcW w:w="7767" w:type="dxa"/>
            <w:gridSpan w:val="6"/>
            <w:tcBorders>
              <w:top w:val="nil"/>
              <w:left w:val="nil"/>
              <w:bottom w:val="nil"/>
              <w:right w:val="nil"/>
            </w:tcBorders>
          </w:tcPr>
          <w:p w:rsidR="00965D85" w:rsidRPr="001E7FA9" w:rsidRDefault="00965D85" w:rsidP="008B46DF">
            <w:pPr>
              <w:pStyle w:val="million"/>
              <w:rPr>
                <w:rFonts w:eastAsiaTheme="minorEastAsia" w:cs="Calibri"/>
                <w:iCs/>
                <w:color w:val="000000"/>
                <w:sz w:val="20"/>
                <w:lang w:eastAsia="en-AU"/>
              </w:rPr>
            </w:pPr>
            <w:r w:rsidRPr="001E7FA9">
              <w:rPr>
                <w:rFonts w:eastAsiaTheme="minorEastAsia"/>
                <w:lang w:eastAsia="en-AU"/>
              </w:rPr>
              <w:t>($ million</w:t>
            </w:r>
            <w:r w:rsidRPr="001E7FA9">
              <w:rPr>
                <w:rFonts w:eastAsiaTheme="minorEastAsia" w:cs="Calibri"/>
                <w:iCs/>
                <w:color w:val="000000"/>
                <w:sz w:val="20"/>
                <w:lang w:eastAsia="en-AU"/>
              </w:rPr>
              <w:t>)</w:t>
            </w:r>
          </w:p>
        </w:tc>
      </w:tr>
      <w:tr w:rsidR="00965D85" w:rsidRPr="001E7FA9" w:rsidTr="008B46DF">
        <w:trPr>
          <w:trHeight w:val="488"/>
          <w:tblHeader/>
        </w:trPr>
        <w:tc>
          <w:tcPr>
            <w:tcW w:w="3080" w:type="dxa"/>
            <w:tcBorders>
              <w:top w:val="nil"/>
              <w:left w:val="nil"/>
              <w:right w:val="nil"/>
            </w:tcBorders>
            <w:shd w:val="solid" w:color="000000" w:fill="auto"/>
          </w:tcPr>
          <w:p w:rsidR="00965D85" w:rsidRPr="001E7FA9" w:rsidRDefault="00965D85" w:rsidP="008B46DF">
            <w:pPr>
              <w:autoSpaceDE w:val="0"/>
              <w:autoSpaceDN w:val="0"/>
              <w:adjustRightInd w:val="0"/>
              <w:spacing w:after="0"/>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 xml:space="preserve"> </w:t>
            </w:r>
          </w:p>
          <w:p w:rsidR="00965D85" w:rsidRPr="001E7FA9" w:rsidRDefault="00965D85" w:rsidP="008B46DF">
            <w:pPr>
              <w:autoSpaceDE w:val="0"/>
              <w:autoSpaceDN w:val="0"/>
              <w:adjustRightInd w:val="0"/>
              <w:spacing w:after="0"/>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 xml:space="preserve"> </w:t>
            </w:r>
          </w:p>
        </w:tc>
        <w:tc>
          <w:tcPr>
            <w:tcW w:w="937" w:type="dxa"/>
            <w:tcBorders>
              <w:top w:val="nil"/>
              <w:left w:val="nil"/>
              <w:right w:val="nil"/>
            </w:tcBorders>
            <w:shd w:val="solid" w:color="000000" w:fill="auto"/>
          </w:tcPr>
          <w:p w:rsidR="00965D85" w:rsidRPr="001E7FA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1E7FA9">
              <w:rPr>
                <w:rFonts w:ascii="Calibri" w:eastAsiaTheme="minorEastAsia" w:hAnsi="Calibri" w:cs="Calibri"/>
                <w:i/>
                <w:iCs/>
                <w:color w:val="FFFFFF"/>
                <w:sz w:val="20"/>
                <w:lang w:eastAsia="en-AU"/>
              </w:rPr>
              <w:t>2015</w:t>
            </w:r>
            <w:r>
              <w:rPr>
                <w:rFonts w:ascii="Calibri" w:eastAsiaTheme="minorEastAsia" w:hAnsi="Calibri" w:cs="Calibri"/>
                <w:i/>
                <w:iCs/>
                <w:color w:val="FFFFFF"/>
                <w:sz w:val="20"/>
                <w:lang w:eastAsia="en-AU"/>
              </w:rPr>
              <w:noBreakHyphen/>
            </w:r>
            <w:r w:rsidRPr="001E7FA9">
              <w:rPr>
                <w:rFonts w:ascii="Calibri" w:eastAsiaTheme="minorEastAsia" w:hAnsi="Calibri" w:cs="Calibri"/>
                <w:i/>
                <w:iCs/>
                <w:color w:val="FFFFFF"/>
                <w:sz w:val="20"/>
                <w:lang w:eastAsia="en-AU"/>
              </w:rPr>
              <w:t>16</w:t>
            </w:r>
          </w:p>
          <w:p w:rsidR="00965D85" w:rsidRPr="001E7FA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1E7FA9">
              <w:rPr>
                <w:rFonts w:ascii="Calibri" w:eastAsiaTheme="minorEastAsia" w:hAnsi="Calibri" w:cs="Calibri"/>
                <w:i/>
                <w:iCs/>
                <w:color w:val="FFFFFF"/>
                <w:sz w:val="20"/>
                <w:lang w:eastAsia="en-AU"/>
              </w:rPr>
              <w:t>budget</w:t>
            </w:r>
          </w:p>
        </w:tc>
        <w:tc>
          <w:tcPr>
            <w:tcW w:w="937" w:type="dxa"/>
            <w:tcBorders>
              <w:top w:val="nil"/>
              <w:left w:val="nil"/>
              <w:right w:val="nil"/>
            </w:tcBorders>
            <w:shd w:val="solid" w:color="000000" w:fill="auto"/>
          </w:tcPr>
          <w:p w:rsidR="00965D85" w:rsidRPr="001E7FA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1E7FA9">
              <w:rPr>
                <w:rFonts w:ascii="Calibri" w:eastAsiaTheme="minorEastAsia" w:hAnsi="Calibri" w:cs="Calibri"/>
                <w:i/>
                <w:iCs/>
                <w:color w:val="FFFFFF"/>
                <w:sz w:val="20"/>
                <w:lang w:eastAsia="en-AU"/>
              </w:rPr>
              <w:t>2015</w:t>
            </w:r>
            <w:r>
              <w:rPr>
                <w:rFonts w:ascii="Calibri" w:eastAsiaTheme="minorEastAsia" w:hAnsi="Calibri" w:cs="Calibri"/>
                <w:i/>
                <w:iCs/>
                <w:color w:val="FFFFFF"/>
                <w:sz w:val="20"/>
                <w:lang w:eastAsia="en-AU"/>
              </w:rPr>
              <w:noBreakHyphen/>
            </w:r>
            <w:r w:rsidRPr="001E7FA9">
              <w:rPr>
                <w:rFonts w:ascii="Calibri" w:eastAsiaTheme="minorEastAsia" w:hAnsi="Calibri" w:cs="Calibri"/>
                <w:i/>
                <w:iCs/>
                <w:color w:val="FFFFFF"/>
                <w:sz w:val="20"/>
                <w:lang w:eastAsia="en-AU"/>
              </w:rPr>
              <w:t>16</w:t>
            </w:r>
          </w:p>
          <w:p w:rsidR="00965D85" w:rsidRPr="001E7FA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1E7FA9">
              <w:rPr>
                <w:rFonts w:ascii="Calibri" w:eastAsiaTheme="minorEastAsia" w:hAnsi="Calibri" w:cs="Calibri"/>
                <w:i/>
                <w:iCs/>
                <w:color w:val="FFFFFF"/>
                <w:sz w:val="20"/>
                <w:lang w:eastAsia="en-AU"/>
              </w:rPr>
              <w:t>revised</w:t>
            </w:r>
          </w:p>
        </w:tc>
        <w:tc>
          <w:tcPr>
            <w:tcW w:w="938" w:type="dxa"/>
            <w:tcBorders>
              <w:top w:val="nil"/>
              <w:left w:val="nil"/>
              <w:right w:val="nil"/>
            </w:tcBorders>
            <w:shd w:val="solid" w:color="000000" w:fill="auto"/>
          </w:tcPr>
          <w:p w:rsidR="00965D85" w:rsidRPr="001E7FA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1E7FA9">
              <w:rPr>
                <w:rFonts w:ascii="Calibri" w:eastAsiaTheme="minorEastAsia" w:hAnsi="Calibri" w:cs="Calibri"/>
                <w:i/>
                <w:iCs/>
                <w:color w:val="FFFFFF"/>
                <w:sz w:val="20"/>
                <w:lang w:eastAsia="en-AU"/>
              </w:rPr>
              <w:t>2016</w:t>
            </w:r>
            <w:r>
              <w:rPr>
                <w:rFonts w:ascii="Calibri" w:eastAsiaTheme="minorEastAsia" w:hAnsi="Calibri" w:cs="Calibri"/>
                <w:i/>
                <w:iCs/>
                <w:color w:val="FFFFFF"/>
                <w:sz w:val="20"/>
                <w:lang w:eastAsia="en-AU"/>
              </w:rPr>
              <w:noBreakHyphen/>
            </w:r>
            <w:r w:rsidRPr="001E7FA9">
              <w:rPr>
                <w:rFonts w:ascii="Calibri" w:eastAsiaTheme="minorEastAsia" w:hAnsi="Calibri" w:cs="Calibri"/>
                <w:i/>
                <w:iCs/>
                <w:color w:val="FFFFFF"/>
                <w:sz w:val="20"/>
                <w:lang w:eastAsia="en-AU"/>
              </w:rPr>
              <w:t>17</w:t>
            </w:r>
          </w:p>
          <w:p w:rsidR="00965D85" w:rsidRPr="001E7FA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1E7FA9">
              <w:rPr>
                <w:rFonts w:ascii="Calibri" w:eastAsiaTheme="minorEastAsia" w:hAnsi="Calibri" w:cs="Calibri"/>
                <w:i/>
                <w:iCs/>
                <w:color w:val="FFFFFF"/>
                <w:sz w:val="20"/>
                <w:lang w:eastAsia="en-AU"/>
              </w:rPr>
              <w:t>estimate</w:t>
            </w:r>
          </w:p>
        </w:tc>
        <w:tc>
          <w:tcPr>
            <w:tcW w:w="937" w:type="dxa"/>
            <w:tcBorders>
              <w:top w:val="nil"/>
              <w:left w:val="nil"/>
              <w:right w:val="nil"/>
            </w:tcBorders>
            <w:shd w:val="solid" w:color="000000" w:fill="auto"/>
          </w:tcPr>
          <w:p w:rsidR="00965D85" w:rsidRPr="001E7FA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1E7FA9">
              <w:rPr>
                <w:rFonts w:ascii="Calibri" w:eastAsiaTheme="minorEastAsia" w:hAnsi="Calibri" w:cs="Calibri"/>
                <w:i/>
                <w:iCs/>
                <w:color w:val="FFFFFF"/>
                <w:sz w:val="20"/>
                <w:lang w:eastAsia="en-AU"/>
              </w:rPr>
              <w:t>2017</w:t>
            </w:r>
            <w:r>
              <w:rPr>
                <w:rFonts w:ascii="Calibri" w:eastAsiaTheme="minorEastAsia" w:hAnsi="Calibri" w:cs="Calibri"/>
                <w:i/>
                <w:iCs/>
                <w:color w:val="FFFFFF"/>
                <w:sz w:val="20"/>
                <w:lang w:eastAsia="en-AU"/>
              </w:rPr>
              <w:noBreakHyphen/>
            </w:r>
            <w:r w:rsidRPr="001E7FA9">
              <w:rPr>
                <w:rFonts w:ascii="Calibri" w:eastAsiaTheme="minorEastAsia" w:hAnsi="Calibri" w:cs="Calibri"/>
                <w:i/>
                <w:iCs/>
                <w:color w:val="FFFFFF"/>
                <w:sz w:val="20"/>
                <w:lang w:eastAsia="en-AU"/>
              </w:rPr>
              <w:t>18</w:t>
            </w:r>
          </w:p>
          <w:p w:rsidR="00965D85" w:rsidRPr="001E7FA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1E7FA9">
              <w:rPr>
                <w:rFonts w:ascii="Calibri" w:eastAsiaTheme="minorEastAsia" w:hAnsi="Calibri" w:cs="Calibri"/>
                <w:i/>
                <w:iCs/>
                <w:color w:val="FFFFFF"/>
                <w:sz w:val="20"/>
                <w:lang w:eastAsia="en-AU"/>
              </w:rPr>
              <w:t>estimate</w:t>
            </w:r>
          </w:p>
        </w:tc>
        <w:tc>
          <w:tcPr>
            <w:tcW w:w="938" w:type="dxa"/>
            <w:tcBorders>
              <w:top w:val="nil"/>
              <w:left w:val="nil"/>
              <w:right w:val="nil"/>
            </w:tcBorders>
            <w:shd w:val="solid" w:color="000000" w:fill="auto"/>
          </w:tcPr>
          <w:p w:rsidR="00965D85" w:rsidRPr="001E7FA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1E7FA9">
              <w:rPr>
                <w:rFonts w:ascii="Calibri" w:eastAsiaTheme="minorEastAsia" w:hAnsi="Calibri" w:cs="Calibri"/>
                <w:i/>
                <w:iCs/>
                <w:color w:val="FFFFFF"/>
                <w:sz w:val="20"/>
                <w:lang w:eastAsia="en-AU"/>
              </w:rPr>
              <w:t>2018</w:t>
            </w:r>
            <w:r>
              <w:rPr>
                <w:rFonts w:ascii="Calibri" w:eastAsiaTheme="minorEastAsia" w:hAnsi="Calibri" w:cs="Calibri"/>
                <w:i/>
                <w:iCs/>
                <w:color w:val="FFFFFF"/>
                <w:sz w:val="20"/>
                <w:lang w:eastAsia="en-AU"/>
              </w:rPr>
              <w:noBreakHyphen/>
            </w:r>
            <w:r w:rsidRPr="001E7FA9">
              <w:rPr>
                <w:rFonts w:ascii="Calibri" w:eastAsiaTheme="minorEastAsia" w:hAnsi="Calibri" w:cs="Calibri"/>
                <w:i/>
                <w:iCs/>
                <w:color w:val="FFFFFF"/>
                <w:sz w:val="20"/>
                <w:lang w:eastAsia="en-AU"/>
              </w:rPr>
              <w:t>19</w:t>
            </w:r>
          </w:p>
          <w:p w:rsidR="00965D85" w:rsidRPr="001E7FA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1E7FA9">
              <w:rPr>
                <w:rFonts w:ascii="Calibri" w:eastAsiaTheme="minorEastAsia" w:hAnsi="Calibri" w:cs="Calibri"/>
                <w:i/>
                <w:iCs/>
                <w:color w:val="FFFFFF"/>
                <w:sz w:val="20"/>
                <w:lang w:eastAsia="en-AU"/>
              </w:rPr>
              <w:t>estimate</w:t>
            </w:r>
          </w:p>
        </w:tc>
      </w:tr>
      <w:tr w:rsidR="00965D85" w:rsidRPr="001E7FA9" w:rsidTr="008B46DF">
        <w:tc>
          <w:tcPr>
            <w:tcW w:w="3080" w:type="dxa"/>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color w:val="000000"/>
                <w:sz w:val="20"/>
                <w:vertAlign w:val="superscript"/>
                <w:lang w:eastAsia="en-AU"/>
              </w:rPr>
            </w:pPr>
            <w:r w:rsidRPr="001E7FA9">
              <w:rPr>
                <w:rFonts w:ascii="Calibri" w:eastAsiaTheme="minorEastAsia" w:hAnsi="Calibri" w:cs="Calibri"/>
                <w:color w:val="000000"/>
                <w:sz w:val="20"/>
                <w:lang w:eastAsia="en-AU"/>
              </w:rPr>
              <w:t>Purchases of non</w:t>
            </w:r>
            <w:r>
              <w:rPr>
                <w:rFonts w:ascii="Calibri" w:eastAsiaTheme="minorEastAsia" w:hAnsi="Calibri" w:cs="Calibri"/>
                <w:color w:val="000000"/>
                <w:sz w:val="20"/>
                <w:lang w:eastAsia="en-AU"/>
              </w:rPr>
              <w:noBreakHyphen/>
            </w:r>
            <w:r w:rsidRPr="001E7FA9">
              <w:rPr>
                <w:rFonts w:ascii="Calibri" w:eastAsiaTheme="minorEastAsia" w:hAnsi="Calibri" w:cs="Calibri"/>
                <w:color w:val="000000"/>
                <w:sz w:val="20"/>
                <w:lang w:eastAsia="en-AU"/>
              </w:rPr>
              <w:t>financial assets less sales of non</w:t>
            </w:r>
            <w:r>
              <w:rPr>
                <w:rFonts w:ascii="Calibri" w:eastAsiaTheme="minorEastAsia" w:hAnsi="Calibri" w:cs="Calibri"/>
                <w:color w:val="000000"/>
                <w:sz w:val="20"/>
                <w:lang w:eastAsia="en-AU"/>
              </w:rPr>
              <w:noBreakHyphen/>
            </w:r>
            <w:r w:rsidRPr="001E7FA9">
              <w:rPr>
                <w:rFonts w:ascii="Calibri" w:eastAsiaTheme="minorEastAsia" w:hAnsi="Calibri" w:cs="Calibri"/>
                <w:color w:val="000000"/>
                <w:sz w:val="20"/>
                <w:lang w:eastAsia="en-AU"/>
              </w:rPr>
              <w:t>financial assets</w:t>
            </w:r>
            <w:r w:rsidRPr="001E7FA9">
              <w:rPr>
                <w:rFonts w:ascii="Calibri" w:eastAsiaTheme="minorEastAsia" w:hAnsi="Calibri" w:cs="Calibri"/>
                <w:color w:val="000000"/>
                <w:sz w:val="20"/>
                <w:vertAlign w:val="superscript"/>
                <w:lang w:eastAsia="en-AU"/>
              </w:rPr>
              <w:t xml:space="preserve"> (b)</w:t>
            </w:r>
          </w:p>
        </w:tc>
        <w:tc>
          <w:tcPr>
            <w:tcW w:w="937"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(4 426.4)</w:t>
            </w:r>
          </w:p>
        </w:tc>
        <w:tc>
          <w:tcPr>
            <w:tcW w:w="937"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(4 569.8)</w:t>
            </w:r>
          </w:p>
        </w:tc>
        <w:tc>
          <w:tcPr>
            <w:tcW w:w="938"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2 182.3</w:t>
            </w:r>
          </w:p>
        </w:tc>
        <w:tc>
          <w:tcPr>
            <w:tcW w:w="937"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2 038.2</w:t>
            </w:r>
          </w:p>
        </w:tc>
        <w:tc>
          <w:tcPr>
            <w:tcW w:w="938"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2 265.2</w:t>
            </w:r>
          </w:p>
        </w:tc>
      </w:tr>
      <w:tr w:rsidR="00965D85" w:rsidRPr="001E7FA9" w:rsidTr="008B46DF">
        <w:tc>
          <w:tcPr>
            <w:tcW w:w="3080" w:type="dxa"/>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Less: Depreciation</w:t>
            </w:r>
          </w:p>
        </w:tc>
        <w:tc>
          <w:tcPr>
            <w:tcW w:w="937"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(2 129.7)</w:t>
            </w:r>
          </w:p>
        </w:tc>
        <w:tc>
          <w:tcPr>
            <w:tcW w:w="937"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(2 123.4)</w:t>
            </w:r>
          </w:p>
        </w:tc>
        <w:tc>
          <w:tcPr>
            <w:tcW w:w="938"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(2 109.5)</w:t>
            </w:r>
          </w:p>
        </w:tc>
        <w:tc>
          <w:tcPr>
            <w:tcW w:w="937"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(2 196.7)</w:t>
            </w:r>
          </w:p>
        </w:tc>
        <w:tc>
          <w:tcPr>
            <w:tcW w:w="938"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(2 291.6)</w:t>
            </w:r>
          </w:p>
        </w:tc>
      </w:tr>
      <w:tr w:rsidR="00965D85" w:rsidRPr="001E7FA9" w:rsidTr="008B46DF">
        <w:tc>
          <w:tcPr>
            <w:tcW w:w="3080" w:type="dxa"/>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color w:val="000000"/>
                <w:sz w:val="20"/>
                <w:vertAlign w:val="superscript"/>
                <w:lang w:eastAsia="en-AU"/>
              </w:rPr>
            </w:pPr>
            <w:r w:rsidRPr="001E7FA9">
              <w:rPr>
                <w:rFonts w:ascii="Calibri" w:eastAsiaTheme="minorEastAsia" w:hAnsi="Calibri" w:cs="Calibri"/>
                <w:color w:val="000000"/>
                <w:sz w:val="20"/>
                <w:lang w:eastAsia="en-AU"/>
              </w:rPr>
              <w:t>Plus: Other movements in non</w:t>
            </w:r>
            <w:r>
              <w:rPr>
                <w:rFonts w:ascii="Calibri" w:eastAsiaTheme="minorEastAsia" w:hAnsi="Calibri" w:cs="Calibri"/>
                <w:color w:val="000000"/>
                <w:sz w:val="20"/>
                <w:lang w:eastAsia="en-AU"/>
              </w:rPr>
              <w:noBreakHyphen/>
            </w:r>
            <w:r w:rsidRPr="001E7FA9">
              <w:rPr>
                <w:rFonts w:ascii="Calibri" w:eastAsiaTheme="minorEastAsia" w:hAnsi="Calibri" w:cs="Calibri"/>
                <w:color w:val="000000"/>
                <w:sz w:val="20"/>
                <w:lang w:eastAsia="en-AU"/>
              </w:rPr>
              <w:t>financial assets</w:t>
            </w:r>
            <w:r w:rsidRPr="001E7FA9">
              <w:rPr>
                <w:rFonts w:ascii="Calibri" w:eastAsiaTheme="minorEastAsia" w:hAnsi="Calibri" w:cs="Calibri"/>
                <w:color w:val="000000"/>
                <w:sz w:val="20"/>
                <w:vertAlign w:val="superscript"/>
                <w:lang w:eastAsia="en-AU"/>
              </w:rPr>
              <w:t xml:space="preserve"> (b)</w:t>
            </w:r>
          </w:p>
        </w:tc>
        <w:tc>
          <w:tcPr>
            <w:tcW w:w="937" w:type="dxa"/>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1 402.9</w:t>
            </w:r>
          </w:p>
        </w:tc>
        <w:tc>
          <w:tcPr>
            <w:tcW w:w="937" w:type="dxa"/>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1 302.9</w:t>
            </w:r>
          </w:p>
        </w:tc>
        <w:tc>
          <w:tcPr>
            <w:tcW w:w="938" w:type="dxa"/>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1 703.9</w:t>
            </w:r>
          </w:p>
        </w:tc>
        <w:tc>
          <w:tcPr>
            <w:tcW w:w="937" w:type="dxa"/>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2 115.6</w:t>
            </w:r>
          </w:p>
        </w:tc>
        <w:tc>
          <w:tcPr>
            <w:tcW w:w="938" w:type="dxa"/>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2 311.4</w:t>
            </w:r>
          </w:p>
        </w:tc>
      </w:tr>
      <w:tr w:rsidR="00965D85" w:rsidRPr="001E7FA9" w:rsidTr="008B46DF">
        <w:tc>
          <w:tcPr>
            <w:tcW w:w="3080" w:type="dxa"/>
            <w:tcBorders>
              <w:top w:val="single" w:sz="6" w:space="0" w:color="000000"/>
              <w:left w:val="nil"/>
              <w:bottom w:val="single" w:sz="12" w:space="0" w:color="auto"/>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b/>
                <w:bCs/>
                <w:color w:val="000000"/>
                <w:sz w:val="20"/>
                <w:vertAlign w:val="superscript"/>
                <w:lang w:eastAsia="en-AU"/>
              </w:rPr>
            </w:pPr>
            <w:r w:rsidRPr="001E7FA9">
              <w:rPr>
                <w:rFonts w:ascii="Calibri" w:eastAsiaTheme="minorEastAsia" w:hAnsi="Calibri" w:cs="Calibri"/>
                <w:b/>
                <w:bCs/>
                <w:color w:val="000000"/>
                <w:sz w:val="20"/>
                <w:lang w:eastAsia="en-AU"/>
              </w:rPr>
              <w:t>Total net acquisition of non</w:t>
            </w:r>
            <w:r>
              <w:rPr>
                <w:rFonts w:ascii="Calibri" w:eastAsiaTheme="minorEastAsia" w:hAnsi="Calibri" w:cs="Calibri"/>
                <w:b/>
                <w:bCs/>
                <w:color w:val="000000"/>
                <w:sz w:val="20"/>
                <w:lang w:eastAsia="en-AU"/>
              </w:rPr>
              <w:noBreakHyphen/>
            </w:r>
            <w:r w:rsidRPr="001E7FA9">
              <w:rPr>
                <w:rFonts w:ascii="Calibri" w:eastAsiaTheme="minorEastAsia" w:hAnsi="Calibri" w:cs="Calibri"/>
                <w:b/>
                <w:bCs/>
                <w:color w:val="000000"/>
                <w:sz w:val="20"/>
                <w:lang w:eastAsia="en-AU"/>
              </w:rPr>
              <w:t>financial assets</w:t>
            </w:r>
            <w:r w:rsidRPr="001E7FA9">
              <w:rPr>
                <w:rFonts w:ascii="Calibri" w:eastAsiaTheme="minorEastAsia" w:hAnsi="Calibri" w:cs="Calibri"/>
                <w:b/>
                <w:bCs/>
                <w:color w:val="000000"/>
                <w:sz w:val="20"/>
                <w:vertAlign w:val="superscript"/>
                <w:lang w:eastAsia="en-AU"/>
              </w:rPr>
              <w:t xml:space="preserve"> (b)</w:t>
            </w:r>
          </w:p>
        </w:tc>
        <w:tc>
          <w:tcPr>
            <w:tcW w:w="937" w:type="dxa"/>
            <w:tcBorders>
              <w:top w:val="single" w:sz="6" w:space="0" w:color="000000"/>
              <w:left w:val="nil"/>
              <w:bottom w:val="single" w:sz="12" w:space="0" w:color="auto"/>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20"/>
                <w:lang w:eastAsia="en-AU"/>
              </w:rPr>
              <w:t>(5 153.1)</w:t>
            </w:r>
          </w:p>
        </w:tc>
        <w:tc>
          <w:tcPr>
            <w:tcW w:w="937" w:type="dxa"/>
            <w:tcBorders>
              <w:top w:val="single" w:sz="6" w:space="0" w:color="000000"/>
              <w:left w:val="nil"/>
              <w:bottom w:val="single" w:sz="12" w:space="0" w:color="auto"/>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20"/>
                <w:lang w:eastAsia="en-AU"/>
              </w:rPr>
              <w:t>(5 390.3)</w:t>
            </w:r>
          </w:p>
        </w:tc>
        <w:tc>
          <w:tcPr>
            <w:tcW w:w="938" w:type="dxa"/>
            <w:tcBorders>
              <w:top w:val="single" w:sz="6" w:space="0" w:color="000000"/>
              <w:left w:val="nil"/>
              <w:bottom w:val="single" w:sz="12" w:space="0" w:color="auto"/>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1E7FA9">
              <w:rPr>
                <w:rFonts w:ascii="Calibri" w:eastAsiaTheme="minorEastAsia" w:hAnsi="Calibri" w:cs="Calibri"/>
                <w:b/>
                <w:bCs/>
                <w:color w:val="000000"/>
                <w:sz w:val="20"/>
                <w:lang w:eastAsia="en-AU"/>
              </w:rPr>
              <w:t>1 776.8</w:t>
            </w:r>
          </w:p>
        </w:tc>
        <w:tc>
          <w:tcPr>
            <w:tcW w:w="937" w:type="dxa"/>
            <w:tcBorders>
              <w:top w:val="single" w:sz="6" w:space="0" w:color="000000"/>
              <w:left w:val="nil"/>
              <w:bottom w:val="single" w:sz="12" w:space="0" w:color="auto"/>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1E7FA9">
              <w:rPr>
                <w:rFonts w:ascii="Calibri" w:eastAsiaTheme="minorEastAsia" w:hAnsi="Calibri" w:cs="Calibri"/>
                <w:b/>
                <w:bCs/>
                <w:color w:val="000000"/>
                <w:sz w:val="20"/>
                <w:lang w:eastAsia="en-AU"/>
              </w:rPr>
              <w:t>1 957.1</w:t>
            </w:r>
          </w:p>
        </w:tc>
        <w:tc>
          <w:tcPr>
            <w:tcW w:w="938" w:type="dxa"/>
            <w:tcBorders>
              <w:top w:val="single" w:sz="6" w:space="0" w:color="000000"/>
              <w:left w:val="nil"/>
              <w:bottom w:val="single" w:sz="12" w:space="0" w:color="auto"/>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1E7FA9">
              <w:rPr>
                <w:rFonts w:ascii="Calibri" w:eastAsiaTheme="minorEastAsia" w:hAnsi="Calibri" w:cs="Calibri"/>
                <w:b/>
                <w:bCs/>
                <w:color w:val="000000"/>
                <w:sz w:val="20"/>
                <w:lang w:eastAsia="en-AU"/>
              </w:rPr>
              <w:t>2 284.9</w:t>
            </w:r>
          </w:p>
        </w:tc>
      </w:tr>
      <w:tr w:rsidR="00965D85" w:rsidRPr="001E7FA9" w:rsidTr="008B46DF">
        <w:tc>
          <w:tcPr>
            <w:tcW w:w="7767" w:type="dxa"/>
            <w:gridSpan w:val="6"/>
            <w:tcBorders>
              <w:top w:val="single" w:sz="12" w:space="0" w:color="auto"/>
              <w:left w:val="nil"/>
              <w:bottom w:val="nil"/>
              <w:right w:val="nil"/>
            </w:tcBorders>
            <w:shd w:val="clear" w:color="auto" w:fill="auto"/>
          </w:tcPr>
          <w:p w:rsidR="00965D85" w:rsidRPr="001E7FA9" w:rsidRDefault="00965D85" w:rsidP="008B46DF">
            <w:pPr>
              <w:pStyle w:val="Source"/>
              <w:rPr>
                <w:rFonts w:eastAsiaTheme="minorEastAsia"/>
                <w:lang w:eastAsia="en-AU"/>
              </w:rPr>
            </w:pPr>
            <w:r w:rsidRPr="001E7FA9">
              <w:rPr>
                <w:rFonts w:eastAsiaTheme="minorEastAsia"/>
                <w:lang w:eastAsia="en-AU"/>
              </w:rPr>
              <w:t>Source: Department of Treasury and Finance</w:t>
            </w:r>
          </w:p>
        </w:tc>
      </w:tr>
    </w:tbl>
    <w:p w:rsidR="00965D85" w:rsidRPr="00115F05" w:rsidRDefault="00965D85" w:rsidP="008B46DF">
      <w:pPr>
        <w:pStyle w:val="Notes"/>
        <w:rPr>
          <w:lang w:eastAsia="en-AU"/>
        </w:rPr>
      </w:pPr>
      <w:r w:rsidRPr="00115F05">
        <w:rPr>
          <w:lang w:eastAsia="en-AU"/>
        </w:rPr>
        <w:t>Note</w:t>
      </w:r>
      <w:r>
        <w:rPr>
          <w:lang w:eastAsia="en-AU"/>
        </w:rPr>
        <w:t>s</w:t>
      </w:r>
      <w:r w:rsidRPr="00115F05">
        <w:rPr>
          <w:lang w:eastAsia="en-AU"/>
        </w:rPr>
        <w:t>:</w:t>
      </w:r>
    </w:p>
    <w:p w:rsidR="00965D85" w:rsidRDefault="00965D85" w:rsidP="008B46DF">
      <w:pPr>
        <w:pStyle w:val="Notes"/>
        <w:rPr>
          <w:lang w:eastAsia="en-AU"/>
        </w:rPr>
      </w:pPr>
      <w:r w:rsidRPr="00115F05">
        <w:rPr>
          <w:lang w:eastAsia="en-AU"/>
        </w:rPr>
        <w:t>(a)</w:t>
      </w:r>
      <w:r w:rsidRPr="00115F05">
        <w:rPr>
          <w:lang w:eastAsia="en-AU"/>
        </w:rPr>
        <w:tab/>
        <w:t>Certain line items have been aggregated in the table abov</w:t>
      </w:r>
      <w:r>
        <w:rPr>
          <w:lang w:eastAsia="en-AU"/>
        </w:rPr>
        <w:t xml:space="preserve">e </w:t>
      </w:r>
      <w:r w:rsidRPr="00115F05">
        <w:rPr>
          <w:lang w:eastAsia="en-AU"/>
        </w:rPr>
        <w:t>due to commercial sensitivities of balances.</w:t>
      </w:r>
    </w:p>
    <w:p w:rsidR="00965D85" w:rsidRPr="000E2577" w:rsidRDefault="00965D85" w:rsidP="008B46DF">
      <w:pPr>
        <w:pStyle w:val="Notes"/>
      </w:pPr>
      <w:r w:rsidRPr="000E2577">
        <w:t>(b)</w:t>
      </w:r>
      <w:r w:rsidRPr="000E2577">
        <w:tab/>
      </w:r>
      <w:r w:rsidRPr="005A2D66">
        <w:rPr>
          <w:i w:val="0"/>
        </w:rPr>
        <w:t>2015</w:t>
      </w:r>
      <w:r>
        <w:rPr>
          <w:i w:val="0"/>
        </w:rPr>
        <w:noBreakHyphen/>
      </w:r>
      <w:r w:rsidRPr="005A2D66">
        <w:rPr>
          <w:i w:val="0"/>
        </w:rPr>
        <w:t>16 Budget</w:t>
      </w:r>
      <w:r w:rsidRPr="000E2577">
        <w:t xml:space="preserve"> figures have been restated to reflect more current information.</w:t>
      </w:r>
    </w:p>
    <w:p w:rsidR="00965D85" w:rsidRPr="00115F05" w:rsidRDefault="00965D85" w:rsidP="008B46DF">
      <w:pPr>
        <w:pStyle w:val="Notes"/>
        <w:rPr>
          <w:lang w:eastAsia="en-AU"/>
        </w:rPr>
      </w:pPr>
    </w:p>
    <w:p w:rsidR="00965D85" w:rsidRDefault="00965D85" w:rsidP="008B46DF">
      <w:pPr>
        <w:rPr>
          <w:rFonts w:ascii="Tms Rmn" w:hAnsi="Tms Rmn" w:cs="Tms Rmn"/>
          <w:color w:val="000000"/>
          <w:sz w:val="18"/>
          <w:szCs w:val="18"/>
          <w:lang w:eastAsia="en-AU"/>
        </w:rPr>
      </w:pPr>
    </w:p>
    <w:p w:rsidR="00965D85" w:rsidRDefault="00965D85">
      <w:pPr>
        <w:spacing w:after="0"/>
        <w:rPr>
          <w:rFonts w:ascii="Calibri" w:hAnsi="Calibri"/>
          <w:b/>
          <w:lang w:eastAsia="en-AU"/>
        </w:rPr>
      </w:pPr>
      <w:r>
        <w:rPr>
          <w:lang w:eastAsia="en-AU"/>
        </w:rPr>
        <w:br w:type="page"/>
      </w:r>
    </w:p>
    <w:p w:rsidR="00965D85" w:rsidRPr="001E7FA9" w:rsidRDefault="00965D85" w:rsidP="008B46DF">
      <w:pPr>
        <w:pStyle w:val="Tableheading"/>
        <w:rPr>
          <w:rFonts w:ascii="Times New Roman" w:hAnsi="Times New Roman"/>
          <w:b w:val="0"/>
          <w:sz w:val="20"/>
          <w:lang w:eastAsia="en-AU"/>
        </w:rPr>
      </w:pPr>
      <w:r w:rsidRPr="00F80DDE">
        <w:rPr>
          <w:lang w:eastAsia="en-AU"/>
        </w:rPr>
        <w:lastRenderedPageBreak/>
        <w:t>Table 5.7:</w:t>
      </w:r>
      <w:r w:rsidRPr="00F80DDE">
        <w:rPr>
          <w:lang w:eastAsia="en-AU"/>
        </w:rPr>
        <w:tab/>
        <w:t>Non</w:t>
      </w:r>
      <w:r>
        <w:rPr>
          <w:lang w:eastAsia="en-AU"/>
        </w:rPr>
        <w:noBreakHyphen/>
      </w:r>
      <w:r w:rsidRPr="00F80DDE">
        <w:rPr>
          <w:lang w:eastAsia="en-AU"/>
        </w:rPr>
        <w:t>financial public sector comprehensive operating statement for the financial year ended 30 June</w:t>
      </w:r>
      <w:r w:rsidRPr="00814115">
        <w:rPr>
          <w:vertAlign w:val="superscript"/>
          <w:lang w:eastAsia="en-AU"/>
        </w:rPr>
        <w:t>(a)</w:t>
      </w:r>
    </w:p>
    <w:tbl>
      <w:tblPr>
        <w:tblW w:w="7765" w:type="dxa"/>
        <w:tblInd w:w="45" w:type="dxa"/>
        <w:tblLayout w:type="fixed"/>
        <w:tblCellMar>
          <w:left w:w="45" w:type="dxa"/>
          <w:right w:w="45" w:type="dxa"/>
        </w:tblCellMar>
        <w:tblLook w:val="0000" w:firstRow="0" w:lastRow="0" w:firstColumn="0" w:lastColumn="0" w:noHBand="0" w:noVBand="0"/>
      </w:tblPr>
      <w:tblGrid>
        <w:gridCol w:w="3507"/>
        <w:gridCol w:w="847"/>
        <w:gridCol w:w="850"/>
        <w:gridCol w:w="850"/>
        <w:gridCol w:w="293"/>
        <w:gridCol w:w="283"/>
        <w:gridCol w:w="283"/>
        <w:gridCol w:w="283"/>
        <w:gridCol w:w="283"/>
        <w:gridCol w:w="286"/>
      </w:tblGrid>
      <w:tr w:rsidR="00965D85" w:rsidRPr="001E7FA9" w:rsidTr="008B46DF">
        <w:trPr>
          <w:cantSplit/>
          <w:tblHeader/>
        </w:trPr>
        <w:tc>
          <w:tcPr>
            <w:tcW w:w="7765" w:type="dxa"/>
            <w:gridSpan w:val="10"/>
            <w:tcBorders>
              <w:bottom w:val="nil"/>
              <w:right w:val="nil"/>
            </w:tcBorders>
            <w:shd w:val="clear" w:color="000000" w:fill="auto"/>
          </w:tcPr>
          <w:p w:rsidR="00965D85" w:rsidRPr="001E7FA9" w:rsidRDefault="00965D85" w:rsidP="008B46DF">
            <w:pPr>
              <w:pStyle w:val="million"/>
              <w:rPr>
                <w:rFonts w:eastAsiaTheme="minorEastAsia" w:cs="Calibri"/>
                <w:iCs/>
                <w:color w:val="000000"/>
                <w:sz w:val="20"/>
                <w:lang w:eastAsia="en-AU"/>
              </w:rPr>
            </w:pPr>
            <w:r w:rsidRPr="001E7FA9">
              <w:rPr>
                <w:rFonts w:eastAsiaTheme="minorEastAsia"/>
                <w:lang w:eastAsia="en-AU"/>
              </w:rPr>
              <w:t>($ million)</w:t>
            </w:r>
          </w:p>
        </w:tc>
      </w:tr>
      <w:tr w:rsidR="00965D85" w:rsidRPr="00EF64FD" w:rsidTr="008B46DF">
        <w:trPr>
          <w:cantSplit/>
          <w:trHeight w:val="507"/>
          <w:tblHeader/>
        </w:trPr>
        <w:tc>
          <w:tcPr>
            <w:tcW w:w="3507" w:type="dxa"/>
            <w:tcBorders>
              <w:top w:val="single" w:sz="6" w:space="0" w:color="auto"/>
              <w:left w:val="single" w:sz="6" w:space="0" w:color="auto"/>
              <w:right w:val="nil"/>
            </w:tcBorders>
            <w:shd w:val="clear" w:color="000000" w:fill="000000"/>
          </w:tcPr>
          <w:p w:rsidR="00965D85" w:rsidRPr="00EF64FD" w:rsidRDefault="00965D85" w:rsidP="008B46DF">
            <w:pPr>
              <w:pStyle w:val="Tabletextheading"/>
              <w:jc w:val="left"/>
              <w:rPr>
                <w:rFonts w:eastAsiaTheme="minorEastAsia"/>
                <w:color w:val="FFFFFF"/>
                <w:sz w:val="19"/>
                <w:szCs w:val="19"/>
                <w:lang w:eastAsia="en-AU"/>
              </w:rPr>
            </w:pPr>
            <w:r w:rsidRPr="00EF64FD">
              <w:rPr>
                <w:rFonts w:eastAsiaTheme="minorEastAsia"/>
                <w:color w:val="FFFFFF"/>
                <w:sz w:val="19"/>
                <w:szCs w:val="19"/>
                <w:lang w:eastAsia="en-AU"/>
              </w:rPr>
              <w:t xml:space="preserve"> </w:t>
            </w:r>
          </w:p>
          <w:p w:rsidR="00965D85" w:rsidRPr="00EF64FD" w:rsidRDefault="00965D85" w:rsidP="008B46DF">
            <w:pPr>
              <w:autoSpaceDE w:val="0"/>
              <w:autoSpaceDN w:val="0"/>
              <w:adjustRightInd w:val="0"/>
              <w:spacing w:after="0"/>
              <w:rPr>
                <w:rFonts w:eastAsiaTheme="minorEastAsia"/>
                <w:color w:val="FFFFFF"/>
                <w:sz w:val="19"/>
                <w:szCs w:val="19"/>
                <w:lang w:eastAsia="en-AU"/>
              </w:rPr>
            </w:pPr>
            <w:r w:rsidRPr="00EF64FD">
              <w:rPr>
                <w:rFonts w:ascii="Calibri" w:eastAsiaTheme="minorEastAsia" w:hAnsi="Calibri" w:cs="Calibri"/>
                <w:sz w:val="19"/>
                <w:szCs w:val="19"/>
                <w:lang w:eastAsia="en-AU"/>
              </w:rPr>
              <w:t xml:space="preserve"> </w:t>
            </w:r>
          </w:p>
        </w:tc>
        <w:tc>
          <w:tcPr>
            <w:tcW w:w="847" w:type="dxa"/>
            <w:tcBorders>
              <w:top w:val="single" w:sz="6" w:space="0" w:color="auto"/>
              <w:left w:val="nil"/>
              <w:right w:val="nil"/>
            </w:tcBorders>
            <w:shd w:val="clear" w:color="000000" w:fill="000000"/>
          </w:tcPr>
          <w:p w:rsidR="00965D85" w:rsidRPr="00EF64FD" w:rsidRDefault="00965D85" w:rsidP="008B46DF">
            <w:pPr>
              <w:pStyle w:val="Tabletextheading"/>
              <w:rPr>
                <w:rFonts w:eastAsiaTheme="minorEastAsia"/>
                <w:sz w:val="19"/>
                <w:szCs w:val="19"/>
                <w:lang w:eastAsia="en-AU"/>
              </w:rPr>
            </w:pPr>
            <w:r w:rsidRPr="00EF64FD">
              <w:rPr>
                <w:rFonts w:eastAsiaTheme="minorEastAsia"/>
                <w:sz w:val="19"/>
                <w:szCs w:val="19"/>
                <w:lang w:eastAsia="en-AU"/>
              </w:rPr>
              <w:t>2015</w:t>
            </w:r>
            <w:r w:rsidRPr="00EF64FD">
              <w:rPr>
                <w:rFonts w:eastAsiaTheme="minorEastAsia"/>
                <w:sz w:val="19"/>
                <w:szCs w:val="19"/>
                <w:lang w:eastAsia="en-AU"/>
              </w:rPr>
              <w:noBreakHyphen/>
              <w:t xml:space="preserve">16 </w:t>
            </w:r>
          </w:p>
          <w:p w:rsidR="00965D85" w:rsidRPr="00EF64FD" w:rsidRDefault="00965D85" w:rsidP="008B46DF">
            <w:pPr>
              <w:pStyle w:val="Tabletextheading"/>
              <w:rPr>
                <w:rFonts w:eastAsiaTheme="minorEastAsia"/>
                <w:sz w:val="19"/>
                <w:szCs w:val="19"/>
                <w:lang w:eastAsia="en-AU"/>
              </w:rPr>
            </w:pPr>
            <w:r w:rsidRPr="00EF64FD">
              <w:rPr>
                <w:rFonts w:eastAsiaTheme="minorEastAsia" w:cs="Calibri"/>
                <w:iCs/>
                <w:sz w:val="19"/>
                <w:szCs w:val="19"/>
                <w:lang w:eastAsia="en-AU"/>
              </w:rPr>
              <w:t>budget</w:t>
            </w:r>
          </w:p>
        </w:tc>
        <w:tc>
          <w:tcPr>
            <w:tcW w:w="850" w:type="dxa"/>
            <w:tcBorders>
              <w:top w:val="single" w:sz="6" w:space="0" w:color="auto"/>
              <w:left w:val="nil"/>
              <w:right w:val="nil"/>
            </w:tcBorders>
            <w:shd w:val="clear" w:color="000000" w:fill="000000"/>
          </w:tcPr>
          <w:p w:rsidR="00965D85" w:rsidRPr="00EF64FD" w:rsidRDefault="00965D85" w:rsidP="008B46DF">
            <w:pPr>
              <w:pStyle w:val="Tabletextheading"/>
              <w:rPr>
                <w:rFonts w:eastAsiaTheme="minorEastAsia"/>
                <w:sz w:val="19"/>
                <w:szCs w:val="19"/>
                <w:lang w:eastAsia="en-AU"/>
              </w:rPr>
            </w:pPr>
            <w:r w:rsidRPr="00EF64FD">
              <w:rPr>
                <w:rFonts w:eastAsiaTheme="minorEastAsia"/>
                <w:sz w:val="19"/>
                <w:szCs w:val="19"/>
                <w:lang w:eastAsia="en-AU"/>
              </w:rPr>
              <w:t>2015</w:t>
            </w:r>
            <w:r w:rsidRPr="00EF64FD">
              <w:rPr>
                <w:rFonts w:eastAsiaTheme="minorEastAsia"/>
                <w:sz w:val="19"/>
                <w:szCs w:val="19"/>
                <w:lang w:eastAsia="en-AU"/>
              </w:rPr>
              <w:noBreakHyphen/>
              <w:t xml:space="preserve">16 </w:t>
            </w:r>
          </w:p>
          <w:p w:rsidR="00965D85" w:rsidRPr="00EF64FD" w:rsidRDefault="00965D85" w:rsidP="008B46DF">
            <w:pPr>
              <w:pStyle w:val="Tabletextheading"/>
              <w:rPr>
                <w:rFonts w:eastAsiaTheme="minorEastAsia"/>
                <w:sz w:val="19"/>
                <w:szCs w:val="19"/>
                <w:lang w:eastAsia="en-AU"/>
              </w:rPr>
            </w:pPr>
            <w:r w:rsidRPr="00EF64FD">
              <w:rPr>
                <w:rFonts w:eastAsiaTheme="minorEastAsia" w:cs="Calibri"/>
                <w:iCs/>
                <w:sz w:val="19"/>
                <w:szCs w:val="19"/>
                <w:lang w:eastAsia="en-AU"/>
              </w:rPr>
              <w:t>revised</w:t>
            </w:r>
          </w:p>
        </w:tc>
        <w:tc>
          <w:tcPr>
            <w:tcW w:w="850" w:type="dxa"/>
            <w:tcBorders>
              <w:top w:val="single" w:sz="6" w:space="0" w:color="auto"/>
              <w:left w:val="nil"/>
              <w:right w:val="nil"/>
            </w:tcBorders>
            <w:shd w:val="clear" w:color="000000" w:fill="000000"/>
          </w:tcPr>
          <w:p w:rsidR="00965D85" w:rsidRPr="00EF64FD" w:rsidRDefault="00965D85" w:rsidP="008B46DF">
            <w:pPr>
              <w:pStyle w:val="Tabletextheading"/>
              <w:rPr>
                <w:rFonts w:eastAsiaTheme="minorEastAsia"/>
                <w:sz w:val="19"/>
                <w:szCs w:val="19"/>
                <w:lang w:eastAsia="en-AU"/>
              </w:rPr>
            </w:pPr>
            <w:r w:rsidRPr="00EF64FD">
              <w:rPr>
                <w:rFonts w:eastAsiaTheme="minorEastAsia"/>
                <w:sz w:val="19"/>
                <w:szCs w:val="19"/>
                <w:lang w:eastAsia="en-AU"/>
              </w:rPr>
              <w:t>2016</w:t>
            </w:r>
            <w:r w:rsidRPr="00EF64FD">
              <w:rPr>
                <w:rFonts w:eastAsiaTheme="minorEastAsia"/>
                <w:sz w:val="19"/>
                <w:szCs w:val="19"/>
                <w:lang w:eastAsia="en-AU"/>
              </w:rPr>
              <w:noBreakHyphen/>
              <w:t xml:space="preserve">17 </w:t>
            </w:r>
          </w:p>
          <w:p w:rsidR="00965D85" w:rsidRPr="00EF64FD" w:rsidRDefault="00965D85" w:rsidP="008B46DF">
            <w:pPr>
              <w:pStyle w:val="Tabletextheading"/>
              <w:rPr>
                <w:rFonts w:eastAsiaTheme="minorEastAsia"/>
                <w:sz w:val="19"/>
                <w:szCs w:val="19"/>
                <w:lang w:eastAsia="en-AU"/>
              </w:rPr>
            </w:pPr>
            <w:r w:rsidRPr="00EF64FD">
              <w:rPr>
                <w:rFonts w:eastAsiaTheme="minorEastAsia" w:cs="Calibri"/>
                <w:iCs/>
                <w:sz w:val="19"/>
                <w:szCs w:val="19"/>
                <w:lang w:eastAsia="en-AU"/>
              </w:rPr>
              <w:t>estimate</w:t>
            </w:r>
          </w:p>
        </w:tc>
        <w:tc>
          <w:tcPr>
            <w:tcW w:w="859" w:type="dxa"/>
            <w:gridSpan w:val="3"/>
            <w:tcBorders>
              <w:top w:val="single" w:sz="6" w:space="0" w:color="auto"/>
              <w:left w:val="nil"/>
              <w:right w:val="nil"/>
            </w:tcBorders>
            <w:shd w:val="clear" w:color="000000" w:fill="000000"/>
          </w:tcPr>
          <w:p w:rsidR="00965D85" w:rsidRPr="00EF64FD" w:rsidRDefault="00965D85" w:rsidP="008B46DF">
            <w:pPr>
              <w:pStyle w:val="Tabletextheading"/>
              <w:rPr>
                <w:rFonts w:eastAsiaTheme="minorEastAsia"/>
                <w:sz w:val="19"/>
                <w:szCs w:val="19"/>
                <w:lang w:eastAsia="en-AU"/>
              </w:rPr>
            </w:pPr>
            <w:r w:rsidRPr="00EF64FD">
              <w:rPr>
                <w:rFonts w:eastAsiaTheme="minorEastAsia"/>
                <w:sz w:val="19"/>
                <w:szCs w:val="19"/>
                <w:lang w:eastAsia="en-AU"/>
              </w:rPr>
              <w:t>2017</w:t>
            </w:r>
            <w:r w:rsidRPr="00EF64FD">
              <w:rPr>
                <w:rFonts w:eastAsiaTheme="minorEastAsia"/>
                <w:sz w:val="19"/>
                <w:szCs w:val="19"/>
                <w:lang w:eastAsia="en-AU"/>
              </w:rPr>
              <w:noBreakHyphen/>
              <w:t xml:space="preserve">18 </w:t>
            </w:r>
          </w:p>
          <w:p w:rsidR="00965D85" w:rsidRPr="00EF64FD" w:rsidRDefault="00965D85" w:rsidP="008B46DF">
            <w:pPr>
              <w:pStyle w:val="Tabletextheading"/>
              <w:rPr>
                <w:rFonts w:eastAsiaTheme="minorEastAsia"/>
                <w:sz w:val="19"/>
                <w:szCs w:val="19"/>
                <w:lang w:eastAsia="en-AU"/>
              </w:rPr>
            </w:pPr>
            <w:r w:rsidRPr="00EF64FD">
              <w:rPr>
                <w:rFonts w:eastAsiaTheme="minorEastAsia" w:cs="Calibri"/>
                <w:iCs/>
                <w:sz w:val="19"/>
                <w:szCs w:val="19"/>
                <w:lang w:eastAsia="en-AU"/>
              </w:rPr>
              <w:t>estimate</w:t>
            </w:r>
          </w:p>
        </w:tc>
        <w:tc>
          <w:tcPr>
            <w:tcW w:w="852" w:type="dxa"/>
            <w:gridSpan w:val="3"/>
            <w:tcBorders>
              <w:top w:val="single" w:sz="6" w:space="0" w:color="auto"/>
              <w:left w:val="nil"/>
              <w:right w:val="single" w:sz="6" w:space="0" w:color="auto"/>
            </w:tcBorders>
            <w:shd w:val="clear" w:color="000000" w:fill="000000"/>
          </w:tcPr>
          <w:p w:rsidR="00965D85" w:rsidRPr="00EF64FD" w:rsidRDefault="00965D85" w:rsidP="008B46DF">
            <w:pPr>
              <w:pStyle w:val="Tabletextheading"/>
              <w:rPr>
                <w:rFonts w:eastAsiaTheme="minorEastAsia"/>
                <w:sz w:val="19"/>
                <w:szCs w:val="19"/>
                <w:lang w:eastAsia="en-AU"/>
              </w:rPr>
            </w:pPr>
            <w:r w:rsidRPr="00EF64FD">
              <w:rPr>
                <w:rFonts w:eastAsiaTheme="minorEastAsia"/>
                <w:sz w:val="19"/>
                <w:szCs w:val="19"/>
                <w:lang w:eastAsia="en-AU"/>
              </w:rPr>
              <w:t>2018</w:t>
            </w:r>
            <w:r w:rsidRPr="00EF64FD">
              <w:rPr>
                <w:rFonts w:eastAsiaTheme="minorEastAsia"/>
                <w:sz w:val="19"/>
                <w:szCs w:val="19"/>
                <w:lang w:eastAsia="en-AU"/>
              </w:rPr>
              <w:noBreakHyphen/>
              <w:t xml:space="preserve">19 </w:t>
            </w:r>
          </w:p>
          <w:p w:rsidR="00965D85" w:rsidRPr="00EF64FD" w:rsidRDefault="00965D85" w:rsidP="008B46DF">
            <w:pPr>
              <w:pStyle w:val="Tabletextheading"/>
              <w:rPr>
                <w:rFonts w:eastAsiaTheme="minorEastAsia"/>
                <w:sz w:val="19"/>
                <w:szCs w:val="19"/>
                <w:lang w:eastAsia="en-AU"/>
              </w:rPr>
            </w:pPr>
            <w:r w:rsidRPr="00EF64FD">
              <w:rPr>
                <w:rFonts w:eastAsiaTheme="minorEastAsia" w:cs="Calibri"/>
                <w:iCs/>
                <w:sz w:val="19"/>
                <w:szCs w:val="19"/>
                <w:lang w:eastAsia="en-AU"/>
              </w:rPr>
              <w:t>estimate</w:t>
            </w:r>
          </w:p>
        </w:tc>
      </w:tr>
      <w:tr w:rsidR="00965D85" w:rsidRPr="00EF64FD" w:rsidTr="008B46DF">
        <w:trPr>
          <w:cantSplit/>
        </w:trPr>
        <w:tc>
          <w:tcPr>
            <w:tcW w:w="3507" w:type="dxa"/>
            <w:tcBorders>
              <w:top w:val="single" w:sz="6" w:space="0" w:color="auto"/>
              <w:left w:val="nil"/>
              <w:right w:val="nil"/>
            </w:tcBorders>
            <w:shd w:val="clear" w:color="auto" w:fill="FFFFFF"/>
          </w:tcPr>
          <w:p w:rsidR="00965D85" w:rsidRPr="00EF64FD" w:rsidRDefault="00965D85" w:rsidP="008B46DF">
            <w:pPr>
              <w:autoSpaceDE w:val="0"/>
              <w:autoSpaceDN w:val="0"/>
              <w:adjustRightInd w:val="0"/>
              <w:spacing w:after="0"/>
              <w:ind w:left="227" w:hanging="227"/>
              <w:rPr>
                <w:rFonts w:ascii="Calibri" w:eastAsiaTheme="minorEastAsia" w:hAnsi="Calibri" w:cs="Calibri"/>
                <w:b/>
                <w:bCs/>
                <w:color w:val="000000"/>
                <w:sz w:val="19"/>
                <w:szCs w:val="19"/>
                <w:lang w:eastAsia="en-AU"/>
              </w:rPr>
            </w:pPr>
            <w:r w:rsidRPr="00EF64FD">
              <w:rPr>
                <w:rFonts w:ascii="Calibri" w:eastAsiaTheme="minorEastAsia" w:hAnsi="Calibri" w:cs="Calibri"/>
                <w:b/>
                <w:bCs/>
                <w:color w:val="000000"/>
                <w:sz w:val="19"/>
                <w:szCs w:val="19"/>
                <w:lang w:eastAsia="en-AU"/>
              </w:rPr>
              <w:t>Revenue from transactions</w:t>
            </w:r>
          </w:p>
        </w:tc>
        <w:tc>
          <w:tcPr>
            <w:tcW w:w="847" w:type="dxa"/>
            <w:tcBorders>
              <w:top w:val="single" w:sz="6" w:space="0" w:color="auto"/>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b/>
                <w:bCs/>
                <w:color w:val="000000"/>
                <w:sz w:val="19"/>
                <w:szCs w:val="19"/>
                <w:lang w:eastAsia="en-AU"/>
              </w:rPr>
            </w:pPr>
          </w:p>
        </w:tc>
        <w:tc>
          <w:tcPr>
            <w:tcW w:w="850" w:type="dxa"/>
            <w:tcBorders>
              <w:top w:val="single" w:sz="6" w:space="0" w:color="auto"/>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b/>
                <w:bCs/>
                <w:color w:val="000000"/>
                <w:sz w:val="19"/>
                <w:szCs w:val="19"/>
                <w:lang w:eastAsia="en-AU"/>
              </w:rPr>
            </w:pPr>
          </w:p>
        </w:tc>
        <w:tc>
          <w:tcPr>
            <w:tcW w:w="850" w:type="dxa"/>
            <w:tcBorders>
              <w:top w:val="single" w:sz="6" w:space="0" w:color="auto"/>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b/>
                <w:bCs/>
                <w:color w:val="000000"/>
                <w:sz w:val="19"/>
                <w:szCs w:val="19"/>
                <w:lang w:eastAsia="en-AU"/>
              </w:rPr>
            </w:pPr>
          </w:p>
        </w:tc>
        <w:tc>
          <w:tcPr>
            <w:tcW w:w="859" w:type="dxa"/>
            <w:gridSpan w:val="3"/>
            <w:tcBorders>
              <w:top w:val="single" w:sz="6" w:space="0" w:color="auto"/>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b/>
                <w:bCs/>
                <w:color w:val="000000"/>
                <w:sz w:val="19"/>
                <w:szCs w:val="19"/>
                <w:lang w:eastAsia="en-AU"/>
              </w:rPr>
            </w:pPr>
          </w:p>
        </w:tc>
        <w:tc>
          <w:tcPr>
            <w:tcW w:w="852" w:type="dxa"/>
            <w:gridSpan w:val="3"/>
            <w:tcBorders>
              <w:top w:val="single" w:sz="6" w:space="0" w:color="auto"/>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b/>
                <w:bCs/>
                <w:color w:val="000000"/>
                <w:sz w:val="19"/>
                <w:szCs w:val="19"/>
                <w:lang w:eastAsia="en-AU"/>
              </w:rPr>
            </w:pPr>
          </w:p>
        </w:tc>
      </w:tr>
      <w:tr w:rsidR="00965D85" w:rsidRPr="00EF64FD" w:rsidTr="008B46DF">
        <w:trPr>
          <w:cantSplit/>
        </w:trPr>
        <w:tc>
          <w:tcPr>
            <w:tcW w:w="3507" w:type="dxa"/>
            <w:tcBorders>
              <w:top w:val="nil"/>
              <w:left w:val="nil"/>
              <w:right w:val="nil"/>
            </w:tcBorders>
            <w:shd w:val="clear" w:color="auto" w:fill="FFFFFF"/>
          </w:tcPr>
          <w:p w:rsidR="00965D85" w:rsidRPr="00EF64FD" w:rsidRDefault="00965D85" w:rsidP="008B46DF">
            <w:pPr>
              <w:autoSpaceDE w:val="0"/>
              <w:autoSpaceDN w:val="0"/>
              <w:adjustRightInd w:val="0"/>
              <w:spacing w:after="0"/>
              <w:ind w:left="227" w:hanging="227"/>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Taxation revenue</w:t>
            </w:r>
          </w:p>
        </w:tc>
        <w:tc>
          <w:tcPr>
            <w:tcW w:w="847" w:type="dxa"/>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18 595.0</w:t>
            </w:r>
          </w:p>
        </w:tc>
        <w:tc>
          <w:tcPr>
            <w:tcW w:w="850" w:type="dxa"/>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19 002.9</w:t>
            </w:r>
          </w:p>
        </w:tc>
        <w:tc>
          <w:tcPr>
            <w:tcW w:w="850" w:type="dxa"/>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19 788.5</w:t>
            </w:r>
          </w:p>
        </w:tc>
        <w:tc>
          <w:tcPr>
            <w:tcW w:w="859" w:type="dxa"/>
            <w:gridSpan w:val="3"/>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20 293.6</w:t>
            </w:r>
          </w:p>
        </w:tc>
        <w:tc>
          <w:tcPr>
            <w:tcW w:w="852" w:type="dxa"/>
            <w:gridSpan w:val="3"/>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21 173.9</w:t>
            </w:r>
          </w:p>
        </w:tc>
      </w:tr>
      <w:tr w:rsidR="00965D85" w:rsidRPr="00EF64FD" w:rsidTr="008B46DF">
        <w:trPr>
          <w:cantSplit/>
        </w:trPr>
        <w:tc>
          <w:tcPr>
            <w:tcW w:w="3507" w:type="dxa"/>
            <w:tcBorders>
              <w:top w:val="nil"/>
              <w:left w:val="nil"/>
              <w:right w:val="nil"/>
            </w:tcBorders>
            <w:shd w:val="clear" w:color="auto" w:fill="FFFFFF"/>
          </w:tcPr>
          <w:p w:rsidR="00965D85" w:rsidRPr="00EF64FD" w:rsidRDefault="00965D85" w:rsidP="008B46DF">
            <w:pPr>
              <w:autoSpaceDE w:val="0"/>
              <w:autoSpaceDN w:val="0"/>
              <w:adjustRightInd w:val="0"/>
              <w:spacing w:after="0"/>
              <w:ind w:left="227" w:hanging="227"/>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Interest revenue</w:t>
            </w:r>
          </w:p>
        </w:tc>
        <w:tc>
          <w:tcPr>
            <w:tcW w:w="847" w:type="dxa"/>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369.7</w:t>
            </w:r>
          </w:p>
        </w:tc>
        <w:tc>
          <w:tcPr>
            <w:tcW w:w="850" w:type="dxa"/>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341.3</w:t>
            </w:r>
          </w:p>
        </w:tc>
        <w:tc>
          <w:tcPr>
            <w:tcW w:w="850" w:type="dxa"/>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347.4</w:t>
            </w:r>
          </w:p>
        </w:tc>
        <w:tc>
          <w:tcPr>
            <w:tcW w:w="859" w:type="dxa"/>
            <w:gridSpan w:val="3"/>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371.5</w:t>
            </w:r>
          </w:p>
        </w:tc>
        <w:tc>
          <w:tcPr>
            <w:tcW w:w="852" w:type="dxa"/>
            <w:gridSpan w:val="3"/>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378.4</w:t>
            </w:r>
          </w:p>
        </w:tc>
      </w:tr>
      <w:tr w:rsidR="00965D85" w:rsidRPr="00EF64FD" w:rsidTr="008B46DF">
        <w:trPr>
          <w:cantSplit/>
        </w:trPr>
        <w:tc>
          <w:tcPr>
            <w:tcW w:w="3507" w:type="dxa"/>
            <w:tcBorders>
              <w:top w:val="nil"/>
              <w:left w:val="nil"/>
              <w:right w:val="nil"/>
            </w:tcBorders>
            <w:shd w:val="clear" w:color="auto" w:fill="FFFFFF"/>
          </w:tcPr>
          <w:p w:rsidR="00965D85" w:rsidRPr="00EF64FD" w:rsidRDefault="00965D85" w:rsidP="008B46DF">
            <w:pPr>
              <w:autoSpaceDE w:val="0"/>
              <w:autoSpaceDN w:val="0"/>
              <w:adjustRightInd w:val="0"/>
              <w:spacing w:after="0"/>
              <w:ind w:left="227" w:hanging="227"/>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Dividends and income tax equivalent and rate equivalent revenue</w:t>
            </w:r>
          </w:p>
        </w:tc>
        <w:tc>
          <w:tcPr>
            <w:tcW w:w="847" w:type="dxa"/>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831.3</w:t>
            </w:r>
          </w:p>
        </w:tc>
        <w:tc>
          <w:tcPr>
            <w:tcW w:w="850" w:type="dxa"/>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659.3</w:t>
            </w:r>
          </w:p>
        </w:tc>
        <w:tc>
          <w:tcPr>
            <w:tcW w:w="850" w:type="dxa"/>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628.4</w:t>
            </w:r>
          </w:p>
        </w:tc>
        <w:tc>
          <w:tcPr>
            <w:tcW w:w="859" w:type="dxa"/>
            <w:gridSpan w:val="3"/>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660.4</w:t>
            </w:r>
          </w:p>
        </w:tc>
        <w:tc>
          <w:tcPr>
            <w:tcW w:w="852" w:type="dxa"/>
            <w:gridSpan w:val="3"/>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511.7</w:t>
            </w:r>
          </w:p>
        </w:tc>
      </w:tr>
      <w:tr w:rsidR="00965D85" w:rsidRPr="00EF64FD" w:rsidTr="008B46DF">
        <w:trPr>
          <w:cantSplit/>
        </w:trPr>
        <w:tc>
          <w:tcPr>
            <w:tcW w:w="3507" w:type="dxa"/>
            <w:tcBorders>
              <w:top w:val="nil"/>
              <w:left w:val="nil"/>
              <w:right w:val="nil"/>
            </w:tcBorders>
            <w:shd w:val="clear" w:color="auto" w:fill="FFFFFF"/>
          </w:tcPr>
          <w:p w:rsidR="00965D85" w:rsidRPr="00EF64FD" w:rsidRDefault="00965D85" w:rsidP="008B46DF">
            <w:pPr>
              <w:autoSpaceDE w:val="0"/>
              <w:autoSpaceDN w:val="0"/>
              <w:adjustRightInd w:val="0"/>
              <w:spacing w:after="0"/>
              <w:ind w:left="227" w:hanging="227"/>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Sales of goods and services</w:t>
            </w:r>
          </w:p>
        </w:tc>
        <w:tc>
          <w:tcPr>
            <w:tcW w:w="847" w:type="dxa"/>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10 654.2</w:t>
            </w:r>
          </w:p>
        </w:tc>
        <w:tc>
          <w:tcPr>
            <w:tcW w:w="850" w:type="dxa"/>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10 809.8</w:t>
            </w:r>
          </w:p>
        </w:tc>
        <w:tc>
          <w:tcPr>
            <w:tcW w:w="850" w:type="dxa"/>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10 584.2</w:t>
            </w:r>
          </w:p>
        </w:tc>
        <w:tc>
          <w:tcPr>
            <w:tcW w:w="859" w:type="dxa"/>
            <w:gridSpan w:val="3"/>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10 847.6</w:t>
            </w:r>
          </w:p>
        </w:tc>
        <w:tc>
          <w:tcPr>
            <w:tcW w:w="852" w:type="dxa"/>
            <w:gridSpan w:val="3"/>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11 079.1</w:t>
            </w:r>
          </w:p>
        </w:tc>
      </w:tr>
      <w:tr w:rsidR="00965D85" w:rsidRPr="00EF64FD" w:rsidTr="008B46DF">
        <w:trPr>
          <w:cantSplit/>
        </w:trPr>
        <w:tc>
          <w:tcPr>
            <w:tcW w:w="3507" w:type="dxa"/>
            <w:tcBorders>
              <w:top w:val="nil"/>
              <w:left w:val="nil"/>
              <w:right w:val="nil"/>
            </w:tcBorders>
            <w:shd w:val="clear" w:color="auto" w:fill="FFFFFF"/>
          </w:tcPr>
          <w:p w:rsidR="00965D85" w:rsidRPr="00EF64FD" w:rsidRDefault="00965D85" w:rsidP="008B46DF">
            <w:pPr>
              <w:autoSpaceDE w:val="0"/>
              <w:autoSpaceDN w:val="0"/>
              <w:adjustRightInd w:val="0"/>
              <w:spacing w:after="0"/>
              <w:ind w:left="227" w:hanging="227"/>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Grant revenue</w:t>
            </w:r>
          </w:p>
        </w:tc>
        <w:tc>
          <w:tcPr>
            <w:tcW w:w="847" w:type="dxa"/>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25 580.8</w:t>
            </w:r>
          </w:p>
        </w:tc>
        <w:tc>
          <w:tcPr>
            <w:tcW w:w="850" w:type="dxa"/>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25 446.7</w:t>
            </w:r>
          </w:p>
        </w:tc>
        <w:tc>
          <w:tcPr>
            <w:tcW w:w="850" w:type="dxa"/>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26 003.6</w:t>
            </w:r>
          </w:p>
        </w:tc>
        <w:tc>
          <w:tcPr>
            <w:tcW w:w="859" w:type="dxa"/>
            <w:gridSpan w:val="3"/>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27 816.1</w:t>
            </w:r>
          </w:p>
        </w:tc>
        <w:tc>
          <w:tcPr>
            <w:tcW w:w="852" w:type="dxa"/>
            <w:gridSpan w:val="3"/>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28 352.7</w:t>
            </w:r>
          </w:p>
        </w:tc>
      </w:tr>
      <w:tr w:rsidR="00965D85" w:rsidRPr="00EF64FD" w:rsidTr="008B46DF">
        <w:trPr>
          <w:cantSplit/>
        </w:trPr>
        <w:tc>
          <w:tcPr>
            <w:tcW w:w="3507" w:type="dxa"/>
            <w:tcBorders>
              <w:top w:val="nil"/>
              <w:left w:val="nil"/>
              <w:bottom w:val="single" w:sz="6" w:space="0" w:color="000000"/>
              <w:right w:val="nil"/>
            </w:tcBorders>
            <w:shd w:val="clear" w:color="auto" w:fill="FFFFFF"/>
          </w:tcPr>
          <w:p w:rsidR="00965D85" w:rsidRPr="00EF64FD" w:rsidRDefault="00965D85" w:rsidP="008B46DF">
            <w:pPr>
              <w:autoSpaceDE w:val="0"/>
              <w:autoSpaceDN w:val="0"/>
              <w:adjustRightInd w:val="0"/>
              <w:spacing w:after="0"/>
              <w:ind w:left="227" w:hanging="227"/>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Other revenue</w:t>
            </w:r>
          </w:p>
        </w:tc>
        <w:tc>
          <w:tcPr>
            <w:tcW w:w="847" w:type="dxa"/>
            <w:tcBorders>
              <w:top w:val="nil"/>
              <w:left w:val="nil"/>
              <w:bottom w:val="single" w:sz="6" w:space="0" w:color="000000"/>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2 591.6</w:t>
            </w:r>
          </w:p>
        </w:tc>
        <w:tc>
          <w:tcPr>
            <w:tcW w:w="850" w:type="dxa"/>
            <w:tcBorders>
              <w:top w:val="nil"/>
              <w:left w:val="nil"/>
              <w:bottom w:val="single" w:sz="6" w:space="0" w:color="000000"/>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2 902.9</w:t>
            </w:r>
          </w:p>
        </w:tc>
        <w:tc>
          <w:tcPr>
            <w:tcW w:w="850" w:type="dxa"/>
            <w:tcBorders>
              <w:top w:val="nil"/>
              <w:left w:val="nil"/>
              <w:bottom w:val="single" w:sz="6" w:space="0" w:color="000000"/>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2 983.9</w:t>
            </w:r>
          </w:p>
        </w:tc>
        <w:tc>
          <w:tcPr>
            <w:tcW w:w="859" w:type="dxa"/>
            <w:gridSpan w:val="3"/>
            <w:tcBorders>
              <w:top w:val="nil"/>
              <w:left w:val="nil"/>
              <w:bottom w:val="single" w:sz="6" w:space="0" w:color="000000"/>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2 946.0</w:t>
            </w:r>
          </w:p>
        </w:tc>
        <w:tc>
          <w:tcPr>
            <w:tcW w:w="852" w:type="dxa"/>
            <w:gridSpan w:val="3"/>
            <w:tcBorders>
              <w:top w:val="nil"/>
              <w:left w:val="nil"/>
              <w:bottom w:val="single" w:sz="6" w:space="0" w:color="000000"/>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2 963.7</w:t>
            </w:r>
          </w:p>
        </w:tc>
      </w:tr>
      <w:tr w:rsidR="00965D85" w:rsidRPr="00EF64FD" w:rsidTr="008B46DF">
        <w:trPr>
          <w:cantSplit/>
        </w:trPr>
        <w:tc>
          <w:tcPr>
            <w:tcW w:w="3507" w:type="dxa"/>
            <w:tcBorders>
              <w:top w:val="single" w:sz="6" w:space="0" w:color="000000"/>
              <w:left w:val="nil"/>
              <w:right w:val="nil"/>
            </w:tcBorders>
            <w:shd w:val="clear" w:color="auto" w:fill="FFFFFF"/>
          </w:tcPr>
          <w:p w:rsidR="00965D85" w:rsidRPr="00EF64FD" w:rsidRDefault="00965D85" w:rsidP="008B46DF">
            <w:pPr>
              <w:autoSpaceDE w:val="0"/>
              <w:autoSpaceDN w:val="0"/>
              <w:adjustRightInd w:val="0"/>
              <w:spacing w:after="0"/>
              <w:ind w:left="227" w:hanging="227"/>
              <w:rPr>
                <w:rFonts w:ascii="Calibri" w:eastAsiaTheme="minorEastAsia" w:hAnsi="Calibri" w:cs="Calibri"/>
                <w:b/>
                <w:bCs/>
                <w:color w:val="000000"/>
                <w:sz w:val="19"/>
                <w:szCs w:val="19"/>
                <w:lang w:eastAsia="en-AU"/>
              </w:rPr>
            </w:pPr>
            <w:r w:rsidRPr="00EF64FD">
              <w:rPr>
                <w:rFonts w:ascii="Calibri" w:eastAsiaTheme="minorEastAsia" w:hAnsi="Calibri" w:cs="Calibri"/>
                <w:b/>
                <w:bCs/>
                <w:color w:val="000000"/>
                <w:sz w:val="19"/>
                <w:szCs w:val="19"/>
                <w:lang w:eastAsia="en-AU"/>
              </w:rPr>
              <w:t>Total revenue from transactions</w:t>
            </w:r>
          </w:p>
        </w:tc>
        <w:tc>
          <w:tcPr>
            <w:tcW w:w="847" w:type="dxa"/>
            <w:tcBorders>
              <w:top w:val="single" w:sz="6" w:space="0" w:color="000000"/>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b/>
                <w:bCs/>
                <w:color w:val="000000"/>
                <w:sz w:val="19"/>
                <w:szCs w:val="19"/>
                <w:lang w:eastAsia="en-AU"/>
              </w:rPr>
            </w:pPr>
            <w:r w:rsidRPr="00EF64FD">
              <w:rPr>
                <w:rFonts w:ascii="Calibri" w:eastAsiaTheme="minorEastAsia" w:hAnsi="Calibri" w:cs="Calibri"/>
                <w:b/>
                <w:bCs/>
                <w:color w:val="000000"/>
                <w:sz w:val="19"/>
                <w:szCs w:val="19"/>
                <w:lang w:eastAsia="en-AU"/>
              </w:rPr>
              <w:t>58 622.6</w:t>
            </w:r>
          </w:p>
        </w:tc>
        <w:tc>
          <w:tcPr>
            <w:tcW w:w="850" w:type="dxa"/>
            <w:tcBorders>
              <w:top w:val="single" w:sz="6" w:space="0" w:color="000000"/>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b/>
                <w:bCs/>
                <w:color w:val="000000"/>
                <w:sz w:val="19"/>
                <w:szCs w:val="19"/>
                <w:lang w:eastAsia="en-AU"/>
              </w:rPr>
            </w:pPr>
            <w:r w:rsidRPr="00EF64FD">
              <w:rPr>
                <w:rFonts w:ascii="Calibri" w:eastAsiaTheme="minorEastAsia" w:hAnsi="Calibri" w:cs="Calibri"/>
                <w:b/>
                <w:bCs/>
                <w:color w:val="000000"/>
                <w:sz w:val="19"/>
                <w:szCs w:val="19"/>
                <w:lang w:eastAsia="en-AU"/>
              </w:rPr>
              <w:t>59 162.7</w:t>
            </w:r>
          </w:p>
        </w:tc>
        <w:tc>
          <w:tcPr>
            <w:tcW w:w="850" w:type="dxa"/>
            <w:tcBorders>
              <w:top w:val="single" w:sz="6" w:space="0" w:color="000000"/>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b/>
                <w:bCs/>
                <w:color w:val="000000"/>
                <w:sz w:val="19"/>
                <w:szCs w:val="19"/>
                <w:lang w:eastAsia="en-AU"/>
              </w:rPr>
            </w:pPr>
            <w:r w:rsidRPr="00EF64FD">
              <w:rPr>
                <w:rFonts w:ascii="Calibri" w:eastAsiaTheme="minorEastAsia" w:hAnsi="Calibri" w:cs="Calibri"/>
                <w:b/>
                <w:bCs/>
                <w:color w:val="000000"/>
                <w:sz w:val="19"/>
                <w:szCs w:val="19"/>
                <w:lang w:eastAsia="en-AU"/>
              </w:rPr>
              <w:t>60 336.0</w:t>
            </w:r>
          </w:p>
        </w:tc>
        <w:tc>
          <w:tcPr>
            <w:tcW w:w="859" w:type="dxa"/>
            <w:gridSpan w:val="3"/>
            <w:tcBorders>
              <w:top w:val="single" w:sz="6" w:space="0" w:color="000000"/>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b/>
                <w:bCs/>
                <w:color w:val="000000"/>
                <w:sz w:val="19"/>
                <w:szCs w:val="19"/>
                <w:lang w:eastAsia="en-AU"/>
              </w:rPr>
            </w:pPr>
            <w:r w:rsidRPr="00EF64FD">
              <w:rPr>
                <w:rFonts w:ascii="Calibri" w:eastAsiaTheme="minorEastAsia" w:hAnsi="Calibri" w:cs="Calibri"/>
                <w:b/>
                <w:bCs/>
                <w:color w:val="000000"/>
                <w:sz w:val="19"/>
                <w:szCs w:val="19"/>
                <w:lang w:eastAsia="en-AU"/>
              </w:rPr>
              <w:t>62 935.2</w:t>
            </w:r>
          </w:p>
        </w:tc>
        <w:tc>
          <w:tcPr>
            <w:tcW w:w="852" w:type="dxa"/>
            <w:gridSpan w:val="3"/>
            <w:tcBorders>
              <w:top w:val="single" w:sz="6" w:space="0" w:color="000000"/>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b/>
                <w:bCs/>
                <w:color w:val="000000"/>
                <w:sz w:val="19"/>
                <w:szCs w:val="19"/>
                <w:lang w:eastAsia="en-AU"/>
              </w:rPr>
            </w:pPr>
            <w:r w:rsidRPr="00EF64FD">
              <w:rPr>
                <w:rFonts w:ascii="Calibri" w:eastAsiaTheme="minorEastAsia" w:hAnsi="Calibri" w:cs="Calibri"/>
                <w:b/>
                <w:bCs/>
                <w:color w:val="000000"/>
                <w:sz w:val="19"/>
                <w:szCs w:val="19"/>
                <w:lang w:eastAsia="en-AU"/>
              </w:rPr>
              <w:t>64 459.3</w:t>
            </w:r>
          </w:p>
        </w:tc>
      </w:tr>
      <w:tr w:rsidR="00965D85" w:rsidRPr="00EF64FD" w:rsidTr="008B46DF">
        <w:trPr>
          <w:cantSplit/>
        </w:trPr>
        <w:tc>
          <w:tcPr>
            <w:tcW w:w="3507" w:type="dxa"/>
            <w:tcBorders>
              <w:top w:val="nil"/>
              <w:left w:val="nil"/>
              <w:right w:val="nil"/>
            </w:tcBorders>
            <w:shd w:val="clear" w:color="auto" w:fill="FFFFFF"/>
          </w:tcPr>
          <w:p w:rsidR="00965D85" w:rsidRPr="00EF64FD" w:rsidRDefault="00965D85" w:rsidP="008B46DF">
            <w:pPr>
              <w:autoSpaceDE w:val="0"/>
              <w:autoSpaceDN w:val="0"/>
              <w:adjustRightInd w:val="0"/>
              <w:spacing w:after="0"/>
              <w:ind w:left="227" w:hanging="227"/>
              <w:rPr>
                <w:rFonts w:ascii="Calibri" w:eastAsiaTheme="minorEastAsia" w:hAnsi="Calibri" w:cs="Calibri"/>
                <w:b/>
                <w:bCs/>
                <w:color w:val="000000"/>
                <w:sz w:val="19"/>
                <w:szCs w:val="19"/>
                <w:lang w:eastAsia="en-AU"/>
              </w:rPr>
            </w:pPr>
            <w:r w:rsidRPr="00EF64FD">
              <w:rPr>
                <w:rFonts w:ascii="Calibri" w:eastAsiaTheme="minorEastAsia" w:hAnsi="Calibri" w:cs="Calibri"/>
                <w:b/>
                <w:bCs/>
                <w:color w:val="000000"/>
                <w:sz w:val="19"/>
                <w:szCs w:val="19"/>
                <w:lang w:eastAsia="en-AU"/>
              </w:rPr>
              <w:t>Expenses from transactions</w:t>
            </w:r>
          </w:p>
        </w:tc>
        <w:tc>
          <w:tcPr>
            <w:tcW w:w="847" w:type="dxa"/>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b/>
                <w:bCs/>
                <w:color w:val="000000"/>
                <w:sz w:val="19"/>
                <w:szCs w:val="19"/>
                <w:lang w:eastAsia="en-AU"/>
              </w:rPr>
            </w:pPr>
          </w:p>
        </w:tc>
        <w:tc>
          <w:tcPr>
            <w:tcW w:w="850" w:type="dxa"/>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b/>
                <w:bCs/>
                <w:color w:val="000000"/>
                <w:sz w:val="19"/>
                <w:szCs w:val="19"/>
                <w:lang w:eastAsia="en-AU"/>
              </w:rPr>
            </w:pPr>
          </w:p>
        </w:tc>
        <w:tc>
          <w:tcPr>
            <w:tcW w:w="850" w:type="dxa"/>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b/>
                <w:bCs/>
                <w:color w:val="000000"/>
                <w:sz w:val="19"/>
                <w:szCs w:val="19"/>
                <w:lang w:eastAsia="en-AU"/>
              </w:rPr>
            </w:pPr>
          </w:p>
        </w:tc>
        <w:tc>
          <w:tcPr>
            <w:tcW w:w="859" w:type="dxa"/>
            <w:gridSpan w:val="3"/>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b/>
                <w:bCs/>
                <w:color w:val="000000"/>
                <w:sz w:val="19"/>
                <w:szCs w:val="19"/>
                <w:lang w:eastAsia="en-AU"/>
              </w:rPr>
            </w:pPr>
          </w:p>
        </w:tc>
        <w:tc>
          <w:tcPr>
            <w:tcW w:w="852" w:type="dxa"/>
            <w:gridSpan w:val="3"/>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b/>
                <w:bCs/>
                <w:color w:val="000000"/>
                <w:sz w:val="19"/>
                <w:szCs w:val="19"/>
                <w:lang w:eastAsia="en-AU"/>
              </w:rPr>
            </w:pPr>
          </w:p>
        </w:tc>
      </w:tr>
      <w:tr w:rsidR="00965D85" w:rsidRPr="00EF64FD" w:rsidTr="008B46DF">
        <w:trPr>
          <w:cantSplit/>
        </w:trPr>
        <w:tc>
          <w:tcPr>
            <w:tcW w:w="3507" w:type="dxa"/>
            <w:tcBorders>
              <w:top w:val="nil"/>
              <w:left w:val="nil"/>
              <w:right w:val="nil"/>
            </w:tcBorders>
            <w:shd w:val="clear" w:color="auto" w:fill="FFFFFF"/>
          </w:tcPr>
          <w:p w:rsidR="00965D85" w:rsidRPr="00EF64FD" w:rsidRDefault="00965D85" w:rsidP="008B46DF">
            <w:pPr>
              <w:autoSpaceDE w:val="0"/>
              <w:autoSpaceDN w:val="0"/>
              <w:adjustRightInd w:val="0"/>
              <w:spacing w:after="0"/>
              <w:ind w:left="227" w:hanging="227"/>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Employee expenses</w:t>
            </w:r>
          </w:p>
        </w:tc>
        <w:tc>
          <w:tcPr>
            <w:tcW w:w="847" w:type="dxa"/>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20 939.5</w:t>
            </w:r>
          </w:p>
        </w:tc>
        <w:tc>
          <w:tcPr>
            <w:tcW w:w="850" w:type="dxa"/>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21 151.1</w:t>
            </w:r>
          </w:p>
        </w:tc>
        <w:tc>
          <w:tcPr>
            <w:tcW w:w="850" w:type="dxa"/>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21 834.9</w:t>
            </w:r>
          </w:p>
        </w:tc>
        <w:tc>
          <w:tcPr>
            <w:tcW w:w="859" w:type="dxa"/>
            <w:gridSpan w:val="3"/>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22 791.3</w:t>
            </w:r>
          </w:p>
        </w:tc>
        <w:tc>
          <w:tcPr>
            <w:tcW w:w="852" w:type="dxa"/>
            <w:gridSpan w:val="3"/>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23 701.0</w:t>
            </w:r>
          </w:p>
        </w:tc>
      </w:tr>
      <w:tr w:rsidR="00965D85" w:rsidRPr="00EF64FD" w:rsidTr="008B46DF">
        <w:trPr>
          <w:cantSplit/>
        </w:trPr>
        <w:tc>
          <w:tcPr>
            <w:tcW w:w="3507" w:type="dxa"/>
            <w:tcBorders>
              <w:top w:val="nil"/>
              <w:left w:val="nil"/>
              <w:right w:val="nil"/>
            </w:tcBorders>
            <w:shd w:val="clear" w:color="auto" w:fill="FFFFFF"/>
          </w:tcPr>
          <w:p w:rsidR="00965D85" w:rsidRPr="00EF64FD" w:rsidRDefault="00965D85" w:rsidP="008B46DF">
            <w:pPr>
              <w:autoSpaceDE w:val="0"/>
              <w:autoSpaceDN w:val="0"/>
              <w:adjustRightInd w:val="0"/>
              <w:spacing w:after="0"/>
              <w:ind w:left="227" w:hanging="227"/>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Net superannuation interest expense</w:t>
            </w:r>
          </w:p>
        </w:tc>
        <w:tc>
          <w:tcPr>
            <w:tcW w:w="847" w:type="dxa"/>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886.5</w:t>
            </w:r>
          </w:p>
        </w:tc>
        <w:tc>
          <w:tcPr>
            <w:tcW w:w="850" w:type="dxa"/>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878.0</w:t>
            </w:r>
          </w:p>
        </w:tc>
        <w:tc>
          <w:tcPr>
            <w:tcW w:w="850" w:type="dxa"/>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820.6</w:t>
            </w:r>
          </w:p>
        </w:tc>
        <w:tc>
          <w:tcPr>
            <w:tcW w:w="859" w:type="dxa"/>
            <w:gridSpan w:val="3"/>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803.2</w:t>
            </w:r>
          </w:p>
        </w:tc>
        <w:tc>
          <w:tcPr>
            <w:tcW w:w="852" w:type="dxa"/>
            <w:gridSpan w:val="3"/>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806.7</w:t>
            </w:r>
          </w:p>
        </w:tc>
      </w:tr>
      <w:tr w:rsidR="00965D85" w:rsidRPr="00EF64FD" w:rsidTr="008B46DF">
        <w:trPr>
          <w:cantSplit/>
        </w:trPr>
        <w:tc>
          <w:tcPr>
            <w:tcW w:w="3507" w:type="dxa"/>
            <w:tcBorders>
              <w:top w:val="nil"/>
              <w:left w:val="nil"/>
              <w:right w:val="nil"/>
            </w:tcBorders>
            <w:shd w:val="clear" w:color="auto" w:fill="FFFFFF"/>
          </w:tcPr>
          <w:p w:rsidR="00965D85" w:rsidRPr="00EF64FD" w:rsidRDefault="00965D85" w:rsidP="008B46DF">
            <w:pPr>
              <w:autoSpaceDE w:val="0"/>
              <w:autoSpaceDN w:val="0"/>
              <w:adjustRightInd w:val="0"/>
              <w:spacing w:after="0"/>
              <w:ind w:left="227" w:hanging="227"/>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Other superannuation</w:t>
            </w:r>
          </w:p>
        </w:tc>
        <w:tc>
          <w:tcPr>
            <w:tcW w:w="847" w:type="dxa"/>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2 191.8</w:t>
            </w:r>
          </w:p>
        </w:tc>
        <w:tc>
          <w:tcPr>
            <w:tcW w:w="850" w:type="dxa"/>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2 143.4</w:t>
            </w:r>
          </w:p>
        </w:tc>
        <w:tc>
          <w:tcPr>
            <w:tcW w:w="850" w:type="dxa"/>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2 183.1</w:t>
            </w:r>
          </w:p>
        </w:tc>
        <w:tc>
          <w:tcPr>
            <w:tcW w:w="859" w:type="dxa"/>
            <w:gridSpan w:val="3"/>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2 203.4</w:t>
            </w:r>
          </w:p>
        </w:tc>
        <w:tc>
          <w:tcPr>
            <w:tcW w:w="852" w:type="dxa"/>
            <w:gridSpan w:val="3"/>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2 234.5</w:t>
            </w:r>
          </w:p>
        </w:tc>
      </w:tr>
      <w:tr w:rsidR="00965D85" w:rsidRPr="00EF64FD" w:rsidTr="008B46DF">
        <w:trPr>
          <w:cantSplit/>
        </w:trPr>
        <w:tc>
          <w:tcPr>
            <w:tcW w:w="3507" w:type="dxa"/>
            <w:tcBorders>
              <w:top w:val="nil"/>
              <w:left w:val="nil"/>
              <w:right w:val="nil"/>
            </w:tcBorders>
            <w:shd w:val="clear" w:color="auto" w:fill="FFFFFF"/>
          </w:tcPr>
          <w:p w:rsidR="00965D85" w:rsidRPr="00EF64FD" w:rsidRDefault="00965D85" w:rsidP="008B46DF">
            <w:pPr>
              <w:autoSpaceDE w:val="0"/>
              <w:autoSpaceDN w:val="0"/>
              <w:adjustRightInd w:val="0"/>
              <w:spacing w:after="0"/>
              <w:ind w:left="227" w:hanging="227"/>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Depreciation</w:t>
            </w:r>
          </w:p>
        </w:tc>
        <w:tc>
          <w:tcPr>
            <w:tcW w:w="847" w:type="dxa"/>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4 706.5</w:t>
            </w:r>
          </w:p>
        </w:tc>
        <w:tc>
          <w:tcPr>
            <w:tcW w:w="850" w:type="dxa"/>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4 633.0</w:t>
            </w:r>
          </w:p>
        </w:tc>
        <w:tc>
          <w:tcPr>
            <w:tcW w:w="850" w:type="dxa"/>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4 766.4</w:t>
            </w:r>
          </w:p>
        </w:tc>
        <w:tc>
          <w:tcPr>
            <w:tcW w:w="859" w:type="dxa"/>
            <w:gridSpan w:val="3"/>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5 017.1</w:t>
            </w:r>
          </w:p>
        </w:tc>
        <w:tc>
          <w:tcPr>
            <w:tcW w:w="852" w:type="dxa"/>
            <w:gridSpan w:val="3"/>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5 361.2</w:t>
            </w:r>
          </w:p>
        </w:tc>
      </w:tr>
      <w:tr w:rsidR="00965D85" w:rsidRPr="00EF64FD" w:rsidTr="008B46DF">
        <w:trPr>
          <w:cantSplit/>
        </w:trPr>
        <w:tc>
          <w:tcPr>
            <w:tcW w:w="3507" w:type="dxa"/>
            <w:tcBorders>
              <w:top w:val="nil"/>
              <w:left w:val="nil"/>
              <w:right w:val="nil"/>
            </w:tcBorders>
            <w:shd w:val="clear" w:color="auto" w:fill="FFFFFF"/>
          </w:tcPr>
          <w:p w:rsidR="00965D85" w:rsidRPr="00EF64FD" w:rsidRDefault="00965D85" w:rsidP="008B46DF">
            <w:pPr>
              <w:autoSpaceDE w:val="0"/>
              <w:autoSpaceDN w:val="0"/>
              <w:adjustRightInd w:val="0"/>
              <w:spacing w:after="0"/>
              <w:ind w:left="227" w:hanging="227"/>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Interest expense</w:t>
            </w:r>
          </w:p>
        </w:tc>
        <w:tc>
          <w:tcPr>
            <w:tcW w:w="847" w:type="dxa"/>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2 752.8</w:t>
            </w:r>
          </w:p>
        </w:tc>
        <w:tc>
          <w:tcPr>
            <w:tcW w:w="850" w:type="dxa"/>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2 738.0</w:t>
            </w:r>
          </w:p>
        </w:tc>
        <w:tc>
          <w:tcPr>
            <w:tcW w:w="850" w:type="dxa"/>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2 713.2</w:t>
            </w:r>
          </w:p>
        </w:tc>
        <w:tc>
          <w:tcPr>
            <w:tcW w:w="859" w:type="dxa"/>
            <w:gridSpan w:val="3"/>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2 758.3</w:t>
            </w:r>
          </w:p>
        </w:tc>
        <w:tc>
          <w:tcPr>
            <w:tcW w:w="852" w:type="dxa"/>
            <w:gridSpan w:val="3"/>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2 758.3</w:t>
            </w:r>
          </w:p>
        </w:tc>
      </w:tr>
      <w:tr w:rsidR="00965D85" w:rsidRPr="00EF64FD" w:rsidTr="008B46DF">
        <w:trPr>
          <w:cantSplit/>
        </w:trPr>
        <w:tc>
          <w:tcPr>
            <w:tcW w:w="3507" w:type="dxa"/>
            <w:tcBorders>
              <w:top w:val="nil"/>
              <w:left w:val="nil"/>
              <w:right w:val="nil"/>
            </w:tcBorders>
            <w:shd w:val="clear" w:color="auto" w:fill="FFFFFF"/>
          </w:tcPr>
          <w:p w:rsidR="00965D85" w:rsidRPr="00EF64FD" w:rsidRDefault="00965D85" w:rsidP="008B46DF">
            <w:pPr>
              <w:autoSpaceDE w:val="0"/>
              <w:autoSpaceDN w:val="0"/>
              <w:adjustRightInd w:val="0"/>
              <w:spacing w:after="0"/>
              <w:ind w:left="227" w:hanging="227"/>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Grant expense</w:t>
            </w:r>
          </w:p>
        </w:tc>
        <w:tc>
          <w:tcPr>
            <w:tcW w:w="847" w:type="dxa"/>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5 822.4</w:t>
            </w:r>
          </w:p>
        </w:tc>
        <w:tc>
          <w:tcPr>
            <w:tcW w:w="850" w:type="dxa"/>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5 510.8</w:t>
            </w:r>
          </w:p>
        </w:tc>
        <w:tc>
          <w:tcPr>
            <w:tcW w:w="850" w:type="dxa"/>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6 179.0</w:t>
            </w:r>
          </w:p>
        </w:tc>
        <w:tc>
          <w:tcPr>
            <w:tcW w:w="859" w:type="dxa"/>
            <w:gridSpan w:val="3"/>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6 459.2</w:t>
            </w:r>
          </w:p>
        </w:tc>
        <w:tc>
          <w:tcPr>
            <w:tcW w:w="852" w:type="dxa"/>
            <w:gridSpan w:val="3"/>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6 772.9</w:t>
            </w:r>
          </w:p>
        </w:tc>
      </w:tr>
      <w:tr w:rsidR="00965D85" w:rsidRPr="00EF64FD" w:rsidTr="008B46DF">
        <w:trPr>
          <w:cantSplit/>
        </w:trPr>
        <w:tc>
          <w:tcPr>
            <w:tcW w:w="3507" w:type="dxa"/>
            <w:tcBorders>
              <w:top w:val="nil"/>
              <w:left w:val="nil"/>
              <w:bottom w:val="single" w:sz="6" w:space="0" w:color="000000"/>
              <w:right w:val="nil"/>
            </w:tcBorders>
            <w:shd w:val="clear" w:color="auto" w:fill="FFFFFF"/>
          </w:tcPr>
          <w:p w:rsidR="00965D85" w:rsidRPr="00EF64FD" w:rsidRDefault="00965D85" w:rsidP="008B46DF">
            <w:pPr>
              <w:autoSpaceDE w:val="0"/>
              <w:autoSpaceDN w:val="0"/>
              <w:adjustRightInd w:val="0"/>
              <w:spacing w:after="0"/>
              <w:ind w:left="227" w:hanging="227"/>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Other operating expenses</w:t>
            </w:r>
          </w:p>
        </w:tc>
        <w:tc>
          <w:tcPr>
            <w:tcW w:w="847" w:type="dxa"/>
            <w:tcBorders>
              <w:top w:val="nil"/>
              <w:left w:val="nil"/>
              <w:bottom w:val="single" w:sz="6" w:space="0" w:color="000000"/>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20 862.7</w:t>
            </w:r>
          </w:p>
        </w:tc>
        <w:tc>
          <w:tcPr>
            <w:tcW w:w="850" w:type="dxa"/>
            <w:tcBorders>
              <w:top w:val="nil"/>
              <w:left w:val="nil"/>
              <w:bottom w:val="single" w:sz="6" w:space="0" w:color="000000"/>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21 264.3</w:t>
            </w:r>
          </w:p>
        </w:tc>
        <w:tc>
          <w:tcPr>
            <w:tcW w:w="850" w:type="dxa"/>
            <w:tcBorders>
              <w:top w:val="nil"/>
              <w:left w:val="nil"/>
              <w:bottom w:val="single" w:sz="6" w:space="0" w:color="000000"/>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20 945.1</w:t>
            </w:r>
          </w:p>
        </w:tc>
        <w:tc>
          <w:tcPr>
            <w:tcW w:w="859" w:type="dxa"/>
            <w:gridSpan w:val="3"/>
            <w:tcBorders>
              <w:top w:val="nil"/>
              <w:left w:val="nil"/>
              <w:bottom w:val="single" w:sz="6" w:space="0" w:color="000000"/>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21 600.2</w:t>
            </w:r>
          </w:p>
        </w:tc>
        <w:tc>
          <w:tcPr>
            <w:tcW w:w="852" w:type="dxa"/>
            <w:gridSpan w:val="3"/>
            <w:tcBorders>
              <w:top w:val="nil"/>
              <w:left w:val="nil"/>
              <w:bottom w:val="single" w:sz="6" w:space="0" w:color="000000"/>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21 766.9</w:t>
            </w:r>
          </w:p>
        </w:tc>
      </w:tr>
      <w:tr w:rsidR="00965D85" w:rsidRPr="00EF64FD" w:rsidTr="008B46DF">
        <w:trPr>
          <w:cantSplit/>
        </w:trPr>
        <w:tc>
          <w:tcPr>
            <w:tcW w:w="3507" w:type="dxa"/>
            <w:tcBorders>
              <w:top w:val="single" w:sz="6" w:space="0" w:color="000000"/>
              <w:left w:val="nil"/>
              <w:bottom w:val="single" w:sz="6" w:space="0" w:color="000000"/>
              <w:right w:val="nil"/>
            </w:tcBorders>
            <w:shd w:val="clear" w:color="auto" w:fill="FFFFFF"/>
          </w:tcPr>
          <w:p w:rsidR="00965D85" w:rsidRPr="00EF64FD" w:rsidRDefault="00965D85" w:rsidP="008B46DF">
            <w:pPr>
              <w:autoSpaceDE w:val="0"/>
              <w:autoSpaceDN w:val="0"/>
              <w:adjustRightInd w:val="0"/>
              <w:spacing w:after="0"/>
              <w:ind w:left="227" w:hanging="227"/>
              <w:rPr>
                <w:rFonts w:ascii="Calibri" w:eastAsiaTheme="minorEastAsia" w:hAnsi="Calibri" w:cs="Calibri"/>
                <w:b/>
                <w:bCs/>
                <w:color w:val="000000"/>
                <w:sz w:val="19"/>
                <w:szCs w:val="19"/>
                <w:lang w:eastAsia="en-AU"/>
              </w:rPr>
            </w:pPr>
            <w:r w:rsidRPr="00EF64FD">
              <w:rPr>
                <w:rFonts w:ascii="Calibri" w:eastAsiaTheme="minorEastAsia" w:hAnsi="Calibri" w:cs="Calibri"/>
                <w:b/>
                <w:bCs/>
                <w:color w:val="000000"/>
                <w:sz w:val="19"/>
                <w:szCs w:val="19"/>
                <w:lang w:eastAsia="en-AU"/>
              </w:rPr>
              <w:t>Total expenses from transactions</w:t>
            </w:r>
          </w:p>
        </w:tc>
        <w:tc>
          <w:tcPr>
            <w:tcW w:w="847" w:type="dxa"/>
            <w:tcBorders>
              <w:top w:val="single" w:sz="6" w:space="0" w:color="000000"/>
              <w:left w:val="nil"/>
              <w:bottom w:val="single" w:sz="6" w:space="0" w:color="000000"/>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b/>
                <w:bCs/>
                <w:color w:val="000000"/>
                <w:sz w:val="19"/>
                <w:szCs w:val="19"/>
                <w:lang w:eastAsia="en-AU"/>
              </w:rPr>
            </w:pPr>
            <w:r w:rsidRPr="00EF64FD">
              <w:rPr>
                <w:rFonts w:ascii="Calibri" w:eastAsiaTheme="minorEastAsia" w:hAnsi="Calibri" w:cs="Calibri"/>
                <w:b/>
                <w:bCs/>
                <w:color w:val="000000"/>
                <w:sz w:val="19"/>
                <w:szCs w:val="19"/>
                <w:lang w:eastAsia="en-AU"/>
              </w:rPr>
              <w:t>58 162.4</w:t>
            </w:r>
          </w:p>
        </w:tc>
        <w:tc>
          <w:tcPr>
            <w:tcW w:w="850" w:type="dxa"/>
            <w:tcBorders>
              <w:top w:val="single" w:sz="6" w:space="0" w:color="000000"/>
              <w:left w:val="nil"/>
              <w:bottom w:val="single" w:sz="6" w:space="0" w:color="000000"/>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b/>
                <w:bCs/>
                <w:color w:val="000000"/>
                <w:sz w:val="19"/>
                <w:szCs w:val="19"/>
                <w:lang w:eastAsia="en-AU"/>
              </w:rPr>
            </w:pPr>
            <w:r w:rsidRPr="00EF64FD">
              <w:rPr>
                <w:rFonts w:ascii="Calibri" w:eastAsiaTheme="minorEastAsia" w:hAnsi="Calibri" w:cs="Calibri"/>
                <w:b/>
                <w:bCs/>
                <w:color w:val="000000"/>
                <w:sz w:val="19"/>
                <w:szCs w:val="19"/>
                <w:lang w:eastAsia="en-AU"/>
              </w:rPr>
              <w:t>58 318.6</w:t>
            </w:r>
          </w:p>
        </w:tc>
        <w:tc>
          <w:tcPr>
            <w:tcW w:w="850" w:type="dxa"/>
            <w:tcBorders>
              <w:top w:val="single" w:sz="6" w:space="0" w:color="000000"/>
              <w:left w:val="nil"/>
              <w:bottom w:val="single" w:sz="6" w:space="0" w:color="000000"/>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b/>
                <w:bCs/>
                <w:color w:val="000000"/>
                <w:sz w:val="19"/>
                <w:szCs w:val="19"/>
                <w:lang w:eastAsia="en-AU"/>
              </w:rPr>
            </w:pPr>
            <w:r w:rsidRPr="00EF64FD">
              <w:rPr>
                <w:rFonts w:ascii="Calibri" w:eastAsiaTheme="minorEastAsia" w:hAnsi="Calibri" w:cs="Calibri"/>
                <w:b/>
                <w:bCs/>
                <w:color w:val="000000"/>
                <w:sz w:val="19"/>
                <w:szCs w:val="19"/>
                <w:lang w:eastAsia="en-AU"/>
              </w:rPr>
              <w:t>59 442.3</w:t>
            </w:r>
          </w:p>
        </w:tc>
        <w:tc>
          <w:tcPr>
            <w:tcW w:w="859" w:type="dxa"/>
            <w:gridSpan w:val="3"/>
            <w:tcBorders>
              <w:top w:val="single" w:sz="6" w:space="0" w:color="000000"/>
              <w:left w:val="nil"/>
              <w:bottom w:val="single" w:sz="6" w:space="0" w:color="000000"/>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b/>
                <w:bCs/>
                <w:color w:val="000000"/>
                <w:sz w:val="19"/>
                <w:szCs w:val="19"/>
                <w:lang w:eastAsia="en-AU"/>
              </w:rPr>
            </w:pPr>
            <w:r w:rsidRPr="00EF64FD">
              <w:rPr>
                <w:rFonts w:ascii="Calibri" w:eastAsiaTheme="minorEastAsia" w:hAnsi="Calibri" w:cs="Calibri"/>
                <w:b/>
                <w:bCs/>
                <w:color w:val="000000"/>
                <w:sz w:val="19"/>
                <w:szCs w:val="19"/>
                <w:lang w:eastAsia="en-AU"/>
              </w:rPr>
              <w:t>61 632.7</w:t>
            </w:r>
          </w:p>
        </w:tc>
        <w:tc>
          <w:tcPr>
            <w:tcW w:w="852" w:type="dxa"/>
            <w:gridSpan w:val="3"/>
            <w:tcBorders>
              <w:top w:val="single" w:sz="6" w:space="0" w:color="000000"/>
              <w:left w:val="nil"/>
              <w:bottom w:val="single" w:sz="6" w:space="0" w:color="000000"/>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b/>
                <w:bCs/>
                <w:color w:val="000000"/>
                <w:sz w:val="19"/>
                <w:szCs w:val="19"/>
                <w:lang w:eastAsia="en-AU"/>
              </w:rPr>
            </w:pPr>
            <w:r w:rsidRPr="00EF64FD">
              <w:rPr>
                <w:rFonts w:ascii="Calibri" w:eastAsiaTheme="minorEastAsia" w:hAnsi="Calibri" w:cs="Calibri"/>
                <w:b/>
                <w:bCs/>
                <w:color w:val="000000"/>
                <w:sz w:val="19"/>
                <w:szCs w:val="19"/>
                <w:lang w:eastAsia="en-AU"/>
              </w:rPr>
              <w:t>63 401.4</w:t>
            </w:r>
          </w:p>
        </w:tc>
      </w:tr>
      <w:tr w:rsidR="00965D85" w:rsidRPr="00EF64FD" w:rsidTr="008B46DF">
        <w:trPr>
          <w:cantSplit/>
        </w:trPr>
        <w:tc>
          <w:tcPr>
            <w:tcW w:w="3507" w:type="dxa"/>
            <w:tcBorders>
              <w:top w:val="single" w:sz="6" w:space="0" w:color="000000"/>
              <w:left w:val="nil"/>
              <w:bottom w:val="single" w:sz="12" w:space="0" w:color="000000"/>
              <w:right w:val="nil"/>
            </w:tcBorders>
            <w:shd w:val="clear" w:color="auto" w:fill="FFFFFF"/>
          </w:tcPr>
          <w:p w:rsidR="00965D85" w:rsidRPr="00EF64FD" w:rsidRDefault="00965D85" w:rsidP="008B46DF">
            <w:pPr>
              <w:autoSpaceDE w:val="0"/>
              <w:autoSpaceDN w:val="0"/>
              <w:adjustRightInd w:val="0"/>
              <w:spacing w:after="0"/>
              <w:ind w:left="227" w:hanging="227"/>
              <w:rPr>
                <w:rFonts w:ascii="Calibri" w:eastAsiaTheme="minorEastAsia" w:hAnsi="Calibri" w:cs="Calibri"/>
                <w:b/>
                <w:bCs/>
                <w:color w:val="000000"/>
                <w:sz w:val="19"/>
                <w:szCs w:val="19"/>
                <w:lang w:eastAsia="en-AU"/>
              </w:rPr>
            </w:pPr>
            <w:r w:rsidRPr="00EF64FD">
              <w:rPr>
                <w:rFonts w:ascii="Calibri" w:eastAsiaTheme="minorEastAsia" w:hAnsi="Calibri" w:cs="Calibri"/>
                <w:b/>
                <w:bCs/>
                <w:color w:val="000000"/>
                <w:sz w:val="19"/>
                <w:szCs w:val="19"/>
                <w:lang w:eastAsia="en-AU"/>
              </w:rPr>
              <w:t>Net result from transactions – net operating balance</w:t>
            </w:r>
          </w:p>
        </w:tc>
        <w:tc>
          <w:tcPr>
            <w:tcW w:w="847" w:type="dxa"/>
            <w:tcBorders>
              <w:top w:val="single" w:sz="6" w:space="0" w:color="000000"/>
              <w:left w:val="nil"/>
              <w:bottom w:val="single" w:sz="12" w:space="0" w:color="000000"/>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b/>
                <w:bCs/>
                <w:color w:val="000000"/>
                <w:sz w:val="19"/>
                <w:szCs w:val="19"/>
                <w:lang w:eastAsia="en-AU"/>
              </w:rPr>
            </w:pPr>
            <w:r w:rsidRPr="00EF64FD">
              <w:rPr>
                <w:rFonts w:ascii="Calibri" w:eastAsiaTheme="minorEastAsia" w:hAnsi="Calibri" w:cs="Calibri"/>
                <w:b/>
                <w:bCs/>
                <w:color w:val="000000"/>
                <w:sz w:val="19"/>
                <w:szCs w:val="19"/>
                <w:lang w:eastAsia="en-AU"/>
              </w:rPr>
              <w:t>460.2</w:t>
            </w:r>
          </w:p>
        </w:tc>
        <w:tc>
          <w:tcPr>
            <w:tcW w:w="850" w:type="dxa"/>
            <w:tcBorders>
              <w:top w:val="single" w:sz="6" w:space="0" w:color="000000"/>
              <w:left w:val="nil"/>
              <w:bottom w:val="single" w:sz="12" w:space="0" w:color="000000"/>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b/>
                <w:bCs/>
                <w:color w:val="000000"/>
                <w:sz w:val="19"/>
                <w:szCs w:val="19"/>
                <w:lang w:eastAsia="en-AU"/>
              </w:rPr>
            </w:pPr>
            <w:r w:rsidRPr="00EF64FD">
              <w:rPr>
                <w:rFonts w:ascii="Calibri" w:eastAsiaTheme="minorEastAsia" w:hAnsi="Calibri" w:cs="Calibri"/>
                <w:b/>
                <w:bCs/>
                <w:color w:val="000000"/>
                <w:sz w:val="19"/>
                <w:szCs w:val="19"/>
                <w:lang w:eastAsia="en-AU"/>
              </w:rPr>
              <w:t>844.1</w:t>
            </w:r>
          </w:p>
        </w:tc>
        <w:tc>
          <w:tcPr>
            <w:tcW w:w="850" w:type="dxa"/>
            <w:tcBorders>
              <w:top w:val="single" w:sz="6" w:space="0" w:color="000000"/>
              <w:left w:val="nil"/>
              <w:bottom w:val="single" w:sz="12" w:space="0" w:color="000000"/>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b/>
                <w:bCs/>
                <w:color w:val="000000"/>
                <w:sz w:val="19"/>
                <w:szCs w:val="19"/>
                <w:lang w:eastAsia="en-AU"/>
              </w:rPr>
            </w:pPr>
            <w:r w:rsidRPr="00EF64FD">
              <w:rPr>
                <w:rFonts w:ascii="Calibri" w:eastAsiaTheme="minorEastAsia" w:hAnsi="Calibri" w:cs="Calibri"/>
                <w:b/>
                <w:bCs/>
                <w:color w:val="000000"/>
                <w:sz w:val="19"/>
                <w:szCs w:val="19"/>
                <w:lang w:eastAsia="en-AU"/>
              </w:rPr>
              <w:t>893.7</w:t>
            </w:r>
          </w:p>
        </w:tc>
        <w:tc>
          <w:tcPr>
            <w:tcW w:w="859" w:type="dxa"/>
            <w:gridSpan w:val="3"/>
            <w:tcBorders>
              <w:top w:val="single" w:sz="6" w:space="0" w:color="000000"/>
              <w:left w:val="nil"/>
              <w:bottom w:val="single" w:sz="12" w:space="0" w:color="000000"/>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b/>
                <w:bCs/>
                <w:color w:val="000000"/>
                <w:sz w:val="19"/>
                <w:szCs w:val="19"/>
                <w:lang w:eastAsia="en-AU"/>
              </w:rPr>
            </w:pPr>
            <w:r w:rsidRPr="00EF64FD">
              <w:rPr>
                <w:rFonts w:ascii="Calibri" w:eastAsiaTheme="minorEastAsia" w:hAnsi="Calibri" w:cs="Calibri"/>
                <w:b/>
                <w:bCs/>
                <w:color w:val="000000"/>
                <w:sz w:val="19"/>
                <w:szCs w:val="19"/>
                <w:lang w:eastAsia="en-AU"/>
              </w:rPr>
              <w:t>1 302.5</w:t>
            </w:r>
          </w:p>
        </w:tc>
        <w:tc>
          <w:tcPr>
            <w:tcW w:w="852" w:type="dxa"/>
            <w:gridSpan w:val="3"/>
            <w:tcBorders>
              <w:top w:val="single" w:sz="6" w:space="0" w:color="000000"/>
              <w:left w:val="nil"/>
              <w:bottom w:val="single" w:sz="12" w:space="0" w:color="000000"/>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b/>
                <w:bCs/>
                <w:color w:val="000000"/>
                <w:sz w:val="19"/>
                <w:szCs w:val="19"/>
                <w:lang w:eastAsia="en-AU"/>
              </w:rPr>
            </w:pPr>
            <w:r w:rsidRPr="00EF64FD">
              <w:rPr>
                <w:rFonts w:ascii="Calibri" w:eastAsiaTheme="minorEastAsia" w:hAnsi="Calibri" w:cs="Calibri"/>
                <w:b/>
                <w:bCs/>
                <w:color w:val="000000"/>
                <w:sz w:val="19"/>
                <w:szCs w:val="19"/>
                <w:lang w:eastAsia="en-AU"/>
              </w:rPr>
              <w:t>1 057.9</w:t>
            </w:r>
          </w:p>
        </w:tc>
      </w:tr>
      <w:tr w:rsidR="00965D85" w:rsidRPr="00EF64FD" w:rsidTr="008B46DF">
        <w:trPr>
          <w:cantSplit/>
        </w:trPr>
        <w:tc>
          <w:tcPr>
            <w:tcW w:w="3507" w:type="dxa"/>
            <w:tcBorders>
              <w:top w:val="single" w:sz="12" w:space="0" w:color="000000"/>
              <w:left w:val="nil"/>
              <w:bottom w:val="single" w:sz="6" w:space="0" w:color="000000"/>
              <w:right w:val="nil"/>
            </w:tcBorders>
            <w:shd w:val="clear" w:color="auto" w:fill="FFFFFF"/>
          </w:tcPr>
          <w:p w:rsidR="00965D85" w:rsidRPr="00EF64FD" w:rsidRDefault="00965D85" w:rsidP="008B46DF">
            <w:pPr>
              <w:autoSpaceDE w:val="0"/>
              <w:autoSpaceDN w:val="0"/>
              <w:adjustRightInd w:val="0"/>
              <w:spacing w:after="0"/>
              <w:ind w:left="227" w:hanging="227"/>
              <w:rPr>
                <w:rFonts w:ascii="Calibri" w:eastAsiaTheme="minorEastAsia" w:hAnsi="Calibri" w:cs="Calibri"/>
                <w:b/>
                <w:bCs/>
                <w:color w:val="000000"/>
                <w:sz w:val="19"/>
                <w:szCs w:val="19"/>
                <w:lang w:eastAsia="en-AU"/>
              </w:rPr>
            </w:pPr>
            <w:r w:rsidRPr="00EF64FD">
              <w:rPr>
                <w:rFonts w:ascii="Calibri" w:eastAsiaTheme="minorEastAsia" w:hAnsi="Calibri" w:cs="Calibri"/>
                <w:b/>
                <w:bCs/>
                <w:color w:val="000000"/>
                <w:sz w:val="19"/>
                <w:szCs w:val="19"/>
                <w:lang w:eastAsia="en-AU"/>
              </w:rPr>
              <w:t>Total other economic flows included in net result</w:t>
            </w:r>
          </w:p>
        </w:tc>
        <w:tc>
          <w:tcPr>
            <w:tcW w:w="847" w:type="dxa"/>
            <w:tcBorders>
              <w:top w:val="single" w:sz="12" w:space="0" w:color="000000"/>
              <w:left w:val="nil"/>
              <w:bottom w:val="single" w:sz="6" w:space="0" w:color="000000"/>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b/>
                <w:bCs/>
                <w:color w:val="000000"/>
                <w:sz w:val="19"/>
                <w:szCs w:val="19"/>
                <w:lang w:eastAsia="en-AU"/>
              </w:rPr>
            </w:pPr>
            <w:r w:rsidRPr="00EF64FD">
              <w:rPr>
                <w:rFonts w:ascii="Calibri" w:eastAsiaTheme="minorEastAsia" w:hAnsi="Calibri" w:cs="Calibri"/>
                <w:b/>
                <w:bCs/>
                <w:color w:val="000000"/>
                <w:sz w:val="19"/>
                <w:szCs w:val="19"/>
                <w:lang w:eastAsia="en-AU"/>
              </w:rPr>
              <w:t>3 831.3</w:t>
            </w:r>
          </w:p>
        </w:tc>
        <w:tc>
          <w:tcPr>
            <w:tcW w:w="850" w:type="dxa"/>
            <w:tcBorders>
              <w:top w:val="single" w:sz="12" w:space="0" w:color="000000"/>
              <w:left w:val="nil"/>
              <w:bottom w:val="single" w:sz="6" w:space="0" w:color="000000"/>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b/>
                <w:bCs/>
                <w:color w:val="000000"/>
                <w:sz w:val="19"/>
                <w:szCs w:val="19"/>
                <w:lang w:eastAsia="en-AU"/>
              </w:rPr>
            </w:pPr>
            <w:r w:rsidRPr="00EF64FD">
              <w:rPr>
                <w:rFonts w:ascii="Calibri" w:eastAsiaTheme="minorEastAsia" w:hAnsi="Calibri" w:cs="Calibri"/>
                <w:b/>
                <w:bCs/>
                <w:color w:val="000000"/>
                <w:sz w:val="19"/>
                <w:szCs w:val="19"/>
                <w:lang w:eastAsia="en-AU"/>
              </w:rPr>
              <w:t>3 305.4</w:t>
            </w:r>
          </w:p>
        </w:tc>
        <w:tc>
          <w:tcPr>
            <w:tcW w:w="850" w:type="dxa"/>
            <w:tcBorders>
              <w:top w:val="single" w:sz="12" w:space="0" w:color="000000"/>
              <w:left w:val="nil"/>
              <w:bottom w:val="single" w:sz="6" w:space="0" w:color="000000"/>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b/>
                <w:bCs/>
                <w:color w:val="000000"/>
                <w:sz w:val="19"/>
                <w:szCs w:val="19"/>
                <w:lang w:eastAsia="en-AU"/>
              </w:rPr>
            </w:pPr>
            <w:r w:rsidRPr="00EF64FD">
              <w:rPr>
                <w:rFonts w:ascii="Calibri" w:eastAsiaTheme="minorEastAsia" w:hAnsi="Calibri" w:cs="Calibri"/>
                <w:b/>
                <w:bCs/>
                <w:color w:val="000000"/>
                <w:sz w:val="19"/>
                <w:szCs w:val="19"/>
                <w:lang w:eastAsia="en-AU"/>
              </w:rPr>
              <w:t>(212.6)</w:t>
            </w:r>
          </w:p>
        </w:tc>
        <w:tc>
          <w:tcPr>
            <w:tcW w:w="859" w:type="dxa"/>
            <w:gridSpan w:val="3"/>
            <w:tcBorders>
              <w:top w:val="single" w:sz="12" w:space="0" w:color="000000"/>
              <w:left w:val="nil"/>
              <w:bottom w:val="single" w:sz="6" w:space="0" w:color="000000"/>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b/>
                <w:bCs/>
                <w:color w:val="000000"/>
                <w:sz w:val="19"/>
                <w:szCs w:val="19"/>
                <w:lang w:eastAsia="en-AU"/>
              </w:rPr>
            </w:pPr>
            <w:r w:rsidRPr="00EF64FD">
              <w:rPr>
                <w:rFonts w:ascii="Calibri" w:eastAsiaTheme="minorEastAsia" w:hAnsi="Calibri" w:cs="Calibri"/>
                <w:b/>
                <w:bCs/>
                <w:color w:val="000000"/>
                <w:sz w:val="19"/>
                <w:szCs w:val="19"/>
                <w:lang w:eastAsia="en-AU"/>
              </w:rPr>
              <w:t>(210.8)</w:t>
            </w:r>
          </w:p>
        </w:tc>
        <w:tc>
          <w:tcPr>
            <w:tcW w:w="852" w:type="dxa"/>
            <w:gridSpan w:val="3"/>
            <w:tcBorders>
              <w:top w:val="single" w:sz="12" w:space="0" w:color="000000"/>
              <w:left w:val="nil"/>
              <w:bottom w:val="single" w:sz="6" w:space="0" w:color="000000"/>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b/>
                <w:bCs/>
                <w:color w:val="000000"/>
                <w:sz w:val="19"/>
                <w:szCs w:val="19"/>
                <w:lang w:eastAsia="en-AU"/>
              </w:rPr>
            </w:pPr>
            <w:r w:rsidRPr="00EF64FD">
              <w:rPr>
                <w:rFonts w:ascii="Calibri" w:eastAsiaTheme="minorEastAsia" w:hAnsi="Calibri" w:cs="Calibri"/>
                <w:b/>
                <w:bCs/>
                <w:color w:val="000000"/>
                <w:sz w:val="19"/>
                <w:szCs w:val="19"/>
                <w:lang w:eastAsia="en-AU"/>
              </w:rPr>
              <w:t>(232.1)</w:t>
            </w:r>
          </w:p>
        </w:tc>
      </w:tr>
      <w:tr w:rsidR="00965D85" w:rsidRPr="00EF64FD" w:rsidTr="008B46DF">
        <w:trPr>
          <w:cantSplit/>
        </w:trPr>
        <w:tc>
          <w:tcPr>
            <w:tcW w:w="3507" w:type="dxa"/>
            <w:tcBorders>
              <w:top w:val="single" w:sz="6" w:space="0" w:color="000000"/>
              <w:left w:val="nil"/>
              <w:right w:val="nil"/>
            </w:tcBorders>
            <w:shd w:val="clear" w:color="auto" w:fill="FFFFFF"/>
          </w:tcPr>
          <w:p w:rsidR="00965D85" w:rsidRPr="00EF64FD" w:rsidRDefault="00965D85" w:rsidP="008B46DF">
            <w:pPr>
              <w:autoSpaceDE w:val="0"/>
              <w:autoSpaceDN w:val="0"/>
              <w:adjustRightInd w:val="0"/>
              <w:spacing w:after="0"/>
              <w:ind w:left="227" w:hanging="227"/>
              <w:rPr>
                <w:rFonts w:ascii="Calibri" w:eastAsiaTheme="minorEastAsia" w:hAnsi="Calibri" w:cs="Calibri"/>
                <w:b/>
                <w:bCs/>
                <w:color w:val="000000"/>
                <w:sz w:val="19"/>
                <w:szCs w:val="19"/>
                <w:lang w:eastAsia="en-AU"/>
              </w:rPr>
            </w:pPr>
            <w:r w:rsidRPr="00EF64FD">
              <w:rPr>
                <w:rFonts w:ascii="Calibri" w:eastAsiaTheme="minorEastAsia" w:hAnsi="Calibri" w:cs="Calibri"/>
                <w:b/>
                <w:bCs/>
                <w:color w:val="000000"/>
                <w:sz w:val="19"/>
                <w:szCs w:val="19"/>
                <w:lang w:eastAsia="en-AU"/>
              </w:rPr>
              <w:t>Net result</w:t>
            </w:r>
          </w:p>
        </w:tc>
        <w:tc>
          <w:tcPr>
            <w:tcW w:w="847" w:type="dxa"/>
            <w:tcBorders>
              <w:top w:val="single" w:sz="6" w:space="0" w:color="000000"/>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b/>
                <w:bCs/>
                <w:color w:val="000000"/>
                <w:sz w:val="19"/>
                <w:szCs w:val="19"/>
                <w:lang w:eastAsia="en-AU"/>
              </w:rPr>
            </w:pPr>
            <w:r w:rsidRPr="00EF64FD">
              <w:rPr>
                <w:rFonts w:ascii="Calibri" w:eastAsiaTheme="minorEastAsia" w:hAnsi="Calibri" w:cs="Calibri"/>
                <w:b/>
                <w:bCs/>
                <w:color w:val="000000"/>
                <w:sz w:val="19"/>
                <w:szCs w:val="19"/>
                <w:lang w:eastAsia="en-AU"/>
              </w:rPr>
              <w:t>4 291.5</w:t>
            </w:r>
          </w:p>
        </w:tc>
        <w:tc>
          <w:tcPr>
            <w:tcW w:w="850" w:type="dxa"/>
            <w:tcBorders>
              <w:top w:val="single" w:sz="6" w:space="0" w:color="000000"/>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b/>
                <w:bCs/>
                <w:color w:val="000000"/>
                <w:sz w:val="19"/>
                <w:szCs w:val="19"/>
                <w:lang w:eastAsia="en-AU"/>
              </w:rPr>
            </w:pPr>
            <w:r w:rsidRPr="00EF64FD">
              <w:rPr>
                <w:rFonts w:ascii="Calibri" w:eastAsiaTheme="minorEastAsia" w:hAnsi="Calibri" w:cs="Calibri"/>
                <w:b/>
                <w:bCs/>
                <w:color w:val="000000"/>
                <w:sz w:val="19"/>
                <w:szCs w:val="19"/>
                <w:lang w:eastAsia="en-AU"/>
              </w:rPr>
              <w:t>4 149.6</w:t>
            </w:r>
          </w:p>
        </w:tc>
        <w:tc>
          <w:tcPr>
            <w:tcW w:w="850" w:type="dxa"/>
            <w:tcBorders>
              <w:top w:val="single" w:sz="6" w:space="0" w:color="000000"/>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b/>
                <w:bCs/>
                <w:color w:val="000000"/>
                <w:sz w:val="19"/>
                <w:szCs w:val="19"/>
                <w:lang w:eastAsia="en-AU"/>
              </w:rPr>
            </w:pPr>
            <w:r w:rsidRPr="00EF64FD">
              <w:rPr>
                <w:rFonts w:ascii="Calibri" w:eastAsiaTheme="minorEastAsia" w:hAnsi="Calibri" w:cs="Calibri"/>
                <w:b/>
                <w:bCs/>
                <w:color w:val="000000"/>
                <w:sz w:val="19"/>
                <w:szCs w:val="19"/>
                <w:lang w:eastAsia="en-AU"/>
              </w:rPr>
              <w:t>681.1</w:t>
            </w:r>
          </w:p>
        </w:tc>
        <w:tc>
          <w:tcPr>
            <w:tcW w:w="859" w:type="dxa"/>
            <w:gridSpan w:val="3"/>
            <w:tcBorders>
              <w:top w:val="single" w:sz="6" w:space="0" w:color="000000"/>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b/>
                <w:bCs/>
                <w:color w:val="000000"/>
                <w:sz w:val="19"/>
                <w:szCs w:val="19"/>
                <w:lang w:eastAsia="en-AU"/>
              </w:rPr>
            </w:pPr>
            <w:r w:rsidRPr="00EF64FD">
              <w:rPr>
                <w:rFonts w:ascii="Calibri" w:eastAsiaTheme="minorEastAsia" w:hAnsi="Calibri" w:cs="Calibri"/>
                <w:b/>
                <w:bCs/>
                <w:color w:val="000000"/>
                <w:sz w:val="19"/>
                <w:szCs w:val="19"/>
                <w:lang w:eastAsia="en-AU"/>
              </w:rPr>
              <w:t>1 091.7</w:t>
            </w:r>
          </w:p>
        </w:tc>
        <w:tc>
          <w:tcPr>
            <w:tcW w:w="852" w:type="dxa"/>
            <w:gridSpan w:val="3"/>
            <w:tcBorders>
              <w:top w:val="single" w:sz="6" w:space="0" w:color="000000"/>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b/>
                <w:bCs/>
                <w:color w:val="000000"/>
                <w:sz w:val="19"/>
                <w:szCs w:val="19"/>
                <w:lang w:eastAsia="en-AU"/>
              </w:rPr>
            </w:pPr>
            <w:r w:rsidRPr="00EF64FD">
              <w:rPr>
                <w:rFonts w:ascii="Calibri" w:eastAsiaTheme="minorEastAsia" w:hAnsi="Calibri" w:cs="Calibri"/>
                <w:b/>
                <w:bCs/>
                <w:color w:val="000000"/>
                <w:sz w:val="19"/>
                <w:szCs w:val="19"/>
                <w:lang w:eastAsia="en-AU"/>
              </w:rPr>
              <w:t>825.8</w:t>
            </w:r>
          </w:p>
        </w:tc>
      </w:tr>
      <w:tr w:rsidR="00965D85" w:rsidRPr="00EF64FD" w:rsidTr="008B46DF">
        <w:trPr>
          <w:cantSplit/>
        </w:trPr>
        <w:tc>
          <w:tcPr>
            <w:tcW w:w="6347" w:type="dxa"/>
            <w:gridSpan w:val="5"/>
            <w:tcBorders>
              <w:top w:val="nil"/>
              <w:left w:val="nil"/>
              <w:right w:val="nil"/>
            </w:tcBorders>
            <w:shd w:val="clear" w:color="auto" w:fill="FFFFFF"/>
          </w:tcPr>
          <w:p w:rsidR="00965D85" w:rsidRPr="00EF64FD" w:rsidRDefault="00965D85" w:rsidP="008B46DF">
            <w:pPr>
              <w:autoSpaceDE w:val="0"/>
              <w:autoSpaceDN w:val="0"/>
              <w:adjustRightInd w:val="0"/>
              <w:spacing w:after="0"/>
              <w:ind w:left="227" w:hanging="227"/>
              <w:rPr>
                <w:rFonts w:ascii="Calibri" w:eastAsiaTheme="minorEastAsia" w:hAnsi="Calibri" w:cs="Calibri"/>
                <w:b/>
                <w:bCs/>
                <w:color w:val="000000"/>
                <w:sz w:val="19"/>
                <w:szCs w:val="19"/>
                <w:lang w:eastAsia="en-AU"/>
              </w:rPr>
            </w:pPr>
            <w:r w:rsidRPr="00EF64FD">
              <w:rPr>
                <w:rFonts w:ascii="Calibri" w:eastAsiaTheme="minorEastAsia" w:hAnsi="Calibri" w:cs="Calibri"/>
                <w:b/>
                <w:bCs/>
                <w:color w:val="000000"/>
                <w:sz w:val="19"/>
                <w:szCs w:val="19"/>
                <w:lang w:eastAsia="en-AU"/>
              </w:rPr>
              <w:t>Other economic flows – other comprehensive income</w:t>
            </w:r>
          </w:p>
        </w:tc>
        <w:tc>
          <w:tcPr>
            <w:tcW w:w="283" w:type="dxa"/>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b/>
                <w:bCs/>
                <w:color w:val="000000"/>
                <w:sz w:val="19"/>
                <w:szCs w:val="19"/>
                <w:lang w:eastAsia="en-AU"/>
              </w:rPr>
            </w:pPr>
          </w:p>
        </w:tc>
        <w:tc>
          <w:tcPr>
            <w:tcW w:w="283" w:type="dxa"/>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b/>
                <w:bCs/>
                <w:color w:val="000000"/>
                <w:sz w:val="19"/>
                <w:szCs w:val="19"/>
                <w:lang w:eastAsia="en-AU"/>
              </w:rPr>
            </w:pPr>
          </w:p>
        </w:tc>
        <w:tc>
          <w:tcPr>
            <w:tcW w:w="283" w:type="dxa"/>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b/>
                <w:bCs/>
                <w:color w:val="000000"/>
                <w:sz w:val="19"/>
                <w:szCs w:val="19"/>
                <w:lang w:eastAsia="en-AU"/>
              </w:rPr>
            </w:pPr>
          </w:p>
        </w:tc>
        <w:tc>
          <w:tcPr>
            <w:tcW w:w="283" w:type="dxa"/>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b/>
                <w:bCs/>
                <w:color w:val="000000"/>
                <w:sz w:val="19"/>
                <w:szCs w:val="19"/>
                <w:lang w:eastAsia="en-AU"/>
              </w:rPr>
            </w:pPr>
          </w:p>
        </w:tc>
        <w:tc>
          <w:tcPr>
            <w:tcW w:w="286" w:type="dxa"/>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b/>
                <w:bCs/>
                <w:color w:val="000000"/>
                <w:sz w:val="19"/>
                <w:szCs w:val="19"/>
                <w:lang w:eastAsia="en-AU"/>
              </w:rPr>
            </w:pPr>
          </w:p>
        </w:tc>
      </w:tr>
      <w:tr w:rsidR="00965D85" w:rsidRPr="00EF64FD" w:rsidTr="008B46DF">
        <w:trPr>
          <w:cantSplit/>
        </w:trPr>
        <w:tc>
          <w:tcPr>
            <w:tcW w:w="6347" w:type="dxa"/>
            <w:gridSpan w:val="5"/>
            <w:tcBorders>
              <w:top w:val="nil"/>
              <w:left w:val="nil"/>
              <w:right w:val="nil"/>
            </w:tcBorders>
            <w:shd w:val="clear" w:color="auto" w:fill="FFFFFF"/>
          </w:tcPr>
          <w:p w:rsidR="00965D85" w:rsidRPr="00EF64FD" w:rsidRDefault="00965D85" w:rsidP="008B46DF">
            <w:pPr>
              <w:autoSpaceDE w:val="0"/>
              <w:autoSpaceDN w:val="0"/>
              <w:adjustRightInd w:val="0"/>
              <w:spacing w:after="0"/>
              <w:ind w:left="227" w:hanging="227"/>
              <w:rPr>
                <w:rFonts w:ascii="Calibri" w:eastAsiaTheme="minorEastAsia" w:hAnsi="Calibri" w:cs="Calibri"/>
                <w:b/>
                <w:bCs/>
                <w:color w:val="000000"/>
                <w:sz w:val="19"/>
                <w:szCs w:val="19"/>
                <w:lang w:eastAsia="en-AU"/>
              </w:rPr>
            </w:pPr>
            <w:r w:rsidRPr="00EF64FD">
              <w:rPr>
                <w:rFonts w:ascii="Calibri" w:eastAsiaTheme="minorEastAsia" w:hAnsi="Calibri" w:cs="Calibri"/>
                <w:b/>
                <w:bCs/>
                <w:color w:val="000000"/>
                <w:sz w:val="19"/>
                <w:szCs w:val="19"/>
                <w:lang w:eastAsia="en-AU"/>
              </w:rPr>
              <w:t>Items that will not be reclassified to net result</w:t>
            </w:r>
          </w:p>
        </w:tc>
        <w:tc>
          <w:tcPr>
            <w:tcW w:w="283" w:type="dxa"/>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b/>
                <w:bCs/>
                <w:color w:val="000000"/>
                <w:sz w:val="19"/>
                <w:szCs w:val="19"/>
                <w:lang w:eastAsia="en-AU"/>
              </w:rPr>
            </w:pPr>
          </w:p>
        </w:tc>
        <w:tc>
          <w:tcPr>
            <w:tcW w:w="283" w:type="dxa"/>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b/>
                <w:bCs/>
                <w:color w:val="000000"/>
                <w:sz w:val="19"/>
                <w:szCs w:val="19"/>
                <w:lang w:eastAsia="en-AU"/>
              </w:rPr>
            </w:pPr>
          </w:p>
        </w:tc>
        <w:tc>
          <w:tcPr>
            <w:tcW w:w="283" w:type="dxa"/>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b/>
                <w:bCs/>
                <w:color w:val="000000"/>
                <w:sz w:val="19"/>
                <w:szCs w:val="19"/>
                <w:lang w:eastAsia="en-AU"/>
              </w:rPr>
            </w:pPr>
          </w:p>
        </w:tc>
        <w:tc>
          <w:tcPr>
            <w:tcW w:w="283" w:type="dxa"/>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b/>
                <w:bCs/>
                <w:color w:val="000000"/>
                <w:sz w:val="19"/>
                <w:szCs w:val="19"/>
                <w:lang w:eastAsia="en-AU"/>
              </w:rPr>
            </w:pPr>
          </w:p>
        </w:tc>
        <w:tc>
          <w:tcPr>
            <w:tcW w:w="286" w:type="dxa"/>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b/>
                <w:bCs/>
                <w:color w:val="000000"/>
                <w:sz w:val="19"/>
                <w:szCs w:val="19"/>
                <w:lang w:eastAsia="en-AU"/>
              </w:rPr>
            </w:pPr>
          </w:p>
        </w:tc>
      </w:tr>
      <w:tr w:rsidR="00965D85" w:rsidRPr="00EF64FD" w:rsidTr="008B46DF">
        <w:trPr>
          <w:cantSplit/>
        </w:trPr>
        <w:tc>
          <w:tcPr>
            <w:tcW w:w="3507" w:type="dxa"/>
            <w:tcBorders>
              <w:top w:val="nil"/>
              <w:left w:val="nil"/>
              <w:right w:val="nil"/>
            </w:tcBorders>
            <w:shd w:val="clear" w:color="auto" w:fill="FFFFFF"/>
          </w:tcPr>
          <w:p w:rsidR="00965D85" w:rsidRPr="00EF64FD" w:rsidRDefault="00965D85" w:rsidP="008B46DF">
            <w:pPr>
              <w:autoSpaceDE w:val="0"/>
              <w:autoSpaceDN w:val="0"/>
              <w:adjustRightInd w:val="0"/>
              <w:spacing w:after="0"/>
              <w:ind w:left="227" w:hanging="227"/>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Changes in non</w:t>
            </w:r>
            <w:r w:rsidRPr="00EF64FD">
              <w:rPr>
                <w:rFonts w:ascii="Calibri" w:eastAsiaTheme="minorEastAsia" w:hAnsi="Calibri" w:cs="Calibri"/>
                <w:color w:val="000000"/>
                <w:sz w:val="19"/>
                <w:szCs w:val="19"/>
                <w:lang w:eastAsia="en-AU"/>
              </w:rPr>
              <w:noBreakHyphen/>
              <w:t>financial assets revaluation surplus</w:t>
            </w:r>
          </w:p>
        </w:tc>
        <w:tc>
          <w:tcPr>
            <w:tcW w:w="847" w:type="dxa"/>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2 165.1</w:t>
            </w:r>
          </w:p>
        </w:tc>
        <w:tc>
          <w:tcPr>
            <w:tcW w:w="850" w:type="dxa"/>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2 169.7</w:t>
            </w:r>
          </w:p>
        </w:tc>
        <w:tc>
          <w:tcPr>
            <w:tcW w:w="850" w:type="dxa"/>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498.2</w:t>
            </w:r>
          </w:p>
        </w:tc>
        <w:tc>
          <w:tcPr>
            <w:tcW w:w="859" w:type="dxa"/>
            <w:gridSpan w:val="3"/>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9 114.5</w:t>
            </w:r>
          </w:p>
        </w:tc>
        <w:tc>
          <w:tcPr>
            <w:tcW w:w="852" w:type="dxa"/>
            <w:gridSpan w:val="3"/>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406.7</w:t>
            </w:r>
          </w:p>
        </w:tc>
      </w:tr>
      <w:tr w:rsidR="00965D85" w:rsidRPr="00EF64FD" w:rsidTr="008B46DF">
        <w:trPr>
          <w:cantSplit/>
        </w:trPr>
        <w:tc>
          <w:tcPr>
            <w:tcW w:w="3507" w:type="dxa"/>
            <w:tcBorders>
              <w:top w:val="nil"/>
              <w:left w:val="nil"/>
              <w:right w:val="nil"/>
            </w:tcBorders>
            <w:shd w:val="clear" w:color="auto" w:fill="FFFFFF"/>
          </w:tcPr>
          <w:p w:rsidR="00965D85" w:rsidRPr="00EF64FD" w:rsidRDefault="00965D85" w:rsidP="008B46DF">
            <w:pPr>
              <w:autoSpaceDE w:val="0"/>
              <w:autoSpaceDN w:val="0"/>
              <w:adjustRightInd w:val="0"/>
              <w:spacing w:after="0"/>
              <w:ind w:left="227" w:hanging="227"/>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Remeasurement of superannuation defined benefit plans</w:t>
            </w:r>
          </w:p>
        </w:tc>
        <w:tc>
          <w:tcPr>
            <w:tcW w:w="847" w:type="dxa"/>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958.2</w:t>
            </w:r>
          </w:p>
        </w:tc>
        <w:tc>
          <w:tcPr>
            <w:tcW w:w="850" w:type="dxa"/>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(1 397.2)</w:t>
            </w:r>
          </w:p>
        </w:tc>
        <w:tc>
          <w:tcPr>
            <w:tcW w:w="850" w:type="dxa"/>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842.9</w:t>
            </w:r>
          </w:p>
        </w:tc>
        <w:tc>
          <w:tcPr>
            <w:tcW w:w="859" w:type="dxa"/>
            <w:gridSpan w:val="3"/>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846.0</w:t>
            </w:r>
          </w:p>
        </w:tc>
        <w:tc>
          <w:tcPr>
            <w:tcW w:w="852" w:type="dxa"/>
            <w:gridSpan w:val="3"/>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831.8</w:t>
            </w:r>
          </w:p>
        </w:tc>
      </w:tr>
      <w:tr w:rsidR="00965D85" w:rsidRPr="00EF64FD" w:rsidTr="008B46DF">
        <w:trPr>
          <w:cantSplit/>
        </w:trPr>
        <w:tc>
          <w:tcPr>
            <w:tcW w:w="3507" w:type="dxa"/>
            <w:tcBorders>
              <w:top w:val="nil"/>
              <w:left w:val="nil"/>
              <w:right w:val="nil"/>
            </w:tcBorders>
            <w:shd w:val="clear" w:color="auto" w:fill="FFFFFF"/>
          </w:tcPr>
          <w:p w:rsidR="00965D85" w:rsidRPr="00EF64FD" w:rsidRDefault="00965D85" w:rsidP="008B46DF">
            <w:pPr>
              <w:autoSpaceDE w:val="0"/>
              <w:autoSpaceDN w:val="0"/>
              <w:adjustRightInd w:val="0"/>
              <w:spacing w:after="0"/>
              <w:ind w:left="227" w:hanging="227"/>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Net gain/(loss) on equity investments in other sector entities at proportional share of the carrying amount of net assets</w:t>
            </w:r>
          </w:p>
        </w:tc>
        <w:tc>
          <w:tcPr>
            <w:tcW w:w="847" w:type="dxa"/>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77.5</w:t>
            </w:r>
          </w:p>
        </w:tc>
        <w:tc>
          <w:tcPr>
            <w:tcW w:w="850" w:type="dxa"/>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(416.2)</w:t>
            </w:r>
          </w:p>
        </w:tc>
        <w:tc>
          <w:tcPr>
            <w:tcW w:w="850" w:type="dxa"/>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169.9</w:t>
            </w:r>
          </w:p>
        </w:tc>
        <w:tc>
          <w:tcPr>
            <w:tcW w:w="859" w:type="dxa"/>
            <w:gridSpan w:val="3"/>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850.9</w:t>
            </w:r>
          </w:p>
        </w:tc>
        <w:tc>
          <w:tcPr>
            <w:tcW w:w="852" w:type="dxa"/>
            <w:gridSpan w:val="3"/>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320.4</w:t>
            </w:r>
          </w:p>
        </w:tc>
      </w:tr>
      <w:tr w:rsidR="00965D85" w:rsidRPr="00EF64FD" w:rsidTr="008B46DF">
        <w:trPr>
          <w:cantSplit/>
        </w:trPr>
        <w:tc>
          <w:tcPr>
            <w:tcW w:w="3507" w:type="dxa"/>
            <w:tcBorders>
              <w:top w:val="nil"/>
              <w:left w:val="nil"/>
              <w:bottom w:val="single" w:sz="4" w:space="0" w:color="auto"/>
              <w:right w:val="nil"/>
            </w:tcBorders>
            <w:shd w:val="clear" w:color="auto" w:fill="FFFFFF"/>
          </w:tcPr>
          <w:p w:rsidR="00965D85" w:rsidRPr="00EF64FD" w:rsidRDefault="00965D85" w:rsidP="008B46DF">
            <w:pPr>
              <w:autoSpaceDE w:val="0"/>
              <w:autoSpaceDN w:val="0"/>
              <w:adjustRightInd w:val="0"/>
              <w:spacing w:after="0"/>
              <w:ind w:left="227" w:hanging="227"/>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Other movements in equity</w:t>
            </w:r>
          </w:p>
        </w:tc>
        <w:tc>
          <w:tcPr>
            <w:tcW w:w="847" w:type="dxa"/>
            <w:tcBorders>
              <w:top w:val="nil"/>
              <w:left w:val="nil"/>
              <w:bottom w:val="single" w:sz="4" w:space="0" w:color="auto"/>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490.4</w:t>
            </w:r>
          </w:p>
        </w:tc>
        <w:tc>
          <w:tcPr>
            <w:tcW w:w="850" w:type="dxa"/>
            <w:tcBorders>
              <w:top w:val="nil"/>
              <w:left w:val="nil"/>
              <w:bottom w:val="single" w:sz="4" w:space="0" w:color="auto"/>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(357.2)</w:t>
            </w:r>
          </w:p>
        </w:tc>
        <w:tc>
          <w:tcPr>
            <w:tcW w:w="850" w:type="dxa"/>
            <w:tcBorders>
              <w:top w:val="nil"/>
              <w:left w:val="nil"/>
              <w:bottom w:val="single" w:sz="4" w:space="0" w:color="auto"/>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146.7</w:t>
            </w:r>
          </w:p>
        </w:tc>
        <w:tc>
          <w:tcPr>
            <w:tcW w:w="859" w:type="dxa"/>
            <w:gridSpan w:val="3"/>
            <w:tcBorders>
              <w:top w:val="nil"/>
              <w:left w:val="nil"/>
              <w:bottom w:val="single" w:sz="4" w:space="0" w:color="auto"/>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(11.6)</w:t>
            </w:r>
          </w:p>
        </w:tc>
        <w:tc>
          <w:tcPr>
            <w:tcW w:w="852" w:type="dxa"/>
            <w:gridSpan w:val="3"/>
            <w:tcBorders>
              <w:top w:val="nil"/>
              <w:left w:val="nil"/>
              <w:bottom w:val="single" w:sz="4" w:space="0" w:color="auto"/>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11.6</w:t>
            </w:r>
          </w:p>
        </w:tc>
      </w:tr>
      <w:tr w:rsidR="00965D85" w:rsidRPr="00EF64FD" w:rsidTr="008B46DF">
        <w:trPr>
          <w:cantSplit/>
        </w:trPr>
        <w:tc>
          <w:tcPr>
            <w:tcW w:w="6347" w:type="dxa"/>
            <w:gridSpan w:val="5"/>
            <w:tcBorders>
              <w:top w:val="nil"/>
              <w:left w:val="nil"/>
              <w:bottom w:val="nil"/>
              <w:right w:val="nil"/>
            </w:tcBorders>
            <w:shd w:val="clear" w:color="auto" w:fill="FFFFFF"/>
          </w:tcPr>
          <w:p w:rsidR="00965D85" w:rsidRPr="00EF64FD" w:rsidRDefault="00965D85" w:rsidP="008B46DF">
            <w:pPr>
              <w:autoSpaceDE w:val="0"/>
              <w:autoSpaceDN w:val="0"/>
              <w:adjustRightInd w:val="0"/>
              <w:spacing w:after="0"/>
              <w:ind w:left="227" w:hanging="227"/>
              <w:rPr>
                <w:rFonts w:ascii="Calibri" w:eastAsiaTheme="minorEastAsia" w:hAnsi="Calibri" w:cs="Calibri"/>
                <w:b/>
                <w:bCs/>
                <w:color w:val="000000"/>
                <w:sz w:val="19"/>
                <w:szCs w:val="19"/>
                <w:lang w:eastAsia="en-AU"/>
              </w:rPr>
            </w:pPr>
            <w:r w:rsidRPr="00EF64FD">
              <w:rPr>
                <w:rFonts w:ascii="Calibri" w:eastAsiaTheme="minorEastAsia" w:hAnsi="Calibri" w:cs="Calibri"/>
                <w:b/>
                <w:bCs/>
                <w:color w:val="000000"/>
                <w:sz w:val="19"/>
                <w:szCs w:val="19"/>
                <w:lang w:eastAsia="en-AU"/>
              </w:rPr>
              <w:t>Items that may be reclassified subsequently to net result</w:t>
            </w:r>
          </w:p>
        </w:tc>
        <w:tc>
          <w:tcPr>
            <w:tcW w:w="283" w:type="dxa"/>
            <w:tcBorders>
              <w:top w:val="nil"/>
              <w:left w:val="nil"/>
              <w:bottom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b/>
                <w:bCs/>
                <w:color w:val="000000"/>
                <w:sz w:val="19"/>
                <w:szCs w:val="19"/>
                <w:lang w:eastAsia="en-AU"/>
              </w:rPr>
            </w:pPr>
          </w:p>
        </w:tc>
        <w:tc>
          <w:tcPr>
            <w:tcW w:w="283" w:type="dxa"/>
            <w:tcBorders>
              <w:top w:val="nil"/>
              <w:left w:val="nil"/>
              <w:bottom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b/>
                <w:bCs/>
                <w:color w:val="000000"/>
                <w:sz w:val="19"/>
                <w:szCs w:val="19"/>
                <w:lang w:eastAsia="en-AU"/>
              </w:rPr>
            </w:pPr>
          </w:p>
        </w:tc>
        <w:tc>
          <w:tcPr>
            <w:tcW w:w="283" w:type="dxa"/>
            <w:tcBorders>
              <w:top w:val="nil"/>
              <w:left w:val="nil"/>
              <w:bottom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b/>
                <w:bCs/>
                <w:color w:val="000000"/>
                <w:sz w:val="19"/>
                <w:szCs w:val="19"/>
                <w:lang w:eastAsia="en-AU"/>
              </w:rPr>
            </w:pPr>
          </w:p>
        </w:tc>
        <w:tc>
          <w:tcPr>
            <w:tcW w:w="283" w:type="dxa"/>
            <w:tcBorders>
              <w:top w:val="nil"/>
              <w:left w:val="nil"/>
              <w:bottom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b/>
                <w:bCs/>
                <w:color w:val="000000"/>
                <w:sz w:val="19"/>
                <w:szCs w:val="19"/>
                <w:lang w:eastAsia="en-AU"/>
              </w:rPr>
            </w:pPr>
          </w:p>
        </w:tc>
        <w:tc>
          <w:tcPr>
            <w:tcW w:w="286" w:type="dxa"/>
            <w:tcBorders>
              <w:top w:val="nil"/>
              <w:left w:val="nil"/>
              <w:bottom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b/>
                <w:bCs/>
                <w:color w:val="000000"/>
                <w:sz w:val="19"/>
                <w:szCs w:val="19"/>
                <w:lang w:eastAsia="en-AU"/>
              </w:rPr>
            </w:pPr>
          </w:p>
        </w:tc>
      </w:tr>
      <w:tr w:rsidR="00965D85" w:rsidRPr="00EF64FD" w:rsidTr="008B46DF">
        <w:trPr>
          <w:cantSplit/>
        </w:trPr>
        <w:tc>
          <w:tcPr>
            <w:tcW w:w="3507" w:type="dxa"/>
            <w:tcBorders>
              <w:top w:val="nil"/>
              <w:left w:val="nil"/>
              <w:bottom w:val="single" w:sz="6" w:space="0" w:color="000000"/>
              <w:right w:val="nil"/>
            </w:tcBorders>
            <w:shd w:val="clear" w:color="auto" w:fill="FFFFFF"/>
          </w:tcPr>
          <w:p w:rsidR="00965D85" w:rsidRPr="00EF64FD" w:rsidRDefault="00965D85" w:rsidP="008B46DF">
            <w:pPr>
              <w:autoSpaceDE w:val="0"/>
              <w:autoSpaceDN w:val="0"/>
              <w:adjustRightInd w:val="0"/>
              <w:spacing w:after="0"/>
              <w:ind w:left="227" w:hanging="227"/>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Net gain/(loss) on financial assets at fair value</w:t>
            </w:r>
          </w:p>
        </w:tc>
        <w:tc>
          <w:tcPr>
            <w:tcW w:w="847" w:type="dxa"/>
            <w:tcBorders>
              <w:top w:val="nil"/>
              <w:left w:val="nil"/>
              <w:bottom w:val="single" w:sz="6" w:space="0" w:color="000000"/>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28.5</w:t>
            </w:r>
          </w:p>
        </w:tc>
        <w:tc>
          <w:tcPr>
            <w:tcW w:w="850" w:type="dxa"/>
            <w:tcBorders>
              <w:top w:val="nil"/>
              <w:left w:val="nil"/>
              <w:bottom w:val="single" w:sz="6" w:space="0" w:color="000000"/>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22.5</w:t>
            </w:r>
          </w:p>
        </w:tc>
        <w:tc>
          <w:tcPr>
            <w:tcW w:w="850" w:type="dxa"/>
            <w:tcBorders>
              <w:top w:val="nil"/>
              <w:left w:val="nil"/>
              <w:bottom w:val="single" w:sz="6" w:space="0" w:color="000000"/>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w:t>
            </w:r>
          </w:p>
        </w:tc>
        <w:tc>
          <w:tcPr>
            <w:tcW w:w="859" w:type="dxa"/>
            <w:gridSpan w:val="3"/>
            <w:tcBorders>
              <w:top w:val="nil"/>
              <w:left w:val="nil"/>
              <w:bottom w:val="single" w:sz="6" w:space="0" w:color="000000"/>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0.7</w:t>
            </w:r>
          </w:p>
        </w:tc>
        <w:tc>
          <w:tcPr>
            <w:tcW w:w="852" w:type="dxa"/>
            <w:gridSpan w:val="3"/>
            <w:tcBorders>
              <w:top w:val="nil"/>
              <w:left w:val="nil"/>
              <w:bottom w:val="single" w:sz="6" w:space="0" w:color="000000"/>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(1.4)</w:t>
            </w:r>
          </w:p>
        </w:tc>
      </w:tr>
      <w:tr w:rsidR="00965D85" w:rsidRPr="00EF64FD" w:rsidTr="008B46DF">
        <w:trPr>
          <w:cantSplit/>
        </w:trPr>
        <w:tc>
          <w:tcPr>
            <w:tcW w:w="3507" w:type="dxa"/>
            <w:tcBorders>
              <w:top w:val="single" w:sz="6" w:space="0" w:color="000000"/>
              <w:left w:val="nil"/>
              <w:bottom w:val="single" w:sz="6" w:space="0" w:color="000000"/>
              <w:right w:val="nil"/>
            </w:tcBorders>
            <w:shd w:val="clear" w:color="auto" w:fill="FFFFFF"/>
          </w:tcPr>
          <w:p w:rsidR="00965D85" w:rsidRPr="00EF64FD" w:rsidRDefault="00965D85" w:rsidP="008B46DF">
            <w:pPr>
              <w:autoSpaceDE w:val="0"/>
              <w:autoSpaceDN w:val="0"/>
              <w:adjustRightInd w:val="0"/>
              <w:spacing w:after="0"/>
              <w:ind w:left="227" w:hanging="227"/>
              <w:rPr>
                <w:rFonts w:ascii="Calibri" w:eastAsiaTheme="minorEastAsia" w:hAnsi="Calibri" w:cs="Calibri"/>
                <w:b/>
                <w:bCs/>
                <w:color w:val="000000"/>
                <w:sz w:val="19"/>
                <w:szCs w:val="19"/>
                <w:lang w:eastAsia="en-AU"/>
              </w:rPr>
            </w:pPr>
            <w:r w:rsidRPr="00EF64FD">
              <w:rPr>
                <w:rFonts w:ascii="Calibri" w:eastAsiaTheme="minorEastAsia" w:hAnsi="Calibri" w:cs="Calibri"/>
                <w:b/>
                <w:bCs/>
                <w:color w:val="000000"/>
                <w:sz w:val="19"/>
                <w:szCs w:val="19"/>
                <w:lang w:eastAsia="en-AU"/>
              </w:rPr>
              <w:t>Total other economic flows – other comprehensive income</w:t>
            </w:r>
          </w:p>
        </w:tc>
        <w:tc>
          <w:tcPr>
            <w:tcW w:w="847" w:type="dxa"/>
            <w:tcBorders>
              <w:top w:val="single" w:sz="6" w:space="0" w:color="000000"/>
              <w:left w:val="nil"/>
              <w:bottom w:val="single" w:sz="6" w:space="0" w:color="000000"/>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b/>
                <w:bCs/>
                <w:color w:val="000000"/>
                <w:sz w:val="19"/>
                <w:szCs w:val="19"/>
                <w:lang w:eastAsia="en-AU"/>
              </w:rPr>
            </w:pPr>
            <w:r w:rsidRPr="00EF64FD">
              <w:rPr>
                <w:rFonts w:ascii="Calibri" w:eastAsiaTheme="minorEastAsia" w:hAnsi="Calibri" w:cs="Calibri"/>
                <w:b/>
                <w:bCs/>
                <w:color w:val="000000"/>
                <w:sz w:val="19"/>
                <w:szCs w:val="19"/>
                <w:lang w:eastAsia="en-AU"/>
              </w:rPr>
              <w:t>3 719.7</w:t>
            </w:r>
          </w:p>
        </w:tc>
        <w:tc>
          <w:tcPr>
            <w:tcW w:w="850" w:type="dxa"/>
            <w:tcBorders>
              <w:top w:val="single" w:sz="6" w:space="0" w:color="000000"/>
              <w:left w:val="nil"/>
              <w:bottom w:val="single" w:sz="6" w:space="0" w:color="000000"/>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b/>
                <w:bCs/>
                <w:color w:val="000000"/>
                <w:sz w:val="19"/>
                <w:szCs w:val="19"/>
                <w:lang w:eastAsia="en-AU"/>
              </w:rPr>
            </w:pPr>
            <w:r w:rsidRPr="00EF64FD">
              <w:rPr>
                <w:rFonts w:ascii="Calibri" w:eastAsiaTheme="minorEastAsia" w:hAnsi="Calibri" w:cs="Calibri"/>
                <w:b/>
                <w:bCs/>
                <w:color w:val="000000"/>
                <w:sz w:val="19"/>
                <w:szCs w:val="19"/>
                <w:lang w:eastAsia="en-AU"/>
              </w:rPr>
              <w:t>21.6</w:t>
            </w:r>
          </w:p>
        </w:tc>
        <w:tc>
          <w:tcPr>
            <w:tcW w:w="850" w:type="dxa"/>
            <w:tcBorders>
              <w:top w:val="single" w:sz="6" w:space="0" w:color="000000"/>
              <w:left w:val="nil"/>
              <w:bottom w:val="single" w:sz="6" w:space="0" w:color="000000"/>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b/>
                <w:bCs/>
                <w:color w:val="000000"/>
                <w:sz w:val="19"/>
                <w:szCs w:val="19"/>
                <w:lang w:eastAsia="en-AU"/>
              </w:rPr>
            </w:pPr>
            <w:r w:rsidRPr="00EF64FD">
              <w:rPr>
                <w:rFonts w:ascii="Calibri" w:eastAsiaTheme="minorEastAsia" w:hAnsi="Calibri" w:cs="Calibri"/>
                <w:b/>
                <w:bCs/>
                <w:color w:val="000000"/>
                <w:sz w:val="19"/>
                <w:szCs w:val="19"/>
                <w:lang w:eastAsia="en-AU"/>
              </w:rPr>
              <w:t>1 657.8</w:t>
            </w:r>
          </w:p>
        </w:tc>
        <w:tc>
          <w:tcPr>
            <w:tcW w:w="859" w:type="dxa"/>
            <w:gridSpan w:val="3"/>
            <w:tcBorders>
              <w:top w:val="single" w:sz="6" w:space="0" w:color="000000"/>
              <w:left w:val="nil"/>
              <w:bottom w:val="single" w:sz="6" w:space="0" w:color="000000"/>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b/>
                <w:bCs/>
                <w:color w:val="000000"/>
                <w:sz w:val="19"/>
                <w:szCs w:val="19"/>
                <w:lang w:eastAsia="en-AU"/>
              </w:rPr>
            </w:pPr>
            <w:r w:rsidRPr="00EF64FD">
              <w:rPr>
                <w:rFonts w:ascii="Calibri" w:eastAsiaTheme="minorEastAsia" w:hAnsi="Calibri" w:cs="Calibri"/>
                <w:b/>
                <w:bCs/>
                <w:color w:val="000000"/>
                <w:sz w:val="19"/>
                <w:szCs w:val="19"/>
                <w:lang w:eastAsia="en-AU"/>
              </w:rPr>
              <w:t>10 800.6</w:t>
            </w:r>
          </w:p>
        </w:tc>
        <w:tc>
          <w:tcPr>
            <w:tcW w:w="852" w:type="dxa"/>
            <w:gridSpan w:val="3"/>
            <w:tcBorders>
              <w:top w:val="single" w:sz="6" w:space="0" w:color="000000"/>
              <w:left w:val="nil"/>
              <w:bottom w:val="single" w:sz="6" w:space="0" w:color="000000"/>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b/>
                <w:bCs/>
                <w:color w:val="000000"/>
                <w:sz w:val="19"/>
                <w:szCs w:val="19"/>
                <w:lang w:eastAsia="en-AU"/>
              </w:rPr>
            </w:pPr>
            <w:r w:rsidRPr="00EF64FD">
              <w:rPr>
                <w:rFonts w:ascii="Calibri" w:eastAsiaTheme="minorEastAsia" w:hAnsi="Calibri" w:cs="Calibri"/>
                <w:b/>
                <w:bCs/>
                <w:color w:val="000000"/>
                <w:sz w:val="19"/>
                <w:szCs w:val="19"/>
                <w:lang w:eastAsia="en-AU"/>
              </w:rPr>
              <w:t>1 569.1</w:t>
            </w:r>
          </w:p>
        </w:tc>
      </w:tr>
      <w:tr w:rsidR="00965D85" w:rsidRPr="00EF64FD" w:rsidTr="008B46DF">
        <w:trPr>
          <w:cantSplit/>
        </w:trPr>
        <w:tc>
          <w:tcPr>
            <w:tcW w:w="3507" w:type="dxa"/>
            <w:tcBorders>
              <w:top w:val="single" w:sz="6" w:space="0" w:color="000000"/>
              <w:left w:val="nil"/>
              <w:bottom w:val="single" w:sz="12" w:space="0" w:color="000000"/>
              <w:right w:val="nil"/>
            </w:tcBorders>
            <w:shd w:val="clear" w:color="auto" w:fill="FFFFFF"/>
          </w:tcPr>
          <w:p w:rsidR="00965D85" w:rsidRPr="00EF64FD" w:rsidRDefault="00965D85" w:rsidP="008B46DF">
            <w:pPr>
              <w:autoSpaceDE w:val="0"/>
              <w:autoSpaceDN w:val="0"/>
              <w:adjustRightInd w:val="0"/>
              <w:spacing w:after="0"/>
              <w:ind w:left="227" w:hanging="227"/>
              <w:rPr>
                <w:rFonts w:ascii="Calibri" w:eastAsiaTheme="minorEastAsia" w:hAnsi="Calibri" w:cs="Calibri"/>
                <w:b/>
                <w:bCs/>
                <w:color w:val="000000"/>
                <w:sz w:val="19"/>
                <w:szCs w:val="19"/>
                <w:lang w:eastAsia="en-AU"/>
              </w:rPr>
            </w:pPr>
            <w:r w:rsidRPr="00EF64FD">
              <w:rPr>
                <w:rFonts w:ascii="Calibri" w:eastAsiaTheme="minorEastAsia" w:hAnsi="Calibri" w:cs="Calibri"/>
                <w:b/>
                <w:bCs/>
                <w:color w:val="000000"/>
                <w:sz w:val="19"/>
                <w:szCs w:val="19"/>
                <w:lang w:eastAsia="en-AU"/>
              </w:rPr>
              <w:t>Comprehensive result – total change in net worth</w:t>
            </w:r>
          </w:p>
        </w:tc>
        <w:tc>
          <w:tcPr>
            <w:tcW w:w="847" w:type="dxa"/>
            <w:tcBorders>
              <w:top w:val="single" w:sz="6" w:space="0" w:color="000000"/>
              <w:left w:val="nil"/>
              <w:bottom w:val="single" w:sz="12" w:space="0" w:color="000000"/>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b/>
                <w:bCs/>
                <w:color w:val="000000"/>
                <w:sz w:val="19"/>
                <w:szCs w:val="19"/>
                <w:lang w:eastAsia="en-AU"/>
              </w:rPr>
            </w:pPr>
            <w:r w:rsidRPr="00EF64FD">
              <w:rPr>
                <w:rFonts w:ascii="Calibri" w:eastAsiaTheme="minorEastAsia" w:hAnsi="Calibri" w:cs="Calibri"/>
                <w:b/>
                <w:bCs/>
                <w:color w:val="000000"/>
                <w:sz w:val="19"/>
                <w:szCs w:val="19"/>
                <w:lang w:eastAsia="en-AU"/>
              </w:rPr>
              <w:t>8 011.2</w:t>
            </w:r>
          </w:p>
        </w:tc>
        <w:tc>
          <w:tcPr>
            <w:tcW w:w="850" w:type="dxa"/>
            <w:tcBorders>
              <w:top w:val="single" w:sz="6" w:space="0" w:color="000000"/>
              <w:left w:val="nil"/>
              <w:bottom w:val="single" w:sz="12" w:space="0" w:color="000000"/>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b/>
                <w:bCs/>
                <w:color w:val="000000"/>
                <w:sz w:val="19"/>
                <w:szCs w:val="19"/>
                <w:lang w:eastAsia="en-AU"/>
              </w:rPr>
            </w:pPr>
            <w:r w:rsidRPr="00EF64FD">
              <w:rPr>
                <w:rFonts w:ascii="Calibri" w:eastAsiaTheme="minorEastAsia" w:hAnsi="Calibri" w:cs="Calibri"/>
                <w:b/>
                <w:bCs/>
                <w:color w:val="000000"/>
                <w:sz w:val="19"/>
                <w:szCs w:val="19"/>
                <w:lang w:eastAsia="en-AU"/>
              </w:rPr>
              <w:t>4 171.1</w:t>
            </w:r>
          </w:p>
        </w:tc>
        <w:tc>
          <w:tcPr>
            <w:tcW w:w="850" w:type="dxa"/>
            <w:tcBorders>
              <w:top w:val="single" w:sz="6" w:space="0" w:color="000000"/>
              <w:left w:val="nil"/>
              <w:bottom w:val="single" w:sz="12" w:space="0" w:color="000000"/>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b/>
                <w:bCs/>
                <w:color w:val="000000"/>
                <w:sz w:val="19"/>
                <w:szCs w:val="19"/>
                <w:lang w:eastAsia="en-AU"/>
              </w:rPr>
            </w:pPr>
            <w:r w:rsidRPr="00EF64FD">
              <w:rPr>
                <w:rFonts w:ascii="Calibri" w:eastAsiaTheme="minorEastAsia" w:hAnsi="Calibri" w:cs="Calibri"/>
                <w:b/>
                <w:bCs/>
                <w:color w:val="000000"/>
                <w:sz w:val="19"/>
                <w:szCs w:val="19"/>
                <w:lang w:eastAsia="en-AU"/>
              </w:rPr>
              <w:t>2 338.8</w:t>
            </w:r>
          </w:p>
        </w:tc>
        <w:tc>
          <w:tcPr>
            <w:tcW w:w="859" w:type="dxa"/>
            <w:gridSpan w:val="3"/>
            <w:tcBorders>
              <w:top w:val="single" w:sz="6" w:space="0" w:color="000000"/>
              <w:left w:val="nil"/>
              <w:bottom w:val="single" w:sz="12" w:space="0" w:color="000000"/>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b/>
                <w:bCs/>
                <w:color w:val="000000"/>
                <w:sz w:val="19"/>
                <w:szCs w:val="19"/>
                <w:lang w:eastAsia="en-AU"/>
              </w:rPr>
            </w:pPr>
            <w:r w:rsidRPr="00EF64FD">
              <w:rPr>
                <w:rFonts w:ascii="Calibri" w:eastAsiaTheme="minorEastAsia" w:hAnsi="Calibri" w:cs="Calibri"/>
                <w:b/>
                <w:bCs/>
                <w:color w:val="000000"/>
                <w:sz w:val="19"/>
                <w:szCs w:val="19"/>
                <w:lang w:eastAsia="en-AU"/>
              </w:rPr>
              <w:t>11 892.3</w:t>
            </w:r>
          </w:p>
        </w:tc>
        <w:tc>
          <w:tcPr>
            <w:tcW w:w="852" w:type="dxa"/>
            <w:gridSpan w:val="3"/>
            <w:tcBorders>
              <w:top w:val="single" w:sz="6" w:space="0" w:color="000000"/>
              <w:left w:val="nil"/>
              <w:bottom w:val="single" w:sz="12" w:space="0" w:color="000000"/>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b/>
                <w:bCs/>
                <w:color w:val="000000"/>
                <w:sz w:val="19"/>
                <w:szCs w:val="19"/>
                <w:lang w:eastAsia="en-AU"/>
              </w:rPr>
            </w:pPr>
            <w:r w:rsidRPr="00EF64FD">
              <w:rPr>
                <w:rFonts w:ascii="Calibri" w:eastAsiaTheme="minorEastAsia" w:hAnsi="Calibri" w:cs="Calibri"/>
                <w:b/>
                <w:bCs/>
                <w:color w:val="000000"/>
                <w:sz w:val="19"/>
                <w:szCs w:val="19"/>
                <w:lang w:eastAsia="en-AU"/>
              </w:rPr>
              <w:t>2 394.8</w:t>
            </w:r>
          </w:p>
        </w:tc>
      </w:tr>
      <w:tr w:rsidR="00965D85" w:rsidRPr="00EF64FD" w:rsidTr="008B46DF">
        <w:trPr>
          <w:cantSplit/>
          <w:trHeight w:hRule="exact" w:val="120"/>
        </w:trPr>
        <w:tc>
          <w:tcPr>
            <w:tcW w:w="3507" w:type="dxa"/>
            <w:tcBorders>
              <w:top w:val="single" w:sz="12" w:space="0" w:color="000000"/>
              <w:left w:val="nil"/>
              <w:right w:val="nil"/>
            </w:tcBorders>
            <w:shd w:val="clear" w:color="auto" w:fill="FFFFFF"/>
          </w:tcPr>
          <w:p w:rsidR="00965D85" w:rsidRPr="00EF64FD" w:rsidRDefault="00965D85" w:rsidP="008B46DF">
            <w:pPr>
              <w:autoSpaceDE w:val="0"/>
              <w:autoSpaceDN w:val="0"/>
              <w:adjustRightInd w:val="0"/>
              <w:spacing w:after="0"/>
              <w:ind w:left="227" w:hanging="227"/>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 xml:space="preserve"> </w:t>
            </w:r>
          </w:p>
        </w:tc>
        <w:tc>
          <w:tcPr>
            <w:tcW w:w="847" w:type="dxa"/>
            <w:tcBorders>
              <w:top w:val="single" w:sz="12" w:space="0" w:color="000000"/>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p>
        </w:tc>
        <w:tc>
          <w:tcPr>
            <w:tcW w:w="850" w:type="dxa"/>
            <w:tcBorders>
              <w:top w:val="single" w:sz="12" w:space="0" w:color="000000"/>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p>
        </w:tc>
        <w:tc>
          <w:tcPr>
            <w:tcW w:w="850" w:type="dxa"/>
            <w:tcBorders>
              <w:top w:val="single" w:sz="12" w:space="0" w:color="000000"/>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p>
        </w:tc>
        <w:tc>
          <w:tcPr>
            <w:tcW w:w="859" w:type="dxa"/>
            <w:gridSpan w:val="3"/>
            <w:tcBorders>
              <w:top w:val="single" w:sz="12" w:space="0" w:color="000000"/>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p>
        </w:tc>
        <w:tc>
          <w:tcPr>
            <w:tcW w:w="852" w:type="dxa"/>
            <w:gridSpan w:val="3"/>
            <w:tcBorders>
              <w:top w:val="single" w:sz="12" w:space="0" w:color="000000"/>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p>
        </w:tc>
      </w:tr>
    </w:tbl>
    <w:p w:rsidR="00965D85" w:rsidRPr="008067C3" w:rsidRDefault="00965D85" w:rsidP="008B46DF">
      <w:pPr>
        <w:pStyle w:val="Tableheading"/>
      </w:pPr>
      <w:r w:rsidRPr="008067C3">
        <w:lastRenderedPageBreak/>
        <w:t>Table 5.7:</w:t>
      </w:r>
      <w:r w:rsidRPr="008067C3">
        <w:tab/>
        <w:t>Non</w:t>
      </w:r>
      <w:r w:rsidRPr="008067C3">
        <w:noBreakHyphen/>
        <w:t>financial public sector comprehensive operating statement for the financial year ended 30 June</w:t>
      </w:r>
      <w:r w:rsidRPr="008067C3">
        <w:rPr>
          <w:vertAlign w:val="superscript"/>
        </w:rPr>
        <w:t>(a)</w:t>
      </w:r>
      <w:r w:rsidRPr="008067C3">
        <w:t xml:space="preserve"> </w:t>
      </w:r>
      <w:r w:rsidRPr="008067C3">
        <w:rPr>
          <w:i/>
        </w:rPr>
        <w:t>(continued)</w:t>
      </w:r>
    </w:p>
    <w:tbl>
      <w:tblPr>
        <w:tblW w:w="7765" w:type="dxa"/>
        <w:tblInd w:w="45" w:type="dxa"/>
        <w:tblLayout w:type="fixed"/>
        <w:tblCellMar>
          <w:left w:w="45" w:type="dxa"/>
          <w:right w:w="45" w:type="dxa"/>
        </w:tblCellMar>
        <w:tblLook w:val="0000" w:firstRow="0" w:lastRow="0" w:firstColumn="0" w:lastColumn="0" w:noHBand="0" w:noVBand="0"/>
      </w:tblPr>
      <w:tblGrid>
        <w:gridCol w:w="3507"/>
        <w:gridCol w:w="847"/>
        <w:gridCol w:w="850"/>
        <w:gridCol w:w="850"/>
        <w:gridCol w:w="859"/>
        <w:gridCol w:w="852"/>
      </w:tblGrid>
      <w:tr w:rsidR="00965D85" w:rsidRPr="00EF64FD" w:rsidTr="008B46DF">
        <w:trPr>
          <w:cantSplit/>
          <w:tblHeader/>
        </w:trPr>
        <w:tc>
          <w:tcPr>
            <w:tcW w:w="7765" w:type="dxa"/>
            <w:gridSpan w:val="6"/>
            <w:tcBorders>
              <w:bottom w:val="nil"/>
              <w:right w:val="nil"/>
            </w:tcBorders>
            <w:shd w:val="clear" w:color="000000" w:fill="auto"/>
          </w:tcPr>
          <w:p w:rsidR="00965D85" w:rsidRPr="00EF64FD" w:rsidRDefault="00965D85" w:rsidP="008B46DF">
            <w:pPr>
              <w:pStyle w:val="million"/>
              <w:rPr>
                <w:rFonts w:eastAsiaTheme="minorEastAsia" w:cs="Calibri"/>
                <w:iCs/>
                <w:color w:val="000000"/>
                <w:sz w:val="19"/>
                <w:szCs w:val="19"/>
                <w:lang w:eastAsia="en-AU"/>
              </w:rPr>
            </w:pPr>
            <w:r w:rsidRPr="00EF64FD">
              <w:rPr>
                <w:rFonts w:eastAsiaTheme="minorEastAsia"/>
                <w:sz w:val="19"/>
                <w:szCs w:val="19"/>
                <w:lang w:eastAsia="en-AU"/>
              </w:rPr>
              <w:t>($ million)</w:t>
            </w:r>
          </w:p>
        </w:tc>
      </w:tr>
      <w:tr w:rsidR="00965D85" w:rsidRPr="00EF64FD" w:rsidTr="008B46DF">
        <w:trPr>
          <w:cantSplit/>
          <w:trHeight w:val="507"/>
          <w:tblHeader/>
        </w:trPr>
        <w:tc>
          <w:tcPr>
            <w:tcW w:w="3507" w:type="dxa"/>
            <w:tcBorders>
              <w:top w:val="single" w:sz="6" w:space="0" w:color="auto"/>
              <w:left w:val="single" w:sz="6" w:space="0" w:color="auto"/>
              <w:right w:val="nil"/>
            </w:tcBorders>
            <w:shd w:val="clear" w:color="000000" w:fill="000000"/>
          </w:tcPr>
          <w:p w:rsidR="00965D85" w:rsidRPr="00EF64FD" w:rsidRDefault="00965D85" w:rsidP="008B46DF">
            <w:pPr>
              <w:pStyle w:val="Tabletextheading"/>
              <w:jc w:val="left"/>
              <w:rPr>
                <w:rFonts w:eastAsiaTheme="minorEastAsia"/>
                <w:color w:val="FFFFFF"/>
                <w:sz w:val="19"/>
                <w:szCs w:val="19"/>
                <w:lang w:eastAsia="en-AU"/>
              </w:rPr>
            </w:pPr>
            <w:r w:rsidRPr="00EF64FD">
              <w:rPr>
                <w:rFonts w:eastAsiaTheme="minorEastAsia"/>
                <w:color w:val="FFFFFF"/>
                <w:sz w:val="19"/>
                <w:szCs w:val="19"/>
                <w:lang w:eastAsia="en-AU"/>
              </w:rPr>
              <w:t xml:space="preserve"> </w:t>
            </w:r>
          </w:p>
          <w:p w:rsidR="00965D85" w:rsidRPr="00EF64FD" w:rsidRDefault="00965D85" w:rsidP="008B46DF">
            <w:pPr>
              <w:autoSpaceDE w:val="0"/>
              <w:autoSpaceDN w:val="0"/>
              <w:adjustRightInd w:val="0"/>
              <w:spacing w:after="0"/>
              <w:rPr>
                <w:rFonts w:eastAsiaTheme="minorEastAsia"/>
                <w:color w:val="FFFFFF"/>
                <w:sz w:val="19"/>
                <w:szCs w:val="19"/>
                <w:lang w:eastAsia="en-AU"/>
              </w:rPr>
            </w:pPr>
            <w:r w:rsidRPr="00EF64FD">
              <w:rPr>
                <w:rFonts w:ascii="Calibri" w:eastAsiaTheme="minorEastAsia" w:hAnsi="Calibri" w:cs="Calibri"/>
                <w:sz w:val="19"/>
                <w:szCs w:val="19"/>
                <w:lang w:eastAsia="en-AU"/>
              </w:rPr>
              <w:t xml:space="preserve"> </w:t>
            </w:r>
          </w:p>
        </w:tc>
        <w:tc>
          <w:tcPr>
            <w:tcW w:w="847" w:type="dxa"/>
            <w:tcBorders>
              <w:top w:val="single" w:sz="6" w:space="0" w:color="auto"/>
              <w:left w:val="nil"/>
              <w:right w:val="nil"/>
            </w:tcBorders>
            <w:shd w:val="clear" w:color="000000" w:fill="000000"/>
          </w:tcPr>
          <w:p w:rsidR="00965D85" w:rsidRPr="00EF64FD" w:rsidRDefault="00965D85" w:rsidP="008B46DF">
            <w:pPr>
              <w:pStyle w:val="Tabletextheading"/>
              <w:rPr>
                <w:rFonts w:eastAsiaTheme="minorEastAsia"/>
                <w:sz w:val="19"/>
                <w:szCs w:val="19"/>
                <w:lang w:eastAsia="en-AU"/>
              </w:rPr>
            </w:pPr>
            <w:r w:rsidRPr="00EF64FD">
              <w:rPr>
                <w:rFonts w:eastAsiaTheme="minorEastAsia"/>
                <w:sz w:val="19"/>
                <w:szCs w:val="19"/>
                <w:lang w:eastAsia="en-AU"/>
              </w:rPr>
              <w:t>2015</w:t>
            </w:r>
            <w:r w:rsidRPr="00EF64FD">
              <w:rPr>
                <w:rFonts w:eastAsiaTheme="minorEastAsia"/>
                <w:sz w:val="19"/>
                <w:szCs w:val="19"/>
                <w:lang w:eastAsia="en-AU"/>
              </w:rPr>
              <w:noBreakHyphen/>
              <w:t xml:space="preserve">16 </w:t>
            </w:r>
          </w:p>
          <w:p w:rsidR="00965D85" w:rsidRPr="00EF64FD" w:rsidRDefault="00965D85" w:rsidP="008B46DF">
            <w:pPr>
              <w:pStyle w:val="Tabletextheading"/>
              <w:rPr>
                <w:rFonts w:eastAsiaTheme="minorEastAsia"/>
                <w:sz w:val="19"/>
                <w:szCs w:val="19"/>
                <w:lang w:eastAsia="en-AU"/>
              </w:rPr>
            </w:pPr>
            <w:r w:rsidRPr="00EF64FD">
              <w:rPr>
                <w:rFonts w:eastAsiaTheme="minorEastAsia" w:cs="Calibri"/>
                <w:iCs/>
                <w:sz w:val="19"/>
                <w:szCs w:val="19"/>
                <w:lang w:eastAsia="en-AU"/>
              </w:rPr>
              <w:t>budget</w:t>
            </w:r>
          </w:p>
        </w:tc>
        <w:tc>
          <w:tcPr>
            <w:tcW w:w="850" w:type="dxa"/>
            <w:tcBorders>
              <w:top w:val="single" w:sz="6" w:space="0" w:color="auto"/>
              <w:left w:val="nil"/>
              <w:right w:val="nil"/>
            </w:tcBorders>
            <w:shd w:val="clear" w:color="000000" w:fill="000000"/>
          </w:tcPr>
          <w:p w:rsidR="00965D85" w:rsidRPr="00EF64FD" w:rsidRDefault="00965D85" w:rsidP="008B46DF">
            <w:pPr>
              <w:pStyle w:val="Tabletextheading"/>
              <w:rPr>
                <w:rFonts w:eastAsiaTheme="minorEastAsia"/>
                <w:sz w:val="19"/>
                <w:szCs w:val="19"/>
                <w:lang w:eastAsia="en-AU"/>
              </w:rPr>
            </w:pPr>
            <w:r w:rsidRPr="00EF64FD">
              <w:rPr>
                <w:rFonts w:eastAsiaTheme="minorEastAsia"/>
                <w:sz w:val="19"/>
                <w:szCs w:val="19"/>
                <w:lang w:eastAsia="en-AU"/>
              </w:rPr>
              <w:t>2015</w:t>
            </w:r>
            <w:r w:rsidRPr="00EF64FD">
              <w:rPr>
                <w:rFonts w:eastAsiaTheme="minorEastAsia"/>
                <w:sz w:val="19"/>
                <w:szCs w:val="19"/>
                <w:lang w:eastAsia="en-AU"/>
              </w:rPr>
              <w:noBreakHyphen/>
              <w:t xml:space="preserve">16 </w:t>
            </w:r>
          </w:p>
          <w:p w:rsidR="00965D85" w:rsidRPr="00EF64FD" w:rsidRDefault="00965D85" w:rsidP="008B46DF">
            <w:pPr>
              <w:pStyle w:val="Tabletextheading"/>
              <w:rPr>
                <w:rFonts w:eastAsiaTheme="minorEastAsia"/>
                <w:sz w:val="19"/>
                <w:szCs w:val="19"/>
                <w:lang w:eastAsia="en-AU"/>
              </w:rPr>
            </w:pPr>
            <w:r w:rsidRPr="00EF64FD">
              <w:rPr>
                <w:rFonts w:eastAsiaTheme="minorEastAsia" w:cs="Calibri"/>
                <w:iCs/>
                <w:sz w:val="19"/>
                <w:szCs w:val="19"/>
                <w:lang w:eastAsia="en-AU"/>
              </w:rPr>
              <w:t>revised</w:t>
            </w:r>
          </w:p>
        </w:tc>
        <w:tc>
          <w:tcPr>
            <w:tcW w:w="850" w:type="dxa"/>
            <w:tcBorders>
              <w:top w:val="single" w:sz="6" w:space="0" w:color="auto"/>
              <w:left w:val="nil"/>
              <w:right w:val="nil"/>
            </w:tcBorders>
            <w:shd w:val="clear" w:color="000000" w:fill="000000"/>
          </w:tcPr>
          <w:p w:rsidR="00965D85" w:rsidRPr="00EF64FD" w:rsidRDefault="00965D85" w:rsidP="008B46DF">
            <w:pPr>
              <w:pStyle w:val="Tabletextheading"/>
              <w:rPr>
                <w:rFonts w:eastAsiaTheme="minorEastAsia"/>
                <w:sz w:val="19"/>
                <w:szCs w:val="19"/>
                <w:lang w:eastAsia="en-AU"/>
              </w:rPr>
            </w:pPr>
            <w:r w:rsidRPr="00EF64FD">
              <w:rPr>
                <w:rFonts w:eastAsiaTheme="minorEastAsia"/>
                <w:sz w:val="19"/>
                <w:szCs w:val="19"/>
                <w:lang w:eastAsia="en-AU"/>
              </w:rPr>
              <w:t>2016</w:t>
            </w:r>
            <w:r w:rsidRPr="00EF64FD">
              <w:rPr>
                <w:rFonts w:eastAsiaTheme="minorEastAsia"/>
                <w:sz w:val="19"/>
                <w:szCs w:val="19"/>
                <w:lang w:eastAsia="en-AU"/>
              </w:rPr>
              <w:noBreakHyphen/>
              <w:t xml:space="preserve">17 </w:t>
            </w:r>
          </w:p>
          <w:p w:rsidR="00965D85" w:rsidRPr="00EF64FD" w:rsidRDefault="00965D85" w:rsidP="008B46DF">
            <w:pPr>
              <w:pStyle w:val="Tabletextheading"/>
              <w:rPr>
                <w:rFonts w:eastAsiaTheme="minorEastAsia"/>
                <w:sz w:val="19"/>
                <w:szCs w:val="19"/>
                <w:lang w:eastAsia="en-AU"/>
              </w:rPr>
            </w:pPr>
            <w:r w:rsidRPr="00EF64FD">
              <w:rPr>
                <w:rFonts w:eastAsiaTheme="minorEastAsia" w:cs="Calibri"/>
                <w:iCs/>
                <w:sz w:val="19"/>
                <w:szCs w:val="19"/>
                <w:lang w:eastAsia="en-AU"/>
              </w:rPr>
              <w:t>estimate</w:t>
            </w:r>
          </w:p>
        </w:tc>
        <w:tc>
          <w:tcPr>
            <w:tcW w:w="859" w:type="dxa"/>
            <w:tcBorders>
              <w:top w:val="single" w:sz="6" w:space="0" w:color="auto"/>
              <w:left w:val="nil"/>
              <w:right w:val="nil"/>
            </w:tcBorders>
            <w:shd w:val="clear" w:color="000000" w:fill="000000"/>
          </w:tcPr>
          <w:p w:rsidR="00965D85" w:rsidRPr="00EF64FD" w:rsidRDefault="00965D85" w:rsidP="008B46DF">
            <w:pPr>
              <w:pStyle w:val="Tabletextheading"/>
              <w:rPr>
                <w:rFonts w:eastAsiaTheme="minorEastAsia"/>
                <w:sz w:val="19"/>
                <w:szCs w:val="19"/>
                <w:lang w:eastAsia="en-AU"/>
              </w:rPr>
            </w:pPr>
            <w:r w:rsidRPr="00EF64FD">
              <w:rPr>
                <w:rFonts w:eastAsiaTheme="minorEastAsia"/>
                <w:sz w:val="19"/>
                <w:szCs w:val="19"/>
                <w:lang w:eastAsia="en-AU"/>
              </w:rPr>
              <w:t>2017</w:t>
            </w:r>
            <w:r w:rsidRPr="00EF64FD">
              <w:rPr>
                <w:rFonts w:eastAsiaTheme="minorEastAsia"/>
                <w:sz w:val="19"/>
                <w:szCs w:val="19"/>
                <w:lang w:eastAsia="en-AU"/>
              </w:rPr>
              <w:noBreakHyphen/>
              <w:t xml:space="preserve">18 </w:t>
            </w:r>
          </w:p>
          <w:p w:rsidR="00965D85" w:rsidRPr="00EF64FD" w:rsidRDefault="00965D85" w:rsidP="008B46DF">
            <w:pPr>
              <w:pStyle w:val="Tabletextheading"/>
              <w:rPr>
                <w:rFonts w:eastAsiaTheme="minorEastAsia"/>
                <w:sz w:val="19"/>
                <w:szCs w:val="19"/>
                <w:lang w:eastAsia="en-AU"/>
              </w:rPr>
            </w:pPr>
            <w:r w:rsidRPr="00EF64FD">
              <w:rPr>
                <w:rFonts w:eastAsiaTheme="minorEastAsia" w:cs="Calibri"/>
                <w:iCs/>
                <w:sz w:val="19"/>
                <w:szCs w:val="19"/>
                <w:lang w:eastAsia="en-AU"/>
              </w:rPr>
              <w:t>estimate</w:t>
            </w:r>
          </w:p>
        </w:tc>
        <w:tc>
          <w:tcPr>
            <w:tcW w:w="852" w:type="dxa"/>
            <w:tcBorders>
              <w:top w:val="single" w:sz="6" w:space="0" w:color="auto"/>
              <w:left w:val="nil"/>
              <w:right w:val="single" w:sz="6" w:space="0" w:color="auto"/>
            </w:tcBorders>
            <w:shd w:val="clear" w:color="000000" w:fill="000000"/>
          </w:tcPr>
          <w:p w:rsidR="00965D85" w:rsidRPr="00EF64FD" w:rsidRDefault="00965D85" w:rsidP="008B46DF">
            <w:pPr>
              <w:pStyle w:val="Tabletextheading"/>
              <w:rPr>
                <w:rFonts w:eastAsiaTheme="minorEastAsia"/>
                <w:sz w:val="19"/>
                <w:szCs w:val="19"/>
                <w:lang w:eastAsia="en-AU"/>
              </w:rPr>
            </w:pPr>
            <w:r w:rsidRPr="00EF64FD">
              <w:rPr>
                <w:rFonts w:eastAsiaTheme="minorEastAsia"/>
                <w:sz w:val="19"/>
                <w:szCs w:val="19"/>
                <w:lang w:eastAsia="en-AU"/>
              </w:rPr>
              <w:t>2018</w:t>
            </w:r>
            <w:r w:rsidRPr="00EF64FD">
              <w:rPr>
                <w:rFonts w:eastAsiaTheme="minorEastAsia"/>
                <w:sz w:val="19"/>
                <w:szCs w:val="19"/>
                <w:lang w:eastAsia="en-AU"/>
              </w:rPr>
              <w:noBreakHyphen/>
              <w:t xml:space="preserve">19 </w:t>
            </w:r>
          </w:p>
          <w:p w:rsidR="00965D85" w:rsidRPr="00EF64FD" w:rsidRDefault="00965D85" w:rsidP="008B46DF">
            <w:pPr>
              <w:pStyle w:val="Tabletextheading"/>
              <w:rPr>
                <w:rFonts w:eastAsiaTheme="minorEastAsia"/>
                <w:sz w:val="19"/>
                <w:szCs w:val="19"/>
                <w:lang w:eastAsia="en-AU"/>
              </w:rPr>
            </w:pPr>
            <w:r w:rsidRPr="00EF64FD">
              <w:rPr>
                <w:rFonts w:eastAsiaTheme="minorEastAsia" w:cs="Calibri"/>
                <w:iCs/>
                <w:sz w:val="19"/>
                <w:szCs w:val="19"/>
                <w:lang w:eastAsia="en-AU"/>
              </w:rPr>
              <w:t>estimate</w:t>
            </w:r>
          </w:p>
        </w:tc>
      </w:tr>
      <w:tr w:rsidR="00965D85" w:rsidRPr="00EF64FD" w:rsidTr="008B46DF">
        <w:trPr>
          <w:cantSplit/>
        </w:trPr>
        <w:tc>
          <w:tcPr>
            <w:tcW w:w="3507" w:type="dxa"/>
            <w:tcBorders>
              <w:top w:val="nil"/>
              <w:left w:val="nil"/>
              <w:right w:val="nil"/>
            </w:tcBorders>
            <w:shd w:val="clear" w:color="auto" w:fill="FFFFFF"/>
          </w:tcPr>
          <w:p w:rsidR="00965D85" w:rsidRPr="00EF64FD" w:rsidRDefault="00965D85" w:rsidP="008B46DF">
            <w:pPr>
              <w:autoSpaceDE w:val="0"/>
              <w:autoSpaceDN w:val="0"/>
              <w:adjustRightInd w:val="0"/>
              <w:spacing w:after="0"/>
              <w:ind w:left="227" w:hanging="227"/>
              <w:rPr>
                <w:rFonts w:ascii="Calibri" w:eastAsiaTheme="minorEastAsia" w:hAnsi="Calibri" w:cs="Calibri"/>
                <w:b/>
                <w:bCs/>
                <w:color w:val="000000"/>
                <w:sz w:val="19"/>
                <w:szCs w:val="19"/>
                <w:lang w:eastAsia="en-AU"/>
              </w:rPr>
            </w:pPr>
            <w:r w:rsidRPr="00EF64FD">
              <w:rPr>
                <w:rFonts w:ascii="Calibri" w:eastAsiaTheme="minorEastAsia" w:hAnsi="Calibri" w:cs="Calibri"/>
                <w:b/>
                <w:bCs/>
                <w:color w:val="000000"/>
                <w:sz w:val="19"/>
                <w:szCs w:val="19"/>
                <w:lang w:eastAsia="en-AU"/>
              </w:rPr>
              <w:t>KEY FISCAL AGGREGATES</w:t>
            </w:r>
          </w:p>
        </w:tc>
        <w:tc>
          <w:tcPr>
            <w:tcW w:w="847" w:type="dxa"/>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b/>
                <w:bCs/>
                <w:color w:val="000000"/>
                <w:sz w:val="19"/>
                <w:szCs w:val="19"/>
                <w:lang w:eastAsia="en-AU"/>
              </w:rPr>
            </w:pPr>
          </w:p>
        </w:tc>
        <w:tc>
          <w:tcPr>
            <w:tcW w:w="850" w:type="dxa"/>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b/>
                <w:bCs/>
                <w:color w:val="000000"/>
                <w:sz w:val="19"/>
                <w:szCs w:val="19"/>
                <w:lang w:eastAsia="en-AU"/>
              </w:rPr>
            </w:pPr>
          </w:p>
        </w:tc>
        <w:tc>
          <w:tcPr>
            <w:tcW w:w="850" w:type="dxa"/>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b/>
                <w:bCs/>
                <w:color w:val="000000"/>
                <w:sz w:val="19"/>
                <w:szCs w:val="19"/>
                <w:lang w:eastAsia="en-AU"/>
              </w:rPr>
            </w:pPr>
          </w:p>
        </w:tc>
        <w:tc>
          <w:tcPr>
            <w:tcW w:w="859" w:type="dxa"/>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b/>
                <w:bCs/>
                <w:color w:val="000000"/>
                <w:sz w:val="19"/>
                <w:szCs w:val="19"/>
                <w:lang w:eastAsia="en-AU"/>
              </w:rPr>
            </w:pPr>
          </w:p>
        </w:tc>
        <w:tc>
          <w:tcPr>
            <w:tcW w:w="852" w:type="dxa"/>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b/>
                <w:bCs/>
                <w:color w:val="000000"/>
                <w:sz w:val="19"/>
                <w:szCs w:val="19"/>
                <w:lang w:eastAsia="en-AU"/>
              </w:rPr>
            </w:pPr>
          </w:p>
        </w:tc>
      </w:tr>
      <w:tr w:rsidR="00965D85" w:rsidRPr="00EF64FD" w:rsidTr="008B46DF">
        <w:trPr>
          <w:cantSplit/>
        </w:trPr>
        <w:tc>
          <w:tcPr>
            <w:tcW w:w="3507" w:type="dxa"/>
            <w:tcBorders>
              <w:top w:val="nil"/>
              <w:left w:val="nil"/>
              <w:right w:val="nil"/>
            </w:tcBorders>
            <w:shd w:val="clear" w:color="auto" w:fill="FFFFFF"/>
          </w:tcPr>
          <w:p w:rsidR="00965D85" w:rsidRPr="00EF64FD" w:rsidRDefault="00965D85" w:rsidP="008B46DF">
            <w:pPr>
              <w:autoSpaceDE w:val="0"/>
              <w:autoSpaceDN w:val="0"/>
              <w:adjustRightInd w:val="0"/>
              <w:spacing w:after="0"/>
              <w:ind w:left="227" w:hanging="227"/>
              <w:rPr>
                <w:rFonts w:ascii="Calibri" w:eastAsiaTheme="minorEastAsia" w:hAnsi="Calibri" w:cs="Calibri"/>
                <w:b/>
                <w:bCs/>
                <w:color w:val="000000"/>
                <w:sz w:val="19"/>
                <w:szCs w:val="19"/>
                <w:lang w:eastAsia="en-AU"/>
              </w:rPr>
            </w:pPr>
            <w:r w:rsidRPr="00EF64FD">
              <w:rPr>
                <w:rFonts w:ascii="Calibri" w:eastAsiaTheme="minorEastAsia" w:hAnsi="Calibri" w:cs="Calibri"/>
                <w:b/>
                <w:bCs/>
                <w:color w:val="000000"/>
                <w:sz w:val="19"/>
                <w:szCs w:val="19"/>
                <w:lang w:eastAsia="en-AU"/>
              </w:rPr>
              <w:t>Net operating balance</w:t>
            </w:r>
          </w:p>
        </w:tc>
        <w:tc>
          <w:tcPr>
            <w:tcW w:w="847" w:type="dxa"/>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b/>
                <w:bCs/>
                <w:color w:val="000000"/>
                <w:sz w:val="19"/>
                <w:szCs w:val="19"/>
                <w:lang w:eastAsia="en-AU"/>
              </w:rPr>
            </w:pPr>
            <w:r w:rsidRPr="00EF64FD">
              <w:rPr>
                <w:rFonts w:ascii="Calibri" w:eastAsiaTheme="minorEastAsia" w:hAnsi="Calibri" w:cs="Calibri"/>
                <w:b/>
                <w:bCs/>
                <w:color w:val="000000"/>
                <w:sz w:val="19"/>
                <w:szCs w:val="19"/>
                <w:lang w:eastAsia="en-AU"/>
              </w:rPr>
              <w:t>460.2</w:t>
            </w:r>
          </w:p>
        </w:tc>
        <w:tc>
          <w:tcPr>
            <w:tcW w:w="850" w:type="dxa"/>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b/>
                <w:bCs/>
                <w:color w:val="000000"/>
                <w:sz w:val="19"/>
                <w:szCs w:val="19"/>
                <w:lang w:eastAsia="en-AU"/>
              </w:rPr>
            </w:pPr>
            <w:r w:rsidRPr="00EF64FD">
              <w:rPr>
                <w:rFonts w:ascii="Calibri" w:eastAsiaTheme="minorEastAsia" w:hAnsi="Calibri" w:cs="Calibri"/>
                <w:b/>
                <w:bCs/>
                <w:color w:val="000000"/>
                <w:sz w:val="19"/>
                <w:szCs w:val="19"/>
                <w:lang w:eastAsia="en-AU"/>
              </w:rPr>
              <w:t>844.1</w:t>
            </w:r>
          </w:p>
        </w:tc>
        <w:tc>
          <w:tcPr>
            <w:tcW w:w="850" w:type="dxa"/>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b/>
                <w:bCs/>
                <w:color w:val="000000"/>
                <w:sz w:val="19"/>
                <w:szCs w:val="19"/>
                <w:lang w:eastAsia="en-AU"/>
              </w:rPr>
            </w:pPr>
            <w:r w:rsidRPr="00EF64FD">
              <w:rPr>
                <w:rFonts w:ascii="Calibri" w:eastAsiaTheme="minorEastAsia" w:hAnsi="Calibri" w:cs="Calibri"/>
                <w:b/>
                <w:bCs/>
                <w:color w:val="000000"/>
                <w:sz w:val="19"/>
                <w:szCs w:val="19"/>
                <w:lang w:eastAsia="en-AU"/>
              </w:rPr>
              <w:t>893.7</w:t>
            </w:r>
          </w:p>
        </w:tc>
        <w:tc>
          <w:tcPr>
            <w:tcW w:w="859" w:type="dxa"/>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b/>
                <w:bCs/>
                <w:color w:val="000000"/>
                <w:sz w:val="19"/>
                <w:szCs w:val="19"/>
                <w:lang w:eastAsia="en-AU"/>
              </w:rPr>
            </w:pPr>
            <w:r w:rsidRPr="00EF64FD">
              <w:rPr>
                <w:rFonts w:ascii="Calibri" w:eastAsiaTheme="minorEastAsia" w:hAnsi="Calibri" w:cs="Calibri"/>
                <w:b/>
                <w:bCs/>
                <w:color w:val="000000"/>
                <w:sz w:val="19"/>
                <w:szCs w:val="19"/>
                <w:lang w:eastAsia="en-AU"/>
              </w:rPr>
              <w:t>1 302.5</w:t>
            </w:r>
          </w:p>
        </w:tc>
        <w:tc>
          <w:tcPr>
            <w:tcW w:w="852" w:type="dxa"/>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b/>
                <w:bCs/>
                <w:color w:val="000000"/>
                <w:sz w:val="19"/>
                <w:szCs w:val="19"/>
                <w:lang w:eastAsia="en-AU"/>
              </w:rPr>
            </w:pPr>
            <w:r w:rsidRPr="00EF64FD">
              <w:rPr>
                <w:rFonts w:ascii="Calibri" w:eastAsiaTheme="minorEastAsia" w:hAnsi="Calibri" w:cs="Calibri"/>
                <w:b/>
                <w:bCs/>
                <w:color w:val="000000"/>
                <w:sz w:val="19"/>
                <w:szCs w:val="19"/>
                <w:lang w:eastAsia="en-AU"/>
              </w:rPr>
              <w:t>1 057.9</w:t>
            </w:r>
          </w:p>
        </w:tc>
      </w:tr>
      <w:tr w:rsidR="00965D85" w:rsidRPr="00EF64FD" w:rsidTr="008B46DF">
        <w:trPr>
          <w:cantSplit/>
        </w:trPr>
        <w:tc>
          <w:tcPr>
            <w:tcW w:w="3507" w:type="dxa"/>
            <w:tcBorders>
              <w:top w:val="nil"/>
              <w:left w:val="nil"/>
              <w:bottom w:val="single" w:sz="6" w:space="0" w:color="000000"/>
              <w:right w:val="nil"/>
            </w:tcBorders>
            <w:shd w:val="clear" w:color="auto" w:fill="FFFFFF"/>
          </w:tcPr>
          <w:p w:rsidR="00965D85" w:rsidRPr="00EF64FD" w:rsidRDefault="00965D85" w:rsidP="008B46DF">
            <w:pPr>
              <w:autoSpaceDE w:val="0"/>
              <w:autoSpaceDN w:val="0"/>
              <w:adjustRightInd w:val="0"/>
              <w:spacing w:after="0"/>
              <w:ind w:left="227" w:hanging="227"/>
              <w:rPr>
                <w:rFonts w:ascii="Calibri" w:eastAsiaTheme="minorEastAsia" w:hAnsi="Calibri" w:cs="Calibri"/>
                <w:color w:val="000000"/>
                <w:sz w:val="19"/>
                <w:szCs w:val="19"/>
                <w:vertAlign w:val="superscript"/>
                <w:lang w:eastAsia="en-AU"/>
              </w:rPr>
            </w:pPr>
            <w:r w:rsidRPr="00EF64FD">
              <w:rPr>
                <w:rFonts w:ascii="Calibri" w:eastAsiaTheme="minorEastAsia" w:hAnsi="Calibri" w:cs="Calibri"/>
                <w:color w:val="000000"/>
                <w:sz w:val="19"/>
                <w:szCs w:val="19"/>
                <w:lang w:eastAsia="en-AU"/>
              </w:rPr>
              <w:t>Less: Net acquisition of non</w:t>
            </w:r>
            <w:r w:rsidRPr="00EF64FD">
              <w:rPr>
                <w:rFonts w:ascii="Calibri" w:eastAsiaTheme="minorEastAsia" w:hAnsi="Calibri" w:cs="Calibri"/>
                <w:color w:val="000000"/>
                <w:sz w:val="19"/>
                <w:szCs w:val="19"/>
                <w:lang w:eastAsia="en-AU"/>
              </w:rPr>
              <w:noBreakHyphen/>
              <w:t>financial assets from transactions</w:t>
            </w:r>
            <w:r w:rsidRPr="00EF64FD">
              <w:rPr>
                <w:rFonts w:ascii="Calibri" w:eastAsiaTheme="minorEastAsia" w:hAnsi="Calibri" w:cs="Calibri"/>
                <w:color w:val="000000"/>
                <w:sz w:val="19"/>
                <w:szCs w:val="19"/>
                <w:vertAlign w:val="superscript"/>
                <w:lang w:eastAsia="en-AU"/>
              </w:rPr>
              <w:t xml:space="preserve"> (b)</w:t>
            </w:r>
          </w:p>
        </w:tc>
        <w:tc>
          <w:tcPr>
            <w:tcW w:w="847" w:type="dxa"/>
            <w:tcBorders>
              <w:top w:val="nil"/>
              <w:left w:val="nil"/>
              <w:bottom w:val="single" w:sz="6" w:space="0" w:color="000000"/>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(4 053.5)</w:t>
            </w:r>
          </w:p>
        </w:tc>
        <w:tc>
          <w:tcPr>
            <w:tcW w:w="850" w:type="dxa"/>
            <w:tcBorders>
              <w:top w:val="nil"/>
              <w:left w:val="nil"/>
              <w:bottom w:val="single" w:sz="6" w:space="0" w:color="000000"/>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(4 304.9)</w:t>
            </w:r>
          </w:p>
        </w:tc>
        <w:tc>
          <w:tcPr>
            <w:tcW w:w="850" w:type="dxa"/>
            <w:tcBorders>
              <w:top w:val="nil"/>
              <w:left w:val="nil"/>
              <w:bottom w:val="single" w:sz="6" w:space="0" w:color="000000"/>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3 249.6</w:t>
            </w:r>
          </w:p>
        </w:tc>
        <w:tc>
          <w:tcPr>
            <w:tcW w:w="859" w:type="dxa"/>
            <w:tcBorders>
              <w:top w:val="nil"/>
              <w:left w:val="nil"/>
              <w:bottom w:val="single" w:sz="6" w:space="0" w:color="000000"/>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2 809.5</w:t>
            </w:r>
          </w:p>
        </w:tc>
        <w:tc>
          <w:tcPr>
            <w:tcW w:w="852" w:type="dxa"/>
            <w:tcBorders>
              <w:top w:val="nil"/>
              <w:left w:val="nil"/>
              <w:bottom w:val="single" w:sz="6" w:space="0" w:color="000000"/>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1 730.5</w:t>
            </w:r>
          </w:p>
        </w:tc>
      </w:tr>
      <w:tr w:rsidR="00965D85" w:rsidRPr="00EF64FD" w:rsidTr="008B46DF">
        <w:trPr>
          <w:cantSplit/>
        </w:trPr>
        <w:tc>
          <w:tcPr>
            <w:tcW w:w="3507" w:type="dxa"/>
            <w:tcBorders>
              <w:top w:val="single" w:sz="6" w:space="0" w:color="000000"/>
              <w:left w:val="nil"/>
              <w:bottom w:val="single" w:sz="12" w:space="0" w:color="auto"/>
              <w:right w:val="nil"/>
            </w:tcBorders>
            <w:shd w:val="clear" w:color="auto" w:fill="FFFFFF"/>
          </w:tcPr>
          <w:p w:rsidR="00965D85" w:rsidRPr="00EF64FD" w:rsidRDefault="00965D85" w:rsidP="008B46DF">
            <w:pPr>
              <w:autoSpaceDE w:val="0"/>
              <w:autoSpaceDN w:val="0"/>
              <w:adjustRightInd w:val="0"/>
              <w:spacing w:after="0"/>
              <w:ind w:left="227" w:hanging="227"/>
              <w:rPr>
                <w:rFonts w:ascii="Calibri" w:eastAsiaTheme="minorEastAsia" w:hAnsi="Calibri" w:cs="Calibri"/>
                <w:b/>
                <w:bCs/>
                <w:color w:val="000000"/>
                <w:sz w:val="19"/>
                <w:szCs w:val="19"/>
                <w:vertAlign w:val="superscript"/>
                <w:lang w:eastAsia="en-AU"/>
              </w:rPr>
            </w:pPr>
            <w:r w:rsidRPr="00EF64FD">
              <w:rPr>
                <w:rFonts w:ascii="Calibri" w:eastAsiaTheme="minorEastAsia" w:hAnsi="Calibri" w:cs="Calibri"/>
                <w:b/>
                <w:bCs/>
                <w:color w:val="000000"/>
                <w:sz w:val="19"/>
                <w:szCs w:val="19"/>
                <w:lang w:eastAsia="en-AU"/>
              </w:rPr>
              <w:t>Net lending/(borrowing)</w:t>
            </w:r>
            <w:r w:rsidRPr="00EF64FD">
              <w:rPr>
                <w:rFonts w:ascii="Calibri" w:eastAsiaTheme="minorEastAsia" w:hAnsi="Calibri" w:cs="Calibri"/>
                <w:b/>
                <w:bCs/>
                <w:color w:val="000000"/>
                <w:sz w:val="19"/>
                <w:szCs w:val="19"/>
                <w:vertAlign w:val="superscript"/>
                <w:lang w:eastAsia="en-AU"/>
              </w:rPr>
              <w:t xml:space="preserve"> (b)</w:t>
            </w:r>
          </w:p>
        </w:tc>
        <w:tc>
          <w:tcPr>
            <w:tcW w:w="847" w:type="dxa"/>
            <w:tcBorders>
              <w:top w:val="single" w:sz="6" w:space="0" w:color="000000"/>
              <w:left w:val="nil"/>
              <w:bottom w:val="single" w:sz="12" w:space="0" w:color="auto"/>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b/>
                <w:bCs/>
                <w:color w:val="000000"/>
                <w:sz w:val="19"/>
                <w:szCs w:val="19"/>
                <w:lang w:eastAsia="en-AU"/>
              </w:rPr>
            </w:pPr>
            <w:r w:rsidRPr="00EF64FD">
              <w:rPr>
                <w:rFonts w:ascii="Calibri" w:eastAsiaTheme="minorEastAsia" w:hAnsi="Calibri" w:cs="Calibri"/>
                <w:b/>
                <w:bCs/>
                <w:color w:val="000000"/>
                <w:sz w:val="19"/>
                <w:szCs w:val="19"/>
                <w:lang w:eastAsia="en-AU"/>
              </w:rPr>
              <w:t>4 513.8</w:t>
            </w:r>
          </w:p>
        </w:tc>
        <w:tc>
          <w:tcPr>
            <w:tcW w:w="850" w:type="dxa"/>
            <w:tcBorders>
              <w:top w:val="single" w:sz="6" w:space="0" w:color="000000"/>
              <w:left w:val="nil"/>
              <w:bottom w:val="single" w:sz="12" w:space="0" w:color="auto"/>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b/>
                <w:bCs/>
                <w:color w:val="000000"/>
                <w:sz w:val="19"/>
                <w:szCs w:val="19"/>
                <w:lang w:eastAsia="en-AU"/>
              </w:rPr>
            </w:pPr>
            <w:r w:rsidRPr="00EF64FD">
              <w:rPr>
                <w:rFonts w:ascii="Calibri" w:eastAsiaTheme="minorEastAsia" w:hAnsi="Calibri" w:cs="Calibri"/>
                <w:b/>
                <w:bCs/>
                <w:color w:val="000000"/>
                <w:sz w:val="19"/>
                <w:szCs w:val="19"/>
                <w:lang w:eastAsia="en-AU"/>
              </w:rPr>
              <w:t>5 149.1</w:t>
            </w:r>
          </w:p>
        </w:tc>
        <w:tc>
          <w:tcPr>
            <w:tcW w:w="850" w:type="dxa"/>
            <w:tcBorders>
              <w:top w:val="single" w:sz="6" w:space="0" w:color="000000"/>
              <w:left w:val="nil"/>
              <w:bottom w:val="single" w:sz="12" w:space="0" w:color="auto"/>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b/>
                <w:bCs/>
                <w:color w:val="000000"/>
                <w:sz w:val="19"/>
                <w:szCs w:val="19"/>
                <w:lang w:eastAsia="en-AU"/>
              </w:rPr>
            </w:pPr>
            <w:r w:rsidRPr="00EF64FD">
              <w:rPr>
                <w:rFonts w:ascii="Calibri" w:eastAsiaTheme="minorEastAsia" w:hAnsi="Calibri" w:cs="Calibri"/>
                <w:b/>
                <w:bCs/>
                <w:color w:val="000000"/>
                <w:sz w:val="19"/>
                <w:szCs w:val="19"/>
                <w:lang w:eastAsia="en-AU"/>
              </w:rPr>
              <w:t>(2 355.9)</w:t>
            </w:r>
          </w:p>
        </w:tc>
        <w:tc>
          <w:tcPr>
            <w:tcW w:w="859" w:type="dxa"/>
            <w:tcBorders>
              <w:top w:val="single" w:sz="6" w:space="0" w:color="000000"/>
              <w:left w:val="nil"/>
              <w:bottom w:val="single" w:sz="12" w:space="0" w:color="auto"/>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b/>
                <w:bCs/>
                <w:color w:val="000000"/>
                <w:sz w:val="19"/>
                <w:szCs w:val="19"/>
                <w:lang w:eastAsia="en-AU"/>
              </w:rPr>
            </w:pPr>
            <w:r w:rsidRPr="00EF64FD">
              <w:rPr>
                <w:rFonts w:ascii="Calibri" w:eastAsiaTheme="minorEastAsia" w:hAnsi="Calibri" w:cs="Calibri"/>
                <w:b/>
                <w:bCs/>
                <w:color w:val="000000"/>
                <w:sz w:val="19"/>
                <w:szCs w:val="19"/>
                <w:lang w:eastAsia="en-AU"/>
              </w:rPr>
              <w:t>(1 507.0)</w:t>
            </w:r>
          </w:p>
        </w:tc>
        <w:tc>
          <w:tcPr>
            <w:tcW w:w="852" w:type="dxa"/>
            <w:tcBorders>
              <w:top w:val="single" w:sz="6" w:space="0" w:color="000000"/>
              <w:left w:val="nil"/>
              <w:bottom w:val="single" w:sz="12" w:space="0" w:color="auto"/>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b/>
                <w:bCs/>
                <w:color w:val="000000"/>
                <w:sz w:val="19"/>
                <w:szCs w:val="19"/>
                <w:lang w:eastAsia="en-AU"/>
              </w:rPr>
            </w:pPr>
            <w:r w:rsidRPr="00EF64FD">
              <w:rPr>
                <w:rFonts w:ascii="Calibri" w:eastAsiaTheme="minorEastAsia" w:hAnsi="Calibri" w:cs="Calibri"/>
                <w:b/>
                <w:bCs/>
                <w:color w:val="000000"/>
                <w:sz w:val="19"/>
                <w:szCs w:val="19"/>
                <w:lang w:eastAsia="en-AU"/>
              </w:rPr>
              <w:t>(672.6)</w:t>
            </w:r>
          </w:p>
        </w:tc>
      </w:tr>
      <w:tr w:rsidR="00965D85" w:rsidRPr="001E7FA9" w:rsidTr="008B46DF">
        <w:trPr>
          <w:cantSplit/>
        </w:trPr>
        <w:tc>
          <w:tcPr>
            <w:tcW w:w="7765" w:type="dxa"/>
            <w:gridSpan w:val="6"/>
            <w:tcBorders>
              <w:top w:val="single" w:sz="12" w:space="0" w:color="auto"/>
              <w:left w:val="nil"/>
              <w:right w:val="nil"/>
            </w:tcBorders>
            <w:shd w:val="clear" w:color="auto" w:fill="auto"/>
          </w:tcPr>
          <w:p w:rsidR="00965D85" w:rsidRPr="00A13AA8" w:rsidRDefault="00965D85" w:rsidP="008B46DF">
            <w:pPr>
              <w:pStyle w:val="Source"/>
              <w:rPr>
                <w:rFonts w:eastAsiaTheme="minorEastAsia"/>
                <w:lang w:eastAsia="en-AU"/>
              </w:rPr>
            </w:pPr>
            <w:r w:rsidRPr="00A13AA8">
              <w:rPr>
                <w:rFonts w:eastAsiaTheme="minorEastAsia"/>
                <w:lang w:eastAsia="en-AU"/>
              </w:rPr>
              <w:t>Source: Department of Treasury and Finance</w:t>
            </w:r>
          </w:p>
        </w:tc>
      </w:tr>
    </w:tbl>
    <w:p w:rsidR="00965D85" w:rsidRPr="00EF41B7" w:rsidRDefault="00965D85" w:rsidP="008B46DF">
      <w:pPr>
        <w:pStyle w:val="Notes"/>
        <w:rPr>
          <w:lang w:eastAsia="en-AU"/>
        </w:rPr>
      </w:pPr>
      <w:r w:rsidRPr="00EF41B7">
        <w:rPr>
          <w:lang w:eastAsia="en-AU"/>
        </w:rPr>
        <w:t>Note</w:t>
      </w:r>
      <w:r>
        <w:rPr>
          <w:lang w:eastAsia="en-AU"/>
        </w:rPr>
        <w:t>s</w:t>
      </w:r>
      <w:r w:rsidRPr="00EF41B7">
        <w:rPr>
          <w:lang w:eastAsia="en-AU"/>
        </w:rPr>
        <w:t>:</w:t>
      </w:r>
    </w:p>
    <w:p w:rsidR="00965D85" w:rsidRPr="007728B0" w:rsidRDefault="00965D85" w:rsidP="008B46DF">
      <w:pPr>
        <w:pStyle w:val="Notes"/>
        <w:rPr>
          <w:lang w:eastAsia="en-AU"/>
        </w:rPr>
      </w:pPr>
      <w:r w:rsidRPr="00EF41B7">
        <w:rPr>
          <w:lang w:eastAsia="en-AU"/>
        </w:rPr>
        <w:t>(a)</w:t>
      </w:r>
      <w:r w:rsidRPr="00EF41B7">
        <w:rPr>
          <w:lang w:eastAsia="en-AU"/>
        </w:rPr>
        <w:tab/>
        <w:t>Certain line items have been aggregated in the table above due to commercial sensitivities of balances.</w:t>
      </w:r>
    </w:p>
    <w:p w:rsidR="00965D85" w:rsidRPr="000E2577" w:rsidRDefault="00965D85" w:rsidP="008B46DF">
      <w:pPr>
        <w:pStyle w:val="Notes"/>
      </w:pPr>
      <w:r w:rsidRPr="000E2577">
        <w:t>(b)</w:t>
      </w:r>
      <w:r w:rsidRPr="000E2577">
        <w:tab/>
      </w:r>
      <w:r w:rsidRPr="006660F6">
        <w:rPr>
          <w:i w:val="0"/>
        </w:rPr>
        <w:t>2015</w:t>
      </w:r>
      <w:r>
        <w:rPr>
          <w:i w:val="0"/>
        </w:rPr>
        <w:noBreakHyphen/>
      </w:r>
      <w:r w:rsidRPr="006660F6">
        <w:rPr>
          <w:i w:val="0"/>
        </w:rPr>
        <w:t>16 Budget</w:t>
      </w:r>
      <w:r w:rsidRPr="000E2577">
        <w:t xml:space="preserve"> figures have been restated to reflect more current information.</w:t>
      </w:r>
    </w:p>
    <w:p w:rsidR="00965D85" w:rsidRDefault="00965D85" w:rsidP="008B46DF">
      <w:pPr>
        <w:rPr>
          <w:rFonts w:ascii="Tms Rmn" w:hAnsi="Tms Rmn" w:cs="Tms Rmn"/>
          <w:color w:val="000000"/>
          <w:sz w:val="18"/>
          <w:szCs w:val="18"/>
          <w:lang w:eastAsia="en-AU"/>
        </w:rPr>
      </w:pPr>
    </w:p>
    <w:p w:rsidR="00965D85" w:rsidRDefault="00965D85">
      <w:pPr>
        <w:spacing w:after="0"/>
        <w:rPr>
          <w:rFonts w:ascii="Calibri" w:hAnsi="Calibri"/>
          <w:b/>
          <w:lang w:eastAsia="en-AU"/>
        </w:rPr>
      </w:pPr>
      <w:r>
        <w:rPr>
          <w:lang w:eastAsia="en-AU"/>
        </w:rPr>
        <w:br w:type="page"/>
      </w:r>
    </w:p>
    <w:p w:rsidR="00965D85" w:rsidRDefault="00965D85" w:rsidP="008B46DF">
      <w:pPr>
        <w:pStyle w:val="Tableheading"/>
        <w:rPr>
          <w:rFonts w:ascii="Times New Roman" w:hAnsi="Times New Roman"/>
          <w:i/>
          <w:sz w:val="20"/>
          <w:lang w:eastAsia="en-AU"/>
        </w:rPr>
      </w:pPr>
      <w:r w:rsidRPr="00F8227D">
        <w:rPr>
          <w:lang w:eastAsia="en-AU"/>
        </w:rPr>
        <w:lastRenderedPageBreak/>
        <w:t>Table 5.8:</w:t>
      </w:r>
      <w:r w:rsidRPr="00F8227D">
        <w:rPr>
          <w:lang w:eastAsia="en-AU"/>
        </w:rPr>
        <w:tab/>
        <w:t>Non</w:t>
      </w:r>
      <w:r>
        <w:rPr>
          <w:lang w:eastAsia="en-AU"/>
        </w:rPr>
        <w:noBreakHyphen/>
      </w:r>
      <w:r w:rsidRPr="00F8227D">
        <w:rPr>
          <w:lang w:eastAsia="en-AU"/>
        </w:rPr>
        <w:t>financial public sect</w:t>
      </w:r>
      <w:r>
        <w:rPr>
          <w:lang w:eastAsia="en-AU"/>
        </w:rPr>
        <w:t>or balance sheet as at 30 June</w:t>
      </w:r>
    </w:p>
    <w:tbl>
      <w:tblPr>
        <w:tblW w:w="7767" w:type="dxa"/>
        <w:tblInd w:w="28" w:type="dxa"/>
        <w:tblLayout w:type="fixed"/>
        <w:tblCellMar>
          <w:left w:w="28" w:type="dxa"/>
          <w:right w:w="28" w:type="dxa"/>
        </w:tblCellMar>
        <w:tblLook w:val="0000" w:firstRow="0" w:lastRow="0" w:firstColumn="0" w:lastColumn="0" w:noHBand="0" w:noVBand="0"/>
      </w:tblPr>
      <w:tblGrid>
        <w:gridCol w:w="2947"/>
        <w:gridCol w:w="964"/>
        <w:gridCol w:w="964"/>
        <w:gridCol w:w="964"/>
        <w:gridCol w:w="964"/>
        <w:gridCol w:w="964"/>
      </w:tblGrid>
      <w:tr w:rsidR="00965D85" w:rsidRPr="001E7FA9" w:rsidTr="008B46DF">
        <w:trPr>
          <w:tblHeader/>
        </w:trPr>
        <w:tc>
          <w:tcPr>
            <w:tcW w:w="7767" w:type="dxa"/>
            <w:gridSpan w:val="6"/>
            <w:tcBorders>
              <w:top w:val="nil"/>
              <w:left w:val="nil"/>
              <w:bottom w:val="nil"/>
              <w:right w:val="nil"/>
            </w:tcBorders>
          </w:tcPr>
          <w:p w:rsidR="00965D85" w:rsidRPr="001E7FA9" w:rsidRDefault="00965D85" w:rsidP="008B46DF">
            <w:pPr>
              <w:pStyle w:val="million"/>
              <w:rPr>
                <w:rFonts w:eastAsiaTheme="minorEastAsia" w:cs="Calibri"/>
                <w:iCs/>
                <w:color w:val="000000"/>
                <w:sz w:val="20"/>
                <w:lang w:eastAsia="en-AU"/>
              </w:rPr>
            </w:pPr>
            <w:r w:rsidRPr="001E7FA9">
              <w:rPr>
                <w:rFonts w:eastAsiaTheme="minorEastAsia"/>
                <w:lang w:eastAsia="en-AU"/>
              </w:rPr>
              <w:t>($ million</w:t>
            </w:r>
            <w:r w:rsidRPr="001E7FA9">
              <w:rPr>
                <w:rFonts w:eastAsiaTheme="minorEastAsia" w:cs="Calibri"/>
                <w:iCs/>
                <w:color w:val="000000"/>
                <w:sz w:val="20"/>
                <w:lang w:eastAsia="en-AU"/>
              </w:rPr>
              <w:t>)</w:t>
            </w:r>
          </w:p>
        </w:tc>
      </w:tr>
      <w:tr w:rsidR="00965D85" w:rsidRPr="00EF64FD" w:rsidTr="008B46DF">
        <w:trPr>
          <w:trHeight w:val="464"/>
          <w:tblHeader/>
        </w:trPr>
        <w:tc>
          <w:tcPr>
            <w:tcW w:w="2947" w:type="dxa"/>
            <w:tcBorders>
              <w:top w:val="nil"/>
              <w:left w:val="nil"/>
              <w:right w:val="nil"/>
            </w:tcBorders>
            <w:shd w:val="solid" w:color="000000" w:fill="auto"/>
          </w:tcPr>
          <w:p w:rsidR="00965D85" w:rsidRPr="00EF64FD" w:rsidRDefault="00965D85" w:rsidP="008B46DF">
            <w:pPr>
              <w:autoSpaceDE w:val="0"/>
              <w:autoSpaceDN w:val="0"/>
              <w:adjustRightInd w:val="0"/>
              <w:spacing w:after="0"/>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 xml:space="preserve"> </w:t>
            </w:r>
          </w:p>
          <w:p w:rsidR="00965D85" w:rsidRPr="00EF64FD" w:rsidRDefault="00965D85" w:rsidP="008B46DF">
            <w:pPr>
              <w:autoSpaceDE w:val="0"/>
              <w:autoSpaceDN w:val="0"/>
              <w:adjustRightInd w:val="0"/>
              <w:spacing w:after="0"/>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 xml:space="preserve"> </w:t>
            </w:r>
          </w:p>
        </w:tc>
        <w:tc>
          <w:tcPr>
            <w:tcW w:w="964" w:type="dxa"/>
            <w:tcBorders>
              <w:top w:val="nil"/>
              <w:left w:val="nil"/>
              <w:right w:val="nil"/>
            </w:tcBorders>
            <w:shd w:val="solid" w:color="000000" w:fill="auto"/>
          </w:tcPr>
          <w:p w:rsidR="00965D85" w:rsidRPr="00EF64FD" w:rsidRDefault="00965D85" w:rsidP="008B46DF">
            <w:pPr>
              <w:autoSpaceDE w:val="0"/>
              <w:autoSpaceDN w:val="0"/>
              <w:adjustRightInd w:val="0"/>
              <w:spacing w:after="0"/>
              <w:jc w:val="right"/>
              <w:rPr>
                <w:rFonts w:ascii="Calibri" w:eastAsiaTheme="minorEastAsia" w:hAnsi="Calibri" w:cs="Calibri"/>
                <w:i/>
                <w:iCs/>
                <w:color w:val="FFFFFF"/>
                <w:sz w:val="19"/>
                <w:szCs w:val="19"/>
                <w:lang w:eastAsia="en-AU"/>
              </w:rPr>
            </w:pPr>
            <w:r w:rsidRPr="00EF64FD">
              <w:rPr>
                <w:rFonts w:ascii="Calibri" w:eastAsiaTheme="minorEastAsia" w:hAnsi="Calibri" w:cs="Calibri"/>
                <w:i/>
                <w:iCs/>
                <w:color w:val="FFFFFF"/>
                <w:sz w:val="19"/>
                <w:szCs w:val="19"/>
                <w:lang w:eastAsia="en-AU"/>
              </w:rPr>
              <w:t>2016</w:t>
            </w:r>
          </w:p>
          <w:p w:rsidR="00965D85" w:rsidRPr="00EF64FD" w:rsidRDefault="00965D85" w:rsidP="008B46DF">
            <w:pPr>
              <w:autoSpaceDE w:val="0"/>
              <w:autoSpaceDN w:val="0"/>
              <w:adjustRightInd w:val="0"/>
              <w:spacing w:after="0"/>
              <w:jc w:val="right"/>
              <w:rPr>
                <w:rFonts w:ascii="Calibri" w:eastAsiaTheme="minorEastAsia" w:hAnsi="Calibri" w:cs="Calibri"/>
                <w:i/>
                <w:iCs/>
                <w:color w:val="FFFFFF"/>
                <w:sz w:val="19"/>
                <w:szCs w:val="19"/>
                <w:lang w:eastAsia="en-AU"/>
              </w:rPr>
            </w:pPr>
            <w:r w:rsidRPr="00EF64FD">
              <w:rPr>
                <w:rFonts w:ascii="Calibri" w:eastAsiaTheme="minorEastAsia" w:hAnsi="Calibri" w:cs="Calibri"/>
                <w:i/>
                <w:iCs/>
                <w:color w:val="FFFFFF"/>
                <w:sz w:val="19"/>
                <w:szCs w:val="19"/>
                <w:lang w:eastAsia="en-AU"/>
              </w:rPr>
              <w:t>budget</w:t>
            </w:r>
            <w:r w:rsidRPr="00EF64FD">
              <w:rPr>
                <w:rFonts w:ascii="Calibri" w:eastAsiaTheme="minorEastAsia" w:hAnsi="Calibri" w:cs="Calibri"/>
                <w:i/>
                <w:iCs/>
                <w:color w:val="FFFFFF"/>
                <w:sz w:val="19"/>
                <w:szCs w:val="19"/>
                <w:vertAlign w:val="superscript"/>
                <w:lang w:eastAsia="en-AU"/>
              </w:rPr>
              <w:t xml:space="preserve"> (a)</w:t>
            </w:r>
          </w:p>
        </w:tc>
        <w:tc>
          <w:tcPr>
            <w:tcW w:w="964" w:type="dxa"/>
            <w:tcBorders>
              <w:top w:val="nil"/>
              <w:left w:val="nil"/>
              <w:right w:val="nil"/>
            </w:tcBorders>
            <w:shd w:val="solid" w:color="000000" w:fill="auto"/>
          </w:tcPr>
          <w:p w:rsidR="00965D85" w:rsidRPr="00EF64FD" w:rsidRDefault="00965D85" w:rsidP="008B46DF">
            <w:pPr>
              <w:autoSpaceDE w:val="0"/>
              <w:autoSpaceDN w:val="0"/>
              <w:adjustRightInd w:val="0"/>
              <w:spacing w:after="0"/>
              <w:jc w:val="right"/>
              <w:rPr>
                <w:rFonts w:ascii="Calibri" w:eastAsiaTheme="minorEastAsia" w:hAnsi="Calibri" w:cs="Calibri"/>
                <w:i/>
                <w:iCs/>
                <w:color w:val="FFFFFF"/>
                <w:sz w:val="19"/>
                <w:szCs w:val="19"/>
                <w:lang w:eastAsia="en-AU"/>
              </w:rPr>
            </w:pPr>
            <w:r w:rsidRPr="00EF64FD">
              <w:rPr>
                <w:rFonts w:ascii="Calibri" w:eastAsiaTheme="minorEastAsia" w:hAnsi="Calibri" w:cs="Calibri"/>
                <w:i/>
                <w:iCs/>
                <w:color w:val="FFFFFF"/>
                <w:sz w:val="19"/>
                <w:szCs w:val="19"/>
                <w:lang w:eastAsia="en-AU"/>
              </w:rPr>
              <w:t>2016</w:t>
            </w:r>
          </w:p>
          <w:p w:rsidR="00965D85" w:rsidRPr="00EF64FD" w:rsidRDefault="00965D85" w:rsidP="008B46DF">
            <w:pPr>
              <w:autoSpaceDE w:val="0"/>
              <w:autoSpaceDN w:val="0"/>
              <w:adjustRightInd w:val="0"/>
              <w:spacing w:after="0"/>
              <w:jc w:val="right"/>
              <w:rPr>
                <w:rFonts w:ascii="Calibri" w:eastAsiaTheme="minorEastAsia" w:hAnsi="Calibri" w:cs="Calibri"/>
                <w:i/>
                <w:iCs/>
                <w:color w:val="FFFFFF"/>
                <w:sz w:val="19"/>
                <w:szCs w:val="19"/>
                <w:lang w:eastAsia="en-AU"/>
              </w:rPr>
            </w:pPr>
            <w:r w:rsidRPr="00EF64FD">
              <w:rPr>
                <w:rFonts w:ascii="Calibri" w:eastAsiaTheme="minorEastAsia" w:hAnsi="Calibri" w:cs="Calibri"/>
                <w:i/>
                <w:iCs/>
                <w:color w:val="FFFFFF"/>
                <w:sz w:val="19"/>
                <w:szCs w:val="19"/>
                <w:lang w:eastAsia="en-AU"/>
              </w:rPr>
              <w:t>revised</w:t>
            </w:r>
          </w:p>
        </w:tc>
        <w:tc>
          <w:tcPr>
            <w:tcW w:w="964" w:type="dxa"/>
            <w:tcBorders>
              <w:top w:val="nil"/>
              <w:left w:val="nil"/>
              <w:right w:val="nil"/>
            </w:tcBorders>
            <w:shd w:val="solid" w:color="000000" w:fill="auto"/>
          </w:tcPr>
          <w:p w:rsidR="00965D85" w:rsidRPr="00EF64FD" w:rsidRDefault="00965D85" w:rsidP="008B46DF">
            <w:pPr>
              <w:autoSpaceDE w:val="0"/>
              <w:autoSpaceDN w:val="0"/>
              <w:adjustRightInd w:val="0"/>
              <w:spacing w:after="0"/>
              <w:jc w:val="right"/>
              <w:rPr>
                <w:rFonts w:ascii="Calibri" w:eastAsiaTheme="minorEastAsia" w:hAnsi="Calibri" w:cs="Calibri"/>
                <w:i/>
                <w:iCs/>
                <w:color w:val="FFFFFF"/>
                <w:sz w:val="19"/>
                <w:szCs w:val="19"/>
                <w:lang w:eastAsia="en-AU"/>
              </w:rPr>
            </w:pPr>
            <w:r w:rsidRPr="00EF64FD">
              <w:rPr>
                <w:rFonts w:ascii="Calibri" w:eastAsiaTheme="minorEastAsia" w:hAnsi="Calibri" w:cs="Calibri"/>
                <w:i/>
                <w:iCs/>
                <w:color w:val="FFFFFF"/>
                <w:sz w:val="19"/>
                <w:szCs w:val="19"/>
                <w:lang w:eastAsia="en-AU"/>
              </w:rPr>
              <w:t>2017</w:t>
            </w:r>
          </w:p>
          <w:p w:rsidR="00965D85" w:rsidRPr="00EF64FD" w:rsidRDefault="00965D85" w:rsidP="008B46DF">
            <w:pPr>
              <w:autoSpaceDE w:val="0"/>
              <w:autoSpaceDN w:val="0"/>
              <w:adjustRightInd w:val="0"/>
              <w:spacing w:after="0"/>
              <w:jc w:val="right"/>
              <w:rPr>
                <w:rFonts w:ascii="Calibri" w:eastAsiaTheme="minorEastAsia" w:hAnsi="Calibri" w:cs="Calibri"/>
                <w:i/>
                <w:iCs/>
                <w:color w:val="FFFFFF"/>
                <w:sz w:val="19"/>
                <w:szCs w:val="19"/>
                <w:lang w:eastAsia="en-AU"/>
              </w:rPr>
            </w:pPr>
            <w:r w:rsidRPr="00EF64FD">
              <w:rPr>
                <w:rFonts w:ascii="Calibri" w:eastAsiaTheme="minorEastAsia" w:hAnsi="Calibri" w:cs="Calibri"/>
                <w:i/>
                <w:iCs/>
                <w:color w:val="FFFFFF"/>
                <w:sz w:val="19"/>
                <w:szCs w:val="19"/>
                <w:lang w:eastAsia="en-AU"/>
              </w:rPr>
              <w:t>estimate</w:t>
            </w:r>
          </w:p>
        </w:tc>
        <w:tc>
          <w:tcPr>
            <w:tcW w:w="964" w:type="dxa"/>
            <w:tcBorders>
              <w:top w:val="nil"/>
              <w:left w:val="nil"/>
              <w:right w:val="nil"/>
            </w:tcBorders>
            <w:shd w:val="solid" w:color="000000" w:fill="auto"/>
          </w:tcPr>
          <w:p w:rsidR="00965D85" w:rsidRPr="00EF64FD" w:rsidRDefault="00965D85" w:rsidP="008B46DF">
            <w:pPr>
              <w:autoSpaceDE w:val="0"/>
              <w:autoSpaceDN w:val="0"/>
              <w:adjustRightInd w:val="0"/>
              <w:spacing w:after="0"/>
              <w:jc w:val="right"/>
              <w:rPr>
                <w:rFonts w:ascii="Calibri" w:eastAsiaTheme="minorEastAsia" w:hAnsi="Calibri" w:cs="Calibri"/>
                <w:i/>
                <w:iCs/>
                <w:color w:val="FFFFFF"/>
                <w:sz w:val="19"/>
                <w:szCs w:val="19"/>
                <w:lang w:eastAsia="en-AU"/>
              </w:rPr>
            </w:pPr>
            <w:r w:rsidRPr="00EF64FD">
              <w:rPr>
                <w:rFonts w:ascii="Calibri" w:eastAsiaTheme="minorEastAsia" w:hAnsi="Calibri" w:cs="Calibri"/>
                <w:i/>
                <w:iCs/>
                <w:color w:val="FFFFFF"/>
                <w:sz w:val="19"/>
                <w:szCs w:val="19"/>
                <w:lang w:eastAsia="en-AU"/>
              </w:rPr>
              <w:t>2018</w:t>
            </w:r>
          </w:p>
          <w:p w:rsidR="00965D85" w:rsidRPr="00EF64FD" w:rsidRDefault="00965D85" w:rsidP="008B46DF">
            <w:pPr>
              <w:autoSpaceDE w:val="0"/>
              <w:autoSpaceDN w:val="0"/>
              <w:adjustRightInd w:val="0"/>
              <w:spacing w:after="0"/>
              <w:jc w:val="right"/>
              <w:rPr>
                <w:rFonts w:ascii="Calibri" w:eastAsiaTheme="minorEastAsia" w:hAnsi="Calibri" w:cs="Calibri"/>
                <w:i/>
                <w:iCs/>
                <w:color w:val="FFFFFF"/>
                <w:sz w:val="19"/>
                <w:szCs w:val="19"/>
                <w:lang w:eastAsia="en-AU"/>
              </w:rPr>
            </w:pPr>
            <w:r w:rsidRPr="00EF64FD">
              <w:rPr>
                <w:rFonts w:ascii="Calibri" w:eastAsiaTheme="minorEastAsia" w:hAnsi="Calibri" w:cs="Calibri"/>
                <w:i/>
                <w:iCs/>
                <w:color w:val="FFFFFF"/>
                <w:sz w:val="19"/>
                <w:szCs w:val="19"/>
                <w:lang w:eastAsia="en-AU"/>
              </w:rPr>
              <w:t>estimate</w:t>
            </w:r>
          </w:p>
        </w:tc>
        <w:tc>
          <w:tcPr>
            <w:tcW w:w="964" w:type="dxa"/>
            <w:tcBorders>
              <w:top w:val="nil"/>
              <w:left w:val="nil"/>
              <w:right w:val="nil"/>
            </w:tcBorders>
            <w:shd w:val="solid" w:color="000000" w:fill="auto"/>
          </w:tcPr>
          <w:p w:rsidR="00965D85" w:rsidRPr="00EF64FD" w:rsidRDefault="00965D85" w:rsidP="008B46DF">
            <w:pPr>
              <w:autoSpaceDE w:val="0"/>
              <w:autoSpaceDN w:val="0"/>
              <w:adjustRightInd w:val="0"/>
              <w:spacing w:after="0"/>
              <w:jc w:val="right"/>
              <w:rPr>
                <w:rFonts w:ascii="Calibri" w:eastAsiaTheme="minorEastAsia" w:hAnsi="Calibri" w:cs="Calibri"/>
                <w:i/>
                <w:iCs/>
                <w:color w:val="FFFFFF"/>
                <w:sz w:val="19"/>
                <w:szCs w:val="19"/>
                <w:lang w:eastAsia="en-AU"/>
              </w:rPr>
            </w:pPr>
            <w:r w:rsidRPr="00EF64FD">
              <w:rPr>
                <w:rFonts w:ascii="Calibri" w:eastAsiaTheme="minorEastAsia" w:hAnsi="Calibri" w:cs="Calibri"/>
                <w:i/>
                <w:iCs/>
                <w:color w:val="FFFFFF"/>
                <w:sz w:val="19"/>
                <w:szCs w:val="19"/>
                <w:lang w:eastAsia="en-AU"/>
              </w:rPr>
              <w:t>2019</w:t>
            </w:r>
          </w:p>
          <w:p w:rsidR="00965D85" w:rsidRPr="00EF64FD" w:rsidRDefault="00965D85" w:rsidP="008B46DF">
            <w:pPr>
              <w:autoSpaceDE w:val="0"/>
              <w:autoSpaceDN w:val="0"/>
              <w:adjustRightInd w:val="0"/>
              <w:spacing w:after="0"/>
              <w:jc w:val="right"/>
              <w:rPr>
                <w:rFonts w:ascii="Calibri" w:eastAsiaTheme="minorEastAsia" w:hAnsi="Calibri" w:cs="Calibri"/>
                <w:i/>
                <w:iCs/>
                <w:color w:val="FFFFFF"/>
                <w:sz w:val="19"/>
                <w:szCs w:val="19"/>
                <w:lang w:eastAsia="en-AU"/>
              </w:rPr>
            </w:pPr>
            <w:r w:rsidRPr="00EF64FD">
              <w:rPr>
                <w:rFonts w:ascii="Calibri" w:eastAsiaTheme="minorEastAsia" w:hAnsi="Calibri" w:cs="Calibri"/>
                <w:i/>
                <w:iCs/>
                <w:color w:val="FFFFFF"/>
                <w:sz w:val="19"/>
                <w:szCs w:val="19"/>
                <w:lang w:eastAsia="en-AU"/>
              </w:rPr>
              <w:t>estimate</w:t>
            </w:r>
          </w:p>
        </w:tc>
      </w:tr>
      <w:tr w:rsidR="00965D85" w:rsidRPr="00EF64FD" w:rsidTr="008B46DF">
        <w:tc>
          <w:tcPr>
            <w:tcW w:w="2947" w:type="dxa"/>
            <w:tcBorders>
              <w:top w:val="nil"/>
              <w:left w:val="nil"/>
              <w:right w:val="nil"/>
            </w:tcBorders>
            <w:shd w:val="clear" w:color="auto" w:fill="FFFFFF"/>
          </w:tcPr>
          <w:p w:rsidR="00965D85" w:rsidRPr="00EF64FD" w:rsidRDefault="00965D85" w:rsidP="008B46DF">
            <w:pPr>
              <w:autoSpaceDE w:val="0"/>
              <w:autoSpaceDN w:val="0"/>
              <w:adjustRightInd w:val="0"/>
              <w:spacing w:after="0"/>
              <w:ind w:left="227" w:hanging="227"/>
              <w:rPr>
                <w:rFonts w:ascii="Calibri" w:eastAsiaTheme="minorEastAsia" w:hAnsi="Calibri" w:cs="Calibri"/>
                <w:b/>
                <w:bCs/>
                <w:color w:val="000000"/>
                <w:sz w:val="19"/>
                <w:szCs w:val="19"/>
                <w:lang w:eastAsia="en-AU"/>
              </w:rPr>
            </w:pPr>
            <w:r w:rsidRPr="00EF64FD">
              <w:rPr>
                <w:rFonts w:ascii="Calibri" w:eastAsiaTheme="minorEastAsia" w:hAnsi="Calibri" w:cs="Calibri"/>
                <w:b/>
                <w:bCs/>
                <w:color w:val="000000"/>
                <w:sz w:val="19"/>
                <w:szCs w:val="19"/>
                <w:lang w:eastAsia="en-AU"/>
              </w:rPr>
              <w:t>Assets</w:t>
            </w:r>
          </w:p>
        </w:tc>
        <w:tc>
          <w:tcPr>
            <w:tcW w:w="964" w:type="dxa"/>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b/>
                <w:bCs/>
                <w:color w:val="000000"/>
                <w:sz w:val="19"/>
                <w:szCs w:val="19"/>
                <w:lang w:eastAsia="en-AU"/>
              </w:rPr>
            </w:pPr>
          </w:p>
        </w:tc>
        <w:tc>
          <w:tcPr>
            <w:tcW w:w="964" w:type="dxa"/>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b/>
                <w:bCs/>
                <w:color w:val="000000"/>
                <w:sz w:val="19"/>
                <w:szCs w:val="19"/>
                <w:lang w:eastAsia="en-AU"/>
              </w:rPr>
            </w:pPr>
          </w:p>
        </w:tc>
        <w:tc>
          <w:tcPr>
            <w:tcW w:w="964" w:type="dxa"/>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b/>
                <w:bCs/>
                <w:color w:val="000000"/>
                <w:sz w:val="19"/>
                <w:szCs w:val="19"/>
                <w:lang w:eastAsia="en-AU"/>
              </w:rPr>
            </w:pPr>
          </w:p>
        </w:tc>
        <w:tc>
          <w:tcPr>
            <w:tcW w:w="964" w:type="dxa"/>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b/>
                <w:bCs/>
                <w:color w:val="000000"/>
                <w:sz w:val="19"/>
                <w:szCs w:val="19"/>
                <w:lang w:eastAsia="en-AU"/>
              </w:rPr>
            </w:pPr>
          </w:p>
        </w:tc>
        <w:tc>
          <w:tcPr>
            <w:tcW w:w="964" w:type="dxa"/>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b/>
                <w:bCs/>
                <w:color w:val="000000"/>
                <w:sz w:val="19"/>
                <w:szCs w:val="19"/>
                <w:lang w:eastAsia="en-AU"/>
              </w:rPr>
            </w:pPr>
          </w:p>
        </w:tc>
      </w:tr>
      <w:tr w:rsidR="00965D85" w:rsidRPr="00EF64FD" w:rsidTr="008B46DF">
        <w:tc>
          <w:tcPr>
            <w:tcW w:w="2947" w:type="dxa"/>
            <w:tcBorders>
              <w:top w:val="nil"/>
              <w:left w:val="nil"/>
              <w:right w:val="nil"/>
            </w:tcBorders>
            <w:shd w:val="clear" w:color="auto" w:fill="FFFFFF"/>
          </w:tcPr>
          <w:p w:rsidR="00965D85" w:rsidRPr="00EF64FD" w:rsidRDefault="00965D85" w:rsidP="008B46DF">
            <w:pPr>
              <w:autoSpaceDE w:val="0"/>
              <w:autoSpaceDN w:val="0"/>
              <w:adjustRightInd w:val="0"/>
              <w:spacing w:after="0"/>
              <w:ind w:left="227" w:hanging="227"/>
              <w:rPr>
                <w:rFonts w:ascii="Calibri" w:eastAsiaTheme="minorEastAsia" w:hAnsi="Calibri" w:cs="Calibri"/>
                <w:b/>
                <w:bCs/>
                <w:color w:val="000000"/>
                <w:sz w:val="19"/>
                <w:szCs w:val="19"/>
                <w:lang w:eastAsia="en-AU"/>
              </w:rPr>
            </w:pPr>
            <w:r w:rsidRPr="00EF64FD">
              <w:rPr>
                <w:rFonts w:ascii="Calibri" w:eastAsiaTheme="minorEastAsia" w:hAnsi="Calibri" w:cs="Calibri"/>
                <w:b/>
                <w:bCs/>
                <w:color w:val="000000"/>
                <w:sz w:val="19"/>
                <w:szCs w:val="19"/>
                <w:lang w:eastAsia="en-AU"/>
              </w:rPr>
              <w:t>Financial assets</w:t>
            </w:r>
          </w:p>
        </w:tc>
        <w:tc>
          <w:tcPr>
            <w:tcW w:w="964" w:type="dxa"/>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b/>
                <w:bCs/>
                <w:color w:val="000000"/>
                <w:sz w:val="19"/>
                <w:szCs w:val="19"/>
                <w:lang w:eastAsia="en-AU"/>
              </w:rPr>
            </w:pPr>
          </w:p>
        </w:tc>
        <w:tc>
          <w:tcPr>
            <w:tcW w:w="964" w:type="dxa"/>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b/>
                <w:bCs/>
                <w:color w:val="000000"/>
                <w:sz w:val="19"/>
                <w:szCs w:val="19"/>
                <w:lang w:eastAsia="en-AU"/>
              </w:rPr>
            </w:pPr>
          </w:p>
        </w:tc>
        <w:tc>
          <w:tcPr>
            <w:tcW w:w="964" w:type="dxa"/>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b/>
                <w:bCs/>
                <w:color w:val="000000"/>
                <w:sz w:val="19"/>
                <w:szCs w:val="19"/>
                <w:lang w:eastAsia="en-AU"/>
              </w:rPr>
            </w:pPr>
          </w:p>
        </w:tc>
        <w:tc>
          <w:tcPr>
            <w:tcW w:w="964" w:type="dxa"/>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b/>
                <w:bCs/>
                <w:color w:val="000000"/>
                <w:sz w:val="19"/>
                <w:szCs w:val="19"/>
                <w:lang w:eastAsia="en-AU"/>
              </w:rPr>
            </w:pPr>
          </w:p>
        </w:tc>
        <w:tc>
          <w:tcPr>
            <w:tcW w:w="964" w:type="dxa"/>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b/>
                <w:bCs/>
                <w:color w:val="000000"/>
                <w:sz w:val="19"/>
                <w:szCs w:val="19"/>
                <w:lang w:eastAsia="en-AU"/>
              </w:rPr>
            </w:pPr>
          </w:p>
        </w:tc>
      </w:tr>
      <w:tr w:rsidR="00965D85" w:rsidRPr="00EF64FD" w:rsidTr="008B46DF">
        <w:tc>
          <w:tcPr>
            <w:tcW w:w="2947" w:type="dxa"/>
            <w:tcBorders>
              <w:top w:val="nil"/>
              <w:left w:val="nil"/>
              <w:right w:val="nil"/>
            </w:tcBorders>
            <w:shd w:val="clear" w:color="auto" w:fill="FFFFFF"/>
          </w:tcPr>
          <w:p w:rsidR="00965D85" w:rsidRPr="00EF64FD" w:rsidRDefault="00965D85" w:rsidP="008B46DF">
            <w:pPr>
              <w:autoSpaceDE w:val="0"/>
              <w:autoSpaceDN w:val="0"/>
              <w:adjustRightInd w:val="0"/>
              <w:spacing w:after="0"/>
              <w:ind w:left="227" w:hanging="227"/>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Cash and deposits</w:t>
            </w:r>
          </w:p>
        </w:tc>
        <w:tc>
          <w:tcPr>
            <w:tcW w:w="964" w:type="dxa"/>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5 462.4</w:t>
            </w:r>
          </w:p>
        </w:tc>
        <w:tc>
          <w:tcPr>
            <w:tcW w:w="964" w:type="dxa"/>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5 153.1</w:t>
            </w:r>
          </w:p>
        </w:tc>
        <w:tc>
          <w:tcPr>
            <w:tcW w:w="964" w:type="dxa"/>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5 342.6</w:t>
            </w:r>
          </w:p>
        </w:tc>
        <w:tc>
          <w:tcPr>
            <w:tcW w:w="964" w:type="dxa"/>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5 519.7</w:t>
            </w:r>
          </w:p>
        </w:tc>
        <w:tc>
          <w:tcPr>
            <w:tcW w:w="964" w:type="dxa"/>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5 823.7</w:t>
            </w:r>
          </w:p>
        </w:tc>
      </w:tr>
      <w:tr w:rsidR="00965D85" w:rsidRPr="00EF64FD" w:rsidTr="008B46DF">
        <w:tc>
          <w:tcPr>
            <w:tcW w:w="2947" w:type="dxa"/>
            <w:tcBorders>
              <w:top w:val="nil"/>
              <w:left w:val="nil"/>
              <w:right w:val="nil"/>
            </w:tcBorders>
            <w:shd w:val="clear" w:color="auto" w:fill="FFFFFF"/>
          </w:tcPr>
          <w:p w:rsidR="00965D85" w:rsidRPr="00EF64FD" w:rsidRDefault="00965D85" w:rsidP="008B46DF">
            <w:pPr>
              <w:autoSpaceDE w:val="0"/>
              <w:autoSpaceDN w:val="0"/>
              <w:adjustRightInd w:val="0"/>
              <w:spacing w:after="0"/>
              <w:ind w:left="227" w:hanging="227"/>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Advances paid</w:t>
            </w:r>
          </w:p>
        </w:tc>
        <w:tc>
          <w:tcPr>
            <w:tcW w:w="964" w:type="dxa"/>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81.4</w:t>
            </w:r>
          </w:p>
        </w:tc>
        <w:tc>
          <w:tcPr>
            <w:tcW w:w="964" w:type="dxa"/>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80.6</w:t>
            </w:r>
          </w:p>
        </w:tc>
        <w:tc>
          <w:tcPr>
            <w:tcW w:w="964" w:type="dxa"/>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75.7</w:t>
            </w:r>
          </w:p>
        </w:tc>
        <w:tc>
          <w:tcPr>
            <w:tcW w:w="964" w:type="dxa"/>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69.2</w:t>
            </w:r>
          </w:p>
        </w:tc>
        <w:tc>
          <w:tcPr>
            <w:tcW w:w="964" w:type="dxa"/>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63.0</w:t>
            </w:r>
          </w:p>
        </w:tc>
      </w:tr>
      <w:tr w:rsidR="00965D85" w:rsidRPr="00EF64FD" w:rsidTr="008B46DF">
        <w:tc>
          <w:tcPr>
            <w:tcW w:w="2947" w:type="dxa"/>
            <w:tcBorders>
              <w:top w:val="nil"/>
              <w:left w:val="nil"/>
              <w:right w:val="nil"/>
            </w:tcBorders>
            <w:shd w:val="clear" w:color="auto" w:fill="FFFFFF"/>
          </w:tcPr>
          <w:p w:rsidR="00965D85" w:rsidRPr="00EF64FD" w:rsidRDefault="00965D85" w:rsidP="008B46DF">
            <w:pPr>
              <w:autoSpaceDE w:val="0"/>
              <w:autoSpaceDN w:val="0"/>
              <w:adjustRightInd w:val="0"/>
              <w:spacing w:after="0"/>
              <w:ind w:left="227" w:hanging="227"/>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Receivables</w:t>
            </w:r>
          </w:p>
        </w:tc>
        <w:tc>
          <w:tcPr>
            <w:tcW w:w="964" w:type="dxa"/>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5 591.0</w:t>
            </w:r>
          </w:p>
        </w:tc>
        <w:tc>
          <w:tcPr>
            <w:tcW w:w="964" w:type="dxa"/>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5 580.0</w:t>
            </w:r>
          </w:p>
        </w:tc>
        <w:tc>
          <w:tcPr>
            <w:tcW w:w="964" w:type="dxa"/>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5 668.6</w:t>
            </w:r>
          </w:p>
        </w:tc>
        <w:tc>
          <w:tcPr>
            <w:tcW w:w="964" w:type="dxa"/>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5 776.0</w:t>
            </w:r>
          </w:p>
        </w:tc>
        <w:tc>
          <w:tcPr>
            <w:tcW w:w="964" w:type="dxa"/>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5 922.1</w:t>
            </w:r>
          </w:p>
        </w:tc>
      </w:tr>
      <w:tr w:rsidR="00965D85" w:rsidRPr="00EF64FD" w:rsidTr="008B46DF">
        <w:tc>
          <w:tcPr>
            <w:tcW w:w="2947" w:type="dxa"/>
            <w:tcBorders>
              <w:top w:val="nil"/>
              <w:left w:val="nil"/>
              <w:right w:val="nil"/>
            </w:tcBorders>
            <w:shd w:val="clear" w:color="auto" w:fill="FFFFFF"/>
          </w:tcPr>
          <w:p w:rsidR="00965D85" w:rsidRPr="00EF64FD" w:rsidRDefault="00965D85" w:rsidP="008B46DF">
            <w:pPr>
              <w:autoSpaceDE w:val="0"/>
              <w:autoSpaceDN w:val="0"/>
              <w:adjustRightInd w:val="0"/>
              <w:spacing w:after="0"/>
              <w:ind w:left="227" w:hanging="227"/>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Investments, loans and placements</w:t>
            </w:r>
          </w:p>
        </w:tc>
        <w:tc>
          <w:tcPr>
            <w:tcW w:w="964" w:type="dxa"/>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4 591.2</w:t>
            </w:r>
          </w:p>
        </w:tc>
        <w:tc>
          <w:tcPr>
            <w:tcW w:w="964" w:type="dxa"/>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4 426.7</w:t>
            </w:r>
          </w:p>
        </w:tc>
        <w:tc>
          <w:tcPr>
            <w:tcW w:w="964" w:type="dxa"/>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4 320.7</w:t>
            </w:r>
          </w:p>
        </w:tc>
        <w:tc>
          <w:tcPr>
            <w:tcW w:w="964" w:type="dxa"/>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4 426.4</w:t>
            </w:r>
          </w:p>
        </w:tc>
        <w:tc>
          <w:tcPr>
            <w:tcW w:w="964" w:type="dxa"/>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4 568.2</w:t>
            </w:r>
          </w:p>
        </w:tc>
      </w:tr>
      <w:tr w:rsidR="00965D85" w:rsidRPr="00EF64FD" w:rsidTr="008B46DF">
        <w:tc>
          <w:tcPr>
            <w:tcW w:w="2947" w:type="dxa"/>
            <w:tcBorders>
              <w:top w:val="nil"/>
              <w:left w:val="nil"/>
              <w:right w:val="nil"/>
            </w:tcBorders>
            <w:shd w:val="clear" w:color="auto" w:fill="FFFFFF"/>
          </w:tcPr>
          <w:p w:rsidR="00965D85" w:rsidRPr="00EF64FD" w:rsidRDefault="00965D85" w:rsidP="008B46DF">
            <w:pPr>
              <w:autoSpaceDE w:val="0"/>
              <w:autoSpaceDN w:val="0"/>
              <w:adjustRightInd w:val="0"/>
              <w:spacing w:after="0"/>
              <w:ind w:left="227" w:hanging="227"/>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Investments accounted for using equity method</w:t>
            </w:r>
          </w:p>
        </w:tc>
        <w:tc>
          <w:tcPr>
            <w:tcW w:w="964" w:type="dxa"/>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2 020.8</w:t>
            </w:r>
          </w:p>
        </w:tc>
        <w:tc>
          <w:tcPr>
            <w:tcW w:w="964" w:type="dxa"/>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2 020.8</w:t>
            </w:r>
          </w:p>
        </w:tc>
        <w:tc>
          <w:tcPr>
            <w:tcW w:w="964" w:type="dxa"/>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2 023.8</w:t>
            </w:r>
          </w:p>
        </w:tc>
        <w:tc>
          <w:tcPr>
            <w:tcW w:w="964" w:type="dxa"/>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2 027.9</w:t>
            </w:r>
          </w:p>
        </w:tc>
        <w:tc>
          <w:tcPr>
            <w:tcW w:w="964" w:type="dxa"/>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2 033.4</w:t>
            </w:r>
          </w:p>
        </w:tc>
      </w:tr>
      <w:tr w:rsidR="00965D85" w:rsidRPr="00EF64FD" w:rsidTr="008B46DF">
        <w:tc>
          <w:tcPr>
            <w:tcW w:w="2947" w:type="dxa"/>
            <w:tcBorders>
              <w:top w:val="nil"/>
              <w:left w:val="nil"/>
              <w:bottom w:val="single" w:sz="6" w:space="0" w:color="000000"/>
              <w:right w:val="nil"/>
            </w:tcBorders>
            <w:shd w:val="clear" w:color="auto" w:fill="FFFFFF"/>
          </w:tcPr>
          <w:p w:rsidR="00965D85" w:rsidRPr="00EF64FD" w:rsidRDefault="00965D85" w:rsidP="008B46DF">
            <w:pPr>
              <w:autoSpaceDE w:val="0"/>
              <w:autoSpaceDN w:val="0"/>
              <w:adjustRightInd w:val="0"/>
              <w:spacing w:after="0"/>
              <w:ind w:left="227" w:hanging="227"/>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Investments in other sector entities</w:t>
            </w:r>
          </w:p>
        </w:tc>
        <w:tc>
          <w:tcPr>
            <w:tcW w:w="964" w:type="dxa"/>
            <w:tcBorders>
              <w:top w:val="nil"/>
              <w:left w:val="nil"/>
              <w:bottom w:val="single" w:sz="6" w:space="0" w:color="000000"/>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3 303.6</w:t>
            </w:r>
          </w:p>
        </w:tc>
        <w:tc>
          <w:tcPr>
            <w:tcW w:w="964" w:type="dxa"/>
            <w:tcBorders>
              <w:top w:val="nil"/>
              <w:left w:val="nil"/>
              <w:bottom w:val="single" w:sz="6" w:space="0" w:color="000000"/>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2 809.9</w:t>
            </w:r>
          </w:p>
        </w:tc>
        <w:tc>
          <w:tcPr>
            <w:tcW w:w="964" w:type="dxa"/>
            <w:tcBorders>
              <w:top w:val="nil"/>
              <w:left w:val="nil"/>
              <w:bottom w:val="single" w:sz="6" w:space="0" w:color="000000"/>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2 996.4</w:t>
            </w:r>
          </w:p>
        </w:tc>
        <w:tc>
          <w:tcPr>
            <w:tcW w:w="964" w:type="dxa"/>
            <w:tcBorders>
              <w:top w:val="nil"/>
              <w:left w:val="nil"/>
              <w:bottom w:val="single" w:sz="6" w:space="0" w:color="000000"/>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2 628.9</w:t>
            </w:r>
          </w:p>
        </w:tc>
        <w:tc>
          <w:tcPr>
            <w:tcW w:w="964" w:type="dxa"/>
            <w:tcBorders>
              <w:top w:val="nil"/>
              <w:left w:val="nil"/>
              <w:bottom w:val="single" w:sz="6" w:space="0" w:color="000000"/>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2 965.9</w:t>
            </w:r>
          </w:p>
        </w:tc>
      </w:tr>
      <w:tr w:rsidR="00965D85" w:rsidRPr="00EF64FD" w:rsidTr="008B46DF">
        <w:tc>
          <w:tcPr>
            <w:tcW w:w="2947" w:type="dxa"/>
            <w:tcBorders>
              <w:top w:val="single" w:sz="6" w:space="0" w:color="000000"/>
              <w:left w:val="nil"/>
              <w:right w:val="nil"/>
            </w:tcBorders>
            <w:shd w:val="clear" w:color="auto" w:fill="FFFFFF"/>
          </w:tcPr>
          <w:p w:rsidR="00965D85" w:rsidRPr="00EF64FD" w:rsidRDefault="00965D85" w:rsidP="008B46DF">
            <w:pPr>
              <w:autoSpaceDE w:val="0"/>
              <w:autoSpaceDN w:val="0"/>
              <w:adjustRightInd w:val="0"/>
              <w:spacing w:after="0"/>
              <w:ind w:left="227" w:hanging="227"/>
              <w:rPr>
                <w:rFonts w:ascii="Calibri" w:eastAsiaTheme="minorEastAsia" w:hAnsi="Calibri" w:cs="Calibri"/>
                <w:b/>
                <w:bCs/>
                <w:color w:val="000000"/>
                <w:sz w:val="19"/>
                <w:szCs w:val="19"/>
                <w:lang w:eastAsia="en-AU"/>
              </w:rPr>
            </w:pPr>
            <w:r w:rsidRPr="00EF64FD">
              <w:rPr>
                <w:rFonts w:ascii="Calibri" w:eastAsiaTheme="minorEastAsia" w:hAnsi="Calibri" w:cs="Calibri"/>
                <w:b/>
                <w:bCs/>
                <w:color w:val="000000"/>
                <w:sz w:val="19"/>
                <w:szCs w:val="19"/>
                <w:lang w:eastAsia="en-AU"/>
              </w:rPr>
              <w:t>Total financial assets</w:t>
            </w:r>
          </w:p>
        </w:tc>
        <w:tc>
          <w:tcPr>
            <w:tcW w:w="964" w:type="dxa"/>
            <w:tcBorders>
              <w:top w:val="single" w:sz="6" w:space="0" w:color="000000"/>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b/>
                <w:bCs/>
                <w:color w:val="000000"/>
                <w:sz w:val="19"/>
                <w:szCs w:val="19"/>
                <w:lang w:eastAsia="en-AU"/>
              </w:rPr>
            </w:pPr>
            <w:r w:rsidRPr="00EF64FD">
              <w:rPr>
                <w:rFonts w:ascii="Calibri" w:eastAsiaTheme="minorEastAsia" w:hAnsi="Calibri" w:cs="Calibri"/>
                <w:b/>
                <w:bCs/>
                <w:color w:val="000000"/>
                <w:sz w:val="19"/>
                <w:szCs w:val="19"/>
                <w:lang w:eastAsia="en-AU"/>
              </w:rPr>
              <w:t>21 050.4</w:t>
            </w:r>
          </w:p>
        </w:tc>
        <w:tc>
          <w:tcPr>
            <w:tcW w:w="964" w:type="dxa"/>
            <w:tcBorders>
              <w:top w:val="single" w:sz="6" w:space="0" w:color="000000"/>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b/>
                <w:bCs/>
                <w:color w:val="000000"/>
                <w:sz w:val="19"/>
                <w:szCs w:val="19"/>
                <w:lang w:eastAsia="en-AU"/>
              </w:rPr>
            </w:pPr>
            <w:r w:rsidRPr="00EF64FD">
              <w:rPr>
                <w:rFonts w:ascii="Calibri" w:eastAsiaTheme="minorEastAsia" w:hAnsi="Calibri" w:cs="Calibri"/>
                <w:b/>
                <w:bCs/>
                <w:color w:val="000000"/>
                <w:sz w:val="19"/>
                <w:szCs w:val="19"/>
                <w:lang w:eastAsia="en-AU"/>
              </w:rPr>
              <w:t>20 071.1</w:t>
            </w:r>
          </w:p>
        </w:tc>
        <w:tc>
          <w:tcPr>
            <w:tcW w:w="964" w:type="dxa"/>
            <w:tcBorders>
              <w:top w:val="single" w:sz="6" w:space="0" w:color="000000"/>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b/>
                <w:bCs/>
                <w:color w:val="000000"/>
                <w:sz w:val="19"/>
                <w:szCs w:val="19"/>
                <w:lang w:eastAsia="en-AU"/>
              </w:rPr>
            </w:pPr>
            <w:r w:rsidRPr="00EF64FD">
              <w:rPr>
                <w:rFonts w:ascii="Calibri" w:eastAsiaTheme="minorEastAsia" w:hAnsi="Calibri" w:cs="Calibri"/>
                <w:b/>
                <w:bCs/>
                <w:color w:val="000000"/>
                <w:sz w:val="19"/>
                <w:szCs w:val="19"/>
                <w:lang w:eastAsia="en-AU"/>
              </w:rPr>
              <w:t>20 427.9</w:t>
            </w:r>
          </w:p>
        </w:tc>
        <w:tc>
          <w:tcPr>
            <w:tcW w:w="964" w:type="dxa"/>
            <w:tcBorders>
              <w:top w:val="single" w:sz="6" w:space="0" w:color="000000"/>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b/>
                <w:bCs/>
                <w:color w:val="000000"/>
                <w:sz w:val="19"/>
                <w:szCs w:val="19"/>
                <w:lang w:eastAsia="en-AU"/>
              </w:rPr>
            </w:pPr>
            <w:r w:rsidRPr="00EF64FD">
              <w:rPr>
                <w:rFonts w:ascii="Calibri" w:eastAsiaTheme="minorEastAsia" w:hAnsi="Calibri" w:cs="Calibri"/>
                <w:b/>
                <w:bCs/>
                <w:color w:val="000000"/>
                <w:sz w:val="19"/>
                <w:szCs w:val="19"/>
                <w:lang w:eastAsia="en-AU"/>
              </w:rPr>
              <w:t>20 448.2</w:t>
            </w:r>
          </w:p>
        </w:tc>
        <w:tc>
          <w:tcPr>
            <w:tcW w:w="964" w:type="dxa"/>
            <w:tcBorders>
              <w:top w:val="single" w:sz="6" w:space="0" w:color="000000"/>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b/>
                <w:bCs/>
                <w:color w:val="000000"/>
                <w:sz w:val="19"/>
                <w:szCs w:val="19"/>
                <w:lang w:eastAsia="en-AU"/>
              </w:rPr>
            </w:pPr>
            <w:r w:rsidRPr="00EF64FD">
              <w:rPr>
                <w:rFonts w:ascii="Calibri" w:eastAsiaTheme="minorEastAsia" w:hAnsi="Calibri" w:cs="Calibri"/>
                <w:b/>
                <w:bCs/>
                <w:color w:val="000000"/>
                <w:sz w:val="19"/>
                <w:szCs w:val="19"/>
                <w:lang w:eastAsia="en-AU"/>
              </w:rPr>
              <w:t>21 376.3</w:t>
            </w:r>
          </w:p>
        </w:tc>
      </w:tr>
      <w:tr w:rsidR="00965D85" w:rsidRPr="00EF64FD" w:rsidTr="008B46DF">
        <w:tc>
          <w:tcPr>
            <w:tcW w:w="2947" w:type="dxa"/>
            <w:tcBorders>
              <w:top w:val="nil"/>
              <w:left w:val="nil"/>
              <w:right w:val="nil"/>
            </w:tcBorders>
            <w:shd w:val="clear" w:color="auto" w:fill="FFFFFF"/>
          </w:tcPr>
          <w:p w:rsidR="00965D85" w:rsidRPr="00EF64FD" w:rsidRDefault="00965D85" w:rsidP="008B46DF">
            <w:pPr>
              <w:autoSpaceDE w:val="0"/>
              <w:autoSpaceDN w:val="0"/>
              <w:adjustRightInd w:val="0"/>
              <w:spacing w:after="0"/>
              <w:ind w:left="227" w:hanging="227"/>
              <w:rPr>
                <w:rFonts w:ascii="Calibri" w:eastAsiaTheme="minorEastAsia" w:hAnsi="Calibri" w:cs="Calibri"/>
                <w:b/>
                <w:bCs/>
                <w:color w:val="000000"/>
                <w:sz w:val="19"/>
                <w:szCs w:val="19"/>
                <w:lang w:eastAsia="en-AU"/>
              </w:rPr>
            </w:pPr>
            <w:r w:rsidRPr="00EF64FD">
              <w:rPr>
                <w:rFonts w:ascii="Calibri" w:eastAsiaTheme="minorEastAsia" w:hAnsi="Calibri" w:cs="Calibri"/>
                <w:b/>
                <w:bCs/>
                <w:color w:val="000000"/>
                <w:sz w:val="19"/>
                <w:szCs w:val="19"/>
                <w:lang w:eastAsia="en-AU"/>
              </w:rPr>
              <w:t>Non</w:t>
            </w:r>
            <w:r w:rsidRPr="00EF64FD">
              <w:rPr>
                <w:rFonts w:ascii="Calibri" w:eastAsiaTheme="minorEastAsia" w:hAnsi="Calibri" w:cs="Calibri"/>
                <w:b/>
                <w:bCs/>
                <w:color w:val="000000"/>
                <w:sz w:val="19"/>
                <w:szCs w:val="19"/>
                <w:lang w:eastAsia="en-AU"/>
              </w:rPr>
              <w:noBreakHyphen/>
              <w:t>financial assets</w:t>
            </w:r>
          </w:p>
        </w:tc>
        <w:tc>
          <w:tcPr>
            <w:tcW w:w="964" w:type="dxa"/>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b/>
                <w:bCs/>
                <w:color w:val="000000"/>
                <w:sz w:val="19"/>
                <w:szCs w:val="19"/>
                <w:lang w:eastAsia="en-AU"/>
              </w:rPr>
            </w:pPr>
          </w:p>
        </w:tc>
        <w:tc>
          <w:tcPr>
            <w:tcW w:w="964" w:type="dxa"/>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b/>
                <w:bCs/>
                <w:color w:val="000000"/>
                <w:sz w:val="19"/>
                <w:szCs w:val="19"/>
                <w:lang w:eastAsia="en-AU"/>
              </w:rPr>
            </w:pPr>
          </w:p>
        </w:tc>
        <w:tc>
          <w:tcPr>
            <w:tcW w:w="964" w:type="dxa"/>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b/>
                <w:bCs/>
                <w:color w:val="000000"/>
                <w:sz w:val="19"/>
                <w:szCs w:val="19"/>
                <w:lang w:eastAsia="en-AU"/>
              </w:rPr>
            </w:pPr>
          </w:p>
        </w:tc>
        <w:tc>
          <w:tcPr>
            <w:tcW w:w="964" w:type="dxa"/>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b/>
                <w:bCs/>
                <w:color w:val="000000"/>
                <w:sz w:val="19"/>
                <w:szCs w:val="19"/>
                <w:lang w:eastAsia="en-AU"/>
              </w:rPr>
            </w:pPr>
          </w:p>
        </w:tc>
        <w:tc>
          <w:tcPr>
            <w:tcW w:w="964" w:type="dxa"/>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b/>
                <w:bCs/>
                <w:color w:val="000000"/>
                <w:sz w:val="19"/>
                <w:szCs w:val="19"/>
                <w:lang w:eastAsia="en-AU"/>
              </w:rPr>
            </w:pPr>
          </w:p>
        </w:tc>
      </w:tr>
      <w:tr w:rsidR="00965D85" w:rsidRPr="00EF64FD" w:rsidTr="008B46DF">
        <w:tc>
          <w:tcPr>
            <w:tcW w:w="2947" w:type="dxa"/>
            <w:tcBorders>
              <w:top w:val="nil"/>
              <w:left w:val="nil"/>
              <w:right w:val="nil"/>
            </w:tcBorders>
            <w:shd w:val="clear" w:color="auto" w:fill="FFFFFF"/>
          </w:tcPr>
          <w:p w:rsidR="00965D85" w:rsidRPr="00EF64FD" w:rsidRDefault="00965D85" w:rsidP="008B46DF">
            <w:pPr>
              <w:autoSpaceDE w:val="0"/>
              <w:autoSpaceDN w:val="0"/>
              <w:adjustRightInd w:val="0"/>
              <w:spacing w:after="0"/>
              <w:ind w:left="227" w:hanging="227"/>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Inventories</w:t>
            </w:r>
          </w:p>
        </w:tc>
        <w:tc>
          <w:tcPr>
            <w:tcW w:w="964" w:type="dxa"/>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701.1</w:t>
            </w:r>
          </w:p>
        </w:tc>
        <w:tc>
          <w:tcPr>
            <w:tcW w:w="964" w:type="dxa"/>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671.1</w:t>
            </w:r>
          </w:p>
        </w:tc>
        <w:tc>
          <w:tcPr>
            <w:tcW w:w="964" w:type="dxa"/>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777.7</w:t>
            </w:r>
          </w:p>
        </w:tc>
        <w:tc>
          <w:tcPr>
            <w:tcW w:w="964" w:type="dxa"/>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858.7</w:t>
            </w:r>
          </w:p>
        </w:tc>
        <w:tc>
          <w:tcPr>
            <w:tcW w:w="964" w:type="dxa"/>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958.8</w:t>
            </w:r>
          </w:p>
        </w:tc>
      </w:tr>
      <w:tr w:rsidR="00965D85" w:rsidRPr="00EF64FD" w:rsidTr="008B46DF">
        <w:tc>
          <w:tcPr>
            <w:tcW w:w="2947" w:type="dxa"/>
            <w:tcBorders>
              <w:top w:val="nil"/>
              <w:left w:val="nil"/>
              <w:right w:val="nil"/>
            </w:tcBorders>
            <w:shd w:val="clear" w:color="auto" w:fill="FFFFFF"/>
          </w:tcPr>
          <w:p w:rsidR="00965D85" w:rsidRPr="00EF64FD" w:rsidRDefault="00965D85" w:rsidP="008B46DF">
            <w:pPr>
              <w:autoSpaceDE w:val="0"/>
              <w:autoSpaceDN w:val="0"/>
              <w:adjustRightInd w:val="0"/>
              <w:spacing w:after="0"/>
              <w:ind w:left="227" w:hanging="227"/>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Non</w:t>
            </w:r>
            <w:r w:rsidRPr="00EF64FD">
              <w:rPr>
                <w:rFonts w:ascii="Calibri" w:eastAsiaTheme="minorEastAsia" w:hAnsi="Calibri" w:cs="Calibri"/>
                <w:color w:val="000000"/>
                <w:sz w:val="19"/>
                <w:szCs w:val="19"/>
                <w:lang w:eastAsia="en-AU"/>
              </w:rPr>
              <w:noBreakHyphen/>
              <w:t>financial assets held for sale</w:t>
            </w:r>
          </w:p>
        </w:tc>
        <w:tc>
          <w:tcPr>
            <w:tcW w:w="964" w:type="dxa"/>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204.4</w:t>
            </w:r>
          </w:p>
        </w:tc>
        <w:tc>
          <w:tcPr>
            <w:tcW w:w="964" w:type="dxa"/>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163.0</w:t>
            </w:r>
          </w:p>
        </w:tc>
        <w:tc>
          <w:tcPr>
            <w:tcW w:w="964" w:type="dxa"/>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154.7</w:t>
            </w:r>
          </w:p>
        </w:tc>
        <w:tc>
          <w:tcPr>
            <w:tcW w:w="964" w:type="dxa"/>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149.9</w:t>
            </w:r>
          </w:p>
        </w:tc>
        <w:tc>
          <w:tcPr>
            <w:tcW w:w="964" w:type="dxa"/>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152.4</w:t>
            </w:r>
          </w:p>
        </w:tc>
      </w:tr>
      <w:tr w:rsidR="00965D85" w:rsidRPr="00EF64FD" w:rsidTr="008B46DF">
        <w:tc>
          <w:tcPr>
            <w:tcW w:w="2947" w:type="dxa"/>
            <w:tcBorders>
              <w:top w:val="nil"/>
              <w:left w:val="nil"/>
              <w:right w:val="nil"/>
            </w:tcBorders>
            <w:shd w:val="clear" w:color="auto" w:fill="FFFFFF"/>
          </w:tcPr>
          <w:p w:rsidR="00965D85" w:rsidRPr="00EF64FD" w:rsidRDefault="00965D85" w:rsidP="008B46DF">
            <w:pPr>
              <w:autoSpaceDE w:val="0"/>
              <w:autoSpaceDN w:val="0"/>
              <w:adjustRightInd w:val="0"/>
              <w:spacing w:after="0"/>
              <w:ind w:left="227" w:hanging="227"/>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Land, buildings, infrastructure, plant and equipment</w:t>
            </w:r>
          </w:p>
        </w:tc>
        <w:tc>
          <w:tcPr>
            <w:tcW w:w="964" w:type="dxa"/>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209 733.4</w:t>
            </w:r>
          </w:p>
        </w:tc>
        <w:tc>
          <w:tcPr>
            <w:tcW w:w="964" w:type="dxa"/>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207 823.6</w:t>
            </w:r>
          </w:p>
        </w:tc>
        <w:tc>
          <w:tcPr>
            <w:tcW w:w="964" w:type="dxa"/>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211 727.4</w:t>
            </w:r>
          </w:p>
        </w:tc>
        <w:tc>
          <w:tcPr>
            <w:tcW w:w="964" w:type="dxa"/>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223 699.0</w:t>
            </w:r>
          </w:p>
        </w:tc>
        <w:tc>
          <w:tcPr>
            <w:tcW w:w="964" w:type="dxa"/>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225 747.1</w:t>
            </w:r>
          </w:p>
        </w:tc>
      </w:tr>
      <w:tr w:rsidR="00965D85" w:rsidRPr="00EF64FD" w:rsidTr="008B46DF">
        <w:tc>
          <w:tcPr>
            <w:tcW w:w="2947" w:type="dxa"/>
            <w:tcBorders>
              <w:top w:val="nil"/>
              <w:left w:val="nil"/>
              <w:bottom w:val="single" w:sz="6" w:space="0" w:color="000000"/>
              <w:right w:val="nil"/>
            </w:tcBorders>
            <w:shd w:val="clear" w:color="auto" w:fill="FFFFFF"/>
          </w:tcPr>
          <w:p w:rsidR="00965D85" w:rsidRPr="00EF64FD" w:rsidRDefault="00965D85" w:rsidP="008B46DF">
            <w:pPr>
              <w:autoSpaceDE w:val="0"/>
              <w:autoSpaceDN w:val="0"/>
              <w:adjustRightInd w:val="0"/>
              <w:spacing w:after="0"/>
              <w:ind w:left="227" w:hanging="227"/>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Other non</w:t>
            </w:r>
            <w:r w:rsidRPr="00EF64FD">
              <w:rPr>
                <w:rFonts w:ascii="Calibri" w:eastAsiaTheme="minorEastAsia" w:hAnsi="Calibri" w:cs="Calibri"/>
                <w:color w:val="000000"/>
                <w:sz w:val="19"/>
                <w:szCs w:val="19"/>
                <w:lang w:eastAsia="en-AU"/>
              </w:rPr>
              <w:noBreakHyphen/>
              <w:t>financial assets</w:t>
            </w:r>
          </w:p>
        </w:tc>
        <w:tc>
          <w:tcPr>
            <w:tcW w:w="964" w:type="dxa"/>
            <w:tcBorders>
              <w:top w:val="nil"/>
              <w:left w:val="nil"/>
              <w:bottom w:val="single" w:sz="6" w:space="0" w:color="000000"/>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1 841.7</w:t>
            </w:r>
          </w:p>
        </w:tc>
        <w:tc>
          <w:tcPr>
            <w:tcW w:w="964" w:type="dxa"/>
            <w:tcBorders>
              <w:top w:val="nil"/>
              <w:left w:val="nil"/>
              <w:bottom w:val="single" w:sz="6" w:space="0" w:color="000000"/>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1 944.0</w:t>
            </w:r>
          </w:p>
        </w:tc>
        <w:tc>
          <w:tcPr>
            <w:tcW w:w="964" w:type="dxa"/>
            <w:tcBorders>
              <w:top w:val="nil"/>
              <w:left w:val="nil"/>
              <w:bottom w:val="single" w:sz="6" w:space="0" w:color="000000"/>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1 907.8</w:t>
            </w:r>
          </w:p>
        </w:tc>
        <w:tc>
          <w:tcPr>
            <w:tcW w:w="964" w:type="dxa"/>
            <w:tcBorders>
              <w:top w:val="nil"/>
              <w:left w:val="nil"/>
              <w:bottom w:val="single" w:sz="6" w:space="0" w:color="000000"/>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1 788.6</w:t>
            </w:r>
          </w:p>
        </w:tc>
        <w:tc>
          <w:tcPr>
            <w:tcW w:w="964" w:type="dxa"/>
            <w:tcBorders>
              <w:top w:val="nil"/>
              <w:left w:val="nil"/>
              <w:bottom w:val="single" w:sz="6" w:space="0" w:color="000000"/>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1 721.5</w:t>
            </w:r>
          </w:p>
        </w:tc>
      </w:tr>
      <w:tr w:rsidR="00965D85" w:rsidRPr="00EF64FD" w:rsidTr="008B46DF">
        <w:tc>
          <w:tcPr>
            <w:tcW w:w="2947" w:type="dxa"/>
            <w:tcBorders>
              <w:top w:val="single" w:sz="6" w:space="0" w:color="000000"/>
              <w:left w:val="nil"/>
              <w:bottom w:val="single" w:sz="6" w:space="0" w:color="000000"/>
              <w:right w:val="nil"/>
            </w:tcBorders>
            <w:shd w:val="clear" w:color="auto" w:fill="FFFFFF"/>
          </w:tcPr>
          <w:p w:rsidR="00965D85" w:rsidRPr="00EF64FD" w:rsidRDefault="00965D85" w:rsidP="008B46DF">
            <w:pPr>
              <w:autoSpaceDE w:val="0"/>
              <w:autoSpaceDN w:val="0"/>
              <w:adjustRightInd w:val="0"/>
              <w:spacing w:after="0"/>
              <w:ind w:left="227" w:hanging="227"/>
              <w:rPr>
                <w:rFonts w:ascii="Calibri" w:eastAsiaTheme="minorEastAsia" w:hAnsi="Calibri" w:cs="Calibri"/>
                <w:b/>
                <w:bCs/>
                <w:color w:val="000000"/>
                <w:sz w:val="19"/>
                <w:szCs w:val="19"/>
                <w:lang w:eastAsia="en-AU"/>
              </w:rPr>
            </w:pPr>
            <w:r w:rsidRPr="00EF64FD">
              <w:rPr>
                <w:rFonts w:ascii="Calibri" w:eastAsiaTheme="minorEastAsia" w:hAnsi="Calibri" w:cs="Calibri"/>
                <w:b/>
                <w:bCs/>
                <w:color w:val="000000"/>
                <w:sz w:val="19"/>
                <w:szCs w:val="19"/>
                <w:lang w:eastAsia="en-AU"/>
              </w:rPr>
              <w:t>Total non</w:t>
            </w:r>
            <w:r w:rsidRPr="00EF64FD">
              <w:rPr>
                <w:rFonts w:ascii="Calibri" w:eastAsiaTheme="minorEastAsia" w:hAnsi="Calibri" w:cs="Calibri"/>
                <w:b/>
                <w:bCs/>
                <w:color w:val="000000"/>
                <w:sz w:val="19"/>
                <w:szCs w:val="19"/>
                <w:lang w:eastAsia="en-AU"/>
              </w:rPr>
              <w:noBreakHyphen/>
              <w:t>financial assets</w:t>
            </w:r>
          </w:p>
        </w:tc>
        <w:tc>
          <w:tcPr>
            <w:tcW w:w="964" w:type="dxa"/>
            <w:tcBorders>
              <w:top w:val="single" w:sz="6" w:space="0" w:color="000000"/>
              <w:left w:val="nil"/>
              <w:bottom w:val="single" w:sz="6" w:space="0" w:color="000000"/>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b/>
                <w:bCs/>
                <w:color w:val="000000"/>
                <w:sz w:val="19"/>
                <w:szCs w:val="19"/>
                <w:lang w:eastAsia="en-AU"/>
              </w:rPr>
            </w:pPr>
            <w:r w:rsidRPr="00EF64FD">
              <w:rPr>
                <w:rFonts w:ascii="Calibri" w:eastAsiaTheme="minorEastAsia" w:hAnsi="Calibri" w:cs="Calibri"/>
                <w:b/>
                <w:bCs/>
                <w:color w:val="000000"/>
                <w:sz w:val="19"/>
                <w:szCs w:val="19"/>
                <w:lang w:eastAsia="en-AU"/>
              </w:rPr>
              <w:t>212 480.5</w:t>
            </w:r>
          </w:p>
        </w:tc>
        <w:tc>
          <w:tcPr>
            <w:tcW w:w="964" w:type="dxa"/>
            <w:tcBorders>
              <w:top w:val="single" w:sz="6" w:space="0" w:color="000000"/>
              <w:left w:val="nil"/>
              <w:bottom w:val="single" w:sz="6" w:space="0" w:color="000000"/>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b/>
                <w:bCs/>
                <w:color w:val="000000"/>
                <w:sz w:val="19"/>
                <w:szCs w:val="19"/>
                <w:lang w:eastAsia="en-AU"/>
              </w:rPr>
            </w:pPr>
            <w:r w:rsidRPr="00EF64FD">
              <w:rPr>
                <w:rFonts w:ascii="Calibri" w:eastAsiaTheme="minorEastAsia" w:hAnsi="Calibri" w:cs="Calibri"/>
                <w:b/>
                <w:bCs/>
                <w:color w:val="000000"/>
                <w:sz w:val="19"/>
                <w:szCs w:val="19"/>
                <w:lang w:eastAsia="en-AU"/>
              </w:rPr>
              <w:t>210 601.7</w:t>
            </w:r>
          </w:p>
        </w:tc>
        <w:tc>
          <w:tcPr>
            <w:tcW w:w="964" w:type="dxa"/>
            <w:tcBorders>
              <w:top w:val="single" w:sz="6" w:space="0" w:color="000000"/>
              <w:left w:val="nil"/>
              <w:bottom w:val="single" w:sz="6" w:space="0" w:color="000000"/>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b/>
                <w:bCs/>
                <w:color w:val="000000"/>
                <w:sz w:val="19"/>
                <w:szCs w:val="19"/>
                <w:lang w:eastAsia="en-AU"/>
              </w:rPr>
            </w:pPr>
            <w:r w:rsidRPr="00EF64FD">
              <w:rPr>
                <w:rFonts w:ascii="Calibri" w:eastAsiaTheme="minorEastAsia" w:hAnsi="Calibri" w:cs="Calibri"/>
                <w:b/>
                <w:bCs/>
                <w:color w:val="000000"/>
                <w:sz w:val="19"/>
                <w:szCs w:val="19"/>
                <w:lang w:eastAsia="en-AU"/>
              </w:rPr>
              <w:t>214 567.6</w:t>
            </w:r>
          </w:p>
        </w:tc>
        <w:tc>
          <w:tcPr>
            <w:tcW w:w="964" w:type="dxa"/>
            <w:tcBorders>
              <w:top w:val="single" w:sz="6" w:space="0" w:color="000000"/>
              <w:left w:val="nil"/>
              <w:bottom w:val="single" w:sz="6" w:space="0" w:color="000000"/>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b/>
                <w:bCs/>
                <w:color w:val="000000"/>
                <w:sz w:val="19"/>
                <w:szCs w:val="19"/>
                <w:lang w:eastAsia="en-AU"/>
              </w:rPr>
            </w:pPr>
            <w:r w:rsidRPr="00EF64FD">
              <w:rPr>
                <w:rFonts w:ascii="Calibri" w:eastAsiaTheme="minorEastAsia" w:hAnsi="Calibri" w:cs="Calibri"/>
                <w:b/>
                <w:bCs/>
                <w:color w:val="000000"/>
                <w:sz w:val="19"/>
                <w:szCs w:val="19"/>
                <w:lang w:eastAsia="en-AU"/>
              </w:rPr>
              <w:t>226 496.3</w:t>
            </w:r>
          </w:p>
        </w:tc>
        <w:tc>
          <w:tcPr>
            <w:tcW w:w="964" w:type="dxa"/>
            <w:tcBorders>
              <w:top w:val="single" w:sz="6" w:space="0" w:color="000000"/>
              <w:left w:val="nil"/>
              <w:bottom w:val="single" w:sz="6" w:space="0" w:color="000000"/>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b/>
                <w:bCs/>
                <w:color w:val="000000"/>
                <w:sz w:val="19"/>
                <w:szCs w:val="19"/>
                <w:lang w:eastAsia="en-AU"/>
              </w:rPr>
            </w:pPr>
            <w:r w:rsidRPr="00EF64FD">
              <w:rPr>
                <w:rFonts w:ascii="Calibri" w:eastAsiaTheme="minorEastAsia" w:hAnsi="Calibri" w:cs="Calibri"/>
                <w:b/>
                <w:bCs/>
                <w:color w:val="000000"/>
                <w:sz w:val="19"/>
                <w:szCs w:val="19"/>
                <w:lang w:eastAsia="en-AU"/>
              </w:rPr>
              <w:t>228 579.8</w:t>
            </w:r>
          </w:p>
        </w:tc>
      </w:tr>
      <w:tr w:rsidR="00965D85" w:rsidRPr="00EF64FD" w:rsidTr="008B46DF">
        <w:tc>
          <w:tcPr>
            <w:tcW w:w="2947" w:type="dxa"/>
            <w:tcBorders>
              <w:top w:val="single" w:sz="6" w:space="0" w:color="000000"/>
              <w:left w:val="nil"/>
              <w:right w:val="nil"/>
            </w:tcBorders>
            <w:shd w:val="clear" w:color="auto" w:fill="FFFFFF"/>
          </w:tcPr>
          <w:p w:rsidR="00965D85" w:rsidRPr="00EF64FD" w:rsidRDefault="00965D85" w:rsidP="008B46DF">
            <w:pPr>
              <w:autoSpaceDE w:val="0"/>
              <w:autoSpaceDN w:val="0"/>
              <w:adjustRightInd w:val="0"/>
              <w:spacing w:after="0"/>
              <w:ind w:left="227" w:hanging="227"/>
              <w:rPr>
                <w:rFonts w:ascii="Calibri" w:eastAsiaTheme="minorEastAsia" w:hAnsi="Calibri" w:cs="Calibri"/>
                <w:b/>
                <w:bCs/>
                <w:color w:val="000000"/>
                <w:sz w:val="19"/>
                <w:szCs w:val="19"/>
                <w:lang w:eastAsia="en-AU"/>
              </w:rPr>
            </w:pPr>
            <w:r w:rsidRPr="00EF64FD">
              <w:rPr>
                <w:rFonts w:ascii="Calibri" w:eastAsiaTheme="minorEastAsia" w:hAnsi="Calibri" w:cs="Calibri"/>
                <w:b/>
                <w:bCs/>
                <w:color w:val="000000"/>
                <w:sz w:val="19"/>
                <w:szCs w:val="19"/>
                <w:lang w:eastAsia="en-AU"/>
              </w:rPr>
              <w:t>Total assets</w:t>
            </w:r>
          </w:p>
        </w:tc>
        <w:tc>
          <w:tcPr>
            <w:tcW w:w="964" w:type="dxa"/>
            <w:tcBorders>
              <w:top w:val="single" w:sz="6" w:space="0" w:color="000000"/>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b/>
                <w:bCs/>
                <w:color w:val="000000"/>
                <w:sz w:val="19"/>
                <w:szCs w:val="19"/>
                <w:lang w:eastAsia="en-AU"/>
              </w:rPr>
            </w:pPr>
            <w:r w:rsidRPr="00EF64FD">
              <w:rPr>
                <w:rFonts w:ascii="Calibri" w:eastAsiaTheme="minorEastAsia" w:hAnsi="Calibri" w:cs="Calibri"/>
                <w:b/>
                <w:bCs/>
                <w:color w:val="000000"/>
                <w:sz w:val="19"/>
                <w:szCs w:val="19"/>
                <w:lang w:eastAsia="en-AU"/>
              </w:rPr>
              <w:t>233 531.0</w:t>
            </w:r>
          </w:p>
        </w:tc>
        <w:tc>
          <w:tcPr>
            <w:tcW w:w="964" w:type="dxa"/>
            <w:tcBorders>
              <w:top w:val="single" w:sz="6" w:space="0" w:color="000000"/>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b/>
                <w:bCs/>
                <w:color w:val="000000"/>
                <w:sz w:val="19"/>
                <w:szCs w:val="19"/>
                <w:lang w:eastAsia="en-AU"/>
              </w:rPr>
            </w:pPr>
            <w:r w:rsidRPr="00EF64FD">
              <w:rPr>
                <w:rFonts w:ascii="Calibri" w:eastAsiaTheme="minorEastAsia" w:hAnsi="Calibri" w:cs="Calibri"/>
                <w:b/>
                <w:bCs/>
                <w:color w:val="000000"/>
                <w:sz w:val="19"/>
                <w:szCs w:val="19"/>
                <w:lang w:eastAsia="en-AU"/>
              </w:rPr>
              <w:t>230 672.8</w:t>
            </w:r>
          </w:p>
        </w:tc>
        <w:tc>
          <w:tcPr>
            <w:tcW w:w="964" w:type="dxa"/>
            <w:tcBorders>
              <w:top w:val="single" w:sz="6" w:space="0" w:color="000000"/>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b/>
                <w:bCs/>
                <w:color w:val="000000"/>
                <w:sz w:val="19"/>
                <w:szCs w:val="19"/>
                <w:lang w:eastAsia="en-AU"/>
              </w:rPr>
            </w:pPr>
            <w:r w:rsidRPr="00EF64FD">
              <w:rPr>
                <w:rFonts w:ascii="Calibri" w:eastAsiaTheme="minorEastAsia" w:hAnsi="Calibri" w:cs="Calibri"/>
                <w:b/>
                <w:bCs/>
                <w:color w:val="000000"/>
                <w:sz w:val="19"/>
                <w:szCs w:val="19"/>
                <w:lang w:eastAsia="en-AU"/>
              </w:rPr>
              <w:t>234 995.5</w:t>
            </w:r>
          </w:p>
        </w:tc>
        <w:tc>
          <w:tcPr>
            <w:tcW w:w="964" w:type="dxa"/>
            <w:tcBorders>
              <w:top w:val="single" w:sz="6" w:space="0" w:color="000000"/>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b/>
                <w:bCs/>
                <w:color w:val="000000"/>
                <w:sz w:val="19"/>
                <w:szCs w:val="19"/>
                <w:lang w:eastAsia="en-AU"/>
              </w:rPr>
            </w:pPr>
            <w:r w:rsidRPr="00EF64FD">
              <w:rPr>
                <w:rFonts w:ascii="Calibri" w:eastAsiaTheme="minorEastAsia" w:hAnsi="Calibri" w:cs="Calibri"/>
                <w:b/>
                <w:bCs/>
                <w:color w:val="000000"/>
                <w:sz w:val="19"/>
                <w:szCs w:val="19"/>
                <w:lang w:eastAsia="en-AU"/>
              </w:rPr>
              <w:t>246 944.5</w:t>
            </w:r>
          </w:p>
        </w:tc>
        <w:tc>
          <w:tcPr>
            <w:tcW w:w="964" w:type="dxa"/>
            <w:tcBorders>
              <w:top w:val="single" w:sz="6" w:space="0" w:color="000000"/>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b/>
                <w:bCs/>
                <w:color w:val="000000"/>
                <w:sz w:val="19"/>
                <w:szCs w:val="19"/>
                <w:lang w:eastAsia="en-AU"/>
              </w:rPr>
            </w:pPr>
            <w:r w:rsidRPr="00EF64FD">
              <w:rPr>
                <w:rFonts w:ascii="Calibri" w:eastAsiaTheme="minorEastAsia" w:hAnsi="Calibri" w:cs="Calibri"/>
                <w:b/>
                <w:bCs/>
                <w:color w:val="000000"/>
                <w:sz w:val="19"/>
                <w:szCs w:val="19"/>
                <w:lang w:eastAsia="en-AU"/>
              </w:rPr>
              <w:t>249 956.1</w:t>
            </w:r>
          </w:p>
        </w:tc>
      </w:tr>
      <w:tr w:rsidR="00965D85" w:rsidRPr="00EF64FD" w:rsidTr="008B46DF">
        <w:tc>
          <w:tcPr>
            <w:tcW w:w="2947" w:type="dxa"/>
            <w:tcBorders>
              <w:top w:val="nil"/>
              <w:left w:val="nil"/>
              <w:right w:val="nil"/>
            </w:tcBorders>
            <w:shd w:val="clear" w:color="auto" w:fill="FFFFFF"/>
          </w:tcPr>
          <w:p w:rsidR="00965D85" w:rsidRPr="00EF64FD" w:rsidRDefault="00965D85" w:rsidP="008B46DF">
            <w:pPr>
              <w:autoSpaceDE w:val="0"/>
              <w:autoSpaceDN w:val="0"/>
              <w:adjustRightInd w:val="0"/>
              <w:spacing w:after="0"/>
              <w:ind w:left="227" w:hanging="227"/>
              <w:rPr>
                <w:rFonts w:ascii="Calibri" w:eastAsiaTheme="minorEastAsia" w:hAnsi="Calibri" w:cs="Calibri"/>
                <w:b/>
                <w:bCs/>
                <w:color w:val="000000"/>
                <w:sz w:val="19"/>
                <w:szCs w:val="19"/>
                <w:lang w:eastAsia="en-AU"/>
              </w:rPr>
            </w:pPr>
            <w:r w:rsidRPr="00EF64FD">
              <w:rPr>
                <w:rFonts w:ascii="Calibri" w:eastAsiaTheme="minorEastAsia" w:hAnsi="Calibri" w:cs="Calibri"/>
                <w:b/>
                <w:bCs/>
                <w:color w:val="000000"/>
                <w:sz w:val="19"/>
                <w:szCs w:val="19"/>
                <w:lang w:eastAsia="en-AU"/>
              </w:rPr>
              <w:t>Liabilities</w:t>
            </w:r>
          </w:p>
        </w:tc>
        <w:tc>
          <w:tcPr>
            <w:tcW w:w="964" w:type="dxa"/>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b/>
                <w:bCs/>
                <w:color w:val="000000"/>
                <w:sz w:val="19"/>
                <w:szCs w:val="19"/>
                <w:lang w:eastAsia="en-AU"/>
              </w:rPr>
            </w:pPr>
          </w:p>
        </w:tc>
        <w:tc>
          <w:tcPr>
            <w:tcW w:w="964" w:type="dxa"/>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b/>
                <w:bCs/>
                <w:color w:val="000000"/>
                <w:sz w:val="19"/>
                <w:szCs w:val="19"/>
                <w:lang w:eastAsia="en-AU"/>
              </w:rPr>
            </w:pPr>
          </w:p>
        </w:tc>
        <w:tc>
          <w:tcPr>
            <w:tcW w:w="964" w:type="dxa"/>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b/>
                <w:bCs/>
                <w:color w:val="000000"/>
                <w:sz w:val="19"/>
                <w:szCs w:val="19"/>
                <w:lang w:eastAsia="en-AU"/>
              </w:rPr>
            </w:pPr>
          </w:p>
        </w:tc>
        <w:tc>
          <w:tcPr>
            <w:tcW w:w="964" w:type="dxa"/>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b/>
                <w:bCs/>
                <w:color w:val="000000"/>
                <w:sz w:val="19"/>
                <w:szCs w:val="19"/>
                <w:lang w:eastAsia="en-AU"/>
              </w:rPr>
            </w:pPr>
          </w:p>
        </w:tc>
        <w:tc>
          <w:tcPr>
            <w:tcW w:w="964" w:type="dxa"/>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b/>
                <w:bCs/>
                <w:color w:val="000000"/>
                <w:sz w:val="19"/>
                <w:szCs w:val="19"/>
                <w:lang w:eastAsia="en-AU"/>
              </w:rPr>
            </w:pPr>
          </w:p>
        </w:tc>
      </w:tr>
      <w:tr w:rsidR="00965D85" w:rsidRPr="00EF64FD" w:rsidTr="008B46DF">
        <w:tc>
          <w:tcPr>
            <w:tcW w:w="2947" w:type="dxa"/>
            <w:tcBorders>
              <w:top w:val="nil"/>
              <w:left w:val="nil"/>
              <w:right w:val="nil"/>
            </w:tcBorders>
            <w:shd w:val="clear" w:color="auto" w:fill="FFFFFF"/>
          </w:tcPr>
          <w:p w:rsidR="00965D85" w:rsidRPr="00EF64FD" w:rsidRDefault="00965D85" w:rsidP="008B46DF">
            <w:pPr>
              <w:autoSpaceDE w:val="0"/>
              <w:autoSpaceDN w:val="0"/>
              <w:adjustRightInd w:val="0"/>
              <w:spacing w:after="0"/>
              <w:ind w:left="227" w:hanging="227"/>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Deposits held and advances received</w:t>
            </w:r>
          </w:p>
        </w:tc>
        <w:tc>
          <w:tcPr>
            <w:tcW w:w="964" w:type="dxa"/>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637.1</w:t>
            </w:r>
          </w:p>
        </w:tc>
        <w:tc>
          <w:tcPr>
            <w:tcW w:w="964" w:type="dxa"/>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637.5</w:t>
            </w:r>
          </w:p>
        </w:tc>
        <w:tc>
          <w:tcPr>
            <w:tcW w:w="964" w:type="dxa"/>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638.4</w:t>
            </w:r>
          </w:p>
        </w:tc>
        <w:tc>
          <w:tcPr>
            <w:tcW w:w="964" w:type="dxa"/>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639.0</w:t>
            </w:r>
          </w:p>
        </w:tc>
        <w:tc>
          <w:tcPr>
            <w:tcW w:w="964" w:type="dxa"/>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641.0</w:t>
            </w:r>
          </w:p>
        </w:tc>
      </w:tr>
      <w:tr w:rsidR="00965D85" w:rsidRPr="00EF64FD" w:rsidTr="008B46DF">
        <w:tc>
          <w:tcPr>
            <w:tcW w:w="2947" w:type="dxa"/>
            <w:tcBorders>
              <w:top w:val="nil"/>
              <w:left w:val="nil"/>
              <w:right w:val="nil"/>
            </w:tcBorders>
            <w:shd w:val="clear" w:color="auto" w:fill="FFFFFF"/>
          </w:tcPr>
          <w:p w:rsidR="00965D85" w:rsidRPr="00EF64FD" w:rsidRDefault="00965D85" w:rsidP="008B46DF">
            <w:pPr>
              <w:autoSpaceDE w:val="0"/>
              <w:autoSpaceDN w:val="0"/>
              <w:adjustRightInd w:val="0"/>
              <w:spacing w:after="0"/>
              <w:ind w:left="227" w:hanging="227"/>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Payables</w:t>
            </w:r>
          </w:p>
        </w:tc>
        <w:tc>
          <w:tcPr>
            <w:tcW w:w="964" w:type="dxa"/>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6 195.6</w:t>
            </w:r>
          </w:p>
        </w:tc>
        <w:tc>
          <w:tcPr>
            <w:tcW w:w="964" w:type="dxa"/>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5 931.5</w:t>
            </w:r>
          </w:p>
        </w:tc>
        <w:tc>
          <w:tcPr>
            <w:tcW w:w="964" w:type="dxa"/>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5 864.8</w:t>
            </w:r>
          </w:p>
        </w:tc>
        <w:tc>
          <w:tcPr>
            <w:tcW w:w="964" w:type="dxa"/>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5 774.7</w:t>
            </w:r>
          </w:p>
        </w:tc>
        <w:tc>
          <w:tcPr>
            <w:tcW w:w="964" w:type="dxa"/>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5 579.7</w:t>
            </w:r>
          </w:p>
        </w:tc>
      </w:tr>
      <w:tr w:rsidR="00965D85" w:rsidRPr="00EF64FD" w:rsidTr="008B46DF">
        <w:tc>
          <w:tcPr>
            <w:tcW w:w="2947" w:type="dxa"/>
            <w:tcBorders>
              <w:top w:val="nil"/>
              <w:left w:val="nil"/>
              <w:right w:val="nil"/>
            </w:tcBorders>
            <w:shd w:val="clear" w:color="auto" w:fill="FFFFFF"/>
          </w:tcPr>
          <w:p w:rsidR="00965D85" w:rsidRPr="00EF64FD" w:rsidRDefault="00965D85" w:rsidP="008B46DF">
            <w:pPr>
              <w:autoSpaceDE w:val="0"/>
              <w:autoSpaceDN w:val="0"/>
              <w:adjustRightInd w:val="0"/>
              <w:spacing w:after="0"/>
              <w:ind w:left="227" w:hanging="227"/>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Borrowings</w:t>
            </w:r>
          </w:p>
        </w:tc>
        <w:tc>
          <w:tcPr>
            <w:tcW w:w="964" w:type="dxa"/>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41 741.6</w:t>
            </w:r>
          </w:p>
        </w:tc>
        <w:tc>
          <w:tcPr>
            <w:tcW w:w="964" w:type="dxa"/>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40 972.1</w:t>
            </w:r>
          </w:p>
        </w:tc>
        <w:tc>
          <w:tcPr>
            <w:tcW w:w="964" w:type="dxa"/>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43 565.6</w:t>
            </w:r>
          </w:p>
        </w:tc>
        <w:tc>
          <w:tcPr>
            <w:tcW w:w="964" w:type="dxa"/>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44 376.6</w:t>
            </w:r>
          </w:p>
        </w:tc>
        <w:tc>
          <w:tcPr>
            <w:tcW w:w="964" w:type="dxa"/>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45 848.4</w:t>
            </w:r>
          </w:p>
        </w:tc>
      </w:tr>
      <w:tr w:rsidR="00965D85" w:rsidRPr="00EF64FD" w:rsidTr="008B46DF">
        <w:tc>
          <w:tcPr>
            <w:tcW w:w="2947" w:type="dxa"/>
            <w:tcBorders>
              <w:top w:val="nil"/>
              <w:left w:val="nil"/>
              <w:right w:val="nil"/>
            </w:tcBorders>
            <w:shd w:val="clear" w:color="auto" w:fill="FFFFFF"/>
          </w:tcPr>
          <w:p w:rsidR="00965D85" w:rsidRPr="00EF64FD" w:rsidRDefault="00965D85" w:rsidP="008B46DF">
            <w:pPr>
              <w:autoSpaceDE w:val="0"/>
              <w:autoSpaceDN w:val="0"/>
              <w:adjustRightInd w:val="0"/>
              <w:spacing w:after="0"/>
              <w:ind w:left="227" w:hanging="227"/>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Employee benefits</w:t>
            </w:r>
          </w:p>
        </w:tc>
        <w:tc>
          <w:tcPr>
            <w:tcW w:w="964" w:type="dxa"/>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6 231.3</w:t>
            </w:r>
          </w:p>
        </w:tc>
        <w:tc>
          <w:tcPr>
            <w:tcW w:w="964" w:type="dxa"/>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6 224.9</w:t>
            </w:r>
          </w:p>
        </w:tc>
        <w:tc>
          <w:tcPr>
            <w:tcW w:w="964" w:type="dxa"/>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6 481.1</w:t>
            </w:r>
          </w:p>
        </w:tc>
        <w:tc>
          <w:tcPr>
            <w:tcW w:w="964" w:type="dxa"/>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6 742.8</w:t>
            </w:r>
          </w:p>
        </w:tc>
        <w:tc>
          <w:tcPr>
            <w:tcW w:w="964" w:type="dxa"/>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7 000.9</w:t>
            </w:r>
          </w:p>
        </w:tc>
      </w:tr>
      <w:tr w:rsidR="00965D85" w:rsidRPr="00EF64FD" w:rsidTr="008B46DF">
        <w:tc>
          <w:tcPr>
            <w:tcW w:w="2947" w:type="dxa"/>
            <w:tcBorders>
              <w:top w:val="nil"/>
              <w:left w:val="nil"/>
              <w:right w:val="nil"/>
            </w:tcBorders>
            <w:shd w:val="clear" w:color="auto" w:fill="FFFFFF"/>
          </w:tcPr>
          <w:p w:rsidR="00965D85" w:rsidRPr="00EF64FD" w:rsidRDefault="00965D85" w:rsidP="008B46DF">
            <w:pPr>
              <w:autoSpaceDE w:val="0"/>
              <w:autoSpaceDN w:val="0"/>
              <w:adjustRightInd w:val="0"/>
              <w:spacing w:after="0"/>
              <w:ind w:left="227" w:hanging="227"/>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Superannuation</w:t>
            </w:r>
          </w:p>
        </w:tc>
        <w:tc>
          <w:tcPr>
            <w:tcW w:w="964" w:type="dxa"/>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25 030.8</w:t>
            </w:r>
          </w:p>
        </w:tc>
        <w:tc>
          <w:tcPr>
            <w:tcW w:w="964" w:type="dxa"/>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27 509.5</w:t>
            </w:r>
          </w:p>
        </w:tc>
        <w:tc>
          <w:tcPr>
            <w:tcW w:w="964" w:type="dxa"/>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26 734.6</w:t>
            </w:r>
          </w:p>
        </w:tc>
        <w:tc>
          <w:tcPr>
            <w:tcW w:w="964" w:type="dxa"/>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25 930.2</w:t>
            </w:r>
          </w:p>
        </w:tc>
        <w:tc>
          <w:tcPr>
            <w:tcW w:w="964" w:type="dxa"/>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25 095.1</w:t>
            </w:r>
          </w:p>
        </w:tc>
      </w:tr>
      <w:tr w:rsidR="00965D85" w:rsidRPr="00EF64FD" w:rsidTr="008B46DF">
        <w:tc>
          <w:tcPr>
            <w:tcW w:w="2947" w:type="dxa"/>
            <w:tcBorders>
              <w:top w:val="nil"/>
              <w:left w:val="nil"/>
              <w:bottom w:val="single" w:sz="6" w:space="0" w:color="000000"/>
              <w:right w:val="nil"/>
            </w:tcBorders>
            <w:shd w:val="clear" w:color="auto" w:fill="FFFFFF"/>
          </w:tcPr>
          <w:p w:rsidR="00965D85" w:rsidRPr="00EF64FD" w:rsidRDefault="00965D85" w:rsidP="008B46DF">
            <w:pPr>
              <w:autoSpaceDE w:val="0"/>
              <w:autoSpaceDN w:val="0"/>
              <w:adjustRightInd w:val="0"/>
              <w:spacing w:after="0"/>
              <w:ind w:left="227" w:hanging="227"/>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Other provisions</w:t>
            </w:r>
          </w:p>
        </w:tc>
        <w:tc>
          <w:tcPr>
            <w:tcW w:w="964" w:type="dxa"/>
            <w:tcBorders>
              <w:top w:val="nil"/>
              <w:left w:val="nil"/>
              <w:bottom w:val="single" w:sz="6" w:space="0" w:color="000000"/>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961.6</w:t>
            </w:r>
          </w:p>
        </w:tc>
        <w:tc>
          <w:tcPr>
            <w:tcW w:w="964" w:type="dxa"/>
            <w:tcBorders>
              <w:top w:val="nil"/>
              <w:left w:val="nil"/>
              <w:bottom w:val="single" w:sz="6" w:space="0" w:color="000000"/>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936.4</w:t>
            </w:r>
          </w:p>
        </w:tc>
        <w:tc>
          <w:tcPr>
            <w:tcW w:w="964" w:type="dxa"/>
            <w:tcBorders>
              <w:top w:val="nil"/>
              <w:left w:val="nil"/>
              <w:bottom w:val="single" w:sz="6" w:space="0" w:color="000000"/>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911.2</w:t>
            </w:r>
          </w:p>
        </w:tc>
        <w:tc>
          <w:tcPr>
            <w:tcW w:w="964" w:type="dxa"/>
            <w:tcBorders>
              <w:top w:val="nil"/>
              <w:left w:val="nil"/>
              <w:bottom w:val="single" w:sz="6" w:space="0" w:color="000000"/>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878.7</w:t>
            </w:r>
          </w:p>
        </w:tc>
        <w:tc>
          <w:tcPr>
            <w:tcW w:w="964" w:type="dxa"/>
            <w:tcBorders>
              <w:top w:val="nil"/>
              <w:left w:val="nil"/>
              <w:bottom w:val="single" w:sz="6" w:space="0" w:color="000000"/>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892.6</w:t>
            </w:r>
          </w:p>
        </w:tc>
      </w:tr>
      <w:tr w:rsidR="00965D85" w:rsidRPr="00EF64FD" w:rsidTr="008B46DF">
        <w:tc>
          <w:tcPr>
            <w:tcW w:w="2947" w:type="dxa"/>
            <w:tcBorders>
              <w:top w:val="single" w:sz="6" w:space="0" w:color="000000"/>
              <w:left w:val="nil"/>
              <w:bottom w:val="single" w:sz="6" w:space="0" w:color="000000"/>
              <w:right w:val="nil"/>
            </w:tcBorders>
            <w:shd w:val="clear" w:color="auto" w:fill="FFFFFF"/>
          </w:tcPr>
          <w:p w:rsidR="00965D85" w:rsidRPr="00EF64FD" w:rsidRDefault="00965D85" w:rsidP="008B46DF">
            <w:pPr>
              <w:autoSpaceDE w:val="0"/>
              <w:autoSpaceDN w:val="0"/>
              <w:adjustRightInd w:val="0"/>
              <w:spacing w:after="0"/>
              <w:ind w:left="227" w:hanging="227"/>
              <w:rPr>
                <w:rFonts w:ascii="Calibri" w:eastAsiaTheme="minorEastAsia" w:hAnsi="Calibri" w:cs="Calibri"/>
                <w:b/>
                <w:bCs/>
                <w:color w:val="000000"/>
                <w:sz w:val="19"/>
                <w:szCs w:val="19"/>
                <w:lang w:eastAsia="en-AU"/>
              </w:rPr>
            </w:pPr>
            <w:r w:rsidRPr="00EF64FD">
              <w:rPr>
                <w:rFonts w:ascii="Calibri" w:eastAsiaTheme="minorEastAsia" w:hAnsi="Calibri" w:cs="Calibri"/>
                <w:b/>
                <w:bCs/>
                <w:color w:val="000000"/>
                <w:sz w:val="19"/>
                <w:szCs w:val="19"/>
                <w:lang w:eastAsia="en-AU"/>
              </w:rPr>
              <w:t>Total liabilities</w:t>
            </w:r>
          </w:p>
        </w:tc>
        <w:tc>
          <w:tcPr>
            <w:tcW w:w="964" w:type="dxa"/>
            <w:tcBorders>
              <w:top w:val="single" w:sz="6" w:space="0" w:color="000000"/>
              <w:left w:val="nil"/>
              <w:bottom w:val="single" w:sz="6" w:space="0" w:color="000000"/>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b/>
                <w:bCs/>
                <w:color w:val="000000"/>
                <w:sz w:val="19"/>
                <w:szCs w:val="19"/>
                <w:lang w:eastAsia="en-AU"/>
              </w:rPr>
            </w:pPr>
            <w:r w:rsidRPr="00EF64FD">
              <w:rPr>
                <w:rFonts w:ascii="Calibri" w:eastAsiaTheme="minorEastAsia" w:hAnsi="Calibri" w:cs="Calibri"/>
                <w:b/>
                <w:bCs/>
                <w:color w:val="000000"/>
                <w:sz w:val="19"/>
                <w:szCs w:val="19"/>
                <w:lang w:eastAsia="en-AU"/>
              </w:rPr>
              <w:t>80 798.0</w:t>
            </w:r>
          </w:p>
        </w:tc>
        <w:tc>
          <w:tcPr>
            <w:tcW w:w="964" w:type="dxa"/>
            <w:tcBorders>
              <w:top w:val="single" w:sz="6" w:space="0" w:color="000000"/>
              <w:left w:val="nil"/>
              <w:bottom w:val="single" w:sz="6" w:space="0" w:color="000000"/>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b/>
                <w:bCs/>
                <w:color w:val="000000"/>
                <w:sz w:val="19"/>
                <w:szCs w:val="19"/>
                <w:lang w:eastAsia="en-AU"/>
              </w:rPr>
            </w:pPr>
            <w:r w:rsidRPr="00EF64FD">
              <w:rPr>
                <w:rFonts w:ascii="Calibri" w:eastAsiaTheme="minorEastAsia" w:hAnsi="Calibri" w:cs="Calibri"/>
                <w:b/>
                <w:bCs/>
                <w:color w:val="000000"/>
                <w:sz w:val="19"/>
                <w:szCs w:val="19"/>
                <w:lang w:eastAsia="en-AU"/>
              </w:rPr>
              <w:t>82 211.9</w:t>
            </w:r>
          </w:p>
        </w:tc>
        <w:tc>
          <w:tcPr>
            <w:tcW w:w="964" w:type="dxa"/>
            <w:tcBorders>
              <w:top w:val="single" w:sz="6" w:space="0" w:color="000000"/>
              <w:left w:val="nil"/>
              <w:bottom w:val="single" w:sz="6" w:space="0" w:color="000000"/>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b/>
                <w:bCs/>
                <w:color w:val="000000"/>
                <w:sz w:val="19"/>
                <w:szCs w:val="19"/>
                <w:lang w:eastAsia="en-AU"/>
              </w:rPr>
            </w:pPr>
            <w:r w:rsidRPr="00EF64FD">
              <w:rPr>
                <w:rFonts w:ascii="Calibri" w:eastAsiaTheme="minorEastAsia" w:hAnsi="Calibri" w:cs="Calibri"/>
                <w:b/>
                <w:bCs/>
                <w:color w:val="000000"/>
                <w:sz w:val="19"/>
                <w:szCs w:val="19"/>
                <w:lang w:eastAsia="en-AU"/>
              </w:rPr>
              <w:t>84 195.8</w:t>
            </w:r>
          </w:p>
        </w:tc>
        <w:tc>
          <w:tcPr>
            <w:tcW w:w="964" w:type="dxa"/>
            <w:tcBorders>
              <w:top w:val="single" w:sz="6" w:space="0" w:color="000000"/>
              <w:left w:val="nil"/>
              <w:bottom w:val="single" w:sz="6" w:space="0" w:color="000000"/>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b/>
                <w:bCs/>
                <w:color w:val="000000"/>
                <w:sz w:val="19"/>
                <w:szCs w:val="19"/>
                <w:lang w:eastAsia="en-AU"/>
              </w:rPr>
            </w:pPr>
            <w:r w:rsidRPr="00EF64FD">
              <w:rPr>
                <w:rFonts w:ascii="Calibri" w:eastAsiaTheme="minorEastAsia" w:hAnsi="Calibri" w:cs="Calibri"/>
                <w:b/>
                <w:bCs/>
                <w:color w:val="000000"/>
                <w:sz w:val="19"/>
                <w:szCs w:val="19"/>
                <w:lang w:eastAsia="en-AU"/>
              </w:rPr>
              <w:t>84 341.9</w:t>
            </w:r>
          </w:p>
        </w:tc>
        <w:tc>
          <w:tcPr>
            <w:tcW w:w="964" w:type="dxa"/>
            <w:tcBorders>
              <w:top w:val="single" w:sz="6" w:space="0" w:color="000000"/>
              <w:left w:val="nil"/>
              <w:bottom w:val="single" w:sz="6" w:space="0" w:color="000000"/>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b/>
                <w:bCs/>
                <w:color w:val="000000"/>
                <w:sz w:val="19"/>
                <w:szCs w:val="19"/>
                <w:lang w:eastAsia="en-AU"/>
              </w:rPr>
            </w:pPr>
            <w:r w:rsidRPr="00EF64FD">
              <w:rPr>
                <w:rFonts w:ascii="Calibri" w:eastAsiaTheme="minorEastAsia" w:hAnsi="Calibri" w:cs="Calibri"/>
                <w:b/>
                <w:bCs/>
                <w:color w:val="000000"/>
                <w:sz w:val="19"/>
                <w:szCs w:val="19"/>
                <w:lang w:eastAsia="en-AU"/>
              </w:rPr>
              <w:t>85 057.6</w:t>
            </w:r>
          </w:p>
        </w:tc>
      </w:tr>
      <w:tr w:rsidR="00965D85" w:rsidRPr="00EF64FD" w:rsidTr="008B46DF">
        <w:tc>
          <w:tcPr>
            <w:tcW w:w="2947" w:type="dxa"/>
            <w:tcBorders>
              <w:top w:val="single" w:sz="6" w:space="0" w:color="000000"/>
              <w:left w:val="nil"/>
              <w:bottom w:val="single" w:sz="12" w:space="0" w:color="000000"/>
              <w:right w:val="nil"/>
            </w:tcBorders>
            <w:shd w:val="clear" w:color="auto" w:fill="FFFFFF"/>
          </w:tcPr>
          <w:p w:rsidR="00965D85" w:rsidRPr="00EF64FD" w:rsidRDefault="00965D85" w:rsidP="008B46DF">
            <w:pPr>
              <w:autoSpaceDE w:val="0"/>
              <w:autoSpaceDN w:val="0"/>
              <w:adjustRightInd w:val="0"/>
              <w:spacing w:after="0"/>
              <w:ind w:left="227" w:hanging="227"/>
              <w:rPr>
                <w:rFonts w:ascii="Calibri" w:eastAsiaTheme="minorEastAsia" w:hAnsi="Calibri" w:cs="Calibri"/>
                <w:b/>
                <w:bCs/>
                <w:color w:val="000000"/>
                <w:sz w:val="19"/>
                <w:szCs w:val="19"/>
                <w:lang w:eastAsia="en-AU"/>
              </w:rPr>
            </w:pPr>
            <w:r w:rsidRPr="00EF64FD">
              <w:rPr>
                <w:rFonts w:ascii="Calibri" w:eastAsiaTheme="minorEastAsia" w:hAnsi="Calibri" w:cs="Calibri"/>
                <w:b/>
                <w:bCs/>
                <w:color w:val="000000"/>
                <w:sz w:val="19"/>
                <w:szCs w:val="19"/>
                <w:lang w:eastAsia="en-AU"/>
              </w:rPr>
              <w:t>Net assets</w:t>
            </w:r>
          </w:p>
        </w:tc>
        <w:tc>
          <w:tcPr>
            <w:tcW w:w="964" w:type="dxa"/>
            <w:tcBorders>
              <w:top w:val="single" w:sz="6" w:space="0" w:color="000000"/>
              <w:left w:val="nil"/>
              <w:bottom w:val="single" w:sz="12" w:space="0" w:color="000000"/>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b/>
                <w:bCs/>
                <w:color w:val="000000"/>
                <w:sz w:val="19"/>
                <w:szCs w:val="19"/>
                <w:lang w:eastAsia="en-AU"/>
              </w:rPr>
            </w:pPr>
            <w:r w:rsidRPr="00EF64FD">
              <w:rPr>
                <w:rFonts w:ascii="Calibri" w:eastAsiaTheme="minorEastAsia" w:hAnsi="Calibri" w:cs="Calibri"/>
                <w:b/>
                <w:bCs/>
                <w:color w:val="000000"/>
                <w:sz w:val="19"/>
                <w:szCs w:val="19"/>
                <w:lang w:eastAsia="en-AU"/>
              </w:rPr>
              <w:t>152 733.0</w:t>
            </w:r>
          </w:p>
        </w:tc>
        <w:tc>
          <w:tcPr>
            <w:tcW w:w="964" w:type="dxa"/>
            <w:tcBorders>
              <w:top w:val="single" w:sz="6" w:space="0" w:color="000000"/>
              <w:left w:val="nil"/>
              <w:bottom w:val="single" w:sz="12" w:space="0" w:color="000000"/>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b/>
                <w:bCs/>
                <w:color w:val="000000"/>
                <w:sz w:val="19"/>
                <w:szCs w:val="19"/>
                <w:lang w:eastAsia="en-AU"/>
              </w:rPr>
            </w:pPr>
            <w:r w:rsidRPr="00EF64FD">
              <w:rPr>
                <w:rFonts w:ascii="Calibri" w:eastAsiaTheme="minorEastAsia" w:hAnsi="Calibri" w:cs="Calibri"/>
                <w:b/>
                <w:bCs/>
                <w:color w:val="000000"/>
                <w:sz w:val="19"/>
                <w:szCs w:val="19"/>
                <w:lang w:eastAsia="en-AU"/>
              </w:rPr>
              <w:t>148 460.9</w:t>
            </w:r>
          </w:p>
        </w:tc>
        <w:tc>
          <w:tcPr>
            <w:tcW w:w="964" w:type="dxa"/>
            <w:tcBorders>
              <w:top w:val="single" w:sz="6" w:space="0" w:color="000000"/>
              <w:left w:val="nil"/>
              <w:bottom w:val="single" w:sz="12" w:space="0" w:color="000000"/>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b/>
                <w:bCs/>
                <w:color w:val="000000"/>
                <w:sz w:val="19"/>
                <w:szCs w:val="19"/>
                <w:lang w:eastAsia="en-AU"/>
              </w:rPr>
            </w:pPr>
            <w:r w:rsidRPr="00EF64FD">
              <w:rPr>
                <w:rFonts w:ascii="Calibri" w:eastAsiaTheme="minorEastAsia" w:hAnsi="Calibri" w:cs="Calibri"/>
                <w:b/>
                <w:bCs/>
                <w:color w:val="000000"/>
                <w:sz w:val="19"/>
                <w:szCs w:val="19"/>
                <w:lang w:eastAsia="en-AU"/>
              </w:rPr>
              <w:t>150 799.7</w:t>
            </w:r>
          </w:p>
        </w:tc>
        <w:tc>
          <w:tcPr>
            <w:tcW w:w="964" w:type="dxa"/>
            <w:tcBorders>
              <w:top w:val="single" w:sz="6" w:space="0" w:color="000000"/>
              <w:left w:val="nil"/>
              <w:bottom w:val="single" w:sz="12" w:space="0" w:color="000000"/>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b/>
                <w:bCs/>
                <w:color w:val="000000"/>
                <w:sz w:val="19"/>
                <w:szCs w:val="19"/>
                <w:lang w:eastAsia="en-AU"/>
              </w:rPr>
            </w:pPr>
            <w:r w:rsidRPr="00EF64FD">
              <w:rPr>
                <w:rFonts w:ascii="Calibri" w:eastAsiaTheme="minorEastAsia" w:hAnsi="Calibri" w:cs="Calibri"/>
                <w:b/>
                <w:bCs/>
                <w:color w:val="000000"/>
                <w:sz w:val="19"/>
                <w:szCs w:val="19"/>
                <w:lang w:eastAsia="en-AU"/>
              </w:rPr>
              <w:t>162 602.5</w:t>
            </w:r>
          </w:p>
        </w:tc>
        <w:tc>
          <w:tcPr>
            <w:tcW w:w="964" w:type="dxa"/>
            <w:tcBorders>
              <w:top w:val="single" w:sz="6" w:space="0" w:color="000000"/>
              <w:left w:val="nil"/>
              <w:bottom w:val="single" w:sz="12" w:space="0" w:color="000000"/>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b/>
                <w:bCs/>
                <w:color w:val="000000"/>
                <w:sz w:val="19"/>
                <w:szCs w:val="19"/>
                <w:lang w:eastAsia="en-AU"/>
              </w:rPr>
            </w:pPr>
            <w:r w:rsidRPr="00EF64FD">
              <w:rPr>
                <w:rFonts w:ascii="Calibri" w:eastAsiaTheme="minorEastAsia" w:hAnsi="Calibri" w:cs="Calibri"/>
                <w:b/>
                <w:bCs/>
                <w:color w:val="000000"/>
                <w:sz w:val="19"/>
                <w:szCs w:val="19"/>
                <w:lang w:eastAsia="en-AU"/>
              </w:rPr>
              <w:t>164 898.4</w:t>
            </w:r>
          </w:p>
        </w:tc>
      </w:tr>
      <w:tr w:rsidR="00965D85" w:rsidRPr="00EF64FD" w:rsidTr="008B46DF">
        <w:tc>
          <w:tcPr>
            <w:tcW w:w="2947" w:type="dxa"/>
            <w:tcBorders>
              <w:top w:val="single" w:sz="12" w:space="0" w:color="000000"/>
              <w:left w:val="nil"/>
              <w:right w:val="nil"/>
            </w:tcBorders>
            <w:shd w:val="clear" w:color="auto" w:fill="FFFFFF"/>
          </w:tcPr>
          <w:p w:rsidR="00965D85" w:rsidRPr="00EF64FD" w:rsidRDefault="00965D85" w:rsidP="008B46DF">
            <w:pPr>
              <w:autoSpaceDE w:val="0"/>
              <w:autoSpaceDN w:val="0"/>
              <w:adjustRightInd w:val="0"/>
              <w:spacing w:after="0"/>
              <w:ind w:left="227" w:hanging="227"/>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Accumulated surplus/(deficit)</w:t>
            </w:r>
          </w:p>
        </w:tc>
        <w:tc>
          <w:tcPr>
            <w:tcW w:w="964" w:type="dxa"/>
            <w:tcBorders>
              <w:top w:val="single" w:sz="12" w:space="0" w:color="000000"/>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68 530.3</w:t>
            </w:r>
          </w:p>
        </w:tc>
        <w:tc>
          <w:tcPr>
            <w:tcW w:w="964" w:type="dxa"/>
            <w:tcBorders>
              <w:top w:val="single" w:sz="12" w:space="0" w:color="000000"/>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66 349.4</w:t>
            </w:r>
          </w:p>
        </w:tc>
        <w:tc>
          <w:tcPr>
            <w:tcW w:w="964" w:type="dxa"/>
            <w:tcBorders>
              <w:top w:val="single" w:sz="12" w:space="0" w:color="000000"/>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67 976.7</w:t>
            </w:r>
          </w:p>
        </w:tc>
        <w:tc>
          <w:tcPr>
            <w:tcW w:w="964" w:type="dxa"/>
            <w:tcBorders>
              <w:top w:val="single" w:sz="12" w:space="0" w:color="000000"/>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69 767.3</w:t>
            </w:r>
          </w:p>
        </w:tc>
        <w:tc>
          <w:tcPr>
            <w:tcW w:w="964" w:type="dxa"/>
            <w:tcBorders>
              <w:top w:val="single" w:sz="12" w:space="0" w:color="000000"/>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71 292.3</w:t>
            </w:r>
          </w:p>
        </w:tc>
      </w:tr>
      <w:tr w:rsidR="00965D85" w:rsidRPr="00EF64FD" w:rsidTr="008B46DF">
        <w:tc>
          <w:tcPr>
            <w:tcW w:w="2947" w:type="dxa"/>
            <w:tcBorders>
              <w:top w:val="nil"/>
              <w:left w:val="nil"/>
              <w:right w:val="nil"/>
            </w:tcBorders>
            <w:shd w:val="clear" w:color="auto" w:fill="FFFFFF"/>
          </w:tcPr>
          <w:p w:rsidR="00965D85" w:rsidRPr="00EF64FD" w:rsidRDefault="00965D85" w:rsidP="008B46DF">
            <w:pPr>
              <w:autoSpaceDE w:val="0"/>
              <w:autoSpaceDN w:val="0"/>
              <w:adjustRightInd w:val="0"/>
              <w:spacing w:after="0"/>
              <w:ind w:left="227" w:hanging="227"/>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Reserves</w:t>
            </w:r>
          </w:p>
        </w:tc>
        <w:tc>
          <w:tcPr>
            <w:tcW w:w="964" w:type="dxa"/>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84 152.7</w:t>
            </w:r>
          </w:p>
        </w:tc>
        <w:tc>
          <w:tcPr>
            <w:tcW w:w="964" w:type="dxa"/>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82 061.5</w:t>
            </w:r>
          </w:p>
        </w:tc>
        <w:tc>
          <w:tcPr>
            <w:tcW w:w="964" w:type="dxa"/>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82 773.0</w:t>
            </w:r>
          </w:p>
        </w:tc>
        <w:tc>
          <w:tcPr>
            <w:tcW w:w="964" w:type="dxa"/>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92 785.2</w:t>
            </w:r>
          </w:p>
        </w:tc>
        <w:tc>
          <w:tcPr>
            <w:tcW w:w="964" w:type="dxa"/>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93 556.1</w:t>
            </w:r>
          </w:p>
        </w:tc>
      </w:tr>
      <w:tr w:rsidR="00965D85" w:rsidRPr="00EF64FD" w:rsidTr="008B46DF">
        <w:tc>
          <w:tcPr>
            <w:tcW w:w="2947" w:type="dxa"/>
            <w:tcBorders>
              <w:top w:val="nil"/>
              <w:left w:val="nil"/>
              <w:bottom w:val="single" w:sz="6" w:space="0" w:color="000000"/>
              <w:right w:val="nil"/>
            </w:tcBorders>
            <w:shd w:val="clear" w:color="auto" w:fill="FFFFFF"/>
          </w:tcPr>
          <w:p w:rsidR="00965D85" w:rsidRPr="00EF64FD" w:rsidRDefault="00965D85" w:rsidP="008B46DF">
            <w:pPr>
              <w:autoSpaceDE w:val="0"/>
              <w:autoSpaceDN w:val="0"/>
              <w:adjustRightInd w:val="0"/>
              <w:spacing w:after="0"/>
              <w:ind w:left="227" w:hanging="227"/>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Non</w:t>
            </w:r>
            <w:r w:rsidRPr="00EF64FD">
              <w:rPr>
                <w:rFonts w:ascii="Calibri" w:eastAsiaTheme="minorEastAsia" w:hAnsi="Calibri" w:cs="Calibri"/>
                <w:color w:val="000000"/>
                <w:sz w:val="19"/>
                <w:szCs w:val="19"/>
                <w:lang w:eastAsia="en-AU"/>
              </w:rPr>
              <w:noBreakHyphen/>
              <w:t>controlling interest</w:t>
            </w:r>
          </w:p>
        </w:tc>
        <w:tc>
          <w:tcPr>
            <w:tcW w:w="964" w:type="dxa"/>
            <w:tcBorders>
              <w:top w:val="nil"/>
              <w:left w:val="nil"/>
              <w:bottom w:val="single" w:sz="6" w:space="0" w:color="000000"/>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50.0</w:t>
            </w:r>
          </w:p>
        </w:tc>
        <w:tc>
          <w:tcPr>
            <w:tcW w:w="964" w:type="dxa"/>
            <w:tcBorders>
              <w:top w:val="nil"/>
              <w:left w:val="nil"/>
              <w:bottom w:val="single" w:sz="6" w:space="0" w:color="000000"/>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50.0</w:t>
            </w:r>
          </w:p>
        </w:tc>
        <w:tc>
          <w:tcPr>
            <w:tcW w:w="964" w:type="dxa"/>
            <w:tcBorders>
              <w:top w:val="nil"/>
              <w:left w:val="nil"/>
              <w:bottom w:val="single" w:sz="6" w:space="0" w:color="000000"/>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50.0</w:t>
            </w:r>
          </w:p>
        </w:tc>
        <w:tc>
          <w:tcPr>
            <w:tcW w:w="964" w:type="dxa"/>
            <w:tcBorders>
              <w:top w:val="nil"/>
              <w:left w:val="nil"/>
              <w:bottom w:val="single" w:sz="6" w:space="0" w:color="000000"/>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50.0</w:t>
            </w:r>
          </w:p>
        </w:tc>
        <w:tc>
          <w:tcPr>
            <w:tcW w:w="964" w:type="dxa"/>
            <w:tcBorders>
              <w:top w:val="nil"/>
              <w:left w:val="nil"/>
              <w:bottom w:val="single" w:sz="6" w:space="0" w:color="000000"/>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50.0</w:t>
            </w:r>
          </w:p>
        </w:tc>
      </w:tr>
      <w:tr w:rsidR="00965D85" w:rsidRPr="00EF64FD" w:rsidTr="008B46DF">
        <w:tc>
          <w:tcPr>
            <w:tcW w:w="2947" w:type="dxa"/>
            <w:tcBorders>
              <w:top w:val="single" w:sz="6" w:space="0" w:color="000000"/>
              <w:left w:val="nil"/>
              <w:bottom w:val="single" w:sz="12" w:space="0" w:color="000000"/>
              <w:right w:val="nil"/>
            </w:tcBorders>
            <w:shd w:val="clear" w:color="auto" w:fill="FFFFFF"/>
          </w:tcPr>
          <w:p w:rsidR="00965D85" w:rsidRPr="00EF64FD" w:rsidRDefault="00965D85" w:rsidP="008B46DF">
            <w:pPr>
              <w:autoSpaceDE w:val="0"/>
              <w:autoSpaceDN w:val="0"/>
              <w:adjustRightInd w:val="0"/>
              <w:spacing w:after="0"/>
              <w:ind w:left="227" w:hanging="227"/>
              <w:rPr>
                <w:rFonts w:ascii="Calibri" w:eastAsiaTheme="minorEastAsia" w:hAnsi="Calibri" w:cs="Calibri"/>
                <w:b/>
                <w:bCs/>
                <w:color w:val="000000"/>
                <w:sz w:val="19"/>
                <w:szCs w:val="19"/>
                <w:lang w:eastAsia="en-AU"/>
              </w:rPr>
            </w:pPr>
            <w:r w:rsidRPr="00EF64FD">
              <w:rPr>
                <w:rFonts w:ascii="Calibri" w:eastAsiaTheme="minorEastAsia" w:hAnsi="Calibri" w:cs="Calibri"/>
                <w:b/>
                <w:bCs/>
                <w:color w:val="000000"/>
                <w:sz w:val="19"/>
                <w:szCs w:val="19"/>
                <w:lang w:eastAsia="en-AU"/>
              </w:rPr>
              <w:t>Net worth</w:t>
            </w:r>
          </w:p>
        </w:tc>
        <w:tc>
          <w:tcPr>
            <w:tcW w:w="964" w:type="dxa"/>
            <w:tcBorders>
              <w:top w:val="single" w:sz="6" w:space="0" w:color="000000"/>
              <w:left w:val="nil"/>
              <w:bottom w:val="single" w:sz="12" w:space="0" w:color="000000"/>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b/>
                <w:bCs/>
                <w:color w:val="000000"/>
                <w:sz w:val="19"/>
                <w:szCs w:val="19"/>
                <w:lang w:eastAsia="en-AU"/>
              </w:rPr>
            </w:pPr>
            <w:r w:rsidRPr="00EF64FD">
              <w:rPr>
                <w:rFonts w:ascii="Calibri" w:eastAsiaTheme="minorEastAsia" w:hAnsi="Calibri" w:cs="Calibri"/>
                <w:b/>
                <w:bCs/>
                <w:color w:val="000000"/>
                <w:sz w:val="19"/>
                <w:szCs w:val="19"/>
                <w:lang w:eastAsia="en-AU"/>
              </w:rPr>
              <w:t>152 733.0</w:t>
            </w:r>
          </w:p>
        </w:tc>
        <w:tc>
          <w:tcPr>
            <w:tcW w:w="964" w:type="dxa"/>
            <w:tcBorders>
              <w:top w:val="single" w:sz="6" w:space="0" w:color="000000"/>
              <w:left w:val="nil"/>
              <w:bottom w:val="single" w:sz="12" w:space="0" w:color="000000"/>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b/>
                <w:bCs/>
                <w:color w:val="000000"/>
                <w:sz w:val="19"/>
                <w:szCs w:val="19"/>
                <w:lang w:eastAsia="en-AU"/>
              </w:rPr>
            </w:pPr>
            <w:r w:rsidRPr="00EF64FD">
              <w:rPr>
                <w:rFonts w:ascii="Calibri" w:eastAsiaTheme="minorEastAsia" w:hAnsi="Calibri" w:cs="Calibri"/>
                <w:b/>
                <w:bCs/>
                <w:color w:val="000000"/>
                <w:sz w:val="19"/>
                <w:szCs w:val="19"/>
                <w:lang w:eastAsia="en-AU"/>
              </w:rPr>
              <w:t>148 460.9</w:t>
            </w:r>
          </w:p>
        </w:tc>
        <w:tc>
          <w:tcPr>
            <w:tcW w:w="964" w:type="dxa"/>
            <w:tcBorders>
              <w:top w:val="single" w:sz="6" w:space="0" w:color="000000"/>
              <w:left w:val="nil"/>
              <w:bottom w:val="single" w:sz="12" w:space="0" w:color="000000"/>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b/>
                <w:bCs/>
                <w:color w:val="000000"/>
                <w:sz w:val="19"/>
                <w:szCs w:val="19"/>
                <w:lang w:eastAsia="en-AU"/>
              </w:rPr>
            </w:pPr>
            <w:r w:rsidRPr="00EF64FD">
              <w:rPr>
                <w:rFonts w:ascii="Calibri" w:eastAsiaTheme="minorEastAsia" w:hAnsi="Calibri" w:cs="Calibri"/>
                <w:b/>
                <w:bCs/>
                <w:color w:val="000000"/>
                <w:sz w:val="19"/>
                <w:szCs w:val="19"/>
                <w:lang w:eastAsia="en-AU"/>
              </w:rPr>
              <w:t>150 799.7</w:t>
            </w:r>
          </w:p>
        </w:tc>
        <w:tc>
          <w:tcPr>
            <w:tcW w:w="964" w:type="dxa"/>
            <w:tcBorders>
              <w:top w:val="single" w:sz="6" w:space="0" w:color="000000"/>
              <w:left w:val="nil"/>
              <w:bottom w:val="single" w:sz="12" w:space="0" w:color="000000"/>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b/>
                <w:bCs/>
                <w:color w:val="000000"/>
                <w:sz w:val="19"/>
                <w:szCs w:val="19"/>
                <w:lang w:eastAsia="en-AU"/>
              </w:rPr>
            </w:pPr>
            <w:r w:rsidRPr="00EF64FD">
              <w:rPr>
                <w:rFonts w:ascii="Calibri" w:eastAsiaTheme="minorEastAsia" w:hAnsi="Calibri" w:cs="Calibri"/>
                <w:b/>
                <w:bCs/>
                <w:color w:val="000000"/>
                <w:sz w:val="19"/>
                <w:szCs w:val="19"/>
                <w:lang w:eastAsia="en-AU"/>
              </w:rPr>
              <w:t>162 602.5</w:t>
            </w:r>
          </w:p>
        </w:tc>
        <w:tc>
          <w:tcPr>
            <w:tcW w:w="964" w:type="dxa"/>
            <w:tcBorders>
              <w:top w:val="single" w:sz="6" w:space="0" w:color="000000"/>
              <w:left w:val="nil"/>
              <w:bottom w:val="single" w:sz="12" w:space="0" w:color="000000"/>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b/>
                <w:bCs/>
                <w:color w:val="000000"/>
                <w:sz w:val="19"/>
                <w:szCs w:val="19"/>
                <w:lang w:eastAsia="en-AU"/>
              </w:rPr>
            </w:pPr>
            <w:r w:rsidRPr="00EF64FD">
              <w:rPr>
                <w:rFonts w:ascii="Calibri" w:eastAsiaTheme="minorEastAsia" w:hAnsi="Calibri" w:cs="Calibri"/>
                <w:b/>
                <w:bCs/>
                <w:color w:val="000000"/>
                <w:sz w:val="19"/>
                <w:szCs w:val="19"/>
                <w:lang w:eastAsia="en-AU"/>
              </w:rPr>
              <w:t>164 898.4</w:t>
            </w:r>
          </w:p>
        </w:tc>
      </w:tr>
      <w:tr w:rsidR="00965D85" w:rsidRPr="00EF64FD" w:rsidTr="008B46DF">
        <w:trPr>
          <w:trHeight w:hRule="exact" w:val="120"/>
        </w:trPr>
        <w:tc>
          <w:tcPr>
            <w:tcW w:w="2947" w:type="dxa"/>
            <w:tcBorders>
              <w:top w:val="single" w:sz="12" w:space="0" w:color="000000"/>
              <w:left w:val="nil"/>
              <w:right w:val="nil"/>
            </w:tcBorders>
            <w:shd w:val="clear" w:color="auto" w:fill="FFFFFF"/>
          </w:tcPr>
          <w:p w:rsidR="00965D85" w:rsidRPr="00EF64FD" w:rsidRDefault="00965D85" w:rsidP="008B46DF">
            <w:pPr>
              <w:autoSpaceDE w:val="0"/>
              <w:autoSpaceDN w:val="0"/>
              <w:adjustRightInd w:val="0"/>
              <w:spacing w:after="0"/>
              <w:ind w:left="227" w:hanging="227"/>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 xml:space="preserve"> </w:t>
            </w:r>
          </w:p>
        </w:tc>
        <w:tc>
          <w:tcPr>
            <w:tcW w:w="964" w:type="dxa"/>
            <w:tcBorders>
              <w:top w:val="single" w:sz="12" w:space="0" w:color="000000"/>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p>
        </w:tc>
        <w:tc>
          <w:tcPr>
            <w:tcW w:w="964" w:type="dxa"/>
            <w:tcBorders>
              <w:top w:val="single" w:sz="12" w:space="0" w:color="000000"/>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p>
        </w:tc>
        <w:tc>
          <w:tcPr>
            <w:tcW w:w="964" w:type="dxa"/>
            <w:tcBorders>
              <w:top w:val="single" w:sz="12" w:space="0" w:color="000000"/>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p>
        </w:tc>
        <w:tc>
          <w:tcPr>
            <w:tcW w:w="964" w:type="dxa"/>
            <w:tcBorders>
              <w:top w:val="single" w:sz="12" w:space="0" w:color="000000"/>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p>
        </w:tc>
        <w:tc>
          <w:tcPr>
            <w:tcW w:w="964" w:type="dxa"/>
            <w:tcBorders>
              <w:top w:val="single" w:sz="12" w:space="0" w:color="000000"/>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p>
        </w:tc>
      </w:tr>
      <w:tr w:rsidR="00965D85" w:rsidRPr="00EF64FD" w:rsidTr="008B46DF">
        <w:tc>
          <w:tcPr>
            <w:tcW w:w="2947" w:type="dxa"/>
            <w:tcBorders>
              <w:top w:val="nil"/>
              <w:left w:val="nil"/>
              <w:right w:val="nil"/>
            </w:tcBorders>
            <w:shd w:val="clear" w:color="auto" w:fill="FFFFFF"/>
          </w:tcPr>
          <w:p w:rsidR="00965D85" w:rsidRPr="00EF64FD" w:rsidRDefault="00965D85" w:rsidP="008B46DF">
            <w:pPr>
              <w:autoSpaceDE w:val="0"/>
              <w:autoSpaceDN w:val="0"/>
              <w:adjustRightInd w:val="0"/>
              <w:spacing w:after="0"/>
              <w:ind w:left="227" w:hanging="227"/>
              <w:rPr>
                <w:rFonts w:ascii="Calibri" w:eastAsiaTheme="minorEastAsia" w:hAnsi="Calibri" w:cs="Calibri"/>
                <w:b/>
                <w:bCs/>
                <w:color w:val="000000"/>
                <w:sz w:val="19"/>
                <w:szCs w:val="19"/>
                <w:lang w:eastAsia="en-AU"/>
              </w:rPr>
            </w:pPr>
            <w:r w:rsidRPr="00EF64FD">
              <w:rPr>
                <w:rFonts w:ascii="Calibri" w:eastAsiaTheme="minorEastAsia" w:hAnsi="Calibri" w:cs="Calibri"/>
                <w:b/>
                <w:bCs/>
                <w:color w:val="000000"/>
                <w:sz w:val="19"/>
                <w:szCs w:val="19"/>
                <w:lang w:eastAsia="en-AU"/>
              </w:rPr>
              <w:t>FISCAL AGGREGATES</w:t>
            </w:r>
          </w:p>
        </w:tc>
        <w:tc>
          <w:tcPr>
            <w:tcW w:w="964" w:type="dxa"/>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b/>
                <w:bCs/>
                <w:color w:val="000000"/>
                <w:sz w:val="19"/>
                <w:szCs w:val="19"/>
                <w:lang w:eastAsia="en-AU"/>
              </w:rPr>
            </w:pPr>
          </w:p>
        </w:tc>
        <w:tc>
          <w:tcPr>
            <w:tcW w:w="964" w:type="dxa"/>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b/>
                <w:bCs/>
                <w:color w:val="000000"/>
                <w:sz w:val="19"/>
                <w:szCs w:val="19"/>
                <w:lang w:eastAsia="en-AU"/>
              </w:rPr>
            </w:pPr>
          </w:p>
        </w:tc>
        <w:tc>
          <w:tcPr>
            <w:tcW w:w="964" w:type="dxa"/>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b/>
                <w:bCs/>
                <w:color w:val="000000"/>
                <w:sz w:val="19"/>
                <w:szCs w:val="19"/>
                <w:lang w:eastAsia="en-AU"/>
              </w:rPr>
            </w:pPr>
          </w:p>
        </w:tc>
        <w:tc>
          <w:tcPr>
            <w:tcW w:w="964" w:type="dxa"/>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b/>
                <w:bCs/>
                <w:color w:val="000000"/>
                <w:sz w:val="19"/>
                <w:szCs w:val="19"/>
                <w:lang w:eastAsia="en-AU"/>
              </w:rPr>
            </w:pPr>
          </w:p>
        </w:tc>
        <w:tc>
          <w:tcPr>
            <w:tcW w:w="964" w:type="dxa"/>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b/>
                <w:bCs/>
                <w:color w:val="000000"/>
                <w:sz w:val="19"/>
                <w:szCs w:val="19"/>
                <w:lang w:eastAsia="en-AU"/>
              </w:rPr>
            </w:pPr>
          </w:p>
        </w:tc>
      </w:tr>
      <w:tr w:rsidR="00965D85" w:rsidRPr="00EF64FD" w:rsidTr="008B46DF">
        <w:tc>
          <w:tcPr>
            <w:tcW w:w="2947" w:type="dxa"/>
            <w:tcBorders>
              <w:top w:val="nil"/>
              <w:left w:val="nil"/>
              <w:right w:val="nil"/>
            </w:tcBorders>
            <w:shd w:val="clear" w:color="auto" w:fill="FFFFFF"/>
          </w:tcPr>
          <w:p w:rsidR="00965D85" w:rsidRPr="00EF64FD" w:rsidRDefault="00965D85" w:rsidP="008B46DF">
            <w:pPr>
              <w:autoSpaceDE w:val="0"/>
              <w:autoSpaceDN w:val="0"/>
              <w:adjustRightInd w:val="0"/>
              <w:spacing w:after="0"/>
              <w:ind w:left="227" w:hanging="227"/>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Net financial worth</w:t>
            </w:r>
          </w:p>
        </w:tc>
        <w:tc>
          <w:tcPr>
            <w:tcW w:w="964" w:type="dxa"/>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(59 747.6)</w:t>
            </w:r>
          </w:p>
        </w:tc>
        <w:tc>
          <w:tcPr>
            <w:tcW w:w="964" w:type="dxa"/>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(62 140.8)</w:t>
            </w:r>
          </w:p>
        </w:tc>
        <w:tc>
          <w:tcPr>
            <w:tcW w:w="964" w:type="dxa"/>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(63 767.9)</w:t>
            </w:r>
          </w:p>
        </w:tc>
        <w:tc>
          <w:tcPr>
            <w:tcW w:w="964" w:type="dxa"/>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(63 893.7)</w:t>
            </w:r>
          </w:p>
        </w:tc>
        <w:tc>
          <w:tcPr>
            <w:tcW w:w="964" w:type="dxa"/>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(63 681.4)</w:t>
            </w:r>
          </w:p>
        </w:tc>
      </w:tr>
      <w:tr w:rsidR="00965D85" w:rsidRPr="00EF64FD" w:rsidTr="008B46DF">
        <w:tc>
          <w:tcPr>
            <w:tcW w:w="2947" w:type="dxa"/>
            <w:tcBorders>
              <w:top w:val="nil"/>
              <w:left w:val="nil"/>
              <w:right w:val="nil"/>
            </w:tcBorders>
            <w:shd w:val="clear" w:color="auto" w:fill="FFFFFF"/>
          </w:tcPr>
          <w:p w:rsidR="00965D85" w:rsidRPr="00EF64FD" w:rsidRDefault="00965D85" w:rsidP="008B46DF">
            <w:pPr>
              <w:autoSpaceDE w:val="0"/>
              <w:autoSpaceDN w:val="0"/>
              <w:adjustRightInd w:val="0"/>
              <w:spacing w:after="0"/>
              <w:ind w:left="227" w:hanging="227"/>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Net financial liabilities</w:t>
            </w:r>
          </w:p>
        </w:tc>
        <w:tc>
          <w:tcPr>
            <w:tcW w:w="964" w:type="dxa"/>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63 051.2</w:t>
            </w:r>
          </w:p>
        </w:tc>
        <w:tc>
          <w:tcPr>
            <w:tcW w:w="964" w:type="dxa"/>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64 950.8</w:t>
            </w:r>
          </w:p>
        </w:tc>
        <w:tc>
          <w:tcPr>
            <w:tcW w:w="964" w:type="dxa"/>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66 764.3</w:t>
            </w:r>
          </w:p>
        </w:tc>
        <w:tc>
          <w:tcPr>
            <w:tcW w:w="964" w:type="dxa"/>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66 522.6</w:t>
            </w:r>
          </w:p>
        </w:tc>
        <w:tc>
          <w:tcPr>
            <w:tcW w:w="964" w:type="dxa"/>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66 647.3</w:t>
            </w:r>
          </w:p>
        </w:tc>
      </w:tr>
      <w:tr w:rsidR="00965D85" w:rsidRPr="00EF64FD" w:rsidTr="008B46DF">
        <w:tc>
          <w:tcPr>
            <w:tcW w:w="2947" w:type="dxa"/>
            <w:tcBorders>
              <w:top w:val="nil"/>
              <w:left w:val="nil"/>
              <w:bottom w:val="single" w:sz="12" w:space="0" w:color="auto"/>
              <w:right w:val="nil"/>
            </w:tcBorders>
            <w:shd w:val="clear" w:color="auto" w:fill="FFFFFF"/>
          </w:tcPr>
          <w:p w:rsidR="00965D85" w:rsidRPr="00EF64FD" w:rsidRDefault="00965D85" w:rsidP="008B46DF">
            <w:pPr>
              <w:autoSpaceDE w:val="0"/>
              <w:autoSpaceDN w:val="0"/>
              <w:adjustRightInd w:val="0"/>
              <w:spacing w:after="0"/>
              <w:ind w:left="227" w:hanging="227"/>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Net debt</w:t>
            </w:r>
          </w:p>
        </w:tc>
        <w:tc>
          <w:tcPr>
            <w:tcW w:w="964" w:type="dxa"/>
            <w:tcBorders>
              <w:top w:val="nil"/>
              <w:left w:val="nil"/>
              <w:bottom w:val="single" w:sz="12" w:space="0" w:color="auto"/>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32 243.6</w:t>
            </w:r>
          </w:p>
        </w:tc>
        <w:tc>
          <w:tcPr>
            <w:tcW w:w="964" w:type="dxa"/>
            <w:tcBorders>
              <w:top w:val="nil"/>
              <w:left w:val="nil"/>
              <w:bottom w:val="single" w:sz="12" w:space="0" w:color="auto"/>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31 949.2</w:t>
            </w:r>
          </w:p>
        </w:tc>
        <w:tc>
          <w:tcPr>
            <w:tcW w:w="964" w:type="dxa"/>
            <w:tcBorders>
              <w:top w:val="nil"/>
              <w:left w:val="nil"/>
              <w:bottom w:val="single" w:sz="12" w:space="0" w:color="auto"/>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34 465.0</w:t>
            </w:r>
          </w:p>
        </w:tc>
        <w:tc>
          <w:tcPr>
            <w:tcW w:w="964" w:type="dxa"/>
            <w:tcBorders>
              <w:top w:val="nil"/>
              <w:left w:val="nil"/>
              <w:bottom w:val="single" w:sz="12" w:space="0" w:color="auto"/>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35 000.2</w:t>
            </w:r>
          </w:p>
        </w:tc>
        <w:tc>
          <w:tcPr>
            <w:tcW w:w="964" w:type="dxa"/>
            <w:tcBorders>
              <w:top w:val="nil"/>
              <w:left w:val="nil"/>
              <w:bottom w:val="single" w:sz="12" w:space="0" w:color="auto"/>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36 034.5</w:t>
            </w:r>
          </w:p>
        </w:tc>
      </w:tr>
      <w:tr w:rsidR="00965D85" w:rsidRPr="001E7FA9" w:rsidTr="008B46DF">
        <w:tc>
          <w:tcPr>
            <w:tcW w:w="7767" w:type="dxa"/>
            <w:gridSpan w:val="6"/>
            <w:tcBorders>
              <w:top w:val="single" w:sz="12" w:space="0" w:color="auto"/>
              <w:left w:val="nil"/>
              <w:bottom w:val="nil"/>
              <w:right w:val="nil"/>
            </w:tcBorders>
            <w:shd w:val="clear" w:color="auto" w:fill="auto"/>
          </w:tcPr>
          <w:p w:rsidR="00965D85" w:rsidRPr="001E7FA9" w:rsidRDefault="00965D85" w:rsidP="008B46DF">
            <w:pPr>
              <w:pStyle w:val="Source"/>
              <w:rPr>
                <w:rFonts w:eastAsiaTheme="minorEastAsia"/>
                <w:lang w:eastAsia="en-AU"/>
              </w:rPr>
            </w:pPr>
            <w:r w:rsidRPr="001E7FA9">
              <w:rPr>
                <w:rFonts w:eastAsiaTheme="minorEastAsia"/>
                <w:lang w:eastAsia="en-AU"/>
              </w:rPr>
              <w:t>Source: Department of Treasury and Finance</w:t>
            </w:r>
          </w:p>
        </w:tc>
      </w:tr>
    </w:tbl>
    <w:p w:rsidR="00965D85" w:rsidRPr="001B5EEB" w:rsidRDefault="00965D85" w:rsidP="008B46DF">
      <w:pPr>
        <w:pStyle w:val="Notes"/>
        <w:rPr>
          <w:lang w:eastAsia="en-AU"/>
        </w:rPr>
      </w:pPr>
      <w:r w:rsidRPr="001B5EEB">
        <w:rPr>
          <w:lang w:eastAsia="en-AU"/>
        </w:rPr>
        <w:t>Note:</w:t>
      </w:r>
    </w:p>
    <w:p w:rsidR="00965D85" w:rsidRDefault="00965D85" w:rsidP="008B46DF">
      <w:pPr>
        <w:pStyle w:val="Notes"/>
        <w:rPr>
          <w:lang w:eastAsia="en-AU"/>
        </w:rPr>
      </w:pPr>
      <w:r w:rsidRPr="001B5EEB">
        <w:rPr>
          <w:lang w:eastAsia="en-AU"/>
        </w:rPr>
        <w:t>(a)</w:t>
      </w:r>
      <w:r w:rsidRPr="001B5EEB">
        <w:rPr>
          <w:lang w:eastAsia="en-AU"/>
        </w:rPr>
        <w:tab/>
        <w:t>Balances represent actual opening balances at 1 July 2015 plus 2015</w:t>
      </w:r>
      <w:r>
        <w:rPr>
          <w:lang w:eastAsia="en-AU"/>
        </w:rPr>
        <w:noBreakHyphen/>
      </w:r>
      <w:r w:rsidRPr="001B5EEB">
        <w:rPr>
          <w:lang w:eastAsia="en-AU"/>
        </w:rPr>
        <w:t>16 budgeted movements.</w:t>
      </w:r>
    </w:p>
    <w:p w:rsidR="00965D85" w:rsidRDefault="00965D85" w:rsidP="008B46DF">
      <w:pPr>
        <w:rPr>
          <w:rFonts w:asciiTheme="minorHAnsi" w:hAnsiTheme="minorHAnsi" w:cs="Tms Rmn"/>
          <w:i/>
          <w:color w:val="000000"/>
          <w:sz w:val="15"/>
          <w:szCs w:val="15"/>
          <w:lang w:eastAsia="en-AU"/>
        </w:rPr>
      </w:pPr>
    </w:p>
    <w:p w:rsidR="00965D85" w:rsidRDefault="00965D85">
      <w:pPr>
        <w:spacing w:after="0"/>
        <w:rPr>
          <w:rFonts w:ascii="Calibri" w:hAnsi="Calibri"/>
          <w:b/>
          <w:lang w:eastAsia="en-AU"/>
        </w:rPr>
      </w:pPr>
    </w:p>
    <w:p w:rsidR="00965D85" w:rsidRDefault="00965D85">
      <w:pPr>
        <w:spacing w:after="0"/>
        <w:rPr>
          <w:rFonts w:ascii="Calibri" w:hAnsi="Calibri"/>
          <w:b/>
          <w:lang w:eastAsia="en-AU"/>
        </w:rPr>
      </w:pPr>
      <w:r>
        <w:rPr>
          <w:lang w:eastAsia="en-AU"/>
        </w:rPr>
        <w:br w:type="page"/>
      </w:r>
    </w:p>
    <w:p w:rsidR="00965D85" w:rsidRPr="001E7FA9" w:rsidRDefault="00965D85" w:rsidP="008B46DF">
      <w:pPr>
        <w:pStyle w:val="Tableheading"/>
        <w:rPr>
          <w:rFonts w:ascii="Times New Roman" w:hAnsi="Times New Roman"/>
          <w:b w:val="0"/>
          <w:sz w:val="20"/>
          <w:lang w:eastAsia="en-AU"/>
        </w:rPr>
      </w:pPr>
      <w:r w:rsidRPr="00AD14D1">
        <w:rPr>
          <w:lang w:eastAsia="en-AU"/>
        </w:rPr>
        <w:lastRenderedPageBreak/>
        <w:t>Table 5.9:</w:t>
      </w:r>
      <w:r w:rsidRPr="00AD14D1">
        <w:rPr>
          <w:lang w:eastAsia="en-AU"/>
        </w:rPr>
        <w:tab/>
        <w:t>Non</w:t>
      </w:r>
      <w:r>
        <w:rPr>
          <w:lang w:eastAsia="en-AU"/>
        </w:rPr>
        <w:noBreakHyphen/>
      </w:r>
      <w:r w:rsidRPr="00AD14D1">
        <w:rPr>
          <w:lang w:eastAsia="en-AU"/>
        </w:rPr>
        <w:t>financial public sector cash flow statement for the financial year ended 30 June</w:t>
      </w:r>
      <w:r w:rsidRPr="006F70D3">
        <w:rPr>
          <w:vertAlign w:val="superscript"/>
          <w:lang w:eastAsia="en-AU"/>
        </w:rPr>
        <w:t>(a)</w:t>
      </w:r>
    </w:p>
    <w:tbl>
      <w:tblPr>
        <w:tblW w:w="7767" w:type="dxa"/>
        <w:tblInd w:w="45" w:type="dxa"/>
        <w:tblLayout w:type="fixed"/>
        <w:tblCellMar>
          <w:left w:w="45" w:type="dxa"/>
          <w:right w:w="45" w:type="dxa"/>
        </w:tblCellMar>
        <w:tblLook w:val="0000" w:firstRow="0" w:lastRow="0" w:firstColumn="0" w:lastColumn="0" w:noHBand="0" w:noVBand="0"/>
      </w:tblPr>
      <w:tblGrid>
        <w:gridCol w:w="2946"/>
        <w:gridCol w:w="205"/>
        <w:gridCol w:w="522"/>
        <w:gridCol w:w="238"/>
        <w:gridCol w:w="964"/>
        <w:gridCol w:w="964"/>
        <w:gridCol w:w="964"/>
        <w:gridCol w:w="964"/>
      </w:tblGrid>
      <w:tr w:rsidR="00965D85" w:rsidRPr="001E7FA9" w:rsidTr="008B46DF">
        <w:trPr>
          <w:tblHeader/>
        </w:trPr>
        <w:tc>
          <w:tcPr>
            <w:tcW w:w="7767" w:type="dxa"/>
            <w:gridSpan w:val="8"/>
            <w:tcBorders>
              <w:top w:val="nil"/>
              <w:left w:val="nil"/>
              <w:bottom w:val="nil"/>
              <w:right w:val="nil"/>
            </w:tcBorders>
          </w:tcPr>
          <w:p w:rsidR="00965D85" w:rsidRPr="001E7FA9" w:rsidRDefault="00965D85" w:rsidP="008B46DF">
            <w:pPr>
              <w:pStyle w:val="million"/>
              <w:rPr>
                <w:rFonts w:eastAsiaTheme="minorEastAsia"/>
                <w:lang w:eastAsia="en-AU"/>
              </w:rPr>
            </w:pPr>
            <w:r w:rsidRPr="001E7FA9">
              <w:rPr>
                <w:rFonts w:eastAsiaTheme="minorEastAsia"/>
                <w:lang w:eastAsia="en-AU"/>
              </w:rPr>
              <w:t>($ million)</w:t>
            </w:r>
          </w:p>
        </w:tc>
      </w:tr>
      <w:tr w:rsidR="00965D85" w:rsidRPr="00EF64FD" w:rsidTr="008B46DF">
        <w:trPr>
          <w:trHeight w:val="488"/>
          <w:tblHeader/>
        </w:trPr>
        <w:tc>
          <w:tcPr>
            <w:tcW w:w="2946" w:type="dxa"/>
            <w:tcBorders>
              <w:top w:val="nil"/>
              <w:left w:val="nil"/>
              <w:right w:val="nil"/>
            </w:tcBorders>
            <w:shd w:val="solid" w:color="000000" w:fill="auto"/>
          </w:tcPr>
          <w:p w:rsidR="00965D85" w:rsidRPr="00EF64FD" w:rsidRDefault="00965D85" w:rsidP="008B46DF">
            <w:pPr>
              <w:autoSpaceDE w:val="0"/>
              <w:autoSpaceDN w:val="0"/>
              <w:adjustRightInd w:val="0"/>
              <w:spacing w:after="0"/>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 xml:space="preserve"> </w:t>
            </w:r>
          </w:p>
          <w:p w:rsidR="00965D85" w:rsidRPr="00EF64FD" w:rsidRDefault="00965D85" w:rsidP="008B46DF">
            <w:pPr>
              <w:autoSpaceDE w:val="0"/>
              <w:autoSpaceDN w:val="0"/>
              <w:adjustRightInd w:val="0"/>
              <w:spacing w:after="0"/>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 xml:space="preserve"> </w:t>
            </w:r>
          </w:p>
        </w:tc>
        <w:tc>
          <w:tcPr>
            <w:tcW w:w="965" w:type="dxa"/>
            <w:gridSpan w:val="3"/>
            <w:tcBorders>
              <w:top w:val="nil"/>
              <w:left w:val="nil"/>
              <w:right w:val="nil"/>
            </w:tcBorders>
            <w:shd w:val="solid" w:color="000000" w:fill="auto"/>
          </w:tcPr>
          <w:p w:rsidR="00965D85" w:rsidRPr="00EF64FD" w:rsidRDefault="00965D85" w:rsidP="008B46DF">
            <w:pPr>
              <w:autoSpaceDE w:val="0"/>
              <w:autoSpaceDN w:val="0"/>
              <w:adjustRightInd w:val="0"/>
              <w:spacing w:after="0"/>
              <w:jc w:val="right"/>
              <w:rPr>
                <w:rFonts w:ascii="Calibri" w:eastAsiaTheme="minorEastAsia" w:hAnsi="Calibri" w:cs="Calibri"/>
                <w:i/>
                <w:iCs/>
                <w:color w:val="FFFFFF"/>
                <w:sz w:val="19"/>
                <w:szCs w:val="19"/>
                <w:lang w:eastAsia="en-AU"/>
              </w:rPr>
            </w:pPr>
            <w:r w:rsidRPr="00EF64FD">
              <w:rPr>
                <w:rFonts w:ascii="Calibri" w:eastAsiaTheme="minorEastAsia" w:hAnsi="Calibri" w:cs="Calibri"/>
                <w:i/>
                <w:iCs/>
                <w:color w:val="FFFFFF"/>
                <w:sz w:val="19"/>
                <w:szCs w:val="19"/>
                <w:lang w:eastAsia="en-AU"/>
              </w:rPr>
              <w:t>2015</w:t>
            </w:r>
            <w:r w:rsidRPr="00EF64FD">
              <w:rPr>
                <w:rFonts w:ascii="Calibri" w:eastAsiaTheme="minorEastAsia" w:hAnsi="Calibri" w:cs="Calibri"/>
                <w:i/>
                <w:iCs/>
                <w:color w:val="FFFFFF"/>
                <w:sz w:val="19"/>
                <w:szCs w:val="19"/>
                <w:lang w:eastAsia="en-AU"/>
              </w:rPr>
              <w:noBreakHyphen/>
              <w:t xml:space="preserve">16 </w:t>
            </w:r>
          </w:p>
          <w:p w:rsidR="00965D85" w:rsidRPr="00EF64FD" w:rsidRDefault="00965D85" w:rsidP="008B46DF">
            <w:pPr>
              <w:autoSpaceDE w:val="0"/>
              <w:autoSpaceDN w:val="0"/>
              <w:adjustRightInd w:val="0"/>
              <w:spacing w:after="0"/>
              <w:jc w:val="right"/>
              <w:rPr>
                <w:rFonts w:ascii="Calibri" w:eastAsiaTheme="minorEastAsia" w:hAnsi="Calibri" w:cs="Calibri"/>
                <w:i/>
                <w:iCs/>
                <w:color w:val="FFFFFF"/>
                <w:sz w:val="19"/>
                <w:szCs w:val="19"/>
                <w:lang w:eastAsia="en-AU"/>
              </w:rPr>
            </w:pPr>
            <w:r w:rsidRPr="00EF64FD">
              <w:rPr>
                <w:rFonts w:ascii="Calibri" w:eastAsiaTheme="minorEastAsia" w:hAnsi="Calibri" w:cs="Calibri"/>
                <w:i/>
                <w:iCs/>
                <w:color w:val="FFFFFF"/>
                <w:sz w:val="19"/>
                <w:szCs w:val="19"/>
                <w:lang w:eastAsia="en-AU"/>
              </w:rPr>
              <w:t>budget</w:t>
            </w:r>
          </w:p>
        </w:tc>
        <w:tc>
          <w:tcPr>
            <w:tcW w:w="964" w:type="dxa"/>
            <w:tcBorders>
              <w:top w:val="nil"/>
              <w:left w:val="nil"/>
              <w:right w:val="nil"/>
            </w:tcBorders>
            <w:shd w:val="solid" w:color="000000" w:fill="auto"/>
          </w:tcPr>
          <w:p w:rsidR="00965D85" w:rsidRPr="00EF64FD" w:rsidRDefault="00965D85" w:rsidP="008B46DF">
            <w:pPr>
              <w:autoSpaceDE w:val="0"/>
              <w:autoSpaceDN w:val="0"/>
              <w:adjustRightInd w:val="0"/>
              <w:spacing w:after="0"/>
              <w:jc w:val="right"/>
              <w:rPr>
                <w:rFonts w:ascii="Calibri" w:eastAsiaTheme="minorEastAsia" w:hAnsi="Calibri" w:cs="Calibri"/>
                <w:i/>
                <w:iCs/>
                <w:color w:val="FFFFFF"/>
                <w:sz w:val="19"/>
                <w:szCs w:val="19"/>
                <w:lang w:eastAsia="en-AU"/>
              </w:rPr>
            </w:pPr>
            <w:r w:rsidRPr="00EF64FD">
              <w:rPr>
                <w:rFonts w:ascii="Calibri" w:eastAsiaTheme="minorEastAsia" w:hAnsi="Calibri" w:cs="Calibri"/>
                <w:i/>
                <w:iCs/>
                <w:color w:val="FFFFFF"/>
                <w:sz w:val="19"/>
                <w:szCs w:val="19"/>
                <w:lang w:eastAsia="en-AU"/>
              </w:rPr>
              <w:t>2015</w:t>
            </w:r>
            <w:r w:rsidRPr="00EF64FD">
              <w:rPr>
                <w:rFonts w:ascii="Calibri" w:eastAsiaTheme="minorEastAsia" w:hAnsi="Calibri" w:cs="Calibri"/>
                <w:i/>
                <w:iCs/>
                <w:color w:val="FFFFFF"/>
                <w:sz w:val="19"/>
                <w:szCs w:val="19"/>
                <w:lang w:eastAsia="en-AU"/>
              </w:rPr>
              <w:noBreakHyphen/>
              <w:t xml:space="preserve">16 </w:t>
            </w:r>
          </w:p>
          <w:p w:rsidR="00965D85" w:rsidRPr="00EF64FD" w:rsidRDefault="00965D85" w:rsidP="008B46DF">
            <w:pPr>
              <w:autoSpaceDE w:val="0"/>
              <w:autoSpaceDN w:val="0"/>
              <w:adjustRightInd w:val="0"/>
              <w:spacing w:after="0"/>
              <w:jc w:val="right"/>
              <w:rPr>
                <w:rFonts w:ascii="Calibri" w:eastAsiaTheme="minorEastAsia" w:hAnsi="Calibri" w:cs="Calibri"/>
                <w:i/>
                <w:iCs/>
                <w:color w:val="FFFFFF"/>
                <w:sz w:val="19"/>
                <w:szCs w:val="19"/>
                <w:lang w:eastAsia="en-AU"/>
              </w:rPr>
            </w:pPr>
            <w:r w:rsidRPr="00EF64FD">
              <w:rPr>
                <w:rFonts w:ascii="Calibri" w:eastAsiaTheme="minorEastAsia" w:hAnsi="Calibri" w:cs="Calibri"/>
                <w:i/>
                <w:iCs/>
                <w:color w:val="FFFFFF"/>
                <w:sz w:val="19"/>
                <w:szCs w:val="19"/>
                <w:lang w:eastAsia="en-AU"/>
              </w:rPr>
              <w:t>revised</w:t>
            </w:r>
          </w:p>
        </w:tc>
        <w:tc>
          <w:tcPr>
            <w:tcW w:w="964" w:type="dxa"/>
            <w:tcBorders>
              <w:top w:val="nil"/>
              <w:left w:val="nil"/>
              <w:right w:val="nil"/>
            </w:tcBorders>
            <w:shd w:val="solid" w:color="000000" w:fill="auto"/>
          </w:tcPr>
          <w:p w:rsidR="00965D85" w:rsidRPr="00EF64FD" w:rsidRDefault="00965D85" w:rsidP="008B46DF">
            <w:pPr>
              <w:autoSpaceDE w:val="0"/>
              <w:autoSpaceDN w:val="0"/>
              <w:adjustRightInd w:val="0"/>
              <w:spacing w:after="0"/>
              <w:jc w:val="right"/>
              <w:rPr>
                <w:rFonts w:ascii="Calibri" w:eastAsiaTheme="minorEastAsia" w:hAnsi="Calibri" w:cs="Calibri"/>
                <w:i/>
                <w:iCs/>
                <w:color w:val="FFFFFF"/>
                <w:sz w:val="19"/>
                <w:szCs w:val="19"/>
                <w:lang w:eastAsia="en-AU"/>
              </w:rPr>
            </w:pPr>
            <w:r w:rsidRPr="00EF64FD">
              <w:rPr>
                <w:rFonts w:ascii="Calibri" w:eastAsiaTheme="minorEastAsia" w:hAnsi="Calibri" w:cs="Calibri"/>
                <w:i/>
                <w:iCs/>
                <w:color w:val="FFFFFF"/>
                <w:sz w:val="19"/>
                <w:szCs w:val="19"/>
                <w:lang w:eastAsia="en-AU"/>
              </w:rPr>
              <w:t>2016</w:t>
            </w:r>
            <w:r w:rsidRPr="00EF64FD">
              <w:rPr>
                <w:rFonts w:ascii="Calibri" w:eastAsiaTheme="minorEastAsia" w:hAnsi="Calibri" w:cs="Calibri"/>
                <w:i/>
                <w:iCs/>
                <w:color w:val="FFFFFF"/>
                <w:sz w:val="19"/>
                <w:szCs w:val="19"/>
                <w:lang w:eastAsia="en-AU"/>
              </w:rPr>
              <w:noBreakHyphen/>
              <w:t xml:space="preserve">17 </w:t>
            </w:r>
          </w:p>
          <w:p w:rsidR="00965D85" w:rsidRPr="00EF64FD" w:rsidRDefault="00965D85" w:rsidP="008B46DF">
            <w:pPr>
              <w:autoSpaceDE w:val="0"/>
              <w:autoSpaceDN w:val="0"/>
              <w:adjustRightInd w:val="0"/>
              <w:spacing w:after="0"/>
              <w:jc w:val="right"/>
              <w:rPr>
                <w:rFonts w:ascii="Calibri" w:eastAsiaTheme="minorEastAsia" w:hAnsi="Calibri" w:cs="Calibri"/>
                <w:i/>
                <w:iCs/>
                <w:color w:val="FFFFFF"/>
                <w:sz w:val="19"/>
                <w:szCs w:val="19"/>
                <w:lang w:eastAsia="en-AU"/>
              </w:rPr>
            </w:pPr>
            <w:r w:rsidRPr="00EF64FD">
              <w:rPr>
                <w:rFonts w:ascii="Calibri" w:eastAsiaTheme="minorEastAsia" w:hAnsi="Calibri" w:cs="Calibri"/>
                <w:i/>
                <w:iCs/>
                <w:color w:val="FFFFFF"/>
                <w:sz w:val="19"/>
                <w:szCs w:val="19"/>
                <w:lang w:eastAsia="en-AU"/>
              </w:rPr>
              <w:t>estimate</w:t>
            </w:r>
          </w:p>
        </w:tc>
        <w:tc>
          <w:tcPr>
            <w:tcW w:w="964" w:type="dxa"/>
            <w:tcBorders>
              <w:top w:val="nil"/>
              <w:left w:val="nil"/>
              <w:right w:val="nil"/>
            </w:tcBorders>
            <w:shd w:val="solid" w:color="000000" w:fill="auto"/>
          </w:tcPr>
          <w:p w:rsidR="00965D85" w:rsidRPr="00EF64FD" w:rsidRDefault="00965D85" w:rsidP="008B46DF">
            <w:pPr>
              <w:autoSpaceDE w:val="0"/>
              <w:autoSpaceDN w:val="0"/>
              <w:adjustRightInd w:val="0"/>
              <w:spacing w:after="0"/>
              <w:jc w:val="right"/>
              <w:rPr>
                <w:rFonts w:ascii="Calibri" w:eastAsiaTheme="minorEastAsia" w:hAnsi="Calibri" w:cs="Calibri"/>
                <w:i/>
                <w:iCs/>
                <w:color w:val="FFFFFF"/>
                <w:sz w:val="19"/>
                <w:szCs w:val="19"/>
                <w:lang w:eastAsia="en-AU"/>
              </w:rPr>
            </w:pPr>
            <w:r w:rsidRPr="00EF64FD">
              <w:rPr>
                <w:rFonts w:ascii="Calibri" w:eastAsiaTheme="minorEastAsia" w:hAnsi="Calibri" w:cs="Calibri"/>
                <w:i/>
                <w:iCs/>
                <w:color w:val="FFFFFF"/>
                <w:sz w:val="19"/>
                <w:szCs w:val="19"/>
                <w:lang w:eastAsia="en-AU"/>
              </w:rPr>
              <w:t>2017</w:t>
            </w:r>
            <w:r w:rsidRPr="00EF64FD">
              <w:rPr>
                <w:rFonts w:ascii="Calibri" w:eastAsiaTheme="minorEastAsia" w:hAnsi="Calibri" w:cs="Calibri"/>
                <w:i/>
                <w:iCs/>
                <w:color w:val="FFFFFF"/>
                <w:sz w:val="19"/>
                <w:szCs w:val="19"/>
                <w:lang w:eastAsia="en-AU"/>
              </w:rPr>
              <w:noBreakHyphen/>
              <w:t xml:space="preserve">18 </w:t>
            </w:r>
          </w:p>
          <w:p w:rsidR="00965D85" w:rsidRPr="00EF64FD" w:rsidRDefault="00965D85" w:rsidP="008B46DF">
            <w:pPr>
              <w:autoSpaceDE w:val="0"/>
              <w:autoSpaceDN w:val="0"/>
              <w:adjustRightInd w:val="0"/>
              <w:spacing w:after="0"/>
              <w:jc w:val="right"/>
              <w:rPr>
                <w:rFonts w:ascii="Calibri" w:eastAsiaTheme="minorEastAsia" w:hAnsi="Calibri" w:cs="Calibri"/>
                <w:i/>
                <w:iCs/>
                <w:color w:val="FFFFFF"/>
                <w:sz w:val="19"/>
                <w:szCs w:val="19"/>
                <w:lang w:eastAsia="en-AU"/>
              </w:rPr>
            </w:pPr>
            <w:r w:rsidRPr="00EF64FD">
              <w:rPr>
                <w:rFonts w:ascii="Calibri" w:eastAsiaTheme="minorEastAsia" w:hAnsi="Calibri" w:cs="Calibri"/>
                <w:i/>
                <w:iCs/>
                <w:color w:val="FFFFFF"/>
                <w:sz w:val="19"/>
                <w:szCs w:val="19"/>
                <w:lang w:eastAsia="en-AU"/>
              </w:rPr>
              <w:t>estimate</w:t>
            </w:r>
          </w:p>
        </w:tc>
        <w:tc>
          <w:tcPr>
            <w:tcW w:w="964" w:type="dxa"/>
            <w:tcBorders>
              <w:top w:val="nil"/>
              <w:left w:val="nil"/>
              <w:right w:val="nil"/>
            </w:tcBorders>
            <w:shd w:val="solid" w:color="000000" w:fill="auto"/>
          </w:tcPr>
          <w:p w:rsidR="00965D85" w:rsidRPr="00EF64FD" w:rsidRDefault="00965D85" w:rsidP="008B46DF">
            <w:pPr>
              <w:autoSpaceDE w:val="0"/>
              <w:autoSpaceDN w:val="0"/>
              <w:adjustRightInd w:val="0"/>
              <w:spacing w:after="0"/>
              <w:jc w:val="right"/>
              <w:rPr>
                <w:rFonts w:ascii="Calibri" w:eastAsiaTheme="minorEastAsia" w:hAnsi="Calibri" w:cs="Calibri"/>
                <w:i/>
                <w:iCs/>
                <w:color w:val="FFFFFF"/>
                <w:sz w:val="19"/>
                <w:szCs w:val="19"/>
                <w:lang w:eastAsia="en-AU"/>
              </w:rPr>
            </w:pPr>
            <w:r w:rsidRPr="00EF64FD">
              <w:rPr>
                <w:rFonts w:ascii="Calibri" w:eastAsiaTheme="minorEastAsia" w:hAnsi="Calibri" w:cs="Calibri"/>
                <w:i/>
                <w:iCs/>
                <w:color w:val="FFFFFF"/>
                <w:sz w:val="19"/>
                <w:szCs w:val="19"/>
                <w:lang w:eastAsia="en-AU"/>
              </w:rPr>
              <w:t>2018</w:t>
            </w:r>
            <w:r w:rsidRPr="00EF64FD">
              <w:rPr>
                <w:rFonts w:ascii="Calibri" w:eastAsiaTheme="minorEastAsia" w:hAnsi="Calibri" w:cs="Calibri"/>
                <w:i/>
                <w:iCs/>
                <w:color w:val="FFFFFF"/>
                <w:sz w:val="19"/>
                <w:szCs w:val="19"/>
                <w:lang w:eastAsia="en-AU"/>
              </w:rPr>
              <w:noBreakHyphen/>
              <w:t xml:space="preserve">19 </w:t>
            </w:r>
          </w:p>
          <w:p w:rsidR="00965D85" w:rsidRPr="00EF64FD" w:rsidRDefault="00965D85" w:rsidP="008B46DF">
            <w:pPr>
              <w:autoSpaceDE w:val="0"/>
              <w:autoSpaceDN w:val="0"/>
              <w:adjustRightInd w:val="0"/>
              <w:spacing w:after="0"/>
              <w:jc w:val="right"/>
              <w:rPr>
                <w:rFonts w:ascii="Calibri" w:eastAsiaTheme="minorEastAsia" w:hAnsi="Calibri" w:cs="Calibri"/>
                <w:i/>
                <w:iCs/>
                <w:color w:val="FFFFFF"/>
                <w:sz w:val="19"/>
                <w:szCs w:val="19"/>
                <w:lang w:eastAsia="en-AU"/>
              </w:rPr>
            </w:pPr>
            <w:r w:rsidRPr="00EF64FD">
              <w:rPr>
                <w:rFonts w:ascii="Calibri" w:eastAsiaTheme="minorEastAsia" w:hAnsi="Calibri" w:cs="Calibri"/>
                <w:i/>
                <w:iCs/>
                <w:color w:val="FFFFFF"/>
                <w:sz w:val="19"/>
                <w:szCs w:val="19"/>
                <w:lang w:eastAsia="en-AU"/>
              </w:rPr>
              <w:t>estimate</w:t>
            </w:r>
          </w:p>
        </w:tc>
      </w:tr>
      <w:tr w:rsidR="00965D85" w:rsidRPr="00EF64FD" w:rsidTr="008B46DF">
        <w:tc>
          <w:tcPr>
            <w:tcW w:w="3673" w:type="dxa"/>
            <w:gridSpan w:val="3"/>
            <w:tcBorders>
              <w:top w:val="nil"/>
              <w:left w:val="nil"/>
              <w:right w:val="nil"/>
            </w:tcBorders>
            <w:shd w:val="clear" w:color="auto" w:fill="FFFFFF"/>
          </w:tcPr>
          <w:p w:rsidR="00965D85" w:rsidRPr="00EF64FD" w:rsidRDefault="00965D85" w:rsidP="008B46DF">
            <w:pPr>
              <w:autoSpaceDE w:val="0"/>
              <w:autoSpaceDN w:val="0"/>
              <w:adjustRightInd w:val="0"/>
              <w:spacing w:after="0"/>
              <w:ind w:left="227" w:hanging="227"/>
              <w:rPr>
                <w:rFonts w:ascii="Calibri" w:eastAsiaTheme="minorEastAsia" w:hAnsi="Calibri" w:cs="Calibri"/>
                <w:b/>
                <w:bCs/>
                <w:color w:val="000000"/>
                <w:sz w:val="19"/>
                <w:szCs w:val="19"/>
                <w:lang w:eastAsia="en-AU"/>
              </w:rPr>
            </w:pPr>
            <w:r w:rsidRPr="00EF64FD">
              <w:rPr>
                <w:rFonts w:ascii="Calibri" w:eastAsiaTheme="minorEastAsia" w:hAnsi="Calibri" w:cs="Calibri"/>
                <w:b/>
                <w:bCs/>
                <w:color w:val="000000"/>
                <w:sz w:val="19"/>
                <w:szCs w:val="19"/>
                <w:lang w:eastAsia="en-AU"/>
              </w:rPr>
              <w:t>Cash flows from operating activities</w:t>
            </w:r>
          </w:p>
        </w:tc>
        <w:tc>
          <w:tcPr>
            <w:tcW w:w="238" w:type="dxa"/>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b/>
                <w:bCs/>
                <w:color w:val="000000"/>
                <w:sz w:val="19"/>
                <w:szCs w:val="19"/>
                <w:lang w:eastAsia="en-AU"/>
              </w:rPr>
            </w:pPr>
          </w:p>
        </w:tc>
        <w:tc>
          <w:tcPr>
            <w:tcW w:w="964" w:type="dxa"/>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b/>
                <w:bCs/>
                <w:color w:val="000000"/>
                <w:sz w:val="19"/>
                <w:szCs w:val="19"/>
                <w:lang w:eastAsia="en-AU"/>
              </w:rPr>
            </w:pPr>
          </w:p>
        </w:tc>
        <w:tc>
          <w:tcPr>
            <w:tcW w:w="964" w:type="dxa"/>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b/>
                <w:bCs/>
                <w:color w:val="000000"/>
                <w:sz w:val="19"/>
                <w:szCs w:val="19"/>
                <w:lang w:eastAsia="en-AU"/>
              </w:rPr>
            </w:pPr>
          </w:p>
        </w:tc>
        <w:tc>
          <w:tcPr>
            <w:tcW w:w="964" w:type="dxa"/>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b/>
                <w:bCs/>
                <w:color w:val="000000"/>
                <w:sz w:val="19"/>
                <w:szCs w:val="19"/>
                <w:lang w:eastAsia="en-AU"/>
              </w:rPr>
            </w:pPr>
          </w:p>
        </w:tc>
        <w:tc>
          <w:tcPr>
            <w:tcW w:w="964" w:type="dxa"/>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b/>
                <w:bCs/>
                <w:color w:val="000000"/>
                <w:sz w:val="19"/>
                <w:szCs w:val="19"/>
                <w:lang w:eastAsia="en-AU"/>
              </w:rPr>
            </w:pPr>
          </w:p>
        </w:tc>
      </w:tr>
      <w:tr w:rsidR="00965D85" w:rsidRPr="00EF64FD" w:rsidTr="008B46DF">
        <w:tc>
          <w:tcPr>
            <w:tcW w:w="2946" w:type="dxa"/>
            <w:tcBorders>
              <w:top w:val="nil"/>
              <w:left w:val="nil"/>
              <w:right w:val="nil"/>
            </w:tcBorders>
            <w:shd w:val="clear" w:color="auto" w:fill="FFFFFF"/>
          </w:tcPr>
          <w:p w:rsidR="00965D85" w:rsidRPr="00EF64FD" w:rsidRDefault="00965D85" w:rsidP="008B46DF">
            <w:pPr>
              <w:autoSpaceDE w:val="0"/>
              <w:autoSpaceDN w:val="0"/>
              <w:adjustRightInd w:val="0"/>
              <w:spacing w:after="0"/>
              <w:ind w:left="227" w:hanging="227"/>
              <w:rPr>
                <w:rFonts w:ascii="Calibri" w:eastAsiaTheme="minorEastAsia" w:hAnsi="Calibri" w:cs="Calibri"/>
                <w:b/>
                <w:bCs/>
                <w:color w:val="000000"/>
                <w:sz w:val="19"/>
                <w:szCs w:val="19"/>
                <w:lang w:eastAsia="en-AU"/>
              </w:rPr>
            </w:pPr>
            <w:r w:rsidRPr="00EF64FD">
              <w:rPr>
                <w:rFonts w:ascii="Calibri" w:eastAsiaTheme="minorEastAsia" w:hAnsi="Calibri" w:cs="Calibri"/>
                <w:b/>
                <w:bCs/>
                <w:color w:val="000000"/>
                <w:sz w:val="19"/>
                <w:szCs w:val="19"/>
                <w:lang w:eastAsia="en-AU"/>
              </w:rPr>
              <w:t>Receipts</w:t>
            </w:r>
          </w:p>
        </w:tc>
        <w:tc>
          <w:tcPr>
            <w:tcW w:w="965" w:type="dxa"/>
            <w:gridSpan w:val="3"/>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b/>
                <w:bCs/>
                <w:color w:val="000000"/>
                <w:sz w:val="19"/>
                <w:szCs w:val="19"/>
                <w:lang w:eastAsia="en-AU"/>
              </w:rPr>
            </w:pPr>
          </w:p>
        </w:tc>
        <w:tc>
          <w:tcPr>
            <w:tcW w:w="964" w:type="dxa"/>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b/>
                <w:bCs/>
                <w:color w:val="000000"/>
                <w:sz w:val="19"/>
                <w:szCs w:val="19"/>
                <w:lang w:eastAsia="en-AU"/>
              </w:rPr>
            </w:pPr>
          </w:p>
        </w:tc>
        <w:tc>
          <w:tcPr>
            <w:tcW w:w="964" w:type="dxa"/>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b/>
                <w:bCs/>
                <w:color w:val="000000"/>
                <w:sz w:val="19"/>
                <w:szCs w:val="19"/>
                <w:lang w:eastAsia="en-AU"/>
              </w:rPr>
            </w:pPr>
          </w:p>
        </w:tc>
        <w:tc>
          <w:tcPr>
            <w:tcW w:w="964" w:type="dxa"/>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b/>
                <w:bCs/>
                <w:color w:val="000000"/>
                <w:sz w:val="19"/>
                <w:szCs w:val="19"/>
                <w:lang w:eastAsia="en-AU"/>
              </w:rPr>
            </w:pPr>
          </w:p>
        </w:tc>
        <w:tc>
          <w:tcPr>
            <w:tcW w:w="964" w:type="dxa"/>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b/>
                <w:bCs/>
                <w:color w:val="000000"/>
                <w:sz w:val="19"/>
                <w:szCs w:val="19"/>
                <w:lang w:eastAsia="en-AU"/>
              </w:rPr>
            </w:pPr>
          </w:p>
        </w:tc>
      </w:tr>
      <w:tr w:rsidR="00965D85" w:rsidRPr="00EF64FD" w:rsidTr="008B46DF">
        <w:tc>
          <w:tcPr>
            <w:tcW w:w="2946" w:type="dxa"/>
            <w:tcBorders>
              <w:top w:val="nil"/>
              <w:left w:val="nil"/>
              <w:right w:val="nil"/>
            </w:tcBorders>
            <w:shd w:val="clear" w:color="auto" w:fill="FFFFFF"/>
          </w:tcPr>
          <w:p w:rsidR="00965D85" w:rsidRPr="00EF64FD" w:rsidRDefault="00965D85" w:rsidP="008B46DF">
            <w:pPr>
              <w:autoSpaceDE w:val="0"/>
              <w:autoSpaceDN w:val="0"/>
              <w:adjustRightInd w:val="0"/>
              <w:spacing w:after="0"/>
              <w:ind w:left="227" w:hanging="227"/>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Taxes received</w:t>
            </w:r>
          </w:p>
        </w:tc>
        <w:tc>
          <w:tcPr>
            <w:tcW w:w="965" w:type="dxa"/>
            <w:gridSpan w:val="3"/>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18 577.8</w:t>
            </w:r>
          </w:p>
        </w:tc>
        <w:tc>
          <w:tcPr>
            <w:tcW w:w="964" w:type="dxa"/>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18 982.7</w:t>
            </w:r>
          </w:p>
        </w:tc>
        <w:tc>
          <w:tcPr>
            <w:tcW w:w="964" w:type="dxa"/>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19 722.5</w:t>
            </w:r>
          </w:p>
        </w:tc>
        <w:tc>
          <w:tcPr>
            <w:tcW w:w="964" w:type="dxa"/>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20 200.3</w:t>
            </w:r>
          </w:p>
        </w:tc>
        <w:tc>
          <w:tcPr>
            <w:tcW w:w="964" w:type="dxa"/>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21 037.2</w:t>
            </w:r>
          </w:p>
        </w:tc>
      </w:tr>
      <w:tr w:rsidR="00965D85" w:rsidRPr="00EF64FD" w:rsidTr="008B46DF">
        <w:tc>
          <w:tcPr>
            <w:tcW w:w="2946" w:type="dxa"/>
            <w:tcBorders>
              <w:top w:val="nil"/>
              <w:left w:val="nil"/>
              <w:right w:val="nil"/>
            </w:tcBorders>
            <w:shd w:val="clear" w:color="auto" w:fill="FFFFFF"/>
          </w:tcPr>
          <w:p w:rsidR="00965D85" w:rsidRPr="00EF64FD" w:rsidRDefault="00965D85" w:rsidP="008B46DF">
            <w:pPr>
              <w:autoSpaceDE w:val="0"/>
              <w:autoSpaceDN w:val="0"/>
              <w:adjustRightInd w:val="0"/>
              <w:spacing w:after="0"/>
              <w:ind w:left="227" w:hanging="227"/>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Grants</w:t>
            </w:r>
          </w:p>
        </w:tc>
        <w:tc>
          <w:tcPr>
            <w:tcW w:w="965" w:type="dxa"/>
            <w:gridSpan w:val="3"/>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25 671.2</w:t>
            </w:r>
          </w:p>
        </w:tc>
        <w:tc>
          <w:tcPr>
            <w:tcW w:w="964" w:type="dxa"/>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25 537.0</w:t>
            </w:r>
          </w:p>
        </w:tc>
        <w:tc>
          <w:tcPr>
            <w:tcW w:w="964" w:type="dxa"/>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26 024.0</w:t>
            </w:r>
          </w:p>
        </w:tc>
        <w:tc>
          <w:tcPr>
            <w:tcW w:w="964" w:type="dxa"/>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27 804.0</w:t>
            </w:r>
          </w:p>
        </w:tc>
        <w:tc>
          <w:tcPr>
            <w:tcW w:w="964" w:type="dxa"/>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28 347.4</w:t>
            </w:r>
          </w:p>
        </w:tc>
      </w:tr>
      <w:tr w:rsidR="00965D85" w:rsidRPr="00EF64FD" w:rsidTr="008B46DF">
        <w:tc>
          <w:tcPr>
            <w:tcW w:w="2946" w:type="dxa"/>
            <w:tcBorders>
              <w:top w:val="nil"/>
              <w:left w:val="nil"/>
              <w:right w:val="nil"/>
            </w:tcBorders>
            <w:shd w:val="clear" w:color="auto" w:fill="FFFFFF"/>
          </w:tcPr>
          <w:p w:rsidR="00965D85" w:rsidRPr="00EF64FD" w:rsidRDefault="00965D85" w:rsidP="008B46DF">
            <w:pPr>
              <w:autoSpaceDE w:val="0"/>
              <w:autoSpaceDN w:val="0"/>
              <w:adjustRightInd w:val="0"/>
              <w:spacing w:after="0"/>
              <w:ind w:left="227" w:hanging="227"/>
              <w:rPr>
                <w:rFonts w:ascii="Calibri" w:eastAsiaTheme="minorEastAsia" w:hAnsi="Calibri" w:cs="Calibri"/>
                <w:color w:val="000000"/>
                <w:sz w:val="19"/>
                <w:szCs w:val="19"/>
                <w:vertAlign w:val="superscript"/>
                <w:lang w:eastAsia="en-AU"/>
              </w:rPr>
            </w:pPr>
            <w:r w:rsidRPr="00EF64FD">
              <w:rPr>
                <w:rFonts w:ascii="Calibri" w:eastAsiaTheme="minorEastAsia" w:hAnsi="Calibri" w:cs="Calibri"/>
                <w:color w:val="000000"/>
                <w:sz w:val="19"/>
                <w:szCs w:val="19"/>
                <w:lang w:eastAsia="en-AU"/>
              </w:rPr>
              <w:t xml:space="preserve">Sales of goods and services </w:t>
            </w:r>
            <w:r w:rsidRPr="00EF64FD">
              <w:rPr>
                <w:rFonts w:ascii="Calibri" w:eastAsiaTheme="minorEastAsia" w:hAnsi="Calibri" w:cs="Calibri"/>
                <w:color w:val="000000"/>
                <w:sz w:val="19"/>
                <w:szCs w:val="19"/>
                <w:vertAlign w:val="superscript"/>
                <w:lang w:eastAsia="en-AU"/>
              </w:rPr>
              <w:t>(b)</w:t>
            </w:r>
          </w:p>
        </w:tc>
        <w:tc>
          <w:tcPr>
            <w:tcW w:w="965" w:type="dxa"/>
            <w:gridSpan w:val="3"/>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12 005.4</w:t>
            </w:r>
          </w:p>
        </w:tc>
        <w:tc>
          <w:tcPr>
            <w:tcW w:w="964" w:type="dxa"/>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12 175.2</w:t>
            </w:r>
          </w:p>
        </w:tc>
        <w:tc>
          <w:tcPr>
            <w:tcW w:w="964" w:type="dxa"/>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11 927.8</w:t>
            </w:r>
          </w:p>
        </w:tc>
        <w:tc>
          <w:tcPr>
            <w:tcW w:w="964" w:type="dxa"/>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12 198.1</w:t>
            </w:r>
          </w:p>
        </w:tc>
        <w:tc>
          <w:tcPr>
            <w:tcW w:w="964" w:type="dxa"/>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12 347.2</w:t>
            </w:r>
          </w:p>
        </w:tc>
      </w:tr>
      <w:tr w:rsidR="00965D85" w:rsidRPr="00EF64FD" w:rsidTr="008B46DF">
        <w:tc>
          <w:tcPr>
            <w:tcW w:w="2946" w:type="dxa"/>
            <w:tcBorders>
              <w:top w:val="nil"/>
              <w:left w:val="nil"/>
              <w:right w:val="nil"/>
            </w:tcBorders>
            <w:shd w:val="clear" w:color="auto" w:fill="FFFFFF"/>
          </w:tcPr>
          <w:p w:rsidR="00965D85" w:rsidRPr="00EF64FD" w:rsidRDefault="00965D85" w:rsidP="008B46DF">
            <w:pPr>
              <w:autoSpaceDE w:val="0"/>
              <w:autoSpaceDN w:val="0"/>
              <w:adjustRightInd w:val="0"/>
              <w:spacing w:after="0"/>
              <w:ind w:left="227" w:hanging="227"/>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Interest received</w:t>
            </w:r>
          </w:p>
        </w:tc>
        <w:tc>
          <w:tcPr>
            <w:tcW w:w="965" w:type="dxa"/>
            <w:gridSpan w:val="3"/>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367.5</w:t>
            </w:r>
          </w:p>
        </w:tc>
        <w:tc>
          <w:tcPr>
            <w:tcW w:w="964" w:type="dxa"/>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341.2</w:t>
            </w:r>
          </w:p>
        </w:tc>
        <w:tc>
          <w:tcPr>
            <w:tcW w:w="964" w:type="dxa"/>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347.5</w:t>
            </w:r>
          </w:p>
        </w:tc>
        <w:tc>
          <w:tcPr>
            <w:tcW w:w="964" w:type="dxa"/>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354.0</w:t>
            </w:r>
          </w:p>
        </w:tc>
        <w:tc>
          <w:tcPr>
            <w:tcW w:w="964" w:type="dxa"/>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360.9</w:t>
            </w:r>
          </w:p>
        </w:tc>
      </w:tr>
      <w:tr w:rsidR="00965D85" w:rsidRPr="00EF64FD" w:rsidTr="008B46DF">
        <w:tc>
          <w:tcPr>
            <w:tcW w:w="3151" w:type="dxa"/>
            <w:gridSpan w:val="2"/>
            <w:tcBorders>
              <w:top w:val="nil"/>
              <w:left w:val="nil"/>
              <w:right w:val="nil"/>
            </w:tcBorders>
            <w:shd w:val="clear" w:color="auto" w:fill="FFFFFF"/>
          </w:tcPr>
          <w:p w:rsidR="00965D85" w:rsidRPr="00EF64FD" w:rsidRDefault="00965D85" w:rsidP="008B46DF">
            <w:pPr>
              <w:autoSpaceDE w:val="0"/>
              <w:autoSpaceDN w:val="0"/>
              <w:adjustRightInd w:val="0"/>
              <w:spacing w:after="0"/>
              <w:ind w:left="227" w:hanging="227"/>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Dividends and income tax equivalent and rate equivalent receipts</w:t>
            </w:r>
          </w:p>
        </w:tc>
        <w:tc>
          <w:tcPr>
            <w:tcW w:w="760" w:type="dxa"/>
            <w:gridSpan w:val="2"/>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831.4</w:t>
            </w:r>
          </w:p>
        </w:tc>
        <w:tc>
          <w:tcPr>
            <w:tcW w:w="964" w:type="dxa"/>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658.8</w:t>
            </w:r>
          </w:p>
        </w:tc>
        <w:tc>
          <w:tcPr>
            <w:tcW w:w="964" w:type="dxa"/>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628.3</w:t>
            </w:r>
          </w:p>
        </w:tc>
        <w:tc>
          <w:tcPr>
            <w:tcW w:w="964" w:type="dxa"/>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660.2</w:t>
            </w:r>
          </w:p>
        </w:tc>
        <w:tc>
          <w:tcPr>
            <w:tcW w:w="964" w:type="dxa"/>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458.3</w:t>
            </w:r>
          </w:p>
        </w:tc>
      </w:tr>
      <w:tr w:rsidR="00965D85" w:rsidRPr="00EF64FD" w:rsidTr="008B46DF">
        <w:tc>
          <w:tcPr>
            <w:tcW w:w="2946" w:type="dxa"/>
            <w:tcBorders>
              <w:top w:val="nil"/>
              <w:left w:val="nil"/>
              <w:bottom w:val="single" w:sz="6" w:space="0" w:color="000000"/>
              <w:right w:val="nil"/>
            </w:tcBorders>
            <w:shd w:val="clear" w:color="auto" w:fill="FFFFFF"/>
          </w:tcPr>
          <w:p w:rsidR="00965D85" w:rsidRPr="00EF64FD" w:rsidRDefault="00965D85" w:rsidP="008B46DF">
            <w:pPr>
              <w:autoSpaceDE w:val="0"/>
              <w:autoSpaceDN w:val="0"/>
              <w:adjustRightInd w:val="0"/>
              <w:spacing w:after="0"/>
              <w:ind w:left="227" w:hanging="227"/>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Other receipts</w:t>
            </w:r>
          </w:p>
        </w:tc>
        <w:tc>
          <w:tcPr>
            <w:tcW w:w="965" w:type="dxa"/>
            <w:gridSpan w:val="3"/>
            <w:tcBorders>
              <w:top w:val="nil"/>
              <w:left w:val="nil"/>
              <w:bottom w:val="single" w:sz="6" w:space="0" w:color="000000"/>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2 029.1</w:t>
            </w:r>
          </w:p>
        </w:tc>
        <w:tc>
          <w:tcPr>
            <w:tcW w:w="964" w:type="dxa"/>
            <w:tcBorders>
              <w:top w:val="nil"/>
              <w:left w:val="nil"/>
              <w:bottom w:val="single" w:sz="6" w:space="0" w:color="000000"/>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2 157.9</w:t>
            </w:r>
          </w:p>
        </w:tc>
        <w:tc>
          <w:tcPr>
            <w:tcW w:w="964" w:type="dxa"/>
            <w:tcBorders>
              <w:top w:val="nil"/>
              <w:left w:val="nil"/>
              <w:bottom w:val="single" w:sz="6" w:space="0" w:color="000000"/>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2 193.7</w:t>
            </w:r>
          </w:p>
        </w:tc>
        <w:tc>
          <w:tcPr>
            <w:tcW w:w="964" w:type="dxa"/>
            <w:tcBorders>
              <w:top w:val="nil"/>
              <w:left w:val="nil"/>
              <w:bottom w:val="single" w:sz="6" w:space="0" w:color="000000"/>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2 309.9</w:t>
            </w:r>
          </w:p>
        </w:tc>
        <w:tc>
          <w:tcPr>
            <w:tcW w:w="964" w:type="dxa"/>
            <w:tcBorders>
              <w:top w:val="nil"/>
              <w:left w:val="nil"/>
              <w:bottom w:val="single" w:sz="6" w:space="0" w:color="000000"/>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2 313.1</w:t>
            </w:r>
          </w:p>
        </w:tc>
      </w:tr>
      <w:tr w:rsidR="00965D85" w:rsidRPr="00EF64FD" w:rsidTr="008B46DF">
        <w:tc>
          <w:tcPr>
            <w:tcW w:w="2946" w:type="dxa"/>
            <w:tcBorders>
              <w:top w:val="single" w:sz="6" w:space="0" w:color="000000"/>
              <w:left w:val="nil"/>
              <w:right w:val="nil"/>
            </w:tcBorders>
            <w:shd w:val="clear" w:color="auto" w:fill="FFFFFF"/>
          </w:tcPr>
          <w:p w:rsidR="00965D85" w:rsidRPr="00EF64FD" w:rsidRDefault="00965D85" w:rsidP="008B46DF">
            <w:pPr>
              <w:autoSpaceDE w:val="0"/>
              <w:autoSpaceDN w:val="0"/>
              <w:adjustRightInd w:val="0"/>
              <w:spacing w:after="0"/>
              <w:ind w:left="227" w:hanging="227"/>
              <w:rPr>
                <w:rFonts w:ascii="Calibri" w:eastAsiaTheme="minorEastAsia" w:hAnsi="Calibri" w:cs="Calibri"/>
                <w:b/>
                <w:bCs/>
                <w:color w:val="000000"/>
                <w:sz w:val="19"/>
                <w:szCs w:val="19"/>
                <w:lang w:eastAsia="en-AU"/>
              </w:rPr>
            </w:pPr>
            <w:r w:rsidRPr="00EF64FD">
              <w:rPr>
                <w:rFonts w:ascii="Calibri" w:eastAsiaTheme="minorEastAsia" w:hAnsi="Calibri" w:cs="Calibri"/>
                <w:b/>
                <w:bCs/>
                <w:color w:val="000000"/>
                <w:sz w:val="19"/>
                <w:szCs w:val="19"/>
                <w:lang w:eastAsia="en-AU"/>
              </w:rPr>
              <w:t>Total receipts</w:t>
            </w:r>
          </w:p>
        </w:tc>
        <w:tc>
          <w:tcPr>
            <w:tcW w:w="965" w:type="dxa"/>
            <w:gridSpan w:val="3"/>
            <w:tcBorders>
              <w:top w:val="single" w:sz="6" w:space="0" w:color="000000"/>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b/>
                <w:bCs/>
                <w:color w:val="000000"/>
                <w:sz w:val="19"/>
                <w:szCs w:val="19"/>
                <w:lang w:eastAsia="en-AU"/>
              </w:rPr>
            </w:pPr>
            <w:r w:rsidRPr="00EF64FD">
              <w:rPr>
                <w:rFonts w:ascii="Calibri" w:eastAsiaTheme="minorEastAsia" w:hAnsi="Calibri" w:cs="Calibri"/>
                <w:b/>
                <w:bCs/>
                <w:color w:val="000000"/>
                <w:sz w:val="19"/>
                <w:szCs w:val="19"/>
                <w:lang w:eastAsia="en-AU"/>
              </w:rPr>
              <w:t>59 482.3</w:t>
            </w:r>
          </w:p>
        </w:tc>
        <w:tc>
          <w:tcPr>
            <w:tcW w:w="964" w:type="dxa"/>
            <w:tcBorders>
              <w:top w:val="single" w:sz="6" w:space="0" w:color="000000"/>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b/>
                <w:bCs/>
                <w:color w:val="000000"/>
                <w:sz w:val="19"/>
                <w:szCs w:val="19"/>
                <w:lang w:eastAsia="en-AU"/>
              </w:rPr>
            </w:pPr>
            <w:r w:rsidRPr="00EF64FD">
              <w:rPr>
                <w:rFonts w:ascii="Calibri" w:eastAsiaTheme="minorEastAsia" w:hAnsi="Calibri" w:cs="Calibri"/>
                <w:b/>
                <w:bCs/>
                <w:color w:val="000000"/>
                <w:sz w:val="19"/>
                <w:szCs w:val="19"/>
                <w:lang w:eastAsia="en-AU"/>
              </w:rPr>
              <w:t>59 852.8</w:t>
            </w:r>
          </w:p>
        </w:tc>
        <w:tc>
          <w:tcPr>
            <w:tcW w:w="964" w:type="dxa"/>
            <w:tcBorders>
              <w:top w:val="single" w:sz="6" w:space="0" w:color="000000"/>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b/>
                <w:bCs/>
                <w:color w:val="000000"/>
                <w:sz w:val="19"/>
                <w:szCs w:val="19"/>
                <w:lang w:eastAsia="en-AU"/>
              </w:rPr>
            </w:pPr>
            <w:r w:rsidRPr="00EF64FD">
              <w:rPr>
                <w:rFonts w:ascii="Calibri" w:eastAsiaTheme="minorEastAsia" w:hAnsi="Calibri" w:cs="Calibri"/>
                <w:b/>
                <w:bCs/>
                <w:color w:val="000000"/>
                <w:sz w:val="19"/>
                <w:szCs w:val="19"/>
                <w:lang w:eastAsia="en-AU"/>
              </w:rPr>
              <w:t>60 843.9</w:t>
            </w:r>
          </w:p>
        </w:tc>
        <w:tc>
          <w:tcPr>
            <w:tcW w:w="964" w:type="dxa"/>
            <w:tcBorders>
              <w:top w:val="single" w:sz="6" w:space="0" w:color="000000"/>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b/>
                <w:bCs/>
                <w:color w:val="000000"/>
                <w:sz w:val="19"/>
                <w:szCs w:val="19"/>
                <w:lang w:eastAsia="en-AU"/>
              </w:rPr>
            </w:pPr>
            <w:r w:rsidRPr="00EF64FD">
              <w:rPr>
                <w:rFonts w:ascii="Calibri" w:eastAsiaTheme="minorEastAsia" w:hAnsi="Calibri" w:cs="Calibri"/>
                <w:b/>
                <w:bCs/>
                <w:color w:val="000000"/>
                <w:sz w:val="19"/>
                <w:szCs w:val="19"/>
                <w:lang w:eastAsia="en-AU"/>
              </w:rPr>
              <w:t>63 526.4</w:t>
            </w:r>
          </w:p>
        </w:tc>
        <w:tc>
          <w:tcPr>
            <w:tcW w:w="964" w:type="dxa"/>
            <w:tcBorders>
              <w:top w:val="single" w:sz="6" w:space="0" w:color="000000"/>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b/>
                <w:bCs/>
                <w:color w:val="000000"/>
                <w:sz w:val="19"/>
                <w:szCs w:val="19"/>
                <w:lang w:eastAsia="en-AU"/>
              </w:rPr>
            </w:pPr>
            <w:r w:rsidRPr="00EF64FD">
              <w:rPr>
                <w:rFonts w:ascii="Calibri" w:eastAsiaTheme="minorEastAsia" w:hAnsi="Calibri" w:cs="Calibri"/>
                <w:b/>
                <w:bCs/>
                <w:color w:val="000000"/>
                <w:sz w:val="19"/>
                <w:szCs w:val="19"/>
                <w:lang w:eastAsia="en-AU"/>
              </w:rPr>
              <w:t>64 864.2</w:t>
            </w:r>
          </w:p>
        </w:tc>
      </w:tr>
      <w:tr w:rsidR="00965D85" w:rsidRPr="00EF64FD" w:rsidTr="008B46DF">
        <w:tc>
          <w:tcPr>
            <w:tcW w:w="2946" w:type="dxa"/>
            <w:tcBorders>
              <w:top w:val="nil"/>
              <w:left w:val="nil"/>
              <w:right w:val="nil"/>
            </w:tcBorders>
            <w:shd w:val="clear" w:color="auto" w:fill="FFFFFF"/>
          </w:tcPr>
          <w:p w:rsidR="00965D85" w:rsidRPr="00EF64FD" w:rsidRDefault="00965D85" w:rsidP="008B46DF">
            <w:pPr>
              <w:autoSpaceDE w:val="0"/>
              <w:autoSpaceDN w:val="0"/>
              <w:adjustRightInd w:val="0"/>
              <w:spacing w:after="0"/>
              <w:ind w:left="227" w:hanging="227"/>
              <w:rPr>
                <w:rFonts w:ascii="Calibri" w:eastAsiaTheme="minorEastAsia" w:hAnsi="Calibri" w:cs="Calibri"/>
                <w:b/>
                <w:bCs/>
                <w:color w:val="000000"/>
                <w:sz w:val="19"/>
                <w:szCs w:val="19"/>
                <w:lang w:eastAsia="en-AU"/>
              </w:rPr>
            </w:pPr>
            <w:r w:rsidRPr="00EF64FD">
              <w:rPr>
                <w:rFonts w:ascii="Calibri" w:eastAsiaTheme="minorEastAsia" w:hAnsi="Calibri" w:cs="Calibri"/>
                <w:b/>
                <w:bCs/>
                <w:color w:val="000000"/>
                <w:sz w:val="19"/>
                <w:szCs w:val="19"/>
                <w:lang w:eastAsia="en-AU"/>
              </w:rPr>
              <w:t>Payments</w:t>
            </w:r>
          </w:p>
        </w:tc>
        <w:tc>
          <w:tcPr>
            <w:tcW w:w="965" w:type="dxa"/>
            <w:gridSpan w:val="3"/>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b/>
                <w:bCs/>
                <w:color w:val="000000"/>
                <w:sz w:val="19"/>
                <w:szCs w:val="19"/>
                <w:lang w:eastAsia="en-AU"/>
              </w:rPr>
            </w:pPr>
          </w:p>
        </w:tc>
        <w:tc>
          <w:tcPr>
            <w:tcW w:w="964" w:type="dxa"/>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b/>
                <w:bCs/>
                <w:color w:val="000000"/>
                <w:sz w:val="19"/>
                <w:szCs w:val="19"/>
                <w:lang w:eastAsia="en-AU"/>
              </w:rPr>
            </w:pPr>
          </w:p>
        </w:tc>
        <w:tc>
          <w:tcPr>
            <w:tcW w:w="964" w:type="dxa"/>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b/>
                <w:bCs/>
                <w:color w:val="000000"/>
                <w:sz w:val="19"/>
                <w:szCs w:val="19"/>
                <w:lang w:eastAsia="en-AU"/>
              </w:rPr>
            </w:pPr>
          </w:p>
        </w:tc>
        <w:tc>
          <w:tcPr>
            <w:tcW w:w="964" w:type="dxa"/>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b/>
                <w:bCs/>
                <w:color w:val="000000"/>
                <w:sz w:val="19"/>
                <w:szCs w:val="19"/>
                <w:lang w:eastAsia="en-AU"/>
              </w:rPr>
            </w:pPr>
          </w:p>
        </w:tc>
        <w:tc>
          <w:tcPr>
            <w:tcW w:w="964" w:type="dxa"/>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b/>
                <w:bCs/>
                <w:color w:val="000000"/>
                <w:sz w:val="19"/>
                <w:szCs w:val="19"/>
                <w:lang w:eastAsia="en-AU"/>
              </w:rPr>
            </w:pPr>
          </w:p>
        </w:tc>
      </w:tr>
      <w:tr w:rsidR="00965D85" w:rsidRPr="00EF64FD" w:rsidTr="008B46DF">
        <w:tc>
          <w:tcPr>
            <w:tcW w:w="2946" w:type="dxa"/>
            <w:tcBorders>
              <w:top w:val="nil"/>
              <w:left w:val="nil"/>
              <w:right w:val="nil"/>
            </w:tcBorders>
            <w:shd w:val="clear" w:color="auto" w:fill="FFFFFF"/>
          </w:tcPr>
          <w:p w:rsidR="00965D85" w:rsidRPr="00EF64FD" w:rsidRDefault="00965D85" w:rsidP="008B46DF">
            <w:pPr>
              <w:autoSpaceDE w:val="0"/>
              <w:autoSpaceDN w:val="0"/>
              <w:adjustRightInd w:val="0"/>
              <w:spacing w:after="0"/>
              <w:ind w:left="227" w:hanging="227"/>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Payments for employees</w:t>
            </w:r>
          </w:p>
        </w:tc>
        <w:tc>
          <w:tcPr>
            <w:tcW w:w="965" w:type="dxa"/>
            <w:gridSpan w:val="3"/>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(20 692.9)</w:t>
            </w:r>
          </w:p>
        </w:tc>
        <w:tc>
          <w:tcPr>
            <w:tcW w:w="964" w:type="dxa"/>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(20 913.2)</w:t>
            </w:r>
          </w:p>
        </w:tc>
        <w:tc>
          <w:tcPr>
            <w:tcW w:w="964" w:type="dxa"/>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(21 580.9)</w:t>
            </w:r>
          </w:p>
        </w:tc>
        <w:tc>
          <w:tcPr>
            <w:tcW w:w="964" w:type="dxa"/>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(22 531.9)</w:t>
            </w:r>
          </w:p>
        </w:tc>
        <w:tc>
          <w:tcPr>
            <w:tcW w:w="964" w:type="dxa"/>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(23 445.1)</w:t>
            </w:r>
          </w:p>
        </w:tc>
      </w:tr>
      <w:tr w:rsidR="00965D85" w:rsidRPr="00EF64FD" w:rsidTr="008B46DF">
        <w:tc>
          <w:tcPr>
            <w:tcW w:w="2946" w:type="dxa"/>
            <w:tcBorders>
              <w:top w:val="nil"/>
              <w:left w:val="nil"/>
              <w:right w:val="nil"/>
            </w:tcBorders>
            <w:shd w:val="clear" w:color="auto" w:fill="FFFFFF"/>
          </w:tcPr>
          <w:p w:rsidR="00965D85" w:rsidRPr="00EF64FD" w:rsidRDefault="00965D85" w:rsidP="008B46DF">
            <w:pPr>
              <w:autoSpaceDE w:val="0"/>
              <w:autoSpaceDN w:val="0"/>
              <w:adjustRightInd w:val="0"/>
              <w:spacing w:after="0"/>
              <w:ind w:left="227" w:hanging="227"/>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Superannuation</w:t>
            </w:r>
          </w:p>
        </w:tc>
        <w:tc>
          <w:tcPr>
            <w:tcW w:w="965" w:type="dxa"/>
            <w:gridSpan w:val="3"/>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(3 077.7)</w:t>
            </w:r>
          </w:p>
        </w:tc>
        <w:tc>
          <w:tcPr>
            <w:tcW w:w="964" w:type="dxa"/>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(2 897.5)</w:t>
            </w:r>
          </w:p>
        </w:tc>
        <w:tc>
          <w:tcPr>
            <w:tcW w:w="964" w:type="dxa"/>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(2 935.7)</w:t>
            </w:r>
          </w:p>
        </w:tc>
        <w:tc>
          <w:tcPr>
            <w:tcW w:w="964" w:type="dxa"/>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(2 965.0)</w:t>
            </w:r>
          </w:p>
        </w:tc>
        <w:tc>
          <w:tcPr>
            <w:tcW w:w="964" w:type="dxa"/>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(3 044.4)</w:t>
            </w:r>
          </w:p>
        </w:tc>
      </w:tr>
      <w:tr w:rsidR="00965D85" w:rsidRPr="00EF64FD" w:rsidTr="008B46DF">
        <w:tc>
          <w:tcPr>
            <w:tcW w:w="2946" w:type="dxa"/>
            <w:tcBorders>
              <w:top w:val="nil"/>
              <w:left w:val="nil"/>
              <w:right w:val="nil"/>
            </w:tcBorders>
            <w:shd w:val="clear" w:color="auto" w:fill="FFFFFF"/>
          </w:tcPr>
          <w:p w:rsidR="00965D85" w:rsidRPr="00EF64FD" w:rsidRDefault="00965D85" w:rsidP="008B46DF">
            <w:pPr>
              <w:autoSpaceDE w:val="0"/>
              <w:autoSpaceDN w:val="0"/>
              <w:adjustRightInd w:val="0"/>
              <w:spacing w:after="0"/>
              <w:ind w:left="227" w:hanging="227"/>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Interest paid</w:t>
            </w:r>
          </w:p>
        </w:tc>
        <w:tc>
          <w:tcPr>
            <w:tcW w:w="965" w:type="dxa"/>
            <w:gridSpan w:val="3"/>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(2 721.7)</w:t>
            </w:r>
          </w:p>
        </w:tc>
        <w:tc>
          <w:tcPr>
            <w:tcW w:w="964" w:type="dxa"/>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(2 688.5)</w:t>
            </w:r>
          </w:p>
        </w:tc>
        <w:tc>
          <w:tcPr>
            <w:tcW w:w="964" w:type="dxa"/>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(2 673.1)</w:t>
            </w:r>
          </w:p>
        </w:tc>
        <w:tc>
          <w:tcPr>
            <w:tcW w:w="964" w:type="dxa"/>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(2 698.4)</w:t>
            </w:r>
          </w:p>
        </w:tc>
        <w:tc>
          <w:tcPr>
            <w:tcW w:w="964" w:type="dxa"/>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(2 694.5)</w:t>
            </w:r>
          </w:p>
        </w:tc>
      </w:tr>
      <w:tr w:rsidR="00965D85" w:rsidRPr="00EF64FD" w:rsidTr="008B46DF">
        <w:tc>
          <w:tcPr>
            <w:tcW w:w="2946" w:type="dxa"/>
            <w:tcBorders>
              <w:top w:val="nil"/>
              <w:left w:val="nil"/>
              <w:right w:val="nil"/>
            </w:tcBorders>
            <w:shd w:val="clear" w:color="auto" w:fill="FFFFFF"/>
          </w:tcPr>
          <w:p w:rsidR="00965D85" w:rsidRPr="00EF64FD" w:rsidRDefault="00965D85" w:rsidP="008B46DF">
            <w:pPr>
              <w:autoSpaceDE w:val="0"/>
              <w:autoSpaceDN w:val="0"/>
              <w:adjustRightInd w:val="0"/>
              <w:spacing w:after="0"/>
              <w:ind w:left="227" w:hanging="227"/>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Grants and subsidies</w:t>
            </w:r>
          </w:p>
        </w:tc>
        <w:tc>
          <w:tcPr>
            <w:tcW w:w="965" w:type="dxa"/>
            <w:gridSpan w:val="3"/>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(5 836.7)</w:t>
            </w:r>
          </w:p>
        </w:tc>
        <w:tc>
          <w:tcPr>
            <w:tcW w:w="964" w:type="dxa"/>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(5 734.0)</w:t>
            </w:r>
          </w:p>
        </w:tc>
        <w:tc>
          <w:tcPr>
            <w:tcW w:w="964" w:type="dxa"/>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(6 171.0)</w:t>
            </w:r>
          </w:p>
        </w:tc>
        <w:tc>
          <w:tcPr>
            <w:tcW w:w="964" w:type="dxa"/>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(6 389.1)</w:t>
            </w:r>
          </w:p>
        </w:tc>
        <w:tc>
          <w:tcPr>
            <w:tcW w:w="964" w:type="dxa"/>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(6 701.9)</w:t>
            </w:r>
          </w:p>
        </w:tc>
      </w:tr>
      <w:tr w:rsidR="00965D85" w:rsidRPr="00EF64FD" w:rsidTr="008B46DF">
        <w:tc>
          <w:tcPr>
            <w:tcW w:w="2946" w:type="dxa"/>
            <w:tcBorders>
              <w:top w:val="nil"/>
              <w:left w:val="nil"/>
              <w:right w:val="nil"/>
            </w:tcBorders>
            <w:shd w:val="clear" w:color="auto" w:fill="FFFFFF"/>
          </w:tcPr>
          <w:p w:rsidR="00965D85" w:rsidRPr="00EF64FD" w:rsidRDefault="00965D85" w:rsidP="008B46DF">
            <w:pPr>
              <w:autoSpaceDE w:val="0"/>
              <w:autoSpaceDN w:val="0"/>
              <w:adjustRightInd w:val="0"/>
              <w:spacing w:after="0"/>
              <w:ind w:left="227" w:hanging="227"/>
              <w:rPr>
                <w:rFonts w:ascii="Calibri" w:eastAsiaTheme="minorEastAsia" w:hAnsi="Calibri" w:cs="Calibri"/>
                <w:color w:val="000000"/>
                <w:sz w:val="19"/>
                <w:szCs w:val="19"/>
                <w:vertAlign w:val="superscript"/>
                <w:lang w:eastAsia="en-AU"/>
              </w:rPr>
            </w:pPr>
            <w:r w:rsidRPr="00EF64FD">
              <w:rPr>
                <w:rFonts w:ascii="Calibri" w:eastAsiaTheme="minorEastAsia" w:hAnsi="Calibri" w:cs="Calibri"/>
                <w:color w:val="000000"/>
                <w:sz w:val="19"/>
                <w:szCs w:val="19"/>
                <w:lang w:eastAsia="en-AU"/>
              </w:rPr>
              <w:t xml:space="preserve">Goods and services </w:t>
            </w:r>
            <w:r w:rsidRPr="00EF64FD">
              <w:rPr>
                <w:rFonts w:ascii="Calibri" w:eastAsiaTheme="minorEastAsia" w:hAnsi="Calibri" w:cs="Calibri"/>
                <w:color w:val="000000"/>
                <w:sz w:val="19"/>
                <w:szCs w:val="19"/>
                <w:vertAlign w:val="superscript"/>
                <w:lang w:eastAsia="en-AU"/>
              </w:rPr>
              <w:t>(b)</w:t>
            </w:r>
          </w:p>
        </w:tc>
        <w:tc>
          <w:tcPr>
            <w:tcW w:w="965" w:type="dxa"/>
            <w:gridSpan w:val="3"/>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(21 512.9)</w:t>
            </w:r>
          </w:p>
        </w:tc>
        <w:tc>
          <w:tcPr>
            <w:tcW w:w="964" w:type="dxa"/>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(21 973.7)</w:t>
            </w:r>
          </w:p>
        </w:tc>
        <w:tc>
          <w:tcPr>
            <w:tcW w:w="964" w:type="dxa"/>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(21 468.8)</w:t>
            </w:r>
          </w:p>
        </w:tc>
        <w:tc>
          <w:tcPr>
            <w:tcW w:w="964" w:type="dxa"/>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(22 278.2)</w:t>
            </w:r>
          </w:p>
        </w:tc>
        <w:tc>
          <w:tcPr>
            <w:tcW w:w="964" w:type="dxa"/>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(22 315.3)</w:t>
            </w:r>
          </w:p>
        </w:tc>
      </w:tr>
      <w:tr w:rsidR="00965D85" w:rsidRPr="00EF64FD" w:rsidTr="008B46DF">
        <w:tc>
          <w:tcPr>
            <w:tcW w:w="2946" w:type="dxa"/>
            <w:tcBorders>
              <w:top w:val="nil"/>
              <w:left w:val="nil"/>
              <w:bottom w:val="single" w:sz="6" w:space="0" w:color="000000"/>
              <w:right w:val="nil"/>
            </w:tcBorders>
            <w:shd w:val="clear" w:color="auto" w:fill="FFFFFF"/>
          </w:tcPr>
          <w:p w:rsidR="00965D85" w:rsidRPr="00EF64FD" w:rsidRDefault="00965D85" w:rsidP="008B46DF">
            <w:pPr>
              <w:autoSpaceDE w:val="0"/>
              <w:autoSpaceDN w:val="0"/>
              <w:adjustRightInd w:val="0"/>
              <w:spacing w:after="0"/>
              <w:ind w:left="227" w:hanging="227"/>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Other payments</w:t>
            </w:r>
          </w:p>
        </w:tc>
        <w:tc>
          <w:tcPr>
            <w:tcW w:w="965" w:type="dxa"/>
            <w:gridSpan w:val="3"/>
            <w:tcBorders>
              <w:top w:val="nil"/>
              <w:left w:val="nil"/>
              <w:bottom w:val="single" w:sz="6" w:space="0" w:color="000000"/>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(765.0)</w:t>
            </w:r>
          </w:p>
        </w:tc>
        <w:tc>
          <w:tcPr>
            <w:tcW w:w="964" w:type="dxa"/>
            <w:tcBorders>
              <w:top w:val="nil"/>
              <w:left w:val="nil"/>
              <w:bottom w:val="single" w:sz="6" w:space="0" w:color="000000"/>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(643.0)</w:t>
            </w:r>
          </w:p>
        </w:tc>
        <w:tc>
          <w:tcPr>
            <w:tcW w:w="964" w:type="dxa"/>
            <w:tcBorders>
              <w:top w:val="nil"/>
              <w:left w:val="nil"/>
              <w:bottom w:val="single" w:sz="6" w:space="0" w:color="000000"/>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(695.4)</w:t>
            </w:r>
          </w:p>
        </w:tc>
        <w:tc>
          <w:tcPr>
            <w:tcW w:w="964" w:type="dxa"/>
            <w:tcBorders>
              <w:top w:val="nil"/>
              <w:left w:val="nil"/>
              <w:bottom w:val="single" w:sz="6" w:space="0" w:color="000000"/>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(726.7)</w:t>
            </w:r>
          </w:p>
        </w:tc>
        <w:tc>
          <w:tcPr>
            <w:tcW w:w="964" w:type="dxa"/>
            <w:tcBorders>
              <w:top w:val="nil"/>
              <w:left w:val="nil"/>
              <w:bottom w:val="single" w:sz="6" w:space="0" w:color="000000"/>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(755.4)</w:t>
            </w:r>
          </w:p>
        </w:tc>
      </w:tr>
      <w:tr w:rsidR="00965D85" w:rsidRPr="00EF64FD" w:rsidTr="008B46DF">
        <w:tc>
          <w:tcPr>
            <w:tcW w:w="2946" w:type="dxa"/>
            <w:tcBorders>
              <w:top w:val="single" w:sz="6" w:space="0" w:color="000000"/>
              <w:left w:val="nil"/>
              <w:bottom w:val="single" w:sz="6" w:space="0" w:color="000000"/>
              <w:right w:val="nil"/>
            </w:tcBorders>
            <w:shd w:val="clear" w:color="auto" w:fill="FFFFFF"/>
          </w:tcPr>
          <w:p w:rsidR="00965D85" w:rsidRPr="00EF64FD" w:rsidRDefault="00965D85" w:rsidP="008B46DF">
            <w:pPr>
              <w:autoSpaceDE w:val="0"/>
              <w:autoSpaceDN w:val="0"/>
              <w:adjustRightInd w:val="0"/>
              <w:spacing w:after="0"/>
              <w:ind w:left="227" w:hanging="227"/>
              <w:rPr>
                <w:rFonts w:ascii="Calibri" w:eastAsiaTheme="minorEastAsia" w:hAnsi="Calibri" w:cs="Calibri"/>
                <w:b/>
                <w:bCs/>
                <w:color w:val="000000"/>
                <w:sz w:val="19"/>
                <w:szCs w:val="19"/>
                <w:lang w:eastAsia="en-AU"/>
              </w:rPr>
            </w:pPr>
            <w:r w:rsidRPr="00EF64FD">
              <w:rPr>
                <w:rFonts w:ascii="Calibri" w:eastAsiaTheme="minorEastAsia" w:hAnsi="Calibri" w:cs="Calibri"/>
                <w:b/>
                <w:bCs/>
                <w:color w:val="000000"/>
                <w:sz w:val="19"/>
                <w:szCs w:val="19"/>
                <w:lang w:eastAsia="en-AU"/>
              </w:rPr>
              <w:t>Total payments</w:t>
            </w:r>
          </w:p>
        </w:tc>
        <w:tc>
          <w:tcPr>
            <w:tcW w:w="965" w:type="dxa"/>
            <w:gridSpan w:val="3"/>
            <w:tcBorders>
              <w:top w:val="single" w:sz="6" w:space="0" w:color="000000"/>
              <w:left w:val="nil"/>
              <w:bottom w:val="single" w:sz="6" w:space="0" w:color="000000"/>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b/>
                <w:bCs/>
                <w:color w:val="000000"/>
                <w:sz w:val="19"/>
                <w:szCs w:val="19"/>
                <w:lang w:eastAsia="en-AU"/>
              </w:rPr>
            </w:pPr>
            <w:r w:rsidRPr="00EF64FD">
              <w:rPr>
                <w:rFonts w:ascii="Calibri" w:eastAsiaTheme="minorEastAsia" w:hAnsi="Calibri" w:cs="Calibri"/>
                <w:b/>
                <w:bCs/>
                <w:color w:val="000000"/>
                <w:sz w:val="19"/>
                <w:szCs w:val="19"/>
                <w:lang w:eastAsia="en-AU"/>
              </w:rPr>
              <w:t>(54 606.9)</w:t>
            </w:r>
          </w:p>
        </w:tc>
        <w:tc>
          <w:tcPr>
            <w:tcW w:w="964" w:type="dxa"/>
            <w:tcBorders>
              <w:top w:val="single" w:sz="6" w:space="0" w:color="000000"/>
              <w:left w:val="nil"/>
              <w:bottom w:val="single" w:sz="6" w:space="0" w:color="000000"/>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b/>
                <w:bCs/>
                <w:color w:val="000000"/>
                <w:sz w:val="19"/>
                <w:szCs w:val="19"/>
                <w:lang w:eastAsia="en-AU"/>
              </w:rPr>
            </w:pPr>
            <w:r w:rsidRPr="00EF64FD">
              <w:rPr>
                <w:rFonts w:ascii="Calibri" w:eastAsiaTheme="minorEastAsia" w:hAnsi="Calibri" w:cs="Calibri"/>
                <w:b/>
                <w:bCs/>
                <w:color w:val="000000"/>
                <w:sz w:val="19"/>
                <w:szCs w:val="19"/>
                <w:lang w:eastAsia="en-AU"/>
              </w:rPr>
              <w:t>(54 849.9)</w:t>
            </w:r>
          </w:p>
        </w:tc>
        <w:tc>
          <w:tcPr>
            <w:tcW w:w="964" w:type="dxa"/>
            <w:tcBorders>
              <w:top w:val="single" w:sz="6" w:space="0" w:color="000000"/>
              <w:left w:val="nil"/>
              <w:bottom w:val="single" w:sz="6" w:space="0" w:color="000000"/>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b/>
                <w:bCs/>
                <w:color w:val="000000"/>
                <w:sz w:val="19"/>
                <w:szCs w:val="19"/>
                <w:lang w:eastAsia="en-AU"/>
              </w:rPr>
            </w:pPr>
            <w:r w:rsidRPr="00EF64FD">
              <w:rPr>
                <w:rFonts w:ascii="Calibri" w:eastAsiaTheme="minorEastAsia" w:hAnsi="Calibri" w:cs="Calibri"/>
                <w:b/>
                <w:bCs/>
                <w:color w:val="000000"/>
                <w:sz w:val="19"/>
                <w:szCs w:val="19"/>
                <w:lang w:eastAsia="en-AU"/>
              </w:rPr>
              <w:t>(55 525.0)</w:t>
            </w:r>
          </w:p>
        </w:tc>
        <w:tc>
          <w:tcPr>
            <w:tcW w:w="964" w:type="dxa"/>
            <w:tcBorders>
              <w:top w:val="single" w:sz="6" w:space="0" w:color="000000"/>
              <w:left w:val="nil"/>
              <w:bottom w:val="single" w:sz="6" w:space="0" w:color="000000"/>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b/>
                <w:bCs/>
                <w:color w:val="000000"/>
                <w:sz w:val="19"/>
                <w:szCs w:val="19"/>
                <w:lang w:eastAsia="en-AU"/>
              </w:rPr>
            </w:pPr>
            <w:r w:rsidRPr="00EF64FD">
              <w:rPr>
                <w:rFonts w:ascii="Calibri" w:eastAsiaTheme="minorEastAsia" w:hAnsi="Calibri" w:cs="Calibri"/>
                <w:b/>
                <w:bCs/>
                <w:color w:val="000000"/>
                <w:sz w:val="19"/>
                <w:szCs w:val="19"/>
                <w:lang w:eastAsia="en-AU"/>
              </w:rPr>
              <w:t>(57 589.3)</w:t>
            </w:r>
          </w:p>
        </w:tc>
        <w:tc>
          <w:tcPr>
            <w:tcW w:w="964" w:type="dxa"/>
            <w:tcBorders>
              <w:top w:val="single" w:sz="6" w:space="0" w:color="000000"/>
              <w:left w:val="nil"/>
              <w:bottom w:val="single" w:sz="6" w:space="0" w:color="000000"/>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b/>
                <w:bCs/>
                <w:color w:val="000000"/>
                <w:sz w:val="19"/>
                <w:szCs w:val="19"/>
                <w:lang w:eastAsia="en-AU"/>
              </w:rPr>
            </w:pPr>
            <w:r w:rsidRPr="00EF64FD">
              <w:rPr>
                <w:rFonts w:ascii="Calibri" w:eastAsiaTheme="minorEastAsia" w:hAnsi="Calibri" w:cs="Calibri"/>
                <w:b/>
                <w:bCs/>
                <w:color w:val="000000"/>
                <w:sz w:val="19"/>
                <w:szCs w:val="19"/>
                <w:lang w:eastAsia="en-AU"/>
              </w:rPr>
              <w:t>(58 956.6)</w:t>
            </w:r>
          </w:p>
        </w:tc>
      </w:tr>
      <w:tr w:rsidR="00965D85" w:rsidRPr="00EF64FD" w:rsidTr="008B46DF">
        <w:tc>
          <w:tcPr>
            <w:tcW w:w="2946" w:type="dxa"/>
            <w:tcBorders>
              <w:top w:val="single" w:sz="6" w:space="0" w:color="000000"/>
              <w:left w:val="nil"/>
              <w:right w:val="nil"/>
            </w:tcBorders>
            <w:shd w:val="clear" w:color="auto" w:fill="FFFFFF"/>
          </w:tcPr>
          <w:p w:rsidR="00965D85" w:rsidRPr="00EF64FD" w:rsidRDefault="00965D85" w:rsidP="008B46DF">
            <w:pPr>
              <w:autoSpaceDE w:val="0"/>
              <w:autoSpaceDN w:val="0"/>
              <w:adjustRightInd w:val="0"/>
              <w:spacing w:after="0"/>
              <w:ind w:left="227" w:hanging="227"/>
              <w:rPr>
                <w:rFonts w:ascii="Calibri" w:eastAsiaTheme="minorEastAsia" w:hAnsi="Calibri" w:cs="Calibri"/>
                <w:b/>
                <w:bCs/>
                <w:color w:val="000000"/>
                <w:sz w:val="19"/>
                <w:szCs w:val="19"/>
                <w:lang w:eastAsia="en-AU"/>
              </w:rPr>
            </w:pPr>
            <w:r w:rsidRPr="00EF64FD">
              <w:rPr>
                <w:rFonts w:ascii="Calibri" w:eastAsiaTheme="minorEastAsia" w:hAnsi="Calibri" w:cs="Calibri"/>
                <w:b/>
                <w:bCs/>
                <w:color w:val="000000"/>
                <w:sz w:val="19"/>
                <w:szCs w:val="19"/>
                <w:lang w:eastAsia="en-AU"/>
              </w:rPr>
              <w:t>Net cash flows from operating activities</w:t>
            </w:r>
          </w:p>
        </w:tc>
        <w:tc>
          <w:tcPr>
            <w:tcW w:w="965" w:type="dxa"/>
            <w:gridSpan w:val="3"/>
            <w:tcBorders>
              <w:top w:val="single" w:sz="6" w:space="0" w:color="000000"/>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b/>
                <w:bCs/>
                <w:color w:val="000000"/>
                <w:sz w:val="19"/>
                <w:szCs w:val="19"/>
                <w:lang w:eastAsia="en-AU"/>
              </w:rPr>
            </w:pPr>
            <w:r w:rsidRPr="00EF64FD">
              <w:rPr>
                <w:rFonts w:ascii="Calibri" w:eastAsiaTheme="minorEastAsia" w:hAnsi="Calibri" w:cs="Calibri"/>
                <w:b/>
                <w:bCs/>
                <w:color w:val="000000"/>
                <w:sz w:val="19"/>
                <w:szCs w:val="19"/>
                <w:lang w:eastAsia="en-AU"/>
              </w:rPr>
              <w:t>4 875.4</w:t>
            </w:r>
          </w:p>
        </w:tc>
        <w:tc>
          <w:tcPr>
            <w:tcW w:w="964" w:type="dxa"/>
            <w:tcBorders>
              <w:top w:val="single" w:sz="6" w:space="0" w:color="000000"/>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b/>
                <w:bCs/>
                <w:color w:val="000000"/>
                <w:sz w:val="19"/>
                <w:szCs w:val="19"/>
                <w:lang w:eastAsia="en-AU"/>
              </w:rPr>
            </w:pPr>
            <w:r w:rsidRPr="00EF64FD">
              <w:rPr>
                <w:rFonts w:ascii="Calibri" w:eastAsiaTheme="minorEastAsia" w:hAnsi="Calibri" w:cs="Calibri"/>
                <w:b/>
                <w:bCs/>
                <w:color w:val="000000"/>
                <w:sz w:val="19"/>
                <w:szCs w:val="19"/>
                <w:lang w:eastAsia="en-AU"/>
              </w:rPr>
              <w:t>5 002.9</w:t>
            </w:r>
          </w:p>
        </w:tc>
        <w:tc>
          <w:tcPr>
            <w:tcW w:w="964" w:type="dxa"/>
            <w:tcBorders>
              <w:top w:val="single" w:sz="6" w:space="0" w:color="000000"/>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b/>
                <w:bCs/>
                <w:color w:val="000000"/>
                <w:sz w:val="19"/>
                <w:szCs w:val="19"/>
                <w:lang w:eastAsia="en-AU"/>
              </w:rPr>
            </w:pPr>
            <w:r w:rsidRPr="00EF64FD">
              <w:rPr>
                <w:rFonts w:ascii="Calibri" w:eastAsiaTheme="minorEastAsia" w:hAnsi="Calibri" w:cs="Calibri"/>
                <w:b/>
                <w:bCs/>
                <w:color w:val="000000"/>
                <w:sz w:val="19"/>
                <w:szCs w:val="19"/>
                <w:lang w:eastAsia="en-AU"/>
              </w:rPr>
              <w:t>5 319.0</w:t>
            </w:r>
          </w:p>
        </w:tc>
        <w:tc>
          <w:tcPr>
            <w:tcW w:w="964" w:type="dxa"/>
            <w:tcBorders>
              <w:top w:val="single" w:sz="6" w:space="0" w:color="000000"/>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b/>
                <w:bCs/>
                <w:color w:val="000000"/>
                <w:sz w:val="19"/>
                <w:szCs w:val="19"/>
                <w:lang w:eastAsia="en-AU"/>
              </w:rPr>
            </w:pPr>
            <w:r w:rsidRPr="00EF64FD">
              <w:rPr>
                <w:rFonts w:ascii="Calibri" w:eastAsiaTheme="minorEastAsia" w:hAnsi="Calibri" w:cs="Calibri"/>
                <w:b/>
                <w:bCs/>
                <w:color w:val="000000"/>
                <w:sz w:val="19"/>
                <w:szCs w:val="19"/>
                <w:lang w:eastAsia="en-AU"/>
              </w:rPr>
              <w:t>5 937.2</w:t>
            </w:r>
          </w:p>
        </w:tc>
        <w:tc>
          <w:tcPr>
            <w:tcW w:w="964" w:type="dxa"/>
            <w:tcBorders>
              <w:top w:val="single" w:sz="6" w:space="0" w:color="000000"/>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b/>
                <w:bCs/>
                <w:color w:val="000000"/>
                <w:sz w:val="19"/>
                <w:szCs w:val="19"/>
                <w:lang w:eastAsia="en-AU"/>
              </w:rPr>
            </w:pPr>
            <w:r w:rsidRPr="00EF64FD">
              <w:rPr>
                <w:rFonts w:ascii="Calibri" w:eastAsiaTheme="minorEastAsia" w:hAnsi="Calibri" w:cs="Calibri"/>
                <w:b/>
                <w:bCs/>
                <w:color w:val="000000"/>
                <w:sz w:val="19"/>
                <w:szCs w:val="19"/>
                <w:lang w:eastAsia="en-AU"/>
              </w:rPr>
              <w:t>5 907.6</w:t>
            </w:r>
          </w:p>
        </w:tc>
      </w:tr>
      <w:tr w:rsidR="00965D85" w:rsidRPr="00EF64FD" w:rsidTr="008B46DF">
        <w:tc>
          <w:tcPr>
            <w:tcW w:w="3673" w:type="dxa"/>
            <w:gridSpan w:val="3"/>
            <w:tcBorders>
              <w:top w:val="nil"/>
              <w:left w:val="nil"/>
              <w:right w:val="nil"/>
            </w:tcBorders>
            <w:shd w:val="clear" w:color="auto" w:fill="FFFFFF"/>
          </w:tcPr>
          <w:p w:rsidR="00965D85" w:rsidRPr="00EF64FD" w:rsidRDefault="00965D85" w:rsidP="008B46DF">
            <w:pPr>
              <w:autoSpaceDE w:val="0"/>
              <w:autoSpaceDN w:val="0"/>
              <w:adjustRightInd w:val="0"/>
              <w:spacing w:after="0"/>
              <w:ind w:left="227" w:hanging="227"/>
              <w:rPr>
                <w:rFonts w:ascii="Calibri" w:eastAsiaTheme="minorEastAsia" w:hAnsi="Calibri" w:cs="Calibri"/>
                <w:b/>
                <w:bCs/>
                <w:color w:val="000000"/>
                <w:sz w:val="19"/>
                <w:szCs w:val="19"/>
                <w:lang w:eastAsia="en-AU"/>
              </w:rPr>
            </w:pPr>
            <w:r w:rsidRPr="00EF64FD">
              <w:rPr>
                <w:rFonts w:ascii="Calibri" w:eastAsiaTheme="minorEastAsia" w:hAnsi="Calibri" w:cs="Calibri"/>
                <w:b/>
                <w:bCs/>
                <w:color w:val="000000"/>
                <w:sz w:val="19"/>
                <w:szCs w:val="19"/>
                <w:lang w:eastAsia="en-AU"/>
              </w:rPr>
              <w:t>Cash flows from investing activities</w:t>
            </w:r>
          </w:p>
        </w:tc>
        <w:tc>
          <w:tcPr>
            <w:tcW w:w="238" w:type="dxa"/>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b/>
                <w:bCs/>
                <w:color w:val="000000"/>
                <w:sz w:val="19"/>
                <w:szCs w:val="19"/>
                <w:lang w:eastAsia="en-AU"/>
              </w:rPr>
            </w:pPr>
          </w:p>
        </w:tc>
        <w:tc>
          <w:tcPr>
            <w:tcW w:w="964" w:type="dxa"/>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b/>
                <w:bCs/>
                <w:color w:val="000000"/>
                <w:sz w:val="19"/>
                <w:szCs w:val="19"/>
                <w:lang w:eastAsia="en-AU"/>
              </w:rPr>
            </w:pPr>
          </w:p>
        </w:tc>
        <w:tc>
          <w:tcPr>
            <w:tcW w:w="964" w:type="dxa"/>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b/>
                <w:bCs/>
                <w:color w:val="000000"/>
                <w:sz w:val="19"/>
                <w:szCs w:val="19"/>
                <w:lang w:eastAsia="en-AU"/>
              </w:rPr>
            </w:pPr>
          </w:p>
        </w:tc>
        <w:tc>
          <w:tcPr>
            <w:tcW w:w="964" w:type="dxa"/>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b/>
                <w:bCs/>
                <w:color w:val="000000"/>
                <w:sz w:val="19"/>
                <w:szCs w:val="19"/>
                <w:lang w:eastAsia="en-AU"/>
              </w:rPr>
            </w:pPr>
          </w:p>
        </w:tc>
        <w:tc>
          <w:tcPr>
            <w:tcW w:w="964" w:type="dxa"/>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b/>
                <w:bCs/>
                <w:color w:val="000000"/>
                <w:sz w:val="19"/>
                <w:szCs w:val="19"/>
                <w:lang w:eastAsia="en-AU"/>
              </w:rPr>
            </w:pPr>
          </w:p>
        </w:tc>
      </w:tr>
      <w:tr w:rsidR="00965D85" w:rsidRPr="00EF64FD" w:rsidTr="008B46DF">
        <w:tc>
          <w:tcPr>
            <w:tcW w:w="2946" w:type="dxa"/>
            <w:tcBorders>
              <w:top w:val="nil"/>
              <w:left w:val="nil"/>
              <w:right w:val="nil"/>
            </w:tcBorders>
            <w:shd w:val="clear" w:color="auto" w:fill="FFFFFF"/>
          </w:tcPr>
          <w:p w:rsidR="00965D85" w:rsidRPr="00EF64FD" w:rsidRDefault="00965D85" w:rsidP="008B46DF">
            <w:pPr>
              <w:autoSpaceDE w:val="0"/>
              <w:autoSpaceDN w:val="0"/>
              <w:adjustRightInd w:val="0"/>
              <w:spacing w:after="0"/>
              <w:ind w:left="227" w:hanging="227"/>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Net cash flows from investments in non</w:t>
            </w:r>
            <w:r w:rsidRPr="00EF64FD">
              <w:rPr>
                <w:rFonts w:ascii="Calibri" w:eastAsiaTheme="minorEastAsia" w:hAnsi="Calibri" w:cs="Calibri"/>
                <w:color w:val="000000"/>
                <w:sz w:val="19"/>
                <w:szCs w:val="19"/>
                <w:lang w:eastAsia="en-AU"/>
              </w:rPr>
              <w:noBreakHyphen/>
              <w:t>financial assets</w:t>
            </w:r>
          </w:p>
        </w:tc>
        <w:tc>
          <w:tcPr>
            <w:tcW w:w="965" w:type="dxa"/>
            <w:gridSpan w:val="3"/>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505.6</w:t>
            </w:r>
          </w:p>
        </w:tc>
        <w:tc>
          <w:tcPr>
            <w:tcW w:w="964" w:type="dxa"/>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870.9</w:t>
            </w:r>
          </w:p>
        </w:tc>
        <w:tc>
          <w:tcPr>
            <w:tcW w:w="964" w:type="dxa"/>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(7 395.6)</w:t>
            </w:r>
          </w:p>
        </w:tc>
        <w:tc>
          <w:tcPr>
            <w:tcW w:w="964" w:type="dxa"/>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(7 097.3)</w:t>
            </w:r>
          </w:p>
        </w:tc>
        <w:tc>
          <w:tcPr>
            <w:tcW w:w="964" w:type="dxa"/>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(7 001.4)</w:t>
            </w:r>
          </w:p>
        </w:tc>
      </w:tr>
      <w:tr w:rsidR="00965D85" w:rsidRPr="00EF64FD" w:rsidTr="008B46DF">
        <w:tc>
          <w:tcPr>
            <w:tcW w:w="2946" w:type="dxa"/>
            <w:tcBorders>
              <w:top w:val="nil"/>
              <w:left w:val="nil"/>
              <w:right w:val="nil"/>
            </w:tcBorders>
            <w:shd w:val="clear" w:color="auto" w:fill="FFFFFF"/>
          </w:tcPr>
          <w:p w:rsidR="00965D85" w:rsidRPr="00EF64FD" w:rsidRDefault="00965D85" w:rsidP="008B46DF">
            <w:pPr>
              <w:autoSpaceDE w:val="0"/>
              <w:autoSpaceDN w:val="0"/>
              <w:adjustRightInd w:val="0"/>
              <w:spacing w:after="0"/>
              <w:ind w:left="227" w:hanging="227"/>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Net cash flows from investments in financial assets for policy purposes</w:t>
            </w:r>
          </w:p>
        </w:tc>
        <w:tc>
          <w:tcPr>
            <w:tcW w:w="965" w:type="dxa"/>
            <w:gridSpan w:val="3"/>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(53.1)</w:t>
            </w:r>
          </w:p>
        </w:tc>
        <w:tc>
          <w:tcPr>
            <w:tcW w:w="964" w:type="dxa"/>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(214.9)</w:t>
            </w:r>
          </w:p>
        </w:tc>
        <w:tc>
          <w:tcPr>
            <w:tcW w:w="964" w:type="dxa"/>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59.4</w:t>
            </w:r>
          </w:p>
        </w:tc>
        <w:tc>
          <w:tcPr>
            <w:tcW w:w="964" w:type="dxa"/>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1 280.7</w:t>
            </w:r>
          </w:p>
        </w:tc>
        <w:tc>
          <w:tcPr>
            <w:tcW w:w="964" w:type="dxa"/>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65.3</w:t>
            </w:r>
          </w:p>
        </w:tc>
      </w:tr>
      <w:tr w:rsidR="00965D85" w:rsidRPr="00EF64FD" w:rsidTr="008B46DF">
        <w:tc>
          <w:tcPr>
            <w:tcW w:w="2946" w:type="dxa"/>
            <w:tcBorders>
              <w:top w:val="nil"/>
              <w:left w:val="nil"/>
              <w:bottom w:val="single" w:sz="6" w:space="0" w:color="000000"/>
              <w:right w:val="nil"/>
            </w:tcBorders>
            <w:shd w:val="clear" w:color="auto" w:fill="FFFFFF"/>
          </w:tcPr>
          <w:p w:rsidR="00965D85" w:rsidRPr="00EF64FD" w:rsidRDefault="00965D85" w:rsidP="008B46DF">
            <w:pPr>
              <w:autoSpaceDE w:val="0"/>
              <w:autoSpaceDN w:val="0"/>
              <w:adjustRightInd w:val="0"/>
              <w:spacing w:after="0"/>
              <w:ind w:left="227" w:hanging="227"/>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Net cash flows from investment in financial assets for liquidity management purposes</w:t>
            </w:r>
          </w:p>
        </w:tc>
        <w:tc>
          <w:tcPr>
            <w:tcW w:w="965" w:type="dxa"/>
            <w:gridSpan w:val="3"/>
            <w:tcBorders>
              <w:top w:val="nil"/>
              <w:left w:val="nil"/>
              <w:bottom w:val="single" w:sz="6" w:space="0" w:color="000000"/>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(154.3)</w:t>
            </w:r>
          </w:p>
        </w:tc>
        <w:tc>
          <w:tcPr>
            <w:tcW w:w="964" w:type="dxa"/>
            <w:tcBorders>
              <w:top w:val="nil"/>
              <w:left w:val="nil"/>
              <w:bottom w:val="single" w:sz="6" w:space="0" w:color="000000"/>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(2.6)</w:t>
            </w:r>
          </w:p>
        </w:tc>
        <w:tc>
          <w:tcPr>
            <w:tcW w:w="964" w:type="dxa"/>
            <w:tcBorders>
              <w:top w:val="nil"/>
              <w:left w:val="nil"/>
              <w:bottom w:val="single" w:sz="6" w:space="0" w:color="000000"/>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114.1</w:t>
            </w:r>
          </w:p>
        </w:tc>
        <w:tc>
          <w:tcPr>
            <w:tcW w:w="964" w:type="dxa"/>
            <w:tcBorders>
              <w:top w:val="nil"/>
              <w:left w:val="nil"/>
              <w:bottom w:val="single" w:sz="6" w:space="0" w:color="000000"/>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(97.1)</w:t>
            </w:r>
          </w:p>
        </w:tc>
        <w:tc>
          <w:tcPr>
            <w:tcW w:w="964" w:type="dxa"/>
            <w:tcBorders>
              <w:top w:val="nil"/>
              <w:left w:val="nil"/>
              <w:bottom w:val="single" w:sz="6" w:space="0" w:color="000000"/>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(135.5)</w:t>
            </w:r>
          </w:p>
        </w:tc>
      </w:tr>
      <w:tr w:rsidR="00965D85" w:rsidRPr="00EF64FD" w:rsidTr="008B46DF">
        <w:tc>
          <w:tcPr>
            <w:tcW w:w="2946" w:type="dxa"/>
            <w:tcBorders>
              <w:top w:val="single" w:sz="6" w:space="0" w:color="000000"/>
              <w:left w:val="nil"/>
              <w:right w:val="nil"/>
            </w:tcBorders>
            <w:shd w:val="clear" w:color="auto" w:fill="FFFFFF"/>
          </w:tcPr>
          <w:p w:rsidR="00965D85" w:rsidRPr="00EF64FD" w:rsidRDefault="00965D85" w:rsidP="008B46DF">
            <w:pPr>
              <w:autoSpaceDE w:val="0"/>
              <w:autoSpaceDN w:val="0"/>
              <w:adjustRightInd w:val="0"/>
              <w:spacing w:after="0"/>
              <w:ind w:left="227" w:hanging="227"/>
              <w:rPr>
                <w:rFonts w:ascii="Calibri" w:eastAsiaTheme="minorEastAsia" w:hAnsi="Calibri" w:cs="Calibri"/>
                <w:b/>
                <w:bCs/>
                <w:color w:val="000000"/>
                <w:sz w:val="19"/>
                <w:szCs w:val="19"/>
                <w:lang w:eastAsia="en-AU"/>
              </w:rPr>
            </w:pPr>
            <w:r w:rsidRPr="00EF64FD">
              <w:rPr>
                <w:rFonts w:ascii="Calibri" w:eastAsiaTheme="minorEastAsia" w:hAnsi="Calibri" w:cs="Calibri"/>
                <w:b/>
                <w:bCs/>
                <w:color w:val="000000"/>
                <w:sz w:val="19"/>
                <w:szCs w:val="19"/>
                <w:lang w:eastAsia="en-AU"/>
              </w:rPr>
              <w:t>Net cash flows from investing activities</w:t>
            </w:r>
          </w:p>
        </w:tc>
        <w:tc>
          <w:tcPr>
            <w:tcW w:w="965" w:type="dxa"/>
            <w:gridSpan w:val="3"/>
            <w:tcBorders>
              <w:top w:val="single" w:sz="6" w:space="0" w:color="000000"/>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b/>
                <w:bCs/>
                <w:color w:val="000000"/>
                <w:sz w:val="19"/>
                <w:szCs w:val="19"/>
                <w:lang w:eastAsia="en-AU"/>
              </w:rPr>
            </w:pPr>
            <w:r w:rsidRPr="00EF64FD">
              <w:rPr>
                <w:rFonts w:ascii="Calibri" w:eastAsiaTheme="minorEastAsia" w:hAnsi="Calibri" w:cs="Calibri"/>
                <w:b/>
                <w:bCs/>
                <w:color w:val="000000"/>
                <w:sz w:val="19"/>
                <w:szCs w:val="19"/>
                <w:lang w:eastAsia="en-AU"/>
              </w:rPr>
              <w:t>298.3</w:t>
            </w:r>
          </w:p>
        </w:tc>
        <w:tc>
          <w:tcPr>
            <w:tcW w:w="964" w:type="dxa"/>
            <w:tcBorders>
              <w:top w:val="single" w:sz="6" w:space="0" w:color="000000"/>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b/>
                <w:bCs/>
                <w:color w:val="000000"/>
                <w:sz w:val="19"/>
                <w:szCs w:val="19"/>
                <w:lang w:eastAsia="en-AU"/>
              </w:rPr>
            </w:pPr>
            <w:r w:rsidRPr="00EF64FD">
              <w:rPr>
                <w:rFonts w:ascii="Calibri" w:eastAsiaTheme="minorEastAsia" w:hAnsi="Calibri" w:cs="Calibri"/>
                <w:b/>
                <w:bCs/>
                <w:color w:val="000000"/>
                <w:sz w:val="19"/>
                <w:szCs w:val="19"/>
                <w:lang w:eastAsia="en-AU"/>
              </w:rPr>
              <w:t>653.4</w:t>
            </w:r>
          </w:p>
        </w:tc>
        <w:tc>
          <w:tcPr>
            <w:tcW w:w="964" w:type="dxa"/>
            <w:tcBorders>
              <w:top w:val="single" w:sz="6" w:space="0" w:color="000000"/>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b/>
                <w:bCs/>
                <w:color w:val="000000"/>
                <w:sz w:val="19"/>
                <w:szCs w:val="19"/>
                <w:lang w:eastAsia="en-AU"/>
              </w:rPr>
            </w:pPr>
            <w:r w:rsidRPr="00EF64FD">
              <w:rPr>
                <w:rFonts w:ascii="Calibri" w:eastAsiaTheme="minorEastAsia" w:hAnsi="Calibri" w:cs="Calibri"/>
                <w:b/>
                <w:bCs/>
                <w:color w:val="000000"/>
                <w:sz w:val="19"/>
                <w:szCs w:val="19"/>
                <w:lang w:eastAsia="en-AU"/>
              </w:rPr>
              <w:t>(7 222.0)</w:t>
            </w:r>
          </w:p>
        </w:tc>
        <w:tc>
          <w:tcPr>
            <w:tcW w:w="964" w:type="dxa"/>
            <w:tcBorders>
              <w:top w:val="single" w:sz="6" w:space="0" w:color="000000"/>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b/>
                <w:bCs/>
                <w:color w:val="000000"/>
                <w:sz w:val="19"/>
                <w:szCs w:val="19"/>
                <w:lang w:eastAsia="en-AU"/>
              </w:rPr>
            </w:pPr>
            <w:r w:rsidRPr="00EF64FD">
              <w:rPr>
                <w:rFonts w:ascii="Calibri" w:eastAsiaTheme="minorEastAsia" w:hAnsi="Calibri" w:cs="Calibri"/>
                <w:b/>
                <w:bCs/>
                <w:color w:val="000000"/>
                <w:sz w:val="19"/>
                <w:szCs w:val="19"/>
                <w:lang w:eastAsia="en-AU"/>
              </w:rPr>
              <w:t>(5 913.7)</w:t>
            </w:r>
          </w:p>
        </w:tc>
        <w:tc>
          <w:tcPr>
            <w:tcW w:w="964" w:type="dxa"/>
            <w:tcBorders>
              <w:top w:val="single" w:sz="6" w:space="0" w:color="000000"/>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b/>
                <w:bCs/>
                <w:color w:val="000000"/>
                <w:sz w:val="19"/>
                <w:szCs w:val="19"/>
                <w:lang w:eastAsia="en-AU"/>
              </w:rPr>
            </w:pPr>
            <w:r w:rsidRPr="00EF64FD">
              <w:rPr>
                <w:rFonts w:ascii="Calibri" w:eastAsiaTheme="minorEastAsia" w:hAnsi="Calibri" w:cs="Calibri"/>
                <w:b/>
                <w:bCs/>
                <w:color w:val="000000"/>
                <w:sz w:val="19"/>
                <w:szCs w:val="19"/>
                <w:lang w:eastAsia="en-AU"/>
              </w:rPr>
              <w:t>(7 071.6)</w:t>
            </w:r>
          </w:p>
        </w:tc>
      </w:tr>
      <w:tr w:rsidR="00965D85" w:rsidRPr="00EF64FD" w:rsidTr="008B46DF">
        <w:tc>
          <w:tcPr>
            <w:tcW w:w="3673" w:type="dxa"/>
            <w:gridSpan w:val="3"/>
            <w:tcBorders>
              <w:top w:val="nil"/>
              <w:left w:val="nil"/>
              <w:right w:val="nil"/>
            </w:tcBorders>
            <w:shd w:val="clear" w:color="auto" w:fill="FFFFFF"/>
          </w:tcPr>
          <w:p w:rsidR="00965D85" w:rsidRPr="00EF64FD" w:rsidRDefault="00965D85" w:rsidP="008B46DF">
            <w:pPr>
              <w:autoSpaceDE w:val="0"/>
              <w:autoSpaceDN w:val="0"/>
              <w:adjustRightInd w:val="0"/>
              <w:spacing w:after="0"/>
              <w:ind w:left="227" w:hanging="227"/>
              <w:rPr>
                <w:rFonts w:ascii="Calibri" w:eastAsiaTheme="minorEastAsia" w:hAnsi="Calibri" w:cs="Calibri"/>
                <w:b/>
                <w:bCs/>
                <w:color w:val="000000"/>
                <w:sz w:val="19"/>
                <w:szCs w:val="19"/>
                <w:lang w:eastAsia="en-AU"/>
              </w:rPr>
            </w:pPr>
            <w:r w:rsidRPr="00EF64FD">
              <w:rPr>
                <w:rFonts w:ascii="Calibri" w:eastAsiaTheme="minorEastAsia" w:hAnsi="Calibri" w:cs="Calibri"/>
                <w:b/>
                <w:bCs/>
                <w:color w:val="000000"/>
                <w:sz w:val="19"/>
                <w:szCs w:val="19"/>
                <w:lang w:eastAsia="en-AU"/>
              </w:rPr>
              <w:t>Cash flows from financing activities</w:t>
            </w:r>
          </w:p>
        </w:tc>
        <w:tc>
          <w:tcPr>
            <w:tcW w:w="238" w:type="dxa"/>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b/>
                <w:bCs/>
                <w:color w:val="000000"/>
                <w:sz w:val="19"/>
                <w:szCs w:val="19"/>
                <w:lang w:eastAsia="en-AU"/>
              </w:rPr>
            </w:pPr>
          </w:p>
        </w:tc>
        <w:tc>
          <w:tcPr>
            <w:tcW w:w="964" w:type="dxa"/>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b/>
                <w:bCs/>
                <w:color w:val="000000"/>
                <w:sz w:val="19"/>
                <w:szCs w:val="19"/>
                <w:lang w:eastAsia="en-AU"/>
              </w:rPr>
            </w:pPr>
          </w:p>
        </w:tc>
        <w:tc>
          <w:tcPr>
            <w:tcW w:w="964" w:type="dxa"/>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b/>
                <w:bCs/>
                <w:color w:val="000000"/>
                <w:sz w:val="19"/>
                <w:szCs w:val="19"/>
                <w:lang w:eastAsia="en-AU"/>
              </w:rPr>
            </w:pPr>
          </w:p>
        </w:tc>
        <w:tc>
          <w:tcPr>
            <w:tcW w:w="964" w:type="dxa"/>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b/>
                <w:bCs/>
                <w:color w:val="000000"/>
                <w:sz w:val="19"/>
                <w:szCs w:val="19"/>
                <w:lang w:eastAsia="en-AU"/>
              </w:rPr>
            </w:pPr>
          </w:p>
        </w:tc>
        <w:tc>
          <w:tcPr>
            <w:tcW w:w="964" w:type="dxa"/>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b/>
                <w:bCs/>
                <w:color w:val="000000"/>
                <w:sz w:val="19"/>
                <w:szCs w:val="19"/>
                <w:lang w:eastAsia="en-AU"/>
              </w:rPr>
            </w:pPr>
          </w:p>
        </w:tc>
      </w:tr>
      <w:tr w:rsidR="00965D85" w:rsidRPr="00EF64FD" w:rsidTr="008B46DF">
        <w:tc>
          <w:tcPr>
            <w:tcW w:w="2946" w:type="dxa"/>
            <w:tcBorders>
              <w:top w:val="nil"/>
              <w:left w:val="nil"/>
              <w:right w:val="nil"/>
            </w:tcBorders>
            <w:shd w:val="clear" w:color="auto" w:fill="FFFFFF"/>
          </w:tcPr>
          <w:p w:rsidR="00965D85" w:rsidRPr="00EF64FD" w:rsidRDefault="00965D85" w:rsidP="008B46DF">
            <w:pPr>
              <w:autoSpaceDE w:val="0"/>
              <w:autoSpaceDN w:val="0"/>
              <w:adjustRightInd w:val="0"/>
              <w:spacing w:after="0"/>
              <w:ind w:left="227" w:hanging="227"/>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Advances received (net)</w:t>
            </w:r>
          </w:p>
        </w:tc>
        <w:tc>
          <w:tcPr>
            <w:tcW w:w="965" w:type="dxa"/>
            <w:gridSpan w:val="3"/>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w:t>
            </w:r>
          </w:p>
        </w:tc>
        <w:tc>
          <w:tcPr>
            <w:tcW w:w="964" w:type="dxa"/>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w:t>
            </w:r>
          </w:p>
        </w:tc>
        <w:tc>
          <w:tcPr>
            <w:tcW w:w="964" w:type="dxa"/>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w:t>
            </w:r>
          </w:p>
        </w:tc>
        <w:tc>
          <w:tcPr>
            <w:tcW w:w="964" w:type="dxa"/>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w:t>
            </w:r>
          </w:p>
        </w:tc>
        <w:tc>
          <w:tcPr>
            <w:tcW w:w="964" w:type="dxa"/>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w:t>
            </w:r>
          </w:p>
        </w:tc>
      </w:tr>
      <w:tr w:rsidR="00965D85" w:rsidRPr="00EF64FD" w:rsidTr="008B46DF">
        <w:tc>
          <w:tcPr>
            <w:tcW w:w="2946" w:type="dxa"/>
            <w:tcBorders>
              <w:top w:val="nil"/>
              <w:left w:val="nil"/>
              <w:right w:val="nil"/>
            </w:tcBorders>
            <w:shd w:val="clear" w:color="auto" w:fill="FFFFFF"/>
          </w:tcPr>
          <w:p w:rsidR="00965D85" w:rsidRPr="00EF64FD" w:rsidRDefault="00965D85" w:rsidP="008B46DF">
            <w:pPr>
              <w:autoSpaceDE w:val="0"/>
              <w:autoSpaceDN w:val="0"/>
              <w:adjustRightInd w:val="0"/>
              <w:spacing w:after="0"/>
              <w:ind w:left="227" w:hanging="227"/>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Net borrowings</w:t>
            </w:r>
          </w:p>
        </w:tc>
        <w:tc>
          <w:tcPr>
            <w:tcW w:w="965" w:type="dxa"/>
            <w:gridSpan w:val="3"/>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(5 085.1)</w:t>
            </w:r>
          </w:p>
        </w:tc>
        <w:tc>
          <w:tcPr>
            <w:tcW w:w="964" w:type="dxa"/>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(5 877.4)</w:t>
            </w:r>
          </w:p>
        </w:tc>
        <w:tc>
          <w:tcPr>
            <w:tcW w:w="964" w:type="dxa"/>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2 091.7</w:t>
            </w:r>
          </w:p>
        </w:tc>
        <w:tc>
          <w:tcPr>
            <w:tcW w:w="964" w:type="dxa"/>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153.1</w:t>
            </w:r>
          </w:p>
        </w:tc>
        <w:tc>
          <w:tcPr>
            <w:tcW w:w="964" w:type="dxa"/>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1 466.0</w:t>
            </w:r>
          </w:p>
        </w:tc>
      </w:tr>
      <w:tr w:rsidR="00965D85" w:rsidRPr="00EF64FD" w:rsidTr="008B46DF">
        <w:tc>
          <w:tcPr>
            <w:tcW w:w="2946" w:type="dxa"/>
            <w:tcBorders>
              <w:top w:val="nil"/>
              <w:left w:val="nil"/>
              <w:bottom w:val="single" w:sz="6" w:space="0" w:color="000000"/>
              <w:right w:val="nil"/>
            </w:tcBorders>
            <w:shd w:val="clear" w:color="auto" w:fill="FFFFFF"/>
          </w:tcPr>
          <w:p w:rsidR="00965D85" w:rsidRPr="00EF64FD" w:rsidRDefault="00965D85" w:rsidP="008B46DF">
            <w:pPr>
              <w:autoSpaceDE w:val="0"/>
              <w:autoSpaceDN w:val="0"/>
              <w:adjustRightInd w:val="0"/>
              <w:spacing w:after="0"/>
              <w:ind w:left="227" w:hanging="227"/>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Deposits received (net)</w:t>
            </w:r>
          </w:p>
        </w:tc>
        <w:tc>
          <w:tcPr>
            <w:tcW w:w="965" w:type="dxa"/>
            <w:gridSpan w:val="3"/>
            <w:tcBorders>
              <w:top w:val="nil"/>
              <w:left w:val="nil"/>
              <w:bottom w:val="single" w:sz="6" w:space="0" w:color="000000"/>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0.3</w:t>
            </w:r>
          </w:p>
        </w:tc>
        <w:tc>
          <w:tcPr>
            <w:tcW w:w="964" w:type="dxa"/>
            <w:tcBorders>
              <w:top w:val="nil"/>
              <w:left w:val="nil"/>
              <w:bottom w:val="single" w:sz="6" w:space="0" w:color="000000"/>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0.7</w:t>
            </w:r>
          </w:p>
        </w:tc>
        <w:tc>
          <w:tcPr>
            <w:tcW w:w="964" w:type="dxa"/>
            <w:tcBorders>
              <w:top w:val="nil"/>
              <w:left w:val="nil"/>
              <w:bottom w:val="single" w:sz="6" w:space="0" w:color="000000"/>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0.9</w:t>
            </w:r>
          </w:p>
        </w:tc>
        <w:tc>
          <w:tcPr>
            <w:tcW w:w="964" w:type="dxa"/>
            <w:tcBorders>
              <w:top w:val="nil"/>
              <w:left w:val="nil"/>
              <w:bottom w:val="single" w:sz="6" w:space="0" w:color="000000"/>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0.6</w:t>
            </w:r>
          </w:p>
        </w:tc>
        <w:tc>
          <w:tcPr>
            <w:tcW w:w="964" w:type="dxa"/>
            <w:tcBorders>
              <w:top w:val="nil"/>
              <w:left w:val="nil"/>
              <w:bottom w:val="single" w:sz="6" w:space="0" w:color="000000"/>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2.0</w:t>
            </w:r>
          </w:p>
        </w:tc>
      </w:tr>
      <w:tr w:rsidR="00965D85" w:rsidRPr="00EF64FD" w:rsidTr="008B46DF">
        <w:tc>
          <w:tcPr>
            <w:tcW w:w="2946" w:type="dxa"/>
            <w:tcBorders>
              <w:top w:val="single" w:sz="6" w:space="0" w:color="000000"/>
              <w:left w:val="nil"/>
              <w:bottom w:val="single" w:sz="6" w:space="0" w:color="000000"/>
              <w:right w:val="nil"/>
            </w:tcBorders>
            <w:shd w:val="clear" w:color="auto" w:fill="FFFFFF"/>
          </w:tcPr>
          <w:p w:rsidR="00965D85" w:rsidRPr="00EF64FD" w:rsidRDefault="00965D85" w:rsidP="008B46DF">
            <w:pPr>
              <w:autoSpaceDE w:val="0"/>
              <w:autoSpaceDN w:val="0"/>
              <w:adjustRightInd w:val="0"/>
              <w:spacing w:after="0"/>
              <w:ind w:left="227" w:hanging="227"/>
              <w:rPr>
                <w:rFonts w:ascii="Calibri" w:eastAsiaTheme="minorEastAsia" w:hAnsi="Calibri" w:cs="Calibri"/>
                <w:b/>
                <w:bCs/>
                <w:color w:val="000000"/>
                <w:sz w:val="19"/>
                <w:szCs w:val="19"/>
                <w:lang w:eastAsia="en-AU"/>
              </w:rPr>
            </w:pPr>
            <w:r w:rsidRPr="00EF64FD">
              <w:rPr>
                <w:rFonts w:ascii="Calibri" w:eastAsiaTheme="minorEastAsia" w:hAnsi="Calibri" w:cs="Calibri"/>
                <w:b/>
                <w:bCs/>
                <w:color w:val="000000"/>
                <w:sz w:val="19"/>
                <w:szCs w:val="19"/>
                <w:lang w:eastAsia="en-AU"/>
              </w:rPr>
              <w:t>Net cash flows from financing activities</w:t>
            </w:r>
          </w:p>
        </w:tc>
        <w:tc>
          <w:tcPr>
            <w:tcW w:w="965" w:type="dxa"/>
            <w:gridSpan w:val="3"/>
            <w:tcBorders>
              <w:top w:val="single" w:sz="6" w:space="0" w:color="000000"/>
              <w:left w:val="nil"/>
              <w:bottom w:val="single" w:sz="6" w:space="0" w:color="000000"/>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b/>
                <w:bCs/>
                <w:color w:val="000000"/>
                <w:sz w:val="19"/>
                <w:szCs w:val="19"/>
                <w:lang w:eastAsia="en-AU"/>
              </w:rPr>
            </w:pPr>
            <w:r w:rsidRPr="00EF64FD">
              <w:rPr>
                <w:rFonts w:ascii="Calibri" w:eastAsiaTheme="minorEastAsia" w:hAnsi="Calibri" w:cs="Calibri"/>
                <w:b/>
                <w:bCs/>
                <w:color w:val="000000"/>
                <w:sz w:val="19"/>
                <w:szCs w:val="19"/>
                <w:lang w:eastAsia="en-AU"/>
              </w:rPr>
              <w:t>(5 084.8)</w:t>
            </w:r>
          </w:p>
        </w:tc>
        <w:tc>
          <w:tcPr>
            <w:tcW w:w="964" w:type="dxa"/>
            <w:tcBorders>
              <w:top w:val="single" w:sz="6" w:space="0" w:color="000000"/>
              <w:left w:val="nil"/>
              <w:bottom w:val="single" w:sz="6" w:space="0" w:color="000000"/>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b/>
                <w:bCs/>
                <w:color w:val="000000"/>
                <w:sz w:val="19"/>
                <w:szCs w:val="19"/>
                <w:lang w:eastAsia="en-AU"/>
              </w:rPr>
            </w:pPr>
            <w:r w:rsidRPr="00EF64FD">
              <w:rPr>
                <w:rFonts w:ascii="Calibri" w:eastAsiaTheme="minorEastAsia" w:hAnsi="Calibri" w:cs="Calibri"/>
                <w:b/>
                <w:bCs/>
                <w:color w:val="000000"/>
                <w:sz w:val="19"/>
                <w:szCs w:val="19"/>
                <w:lang w:eastAsia="en-AU"/>
              </w:rPr>
              <w:t>(5 876.7)</w:t>
            </w:r>
          </w:p>
        </w:tc>
        <w:tc>
          <w:tcPr>
            <w:tcW w:w="964" w:type="dxa"/>
            <w:tcBorders>
              <w:top w:val="single" w:sz="6" w:space="0" w:color="000000"/>
              <w:left w:val="nil"/>
              <w:bottom w:val="single" w:sz="6" w:space="0" w:color="000000"/>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b/>
                <w:bCs/>
                <w:color w:val="000000"/>
                <w:sz w:val="19"/>
                <w:szCs w:val="19"/>
                <w:lang w:eastAsia="en-AU"/>
              </w:rPr>
            </w:pPr>
            <w:r w:rsidRPr="00EF64FD">
              <w:rPr>
                <w:rFonts w:ascii="Calibri" w:eastAsiaTheme="minorEastAsia" w:hAnsi="Calibri" w:cs="Calibri"/>
                <w:b/>
                <w:bCs/>
                <w:color w:val="000000"/>
                <w:sz w:val="19"/>
                <w:szCs w:val="19"/>
                <w:lang w:eastAsia="en-AU"/>
              </w:rPr>
              <w:t>2 092.6</w:t>
            </w:r>
          </w:p>
        </w:tc>
        <w:tc>
          <w:tcPr>
            <w:tcW w:w="964" w:type="dxa"/>
            <w:tcBorders>
              <w:top w:val="single" w:sz="6" w:space="0" w:color="000000"/>
              <w:left w:val="nil"/>
              <w:bottom w:val="single" w:sz="6" w:space="0" w:color="000000"/>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b/>
                <w:bCs/>
                <w:color w:val="000000"/>
                <w:sz w:val="19"/>
                <w:szCs w:val="19"/>
                <w:lang w:eastAsia="en-AU"/>
              </w:rPr>
            </w:pPr>
            <w:r w:rsidRPr="00EF64FD">
              <w:rPr>
                <w:rFonts w:ascii="Calibri" w:eastAsiaTheme="minorEastAsia" w:hAnsi="Calibri" w:cs="Calibri"/>
                <w:b/>
                <w:bCs/>
                <w:color w:val="000000"/>
                <w:sz w:val="19"/>
                <w:szCs w:val="19"/>
                <w:lang w:eastAsia="en-AU"/>
              </w:rPr>
              <w:t>153.7</w:t>
            </w:r>
          </w:p>
        </w:tc>
        <w:tc>
          <w:tcPr>
            <w:tcW w:w="964" w:type="dxa"/>
            <w:tcBorders>
              <w:top w:val="single" w:sz="6" w:space="0" w:color="000000"/>
              <w:left w:val="nil"/>
              <w:bottom w:val="single" w:sz="6" w:space="0" w:color="000000"/>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b/>
                <w:bCs/>
                <w:color w:val="000000"/>
                <w:sz w:val="19"/>
                <w:szCs w:val="19"/>
                <w:lang w:eastAsia="en-AU"/>
              </w:rPr>
            </w:pPr>
            <w:r w:rsidRPr="00EF64FD">
              <w:rPr>
                <w:rFonts w:ascii="Calibri" w:eastAsiaTheme="minorEastAsia" w:hAnsi="Calibri" w:cs="Calibri"/>
                <w:b/>
                <w:bCs/>
                <w:color w:val="000000"/>
                <w:sz w:val="19"/>
                <w:szCs w:val="19"/>
                <w:lang w:eastAsia="en-AU"/>
              </w:rPr>
              <w:t>1 467.9</w:t>
            </w:r>
          </w:p>
        </w:tc>
      </w:tr>
    </w:tbl>
    <w:p w:rsidR="00965D85" w:rsidRDefault="00965D85"/>
    <w:p w:rsidR="00965D85" w:rsidRDefault="00965D85"/>
    <w:p w:rsidR="00965D85" w:rsidRDefault="00965D85">
      <w:pPr>
        <w:spacing w:after="0"/>
        <w:rPr>
          <w:rFonts w:ascii="Calibri" w:hAnsi="Calibri"/>
          <w:b/>
          <w:lang w:eastAsia="en-AU"/>
        </w:rPr>
      </w:pPr>
      <w:r>
        <w:rPr>
          <w:lang w:eastAsia="en-AU"/>
        </w:rPr>
        <w:br w:type="page"/>
      </w:r>
    </w:p>
    <w:p w:rsidR="00965D85" w:rsidRPr="001E7FA9" w:rsidRDefault="00965D85" w:rsidP="008B46DF">
      <w:pPr>
        <w:pStyle w:val="Tableheading"/>
        <w:rPr>
          <w:rFonts w:ascii="Times New Roman" w:hAnsi="Times New Roman"/>
          <w:b w:val="0"/>
          <w:sz w:val="20"/>
          <w:lang w:eastAsia="en-AU"/>
        </w:rPr>
      </w:pPr>
      <w:r w:rsidRPr="00AD14D1">
        <w:rPr>
          <w:lang w:eastAsia="en-AU"/>
        </w:rPr>
        <w:lastRenderedPageBreak/>
        <w:t>Table 5.9:</w:t>
      </w:r>
      <w:r w:rsidRPr="00AD14D1">
        <w:rPr>
          <w:lang w:eastAsia="en-AU"/>
        </w:rPr>
        <w:tab/>
        <w:t>Non</w:t>
      </w:r>
      <w:r>
        <w:rPr>
          <w:lang w:eastAsia="en-AU"/>
        </w:rPr>
        <w:noBreakHyphen/>
      </w:r>
      <w:r w:rsidRPr="00AD14D1">
        <w:rPr>
          <w:lang w:eastAsia="en-AU"/>
        </w:rPr>
        <w:t>financial public sector cash flow statement for the financial year ended 30 June</w:t>
      </w:r>
      <w:r w:rsidRPr="006F70D3">
        <w:rPr>
          <w:vertAlign w:val="superscript"/>
          <w:lang w:eastAsia="en-AU"/>
        </w:rPr>
        <w:t>(a)</w:t>
      </w:r>
      <w:r>
        <w:rPr>
          <w:vertAlign w:val="superscript"/>
          <w:lang w:eastAsia="en-AU"/>
        </w:rPr>
        <w:t xml:space="preserve"> </w:t>
      </w:r>
      <w:r w:rsidRPr="00B941BF">
        <w:rPr>
          <w:i/>
          <w:lang w:eastAsia="en-AU"/>
        </w:rPr>
        <w:t>(continued)</w:t>
      </w:r>
    </w:p>
    <w:tbl>
      <w:tblPr>
        <w:tblW w:w="7767" w:type="dxa"/>
        <w:tblInd w:w="45" w:type="dxa"/>
        <w:tblLayout w:type="fixed"/>
        <w:tblCellMar>
          <w:left w:w="45" w:type="dxa"/>
          <w:right w:w="45" w:type="dxa"/>
        </w:tblCellMar>
        <w:tblLook w:val="0000" w:firstRow="0" w:lastRow="0" w:firstColumn="0" w:lastColumn="0" w:noHBand="0" w:noVBand="0"/>
      </w:tblPr>
      <w:tblGrid>
        <w:gridCol w:w="2946"/>
        <w:gridCol w:w="965"/>
        <w:gridCol w:w="964"/>
        <w:gridCol w:w="964"/>
        <w:gridCol w:w="964"/>
        <w:gridCol w:w="964"/>
      </w:tblGrid>
      <w:tr w:rsidR="00965D85" w:rsidRPr="001E7FA9" w:rsidTr="008B46DF">
        <w:trPr>
          <w:tblHeader/>
        </w:trPr>
        <w:tc>
          <w:tcPr>
            <w:tcW w:w="7767" w:type="dxa"/>
            <w:gridSpan w:val="6"/>
            <w:tcBorders>
              <w:top w:val="nil"/>
              <w:left w:val="nil"/>
              <w:bottom w:val="nil"/>
              <w:right w:val="nil"/>
            </w:tcBorders>
          </w:tcPr>
          <w:p w:rsidR="00965D85" w:rsidRPr="001E7FA9" w:rsidRDefault="00965D85" w:rsidP="008B46DF">
            <w:pPr>
              <w:pStyle w:val="million"/>
              <w:rPr>
                <w:rFonts w:eastAsiaTheme="minorEastAsia"/>
                <w:lang w:eastAsia="en-AU"/>
              </w:rPr>
            </w:pPr>
            <w:r w:rsidRPr="001E7FA9">
              <w:rPr>
                <w:rFonts w:eastAsiaTheme="minorEastAsia"/>
                <w:lang w:eastAsia="en-AU"/>
              </w:rPr>
              <w:t>($ million)</w:t>
            </w:r>
          </w:p>
        </w:tc>
      </w:tr>
      <w:tr w:rsidR="00965D85" w:rsidRPr="00EF64FD" w:rsidTr="008B46DF">
        <w:trPr>
          <w:trHeight w:val="488"/>
          <w:tblHeader/>
        </w:trPr>
        <w:tc>
          <w:tcPr>
            <w:tcW w:w="2946" w:type="dxa"/>
            <w:tcBorders>
              <w:top w:val="nil"/>
              <w:left w:val="nil"/>
              <w:right w:val="nil"/>
            </w:tcBorders>
            <w:shd w:val="solid" w:color="000000" w:fill="auto"/>
          </w:tcPr>
          <w:p w:rsidR="00965D85" w:rsidRPr="00EF64FD" w:rsidRDefault="00965D85" w:rsidP="008B46DF">
            <w:pPr>
              <w:autoSpaceDE w:val="0"/>
              <w:autoSpaceDN w:val="0"/>
              <w:adjustRightInd w:val="0"/>
              <w:spacing w:after="0"/>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 xml:space="preserve"> </w:t>
            </w:r>
          </w:p>
          <w:p w:rsidR="00965D85" w:rsidRPr="00EF64FD" w:rsidRDefault="00965D85" w:rsidP="008B46DF">
            <w:pPr>
              <w:autoSpaceDE w:val="0"/>
              <w:autoSpaceDN w:val="0"/>
              <w:adjustRightInd w:val="0"/>
              <w:spacing w:after="0"/>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 xml:space="preserve"> </w:t>
            </w:r>
          </w:p>
        </w:tc>
        <w:tc>
          <w:tcPr>
            <w:tcW w:w="965" w:type="dxa"/>
            <w:tcBorders>
              <w:top w:val="nil"/>
              <w:left w:val="nil"/>
              <w:right w:val="nil"/>
            </w:tcBorders>
            <w:shd w:val="solid" w:color="000000" w:fill="auto"/>
          </w:tcPr>
          <w:p w:rsidR="00965D85" w:rsidRPr="00EF64FD" w:rsidRDefault="00965D85" w:rsidP="008B46DF">
            <w:pPr>
              <w:autoSpaceDE w:val="0"/>
              <w:autoSpaceDN w:val="0"/>
              <w:adjustRightInd w:val="0"/>
              <w:spacing w:after="0"/>
              <w:jc w:val="right"/>
              <w:rPr>
                <w:rFonts w:ascii="Calibri" w:eastAsiaTheme="minorEastAsia" w:hAnsi="Calibri" w:cs="Calibri"/>
                <w:i/>
                <w:iCs/>
                <w:color w:val="FFFFFF"/>
                <w:sz w:val="19"/>
                <w:szCs w:val="19"/>
                <w:lang w:eastAsia="en-AU"/>
              </w:rPr>
            </w:pPr>
            <w:r w:rsidRPr="00EF64FD">
              <w:rPr>
                <w:rFonts w:ascii="Calibri" w:eastAsiaTheme="minorEastAsia" w:hAnsi="Calibri" w:cs="Calibri"/>
                <w:i/>
                <w:iCs/>
                <w:color w:val="FFFFFF"/>
                <w:sz w:val="19"/>
                <w:szCs w:val="19"/>
                <w:lang w:eastAsia="en-AU"/>
              </w:rPr>
              <w:t>2015</w:t>
            </w:r>
            <w:r w:rsidRPr="00EF64FD">
              <w:rPr>
                <w:rFonts w:ascii="Calibri" w:eastAsiaTheme="minorEastAsia" w:hAnsi="Calibri" w:cs="Calibri"/>
                <w:i/>
                <w:iCs/>
                <w:color w:val="FFFFFF"/>
                <w:sz w:val="19"/>
                <w:szCs w:val="19"/>
                <w:lang w:eastAsia="en-AU"/>
              </w:rPr>
              <w:noBreakHyphen/>
              <w:t xml:space="preserve">16 </w:t>
            </w:r>
          </w:p>
          <w:p w:rsidR="00965D85" w:rsidRPr="00EF64FD" w:rsidRDefault="00965D85" w:rsidP="008B46DF">
            <w:pPr>
              <w:autoSpaceDE w:val="0"/>
              <w:autoSpaceDN w:val="0"/>
              <w:adjustRightInd w:val="0"/>
              <w:spacing w:after="0"/>
              <w:jc w:val="right"/>
              <w:rPr>
                <w:rFonts w:ascii="Calibri" w:eastAsiaTheme="minorEastAsia" w:hAnsi="Calibri" w:cs="Calibri"/>
                <w:i/>
                <w:iCs/>
                <w:color w:val="FFFFFF"/>
                <w:sz w:val="19"/>
                <w:szCs w:val="19"/>
                <w:lang w:eastAsia="en-AU"/>
              </w:rPr>
            </w:pPr>
            <w:r w:rsidRPr="00EF64FD">
              <w:rPr>
                <w:rFonts w:ascii="Calibri" w:eastAsiaTheme="minorEastAsia" w:hAnsi="Calibri" w:cs="Calibri"/>
                <w:i/>
                <w:iCs/>
                <w:color w:val="FFFFFF"/>
                <w:sz w:val="19"/>
                <w:szCs w:val="19"/>
                <w:lang w:eastAsia="en-AU"/>
              </w:rPr>
              <w:t>budget</w:t>
            </w:r>
          </w:p>
        </w:tc>
        <w:tc>
          <w:tcPr>
            <w:tcW w:w="964" w:type="dxa"/>
            <w:tcBorders>
              <w:top w:val="nil"/>
              <w:left w:val="nil"/>
              <w:right w:val="nil"/>
            </w:tcBorders>
            <w:shd w:val="solid" w:color="000000" w:fill="auto"/>
          </w:tcPr>
          <w:p w:rsidR="00965D85" w:rsidRPr="00EF64FD" w:rsidRDefault="00965D85" w:rsidP="008B46DF">
            <w:pPr>
              <w:autoSpaceDE w:val="0"/>
              <w:autoSpaceDN w:val="0"/>
              <w:adjustRightInd w:val="0"/>
              <w:spacing w:after="0"/>
              <w:jc w:val="right"/>
              <w:rPr>
                <w:rFonts w:ascii="Calibri" w:eastAsiaTheme="minorEastAsia" w:hAnsi="Calibri" w:cs="Calibri"/>
                <w:i/>
                <w:iCs/>
                <w:color w:val="FFFFFF"/>
                <w:sz w:val="19"/>
                <w:szCs w:val="19"/>
                <w:lang w:eastAsia="en-AU"/>
              </w:rPr>
            </w:pPr>
            <w:r w:rsidRPr="00EF64FD">
              <w:rPr>
                <w:rFonts w:ascii="Calibri" w:eastAsiaTheme="minorEastAsia" w:hAnsi="Calibri" w:cs="Calibri"/>
                <w:i/>
                <w:iCs/>
                <w:color w:val="FFFFFF"/>
                <w:sz w:val="19"/>
                <w:szCs w:val="19"/>
                <w:lang w:eastAsia="en-AU"/>
              </w:rPr>
              <w:t>2015</w:t>
            </w:r>
            <w:r w:rsidRPr="00EF64FD">
              <w:rPr>
                <w:rFonts w:ascii="Calibri" w:eastAsiaTheme="minorEastAsia" w:hAnsi="Calibri" w:cs="Calibri"/>
                <w:i/>
                <w:iCs/>
                <w:color w:val="FFFFFF"/>
                <w:sz w:val="19"/>
                <w:szCs w:val="19"/>
                <w:lang w:eastAsia="en-AU"/>
              </w:rPr>
              <w:noBreakHyphen/>
              <w:t xml:space="preserve">16 </w:t>
            </w:r>
          </w:p>
          <w:p w:rsidR="00965D85" w:rsidRPr="00EF64FD" w:rsidRDefault="00965D85" w:rsidP="008B46DF">
            <w:pPr>
              <w:autoSpaceDE w:val="0"/>
              <w:autoSpaceDN w:val="0"/>
              <w:adjustRightInd w:val="0"/>
              <w:spacing w:after="0"/>
              <w:jc w:val="right"/>
              <w:rPr>
                <w:rFonts w:ascii="Calibri" w:eastAsiaTheme="minorEastAsia" w:hAnsi="Calibri" w:cs="Calibri"/>
                <w:i/>
                <w:iCs/>
                <w:color w:val="FFFFFF"/>
                <w:sz w:val="19"/>
                <w:szCs w:val="19"/>
                <w:lang w:eastAsia="en-AU"/>
              </w:rPr>
            </w:pPr>
            <w:r w:rsidRPr="00EF64FD">
              <w:rPr>
                <w:rFonts w:ascii="Calibri" w:eastAsiaTheme="minorEastAsia" w:hAnsi="Calibri" w:cs="Calibri"/>
                <w:i/>
                <w:iCs/>
                <w:color w:val="FFFFFF"/>
                <w:sz w:val="19"/>
                <w:szCs w:val="19"/>
                <w:lang w:eastAsia="en-AU"/>
              </w:rPr>
              <w:t>revised</w:t>
            </w:r>
          </w:p>
        </w:tc>
        <w:tc>
          <w:tcPr>
            <w:tcW w:w="964" w:type="dxa"/>
            <w:tcBorders>
              <w:top w:val="nil"/>
              <w:left w:val="nil"/>
              <w:right w:val="nil"/>
            </w:tcBorders>
            <w:shd w:val="solid" w:color="000000" w:fill="auto"/>
          </w:tcPr>
          <w:p w:rsidR="00965D85" w:rsidRPr="00EF64FD" w:rsidRDefault="00965D85" w:rsidP="008B46DF">
            <w:pPr>
              <w:autoSpaceDE w:val="0"/>
              <w:autoSpaceDN w:val="0"/>
              <w:adjustRightInd w:val="0"/>
              <w:spacing w:after="0"/>
              <w:jc w:val="right"/>
              <w:rPr>
                <w:rFonts w:ascii="Calibri" w:eastAsiaTheme="minorEastAsia" w:hAnsi="Calibri" w:cs="Calibri"/>
                <w:i/>
                <w:iCs/>
                <w:color w:val="FFFFFF"/>
                <w:sz w:val="19"/>
                <w:szCs w:val="19"/>
                <w:lang w:eastAsia="en-AU"/>
              </w:rPr>
            </w:pPr>
            <w:r w:rsidRPr="00EF64FD">
              <w:rPr>
                <w:rFonts w:ascii="Calibri" w:eastAsiaTheme="minorEastAsia" w:hAnsi="Calibri" w:cs="Calibri"/>
                <w:i/>
                <w:iCs/>
                <w:color w:val="FFFFFF"/>
                <w:sz w:val="19"/>
                <w:szCs w:val="19"/>
                <w:lang w:eastAsia="en-AU"/>
              </w:rPr>
              <w:t>2016</w:t>
            </w:r>
            <w:r w:rsidRPr="00EF64FD">
              <w:rPr>
                <w:rFonts w:ascii="Calibri" w:eastAsiaTheme="minorEastAsia" w:hAnsi="Calibri" w:cs="Calibri"/>
                <w:i/>
                <w:iCs/>
                <w:color w:val="FFFFFF"/>
                <w:sz w:val="19"/>
                <w:szCs w:val="19"/>
                <w:lang w:eastAsia="en-AU"/>
              </w:rPr>
              <w:noBreakHyphen/>
              <w:t xml:space="preserve">17 </w:t>
            </w:r>
          </w:p>
          <w:p w:rsidR="00965D85" w:rsidRPr="00EF64FD" w:rsidRDefault="00965D85" w:rsidP="008B46DF">
            <w:pPr>
              <w:autoSpaceDE w:val="0"/>
              <w:autoSpaceDN w:val="0"/>
              <w:adjustRightInd w:val="0"/>
              <w:spacing w:after="0"/>
              <w:jc w:val="right"/>
              <w:rPr>
                <w:rFonts w:ascii="Calibri" w:eastAsiaTheme="minorEastAsia" w:hAnsi="Calibri" w:cs="Calibri"/>
                <w:i/>
                <w:iCs/>
                <w:color w:val="FFFFFF"/>
                <w:sz w:val="19"/>
                <w:szCs w:val="19"/>
                <w:lang w:eastAsia="en-AU"/>
              </w:rPr>
            </w:pPr>
            <w:r w:rsidRPr="00EF64FD">
              <w:rPr>
                <w:rFonts w:ascii="Calibri" w:eastAsiaTheme="minorEastAsia" w:hAnsi="Calibri" w:cs="Calibri"/>
                <w:i/>
                <w:iCs/>
                <w:color w:val="FFFFFF"/>
                <w:sz w:val="19"/>
                <w:szCs w:val="19"/>
                <w:lang w:eastAsia="en-AU"/>
              </w:rPr>
              <w:t>estimate</w:t>
            </w:r>
          </w:p>
        </w:tc>
        <w:tc>
          <w:tcPr>
            <w:tcW w:w="964" w:type="dxa"/>
            <w:tcBorders>
              <w:top w:val="nil"/>
              <w:left w:val="nil"/>
              <w:right w:val="nil"/>
            </w:tcBorders>
            <w:shd w:val="solid" w:color="000000" w:fill="auto"/>
          </w:tcPr>
          <w:p w:rsidR="00965D85" w:rsidRPr="00EF64FD" w:rsidRDefault="00965D85" w:rsidP="008B46DF">
            <w:pPr>
              <w:autoSpaceDE w:val="0"/>
              <w:autoSpaceDN w:val="0"/>
              <w:adjustRightInd w:val="0"/>
              <w:spacing w:after="0"/>
              <w:jc w:val="right"/>
              <w:rPr>
                <w:rFonts w:ascii="Calibri" w:eastAsiaTheme="minorEastAsia" w:hAnsi="Calibri" w:cs="Calibri"/>
                <w:i/>
                <w:iCs/>
                <w:color w:val="FFFFFF"/>
                <w:sz w:val="19"/>
                <w:szCs w:val="19"/>
                <w:lang w:eastAsia="en-AU"/>
              </w:rPr>
            </w:pPr>
            <w:r w:rsidRPr="00EF64FD">
              <w:rPr>
                <w:rFonts w:ascii="Calibri" w:eastAsiaTheme="minorEastAsia" w:hAnsi="Calibri" w:cs="Calibri"/>
                <w:i/>
                <w:iCs/>
                <w:color w:val="FFFFFF"/>
                <w:sz w:val="19"/>
                <w:szCs w:val="19"/>
                <w:lang w:eastAsia="en-AU"/>
              </w:rPr>
              <w:t>2017</w:t>
            </w:r>
            <w:r w:rsidRPr="00EF64FD">
              <w:rPr>
                <w:rFonts w:ascii="Calibri" w:eastAsiaTheme="minorEastAsia" w:hAnsi="Calibri" w:cs="Calibri"/>
                <w:i/>
                <w:iCs/>
                <w:color w:val="FFFFFF"/>
                <w:sz w:val="19"/>
                <w:szCs w:val="19"/>
                <w:lang w:eastAsia="en-AU"/>
              </w:rPr>
              <w:noBreakHyphen/>
              <w:t xml:space="preserve">18 </w:t>
            </w:r>
          </w:p>
          <w:p w:rsidR="00965D85" w:rsidRPr="00EF64FD" w:rsidRDefault="00965D85" w:rsidP="008B46DF">
            <w:pPr>
              <w:autoSpaceDE w:val="0"/>
              <w:autoSpaceDN w:val="0"/>
              <w:adjustRightInd w:val="0"/>
              <w:spacing w:after="0"/>
              <w:jc w:val="right"/>
              <w:rPr>
                <w:rFonts w:ascii="Calibri" w:eastAsiaTheme="minorEastAsia" w:hAnsi="Calibri" w:cs="Calibri"/>
                <w:i/>
                <w:iCs/>
                <w:color w:val="FFFFFF"/>
                <w:sz w:val="19"/>
                <w:szCs w:val="19"/>
                <w:lang w:eastAsia="en-AU"/>
              </w:rPr>
            </w:pPr>
            <w:r w:rsidRPr="00EF64FD">
              <w:rPr>
                <w:rFonts w:ascii="Calibri" w:eastAsiaTheme="minorEastAsia" w:hAnsi="Calibri" w:cs="Calibri"/>
                <w:i/>
                <w:iCs/>
                <w:color w:val="FFFFFF"/>
                <w:sz w:val="19"/>
                <w:szCs w:val="19"/>
                <w:lang w:eastAsia="en-AU"/>
              </w:rPr>
              <w:t>estimate</w:t>
            </w:r>
          </w:p>
        </w:tc>
        <w:tc>
          <w:tcPr>
            <w:tcW w:w="964" w:type="dxa"/>
            <w:tcBorders>
              <w:top w:val="nil"/>
              <w:left w:val="nil"/>
              <w:right w:val="nil"/>
            </w:tcBorders>
            <w:shd w:val="solid" w:color="000000" w:fill="auto"/>
          </w:tcPr>
          <w:p w:rsidR="00965D85" w:rsidRPr="00EF64FD" w:rsidRDefault="00965D85" w:rsidP="008B46DF">
            <w:pPr>
              <w:autoSpaceDE w:val="0"/>
              <w:autoSpaceDN w:val="0"/>
              <w:adjustRightInd w:val="0"/>
              <w:spacing w:after="0"/>
              <w:jc w:val="right"/>
              <w:rPr>
                <w:rFonts w:ascii="Calibri" w:eastAsiaTheme="minorEastAsia" w:hAnsi="Calibri" w:cs="Calibri"/>
                <w:i/>
                <w:iCs/>
                <w:color w:val="FFFFFF"/>
                <w:sz w:val="19"/>
                <w:szCs w:val="19"/>
                <w:lang w:eastAsia="en-AU"/>
              </w:rPr>
            </w:pPr>
            <w:r w:rsidRPr="00EF64FD">
              <w:rPr>
                <w:rFonts w:ascii="Calibri" w:eastAsiaTheme="minorEastAsia" w:hAnsi="Calibri" w:cs="Calibri"/>
                <w:i/>
                <w:iCs/>
                <w:color w:val="FFFFFF"/>
                <w:sz w:val="19"/>
                <w:szCs w:val="19"/>
                <w:lang w:eastAsia="en-AU"/>
              </w:rPr>
              <w:t>2018</w:t>
            </w:r>
            <w:r w:rsidRPr="00EF64FD">
              <w:rPr>
                <w:rFonts w:ascii="Calibri" w:eastAsiaTheme="minorEastAsia" w:hAnsi="Calibri" w:cs="Calibri"/>
                <w:i/>
                <w:iCs/>
                <w:color w:val="FFFFFF"/>
                <w:sz w:val="19"/>
                <w:szCs w:val="19"/>
                <w:lang w:eastAsia="en-AU"/>
              </w:rPr>
              <w:noBreakHyphen/>
              <w:t xml:space="preserve">19 </w:t>
            </w:r>
          </w:p>
          <w:p w:rsidR="00965D85" w:rsidRPr="00EF64FD" w:rsidRDefault="00965D85" w:rsidP="008B46DF">
            <w:pPr>
              <w:autoSpaceDE w:val="0"/>
              <w:autoSpaceDN w:val="0"/>
              <w:adjustRightInd w:val="0"/>
              <w:spacing w:after="0"/>
              <w:jc w:val="right"/>
              <w:rPr>
                <w:rFonts w:ascii="Calibri" w:eastAsiaTheme="minorEastAsia" w:hAnsi="Calibri" w:cs="Calibri"/>
                <w:i/>
                <w:iCs/>
                <w:color w:val="FFFFFF"/>
                <w:sz w:val="19"/>
                <w:szCs w:val="19"/>
                <w:lang w:eastAsia="en-AU"/>
              </w:rPr>
            </w:pPr>
            <w:r w:rsidRPr="00EF64FD">
              <w:rPr>
                <w:rFonts w:ascii="Calibri" w:eastAsiaTheme="minorEastAsia" w:hAnsi="Calibri" w:cs="Calibri"/>
                <w:i/>
                <w:iCs/>
                <w:color w:val="FFFFFF"/>
                <w:sz w:val="19"/>
                <w:szCs w:val="19"/>
                <w:lang w:eastAsia="en-AU"/>
              </w:rPr>
              <w:t>estimate</w:t>
            </w:r>
          </w:p>
        </w:tc>
      </w:tr>
      <w:tr w:rsidR="00965D85" w:rsidRPr="00EF64FD" w:rsidTr="008B46DF">
        <w:tc>
          <w:tcPr>
            <w:tcW w:w="2946" w:type="dxa"/>
            <w:tcBorders>
              <w:top w:val="single" w:sz="6" w:space="0" w:color="000000"/>
              <w:left w:val="nil"/>
              <w:bottom w:val="single" w:sz="4" w:space="0" w:color="auto"/>
              <w:right w:val="nil"/>
            </w:tcBorders>
            <w:shd w:val="clear" w:color="auto" w:fill="FFFFFF"/>
          </w:tcPr>
          <w:p w:rsidR="00965D85" w:rsidRPr="00EF64FD" w:rsidRDefault="00965D85" w:rsidP="008B46DF">
            <w:pPr>
              <w:autoSpaceDE w:val="0"/>
              <w:autoSpaceDN w:val="0"/>
              <w:adjustRightInd w:val="0"/>
              <w:spacing w:after="0"/>
              <w:ind w:left="227" w:hanging="227"/>
              <w:rPr>
                <w:rFonts w:ascii="Calibri" w:eastAsiaTheme="minorEastAsia" w:hAnsi="Calibri" w:cs="Calibri"/>
                <w:b/>
                <w:bCs/>
                <w:color w:val="000000"/>
                <w:sz w:val="19"/>
                <w:szCs w:val="19"/>
                <w:lang w:eastAsia="en-AU"/>
              </w:rPr>
            </w:pPr>
            <w:r w:rsidRPr="00EF64FD">
              <w:rPr>
                <w:rFonts w:ascii="Calibri" w:eastAsiaTheme="minorEastAsia" w:hAnsi="Calibri" w:cs="Calibri"/>
                <w:b/>
                <w:bCs/>
                <w:color w:val="000000"/>
                <w:sz w:val="19"/>
                <w:szCs w:val="19"/>
                <w:lang w:eastAsia="en-AU"/>
              </w:rPr>
              <w:t>Net increase/(decrease) in cash and cash equivalents</w:t>
            </w:r>
          </w:p>
        </w:tc>
        <w:tc>
          <w:tcPr>
            <w:tcW w:w="965" w:type="dxa"/>
            <w:tcBorders>
              <w:top w:val="single" w:sz="6" w:space="0" w:color="000000"/>
              <w:left w:val="nil"/>
              <w:bottom w:val="single" w:sz="4" w:space="0" w:color="auto"/>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b/>
                <w:bCs/>
                <w:color w:val="000000"/>
                <w:sz w:val="19"/>
                <w:szCs w:val="19"/>
                <w:lang w:eastAsia="en-AU"/>
              </w:rPr>
            </w:pPr>
            <w:r w:rsidRPr="00EF64FD">
              <w:rPr>
                <w:rFonts w:ascii="Calibri" w:eastAsiaTheme="minorEastAsia" w:hAnsi="Calibri" w:cs="Calibri"/>
                <w:b/>
                <w:bCs/>
                <w:color w:val="000000"/>
                <w:sz w:val="19"/>
                <w:szCs w:val="19"/>
                <w:lang w:eastAsia="en-AU"/>
              </w:rPr>
              <w:t>88.9</w:t>
            </w:r>
          </w:p>
        </w:tc>
        <w:tc>
          <w:tcPr>
            <w:tcW w:w="964" w:type="dxa"/>
            <w:tcBorders>
              <w:top w:val="single" w:sz="6" w:space="0" w:color="000000"/>
              <w:left w:val="nil"/>
              <w:bottom w:val="single" w:sz="4" w:space="0" w:color="auto"/>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b/>
                <w:bCs/>
                <w:color w:val="000000"/>
                <w:sz w:val="19"/>
                <w:szCs w:val="19"/>
                <w:lang w:eastAsia="en-AU"/>
              </w:rPr>
            </w:pPr>
            <w:r w:rsidRPr="00EF64FD">
              <w:rPr>
                <w:rFonts w:ascii="Calibri" w:eastAsiaTheme="minorEastAsia" w:hAnsi="Calibri" w:cs="Calibri"/>
                <w:b/>
                <w:bCs/>
                <w:color w:val="000000"/>
                <w:sz w:val="19"/>
                <w:szCs w:val="19"/>
                <w:lang w:eastAsia="en-AU"/>
              </w:rPr>
              <w:t>(220.5)</w:t>
            </w:r>
          </w:p>
        </w:tc>
        <w:tc>
          <w:tcPr>
            <w:tcW w:w="964" w:type="dxa"/>
            <w:tcBorders>
              <w:top w:val="single" w:sz="6" w:space="0" w:color="000000"/>
              <w:left w:val="nil"/>
              <w:bottom w:val="single" w:sz="4" w:space="0" w:color="auto"/>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b/>
                <w:bCs/>
                <w:color w:val="000000"/>
                <w:sz w:val="19"/>
                <w:szCs w:val="19"/>
                <w:lang w:eastAsia="en-AU"/>
              </w:rPr>
            </w:pPr>
            <w:r w:rsidRPr="00EF64FD">
              <w:rPr>
                <w:rFonts w:ascii="Calibri" w:eastAsiaTheme="minorEastAsia" w:hAnsi="Calibri" w:cs="Calibri"/>
                <w:b/>
                <w:bCs/>
                <w:color w:val="000000"/>
                <w:sz w:val="19"/>
                <w:szCs w:val="19"/>
                <w:lang w:eastAsia="en-AU"/>
              </w:rPr>
              <w:t>189.6</w:t>
            </w:r>
          </w:p>
        </w:tc>
        <w:tc>
          <w:tcPr>
            <w:tcW w:w="964" w:type="dxa"/>
            <w:tcBorders>
              <w:top w:val="single" w:sz="6" w:space="0" w:color="000000"/>
              <w:left w:val="nil"/>
              <w:bottom w:val="single" w:sz="4" w:space="0" w:color="auto"/>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b/>
                <w:bCs/>
                <w:color w:val="000000"/>
                <w:sz w:val="19"/>
                <w:szCs w:val="19"/>
                <w:lang w:eastAsia="en-AU"/>
              </w:rPr>
            </w:pPr>
            <w:r w:rsidRPr="00EF64FD">
              <w:rPr>
                <w:rFonts w:ascii="Calibri" w:eastAsiaTheme="minorEastAsia" w:hAnsi="Calibri" w:cs="Calibri"/>
                <w:b/>
                <w:bCs/>
                <w:color w:val="000000"/>
                <w:sz w:val="19"/>
                <w:szCs w:val="19"/>
                <w:lang w:eastAsia="en-AU"/>
              </w:rPr>
              <w:t>177.1</w:t>
            </w:r>
          </w:p>
        </w:tc>
        <w:tc>
          <w:tcPr>
            <w:tcW w:w="964" w:type="dxa"/>
            <w:tcBorders>
              <w:top w:val="single" w:sz="6" w:space="0" w:color="000000"/>
              <w:left w:val="nil"/>
              <w:bottom w:val="single" w:sz="4" w:space="0" w:color="auto"/>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b/>
                <w:bCs/>
                <w:color w:val="000000"/>
                <w:sz w:val="19"/>
                <w:szCs w:val="19"/>
                <w:lang w:eastAsia="en-AU"/>
              </w:rPr>
            </w:pPr>
            <w:r w:rsidRPr="00EF64FD">
              <w:rPr>
                <w:rFonts w:ascii="Calibri" w:eastAsiaTheme="minorEastAsia" w:hAnsi="Calibri" w:cs="Calibri"/>
                <w:b/>
                <w:bCs/>
                <w:color w:val="000000"/>
                <w:sz w:val="19"/>
                <w:szCs w:val="19"/>
                <w:lang w:eastAsia="en-AU"/>
              </w:rPr>
              <w:t>303.9</w:t>
            </w:r>
          </w:p>
        </w:tc>
      </w:tr>
      <w:tr w:rsidR="00965D85" w:rsidRPr="00EF64FD" w:rsidTr="008B46DF">
        <w:tc>
          <w:tcPr>
            <w:tcW w:w="2946" w:type="dxa"/>
            <w:tcBorders>
              <w:top w:val="single" w:sz="4" w:space="0" w:color="auto"/>
              <w:left w:val="nil"/>
              <w:bottom w:val="single" w:sz="6" w:space="0" w:color="000000"/>
              <w:right w:val="nil"/>
            </w:tcBorders>
            <w:shd w:val="clear" w:color="auto" w:fill="FFFFFF"/>
          </w:tcPr>
          <w:p w:rsidR="00965D85" w:rsidRPr="00EF64FD" w:rsidRDefault="00965D85" w:rsidP="008B46DF">
            <w:pPr>
              <w:autoSpaceDE w:val="0"/>
              <w:autoSpaceDN w:val="0"/>
              <w:adjustRightInd w:val="0"/>
              <w:spacing w:after="0"/>
              <w:ind w:left="227" w:hanging="227"/>
              <w:rPr>
                <w:rFonts w:ascii="Calibri" w:eastAsiaTheme="minorEastAsia" w:hAnsi="Calibri" w:cs="Calibri"/>
                <w:color w:val="000000"/>
                <w:sz w:val="19"/>
                <w:szCs w:val="19"/>
                <w:vertAlign w:val="superscript"/>
                <w:lang w:eastAsia="en-AU"/>
              </w:rPr>
            </w:pPr>
            <w:r w:rsidRPr="00EF64FD">
              <w:rPr>
                <w:rFonts w:ascii="Calibri" w:eastAsiaTheme="minorEastAsia" w:hAnsi="Calibri" w:cs="Calibri"/>
                <w:color w:val="000000"/>
                <w:sz w:val="19"/>
                <w:szCs w:val="19"/>
                <w:lang w:eastAsia="en-AU"/>
              </w:rPr>
              <w:t xml:space="preserve">Cash and cash equivalents at beginning of reporting period </w:t>
            </w:r>
            <w:r w:rsidRPr="00EF64FD">
              <w:rPr>
                <w:rFonts w:ascii="Calibri" w:eastAsiaTheme="minorEastAsia" w:hAnsi="Calibri" w:cs="Calibri"/>
                <w:color w:val="000000"/>
                <w:sz w:val="19"/>
                <w:szCs w:val="19"/>
                <w:vertAlign w:val="superscript"/>
                <w:lang w:eastAsia="en-AU"/>
              </w:rPr>
              <w:t>(c)</w:t>
            </w:r>
          </w:p>
        </w:tc>
        <w:tc>
          <w:tcPr>
            <w:tcW w:w="965" w:type="dxa"/>
            <w:tcBorders>
              <w:top w:val="single" w:sz="4" w:space="0" w:color="auto"/>
              <w:left w:val="nil"/>
              <w:bottom w:val="single" w:sz="6" w:space="0" w:color="000000"/>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5 373.5</w:t>
            </w:r>
          </w:p>
        </w:tc>
        <w:tc>
          <w:tcPr>
            <w:tcW w:w="964" w:type="dxa"/>
            <w:tcBorders>
              <w:top w:val="single" w:sz="4" w:space="0" w:color="auto"/>
              <w:left w:val="nil"/>
              <w:bottom w:val="single" w:sz="6" w:space="0" w:color="000000"/>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5 373.5</w:t>
            </w:r>
          </w:p>
        </w:tc>
        <w:tc>
          <w:tcPr>
            <w:tcW w:w="964" w:type="dxa"/>
            <w:tcBorders>
              <w:top w:val="single" w:sz="4" w:space="0" w:color="auto"/>
              <w:left w:val="nil"/>
              <w:bottom w:val="single" w:sz="6" w:space="0" w:color="000000"/>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5 153.1</w:t>
            </w:r>
          </w:p>
        </w:tc>
        <w:tc>
          <w:tcPr>
            <w:tcW w:w="964" w:type="dxa"/>
            <w:tcBorders>
              <w:top w:val="single" w:sz="4" w:space="0" w:color="auto"/>
              <w:left w:val="nil"/>
              <w:bottom w:val="single" w:sz="6" w:space="0" w:color="000000"/>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5 342.6</w:t>
            </w:r>
          </w:p>
        </w:tc>
        <w:tc>
          <w:tcPr>
            <w:tcW w:w="964" w:type="dxa"/>
            <w:tcBorders>
              <w:top w:val="single" w:sz="4" w:space="0" w:color="auto"/>
              <w:left w:val="nil"/>
              <w:bottom w:val="single" w:sz="6" w:space="0" w:color="000000"/>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5 519.7</w:t>
            </w:r>
          </w:p>
        </w:tc>
      </w:tr>
      <w:tr w:rsidR="00965D85" w:rsidRPr="00EF64FD" w:rsidTr="008B46DF">
        <w:tc>
          <w:tcPr>
            <w:tcW w:w="2946" w:type="dxa"/>
            <w:tcBorders>
              <w:top w:val="single" w:sz="6" w:space="0" w:color="000000"/>
              <w:left w:val="nil"/>
              <w:bottom w:val="single" w:sz="12" w:space="0" w:color="000000"/>
              <w:right w:val="nil"/>
            </w:tcBorders>
            <w:shd w:val="clear" w:color="auto" w:fill="FFFFFF"/>
          </w:tcPr>
          <w:p w:rsidR="00965D85" w:rsidRPr="00EF64FD" w:rsidRDefault="00965D85" w:rsidP="008B46DF">
            <w:pPr>
              <w:autoSpaceDE w:val="0"/>
              <w:autoSpaceDN w:val="0"/>
              <w:adjustRightInd w:val="0"/>
              <w:spacing w:after="0"/>
              <w:ind w:left="227" w:hanging="227"/>
              <w:rPr>
                <w:rFonts w:ascii="Calibri" w:eastAsiaTheme="minorEastAsia" w:hAnsi="Calibri" w:cs="Calibri"/>
                <w:b/>
                <w:bCs/>
                <w:color w:val="000000"/>
                <w:sz w:val="19"/>
                <w:szCs w:val="19"/>
                <w:vertAlign w:val="superscript"/>
                <w:lang w:eastAsia="en-AU"/>
              </w:rPr>
            </w:pPr>
            <w:r w:rsidRPr="00EF64FD">
              <w:rPr>
                <w:rFonts w:ascii="Calibri" w:eastAsiaTheme="minorEastAsia" w:hAnsi="Calibri" w:cs="Calibri"/>
                <w:b/>
                <w:bCs/>
                <w:color w:val="000000"/>
                <w:sz w:val="19"/>
                <w:szCs w:val="19"/>
                <w:lang w:eastAsia="en-AU"/>
              </w:rPr>
              <w:t xml:space="preserve">Cash and cash equivalents at end of reporting period </w:t>
            </w:r>
            <w:r w:rsidRPr="00EF64FD">
              <w:rPr>
                <w:rFonts w:ascii="Calibri" w:eastAsiaTheme="minorEastAsia" w:hAnsi="Calibri" w:cs="Calibri"/>
                <w:b/>
                <w:bCs/>
                <w:color w:val="000000"/>
                <w:sz w:val="19"/>
                <w:szCs w:val="19"/>
                <w:vertAlign w:val="superscript"/>
                <w:lang w:eastAsia="en-AU"/>
              </w:rPr>
              <w:t>(c)</w:t>
            </w:r>
          </w:p>
        </w:tc>
        <w:tc>
          <w:tcPr>
            <w:tcW w:w="965" w:type="dxa"/>
            <w:tcBorders>
              <w:top w:val="single" w:sz="6" w:space="0" w:color="000000"/>
              <w:left w:val="nil"/>
              <w:bottom w:val="single" w:sz="12" w:space="0" w:color="000000"/>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b/>
                <w:bCs/>
                <w:color w:val="000000"/>
                <w:sz w:val="19"/>
                <w:szCs w:val="19"/>
                <w:lang w:eastAsia="en-AU"/>
              </w:rPr>
            </w:pPr>
            <w:r w:rsidRPr="00EF64FD">
              <w:rPr>
                <w:rFonts w:ascii="Calibri" w:eastAsiaTheme="minorEastAsia" w:hAnsi="Calibri" w:cs="Calibri"/>
                <w:b/>
                <w:bCs/>
                <w:color w:val="000000"/>
                <w:sz w:val="19"/>
                <w:szCs w:val="19"/>
                <w:lang w:eastAsia="en-AU"/>
              </w:rPr>
              <w:t>5 462.4</w:t>
            </w:r>
          </w:p>
        </w:tc>
        <w:tc>
          <w:tcPr>
            <w:tcW w:w="964" w:type="dxa"/>
            <w:tcBorders>
              <w:top w:val="single" w:sz="6" w:space="0" w:color="000000"/>
              <w:left w:val="nil"/>
              <w:bottom w:val="single" w:sz="12" w:space="0" w:color="000000"/>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b/>
                <w:bCs/>
                <w:color w:val="000000"/>
                <w:sz w:val="19"/>
                <w:szCs w:val="19"/>
                <w:lang w:eastAsia="en-AU"/>
              </w:rPr>
            </w:pPr>
            <w:r w:rsidRPr="00EF64FD">
              <w:rPr>
                <w:rFonts w:ascii="Calibri" w:eastAsiaTheme="minorEastAsia" w:hAnsi="Calibri" w:cs="Calibri"/>
                <w:b/>
                <w:bCs/>
                <w:color w:val="000000"/>
                <w:sz w:val="19"/>
                <w:szCs w:val="19"/>
                <w:lang w:eastAsia="en-AU"/>
              </w:rPr>
              <w:t>5 153.1</w:t>
            </w:r>
          </w:p>
        </w:tc>
        <w:tc>
          <w:tcPr>
            <w:tcW w:w="964" w:type="dxa"/>
            <w:tcBorders>
              <w:top w:val="single" w:sz="6" w:space="0" w:color="000000"/>
              <w:left w:val="nil"/>
              <w:bottom w:val="single" w:sz="12" w:space="0" w:color="000000"/>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b/>
                <w:bCs/>
                <w:color w:val="000000"/>
                <w:sz w:val="19"/>
                <w:szCs w:val="19"/>
                <w:lang w:eastAsia="en-AU"/>
              </w:rPr>
            </w:pPr>
            <w:r w:rsidRPr="00EF64FD">
              <w:rPr>
                <w:rFonts w:ascii="Calibri" w:eastAsiaTheme="minorEastAsia" w:hAnsi="Calibri" w:cs="Calibri"/>
                <w:b/>
                <w:bCs/>
                <w:color w:val="000000"/>
                <w:sz w:val="19"/>
                <w:szCs w:val="19"/>
                <w:lang w:eastAsia="en-AU"/>
              </w:rPr>
              <w:t>5 342.6</w:t>
            </w:r>
          </w:p>
        </w:tc>
        <w:tc>
          <w:tcPr>
            <w:tcW w:w="964" w:type="dxa"/>
            <w:tcBorders>
              <w:top w:val="single" w:sz="6" w:space="0" w:color="000000"/>
              <w:left w:val="nil"/>
              <w:bottom w:val="single" w:sz="12" w:space="0" w:color="000000"/>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b/>
                <w:bCs/>
                <w:color w:val="000000"/>
                <w:sz w:val="19"/>
                <w:szCs w:val="19"/>
                <w:lang w:eastAsia="en-AU"/>
              </w:rPr>
            </w:pPr>
            <w:r w:rsidRPr="00EF64FD">
              <w:rPr>
                <w:rFonts w:ascii="Calibri" w:eastAsiaTheme="minorEastAsia" w:hAnsi="Calibri" w:cs="Calibri"/>
                <w:b/>
                <w:bCs/>
                <w:color w:val="000000"/>
                <w:sz w:val="19"/>
                <w:szCs w:val="19"/>
                <w:lang w:eastAsia="en-AU"/>
              </w:rPr>
              <w:t>5 519.7</w:t>
            </w:r>
          </w:p>
        </w:tc>
        <w:tc>
          <w:tcPr>
            <w:tcW w:w="964" w:type="dxa"/>
            <w:tcBorders>
              <w:top w:val="single" w:sz="6" w:space="0" w:color="000000"/>
              <w:left w:val="nil"/>
              <w:bottom w:val="single" w:sz="12" w:space="0" w:color="000000"/>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b/>
                <w:bCs/>
                <w:color w:val="000000"/>
                <w:sz w:val="19"/>
                <w:szCs w:val="19"/>
                <w:lang w:eastAsia="en-AU"/>
              </w:rPr>
            </w:pPr>
            <w:r w:rsidRPr="00EF64FD">
              <w:rPr>
                <w:rFonts w:ascii="Calibri" w:eastAsiaTheme="minorEastAsia" w:hAnsi="Calibri" w:cs="Calibri"/>
                <w:b/>
                <w:bCs/>
                <w:color w:val="000000"/>
                <w:sz w:val="19"/>
                <w:szCs w:val="19"/>
                <w:lang w:eastAsia="en-AU"/>
              </w:rPr>
              <w:t>5 823.7</w:t>
            </w:r>
          </w:p>
        </w:tc>
      </w:tr>
      <w:tr w:rsidR="00965D85" w:rsidRPr="00EF64FD" w:rsidTr="008B46DF">
        <w:trPr>
          <w:trHeight w:hRule="exact" w:val="120"/>
        </w:trPr>
        <w:tc>
          <w:tcPr>
            <w:tcW w:w="2946" w:type="dxa"/>
            <w:tcBorders>
              <w:top w:val="single" w:sz="12" w:space="0" w:color="000000"/>
              <w:left w:val="nil"/>
              <w:right w:val="nil"/>
            </w:tcBorders>
            <w:shd w:val="clear" w:color="auto" w:fill="FFFFFF"/>
          </w:tcPr>
          <w:p w:rsidR="00965D85" w:rsidRPr="00EF64FD" w:rsidRDefault="00965D85" w:rsidP="008B46DF">
            <w:pPr>
              <w:autoSpaceDE w:val="0"/>
              <w:autoSpaceDN w:val="0"/>
              <w:adjustRightInd w:val="0"/>
              <w:spacing w:after="0"/>
              <w:ind w:left="227" w:hanging="227"/>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 xml:space="preserve"> </w:t>
            </w:r>
          </w:p>
        </w:tc>
        <w:tc>
          <w:tcPr>
            <w:tcW w:w="965" w:type="dxa"/>
            <w:tcBorders>
              <w:top w:val="single" w:sz="12" w:space="0" w:color="000000"/>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p>
        </w:tc>
        <w:tc>
          <w:tcPr>
            <w:tcW w:w="964" w:type="dxa"/>
            <w:tcBorders>
              <w:top w:val="single" w:sz="12" w:space="0" w:color="000000"/>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p>
        </w:tc>
        <w:tc>
          <w:tcPr>
            <w:tcW w:w="964" w:type="dxa"/>
            <w:tcBorders>
              <w:top w:val="single" w:sz="12" w:space="0" w:color="000000"/>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p>
        </w:tc>
        <w:tc>
          <w:tcPr>
            <w:tcW w:w="964" w:type="dxa"/>
            <w:tcBorders>
              <w:top w:val="single" w:sz="12" w:space="0" w:color="000000"/>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p>
        </w:tc>
        <w:tc>
          <w:tcPr>
            <w:tcW w:w="964" w:type="dxa"/>
            <w:tcBorders>
              <w:top w:val="single" w:sz="12" w:space="0" w:color="000000"/>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p>
        </w:tc>
      </w:tr>
      <w:tr w:rsidR="00965D85" w:rsidRPr="00EF64FD" w:rsidTr="008B46DF">
        <w:tc>
          <w:tcPr>
            <w:tcW w:w="2946" w:type="dxa"/>
            <w:tcBorders>
              <w:top w:val="nil"/>
              <w:left w:val="nil"/>
              <w:right w:val="nil"/>
            </w:tcBorders>
            <w:shd w:val="clear" w:color="auto" w:fill="FFFFFF"/>
          </w:tcPr>
          <w:p w:rsidR="00965D85" w:rsidRPr="00EF64FD" w:rsidRDefault="00965D85" w:rsidP="008B46DF">
            <w:pPr>
              <w:autoSpaceDE w:val="0"/>
              <w:autoSpaceDN w:val="0"/>
              <w:adjustRightInd w:val="0"/>
              <w:spacing w:after="0"/>
              <w:ind w:left="227" w:hanging="227"/>
              <w:rPr>
                <w:rFonts w:ascii="Calibri" w:eastAsiaTheme="minorEastAsia" w:hAnsi="Calibri" w:cs="Calibri"/>
                <w:b/>
                <w:bCs/>
                <w:color w:val="000000"/>
                <w:sz w:val="19"/>
                <w:szCs w:val="19"/>
                <w:lang w:eastAsia="en-AU"/>
              </w:rPr>
            </w:pPr>
            <w:r w:rsidRPr="00EF64FD">
              <w:rPr>
                <w:rFonts w:ascii="Calibri" w:eastAsiaTheme="minorEastAsia" w:hAnsi="Calibri" w:cs="Calibri"/>
                <w:b/>
                <w:bCs/>
                <w:color w:val="000000"/>
                <w:sz w:val="19"/>
                <w:szCs w:val="19"/>
                <w:lang w:eastAsia="en-AU"/>
              </w:rPr>
              <w:t>FISCAL AGGREGATES</w:t>
            </w:r>
          </w:p>
        </w:tc>
        <w:tc>
          <w:tcPr>
            <w:tcW w:w="965" w:type="dxa"/>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b/>
                <w:bCs/>
                <w:color w:val="000000"/>
                <w:sz w:val="19"/>
                <w:szCs w:val="19"/>
                <w:lang w:eastAsia="en-AU"/>
              </w:rPr>
            </w:pPr>
          </w:p>
        </w:tc>
        <w:tc>
          <w:tcPr>
            <w:tcW w:w="964" w:type="dxa"/>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b/>
                <w:bCs/>
                <w:color w:val="000000"/>
                <w:sz w:val="19"/>
                <w:szCs w:val="19"/>
                <w:lang w:eastAsia="en-AU"/>
              </w:rPr>
            </w:pPr>
          </w:p>
        </w:tc>
        <w:tc>
          <w:tcPr>
            <w:tcW w:w="964" w:type="dxa"/>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b/>
                <w:bCs/>
                <w:color w:val="000000"/>
                <w:sz w:val="19"/>
                <w:szCs w:val="19"/>
                <w:lang w:eastAsia="en-AU"/>
              </w:rPr>
            </w:pPr>
          </w:p>
        </w:tc>
        <w:tc>
          <w:tcPr>
            <w:tcW w:w="964" w:type="dxa"/>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b/>
                <w:bCs/>
                <w:color w:val="000000"/>
                <w:sz w:val="19"/>
                <w:szCs w:val="19"/>
                <w:lang w:eastAsia="en-AU"/>
              </w:rPr>
            </w:pPr>
          </w:p>
        </w:tc>
        <w:tc>
          <w:tcPr>
            <w:tcW w:w="964" w:type="dxa"/>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b/>
                <w:bCs/>
                <w:color w:val="000000"/>
                <w:sz w:val="19"/>
                <w:szCs w:val="19"/>
                <w:lang w:eastAsia="en-AU"/>
              </w:rPr>
            </w:pPr>
          </w:p>
        </w:tc>
      </w:tr>
      <w:tr w:rsidR="00965D85" w:rsidRPr="00EF64FD" w:rsidTr="008B46DF">
        <w:tc>
          <w:tcPr>
            <w:tcW w:w="2946" w:type="dxa"/>
            <w:tcBorders>
              <w:top w:val="nil"/>
              <w:left w:val="nil"/>
              <w:right w:val="nil"/>
            </w:tcBorders>
            <w:shd w:val="clear" w:color="auto" w:fill="FFFFFF"/>
          </w:tcPr>
          <w:p w:rsidR="00965D85" w:rsidRPr="00EF64FD" w:rsidRDefault="00965D85" w:rsidP="008B46DF">
            <w:pPr>
              <w:autoSpaceDE w:val="0"/>
              <w:autoSpaceDN w:val="0"/>
              <w:adjustRightInd w:val="0"/>
              <w:spacing w:after="0"/>
              <w:ind w:left="227" w:hanging="227"/>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Net cash flows from operating activities</w:t>
            </w:r>
          </w:p>
        </w:tc>
        <w:tc>
          <w:tcPr>
            <w:tcW w:w="965" w:type="dxa"/>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4 875.4</w:t>
            </w:r>
          </w:p>
        </w:tc>
        <w:tc>
          <w:tcPr>
            <w:tcW w:w="964" w:type="dxa"/>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5 002.9</w:t>
            </w:r>
          </w:p>
        </w:tc>
        <w:tc>
          <w:tcPr>
            <w:tcW w:w="964" w:type="dxa"/>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5 319.0</w:t>
            </w:r>
          </w:p>
        </w:tc>
        <w:tc>
          <w:tcPr>
            <w:tcW w:w="964" w:type="dxa"/>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5 937.2</w:t>
            </w:r>
          </w:p>
        </w:tc>
        <w:tc>
          <w:tcPr>
            <w:tcW w:w="964" w:type="dxa"/>
            <w:tcBorders>
              <w:top w:val="nil"/>
              <w:left w:val="nil"/>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5 907.6</w:t>
            </w:r>
          </w:p>
        </w:tc>
      </w:tr>
      <w:tr w:rsidR="00965D85" w:rsidRPr="00EF64FD" w:rsidTr="008B46DF">
        <w:tc>
          <w:tcPr>
            <w:tcW w:w="2946" w:type="dxa"/>
            <w:tcBorders>
              <w:top w:val="nil"/>
              <w:left w:val="nil"/>
              <w:bottom w:val="single" w:sz="6" w:space="0" w:color="000000"/>
              <w:right w:val="nil"/>
            </w:tcBorders>
            <w:shd w:val="clear" w:color="auto" w:fill="FFFFFF"/>
          </w:tcPr>
          <w:p w:rsidR="00965D85" w:rsidRPr="00EF64FD" w:rsidRDefault="00965D85" w:rsidP="008B46DF">
            <w:pPr>
              <w:autoSpaceDE w:val="0"/>
              <w:autoSpaceDN w:val="0"/>
              <w:adjustRightInd w:val="0"/>
              <w:spacing w:after="0"/>
              <w:ind w:left="227" w:hanging="227"/>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Net cash flows from investments in non</w:t>
            </w:r>
            <w:r w:rsidRPr="00EF64FD">
              <w:rPr>
                <w:rFonts w:ascii="Calibri" w:eastAsiaTheme="minorEastAsia" w:hAnsi="Calibri" w:cs="Calibri"/>
                <w:color w:val="000000"/>
                <w:sz w:val="19"/>
                <w:szCs w:val="19"/>
                <w:lang w:eastAsia="en-AU"/>
              </w:rPr>
              <w:noBreakHyphen/>
              <w:t>financial assets</w:t>
            </w:r>
          </w:p>
        </w:tc>
        <w:tc>
          <w:tcPr>
            <w:tcW w:w="965" w:type="dxa"/>
            <w:tcBorders>
              <w:top w:val="nil"/>
              <w:left w:val="nil"/>
              <w:bottom w:val="single" w:sz="6" w:space="0" w:color="000000"/>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505.6</w:t>
            </w:r>
          </w:p>
        </w:tc>
        <w:tc>
          <w:tcPr>
            <w:tcW w:w="964" w:type="dxa"/>
            <w:tcBorders>
              <w:top w:val="nil"/>
              <w:left w:val="nil"/>
              <w:bottom w:val="single" w:sz="6" w:space="0" w:color="000000"/>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870.9</w:t>
            </w:r>
          </w:p>
        </w:tc>
        <w:tc>
          <w:tcPr>
            <w:tcW w:w="964" w:type="dxa"/>
            <w:tcBorders>
              <w:top w:val="nil"/>
              <w:left w:val="nil"/>
              <w:bottom w:val="single" w:sz="6" w:space="0" w:color="000000"/>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(7 395.6)</w:t>
            </w:r>
          </w:p>
        </w:tc>
        <w:tc>
          <w:tcPr>
            <w:tcW w:w="964" w:type="dxa"/>
            <w:tcBorders>
              <w:top w:val="nil"/>
              <w:left w:val="nil"/>
              <w:bottom w:val="single" w:sz="6" w:space="0" w:color="000000"/>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(7 097.3)</w:t>
            </w:r>
          </w:p>
        </w:tc>
        <w:tc>
          <w:tcPr>
            <w:tcW w:w="964" w:type="dxa"/>
            <w:tcBorders>
              <w:top w:val="nil"/>
              <w:left w:val="nil"/>
              <w:bottom w:val="single" w:sz="6" w:space="0" w:color="000000"/>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EF64FD">
              <w:rPr>
                <w:rFonts w:ascii="Calibri" w:eastAsiaTheme="minorEastAsia" w:hAnsi="Calibri" w:cs="Calibri"/>
                <w:color w:val="000000"/>
                <w:sz w:val="19"/>
                <w:szCs w:val="19"/>
                <w:lang w:eastAsia="en-AU"/>
              </w:rPr>
              <w:t>(7 001.4)</w:t>
            </w:r>
          </w:p>
        </w:tc>
      </w:tr>
      <w:tr w:rsidR="00965D85" w:rsidRPr="00EF64FD" w:rsidTr="008B46DF">
        <w:tc>
          <w:tcPr>
            <w:tcW w:w="2946" w:type="dxa"/>
            <w:tcBorders>
              <w:top w:val="single" w:sz="6" w:space="0" w:color="000000"/>
              <w:left w:val="nil"/>
              <w:bottom w:val="single" w:sz="12" w:space="0" w:color="auto"/>
              <w:right w:val="nil"/>
            </w:tcBorders>
            <w:shd w:val="clear" w:color="auto" w:fill="FFFFFF"/>
          </w:tcPr>
          <w:p w:rsidR="00965D85" w:rsidRPr="00EF64FD" w:rsidRDefault="00965D85" w:rsidP="008B46DF">
            <w:pPr>
              <w:autoSpaceDE w:val="0"/>
              <w:autoSpaceDN w:val="0"/>
              <w:adjustRightInd w:val="0"/>
              <w:spacing w:after="0"/>
              <w:ind w:left="227" w:hanging="227"/>
              <w:rPr>
                <w:rFonts w:ascii="Calibri" w:eastAsiaTheme="minorEastAsia" w:hAnsi="Calibri" w:cs="Calibri"/>
                <w:b/>
                <w:bCs/>
                <w:color w:val="000000"/>
                <w:sz w:val="19"/>
                <w:szCs w:val="19"/>
                <w:lang w:eastAsia="en-AU"/>
              </w:rPr>
            </w:pPr>
            <w:r w:rsidRPr="00EF64FD">
              <w:rPr>
                <w:rFonts w:ascii="Calibri" w:eastAsiaTheme="minorEastAsia" w:hAnsi="Calibri" w:cs="Calibri"/>
                <w:b/>
                <w:bCs/>
                <w:color w:val="000000"/>
                <w:sz w:val="19"/>
                <w:szCs w:val="19"/>
                <w:lang w:eastAsia="en-AU"/>
              </w:rPr>
              <w:t>Cash surplus/(deficit)</w:t>
            </w:r>
          </w:p>
        </w:tc>
        <w:tc>
          <w:tcPr>
            <w:tcW w:w="965" w:type="dxa"/>
            <w:tcBorders>
              <w:top w:val="single" w:sz="6" w:space="0" w:color="000000"/>
              <w:left w:val="nil"/>
              <w:bottom w:val="single" w:sz="12" w:space="0" w:color="auto"/>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b/>
                <w:bCs/>
                <w:color w:val="000000"/>
                <w:sz w:val="19"/>
                <w:szCs w:val="19"/>
                <w:lang w:eastAsia="en-AU"/>
              </w:rPr>
            </w:pPr>
            <w:r w:rsidRPr="00EF64FD">
              <w:rPr>
                <w:rFonts w:ascii="Calibri" w:eastAsiaTheme="minorEastAsia" w:hAnsi="Calibri" w:cs="Calibri"/>
                <w:b/>
                <w:bCs/>
                <w:color w:val="000000"/>
                <w:sz w:val="19"/>
                <w:szCs w:val="19"/>
                <w:lang w:eastAsia="en-AU"/>
              </w:rPr>
              <w:t>5 381.0</w:t>
            </w:r>
          </w:p>
        </w:tc>
        <w:tc>
          <w:tcPr>
            <w:tcW w:w="964" w:type="dxa"/>
            <w:tcBorders>
              <w:top w:val="single" w:sz="6" w:space="0" w:color="000000"/>
              <w:left w:val="nil"/>
              <w:bottom w:val="single" w:sz="12" w:space="0" w:color="auto"/>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b/>
                <w:bCs/>
                <w:color w:val="000000"/>
                <w:sz w:val="19"/>
                <w:szCs w:val="19"/>
                <w:lang w:eastAsia="en-AU"/>
              </w:rPr>
            </w:pPr>
            <w:r w:rsidRPr="00EF64FD">
              <w:rPr>
                <w:rFonts w:ascii="Calibri" w:eastAsiaTheme="minorEastAsia" w:hAnsi="Calibri" w:cs="Calibri"/>
                <w:b/>
                <w:bCs/>
                <w:color w:val="000000"/>
                <w:sz w:val="19"/>
                <w:szCs w:val="19"/>
                <w:lang w:eastAsia="en-AU"/>
              </w:rPr>
              <w:t>5 873.7</w:t>
            </w:r>
          </w:p>
        </w:tc>
        <w:tc>
          <w:tcPr>
            <w:tcW w:w="964" w:type="dxa"/>
            <w:tcBorders>
              <w:top w:val="single" w:sz="6" w:space="0" w:color="000000"/>
              <w:left w:val="nil"/>
              <w:bottom w:val="single" w:sz="12" w:space="0" w:color="auto"/>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b/>
                <w:bCs/>
                <w:color w:val="000000"/>
                <w:sz w:val="19"/>
                <w:szCs w:val="19"/>
                <w:lang w:eastAsia="en-AU"/>
              </w:rPr>
            </w:pPr>
            <w:r w:rsidRPr="00EF64FD">
              <w:rPr>
                <w:rFonts w:ascii="Calibri" w:eastAsiaTheme="minorEastAsia" w:hAnsi="Calibri" w:cs="Calibri"/>
                <w:b/>
                <w:bCs/>
                <w:color w:val="000000"/>
                <w:sz w:val="19"/>
                <w:szCs w:val="19"/>
                <w:lang w:eastAsia="en-AU"/>
              </w:rPr>
              <w:t>(2 076.6)</w:t>
            </w:r>
          </w:p>
        </w:tc>
        <w:tc>
          <w:tcPr>
            <w:tcW w:w="964" w:type="dxa"/>
            <w:tcBorders>
              <w:top w:val="single" w:sz="6" w:space="0" w:color="000000"/>
              <w:left w:val="nil"/>
              <w:bottom w:val="single" w:sz="12" w:space="0" w:color="auto"/>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b/>
                <w:bCs/>
                <w:color w:val="000000"/>
                <w:sz w:val="19"/>
                <w:szCs w:val="19"/>
                <w:lang w:eastAsia="en-AU"/>
              </w:rPr>
            </w:pPr>
            <w:r w:rsidRPr="00EF64FD">
              <w:rPr>
                <w:rFonts w:ascii="Calibri" w:eastAsiaTheme="minorEastAsia" w:hAnsi="Calibri" w:cs="Calibri"/>
                <w:b/>
                <w:bCs/>
                <w:color w:val="000000"/>
                <w:sz w:val="19"/>
                <w:szCs w:val="19"/>
                <w:lang w:eastAsia="en-AU"/>
              </w:rPr>
              <w:t>(1 160.1)</w:t>
            </w:r>
          </w:p>
        </w:tc>
        <w:tc>
          <w:tcPr>
            <w:tcW w:w="964" w:type="dxa"/>
            <w:tcBorders>
              <w:top w:val="single" w:sz="6" w:space="0" w:color="000000"/>
              <w:left w:val="nil"/>
              <w:bottom w:val="single" w:sz="12" w:space="0" w:color="auto"/>
              <w:right w:val="nil"/>
            </w:tcBorders>
            <w:shd w:val="clear" w:color="auto" w:fill="FFFFFF"/>
          </w:tcPr>
          <w:p w:rsidR="00965D85" w:rsidRPr="00EF64FD" w:rsidRDefault="00965D85" w:rsidP="008B46DF">
            <w:pPr>
              <w:autoSpaceDE w:val="0"/>
              <w:autoSpaceDN w:val="0"/>
              <w:adjustRightInd w:val="0"/>
              <w:spacing w:after="0"/>
              <w:jc w:val="right"/>
              <w:rPr>
                <w:rFonts w:ascii="Calibri" w:eastAsiaTheme="minorEastAsia" w:hAnsi="Calibri" w:cs="Calibri"/>
                <w:b/>
                <w:bCs/>
                <w:color w:val="000000"/>
                <w:sz w:val="19"/>
                <w:szCs w:val="19"/>
                <w:lang w:eastAsia="en-AU"/>
              </w:rPr>
            </w:pPr>
            <w:r w:rsidRPr="00EF64FD">
              <w:rPr>
                <w:rFonts w:ascii="Calibri" w:eastAsiaTheme="minorEastAsia" w:hAnsi="Calibri" w:cs="Calibri"/>
                <w:b/>
                <w:bCs/>
                <w:color w:val="000000"/>
                <w:sz w:val="19"/>
                <w:szCs w:val="19"/>
                <w:lang w:eastAsia="en-AU"/>
              </w:rPr>
              <w:t>(1 093.8)</w:t>
            </w:r>
          </w:p>
        </w:tc>
      </w:tr>
      <w:tr w:rsidR="00965D85" w:rsidRPr="001E7FA9" w:rsidTr="008B46DF">
        <w:tc>
          <w:tcPr>
            <w:tcW w:w="7767" w:type="dxa"/>
            <w:gridSpan w:val="6"/>
            <w:tcBorders>
              <w:top w:val="single" w:sz="12" w:space="0" w:color="auto"/>
              <w:left w:val="nil"/>
              <w:bottom w:val="nil"/>
              <w:right w:val="nil"/>
            </w:tcBorders>
            <w:shd w:val="clear" w:color="auto" w:fill="auto"/>
          </w:tcPr>
          <w:p w:rsidR="00965D85" w:rsidRPr="001E7FA9" w:rsidRDefault="00965D85" w:rsidP="008B46DF">
            <w:pPr>
              <w:pStyle w:val="Source"/>
              <w:rPr>
                <w:rFonts w:eastAsiaTheme="minorEastAsia"/>
                <w:lang w:eastAsia="en-AU"/>
              </w:rPr>
            </w:pPr>
            <w:r w:rsidRPr="001E7FA9">
              <w:rPr>
                <w:rFonts w:eastAsiaTheme="minorEastAsia"/>
                <w:lang w:eastAsia="en-AU"/>
              </w:rPr>
              <w:t>Source: Department of Treasury and Finance</w:t>
            </w:r>
          </w:p>
        </w:tc>
      </w:tr>
    </w:tbl>
    <w:p w:rsidR="00965D85" w:rsidRPr="007C4D52" w:rsidRDefault="00965D85" w:rsidP="008B46DF">
      <w:pPr>
        <w:pStyle w:val="Notes"/>
        <w:rPr>
          <w:lang w:eastAsia="en-AU"/>
        </w:rPr>
      </w:pPr>
      <w:r w:rsidRPr="007C4D52">
        <w:rPr>
          <w:lang w:eastAsia="en-AU"/>
        </w:rPr>
        <w:t>Notes:</w:t>
      </w:r>
    </w:p>
    <w:p w:rsidR="00965D85" w:rsidRPr="007C4D52" w:rsidRDefault="00965D85" w:rsidP="008B46DF">
      <w:pPr>
        <w:pStyle w:val="Notes"/>
        <w:rPr>
          <w:lang w:eastAsia="en-AU"/>
        </w:rPr>
      </w:pPr>
      <w:r w:rsidRPr="007C4D52">
        <w:rPr>
          <w:lang w:eastAsia="en-AU"/>
        </w:rPr>
        <w:t>(a)</w:t>
      </w:r>
      <w:r w:rsidRPr="007C4D52">
        <w:rPr>
          <w:lang w:eastAsia="en-AU"/>
        </w:rPr>
        <w:tab/>
        <w:t>Certain line items have been a</w:t>
      </w:r>
      <w:r>
        <w:rPr>
          <w:lang w:eastAsia="en-AU"/>
        </w:rPr>
        <w:t xml:space="preserve">ggregated in the table above due to </w:t>
      </w:r>
      <w:r w:rsidRPr="007C4D52">
        <w:rPr>
          <w:lang w:eastAsia="en-AU"/>
        </w:rPr>
        <w:t>commercial sensitivities of balances.</w:t>
      </w:r>
    </w:p>
    <w:p w:rsidR="00965D85" w:rsidRPr="007C4D52" w:rsidRDefault="00965D85" w:rsidP="008B46DF">
      <w:pPr>
        <w:pStyle w:val="Notes"/>
        <w:rPr>
          <w:lang w:eastAsia="en-AU"/>
        </w:rPr>
      </w:pPr>
      <w:r w:rsidRPr="007C4D52">
        <w:rPr>
          <w:lang w:eastAsia="en-AU"/>
        </w:rPr>
        <w:t>(b)</w:t>
      </w:r>
      <w:r w:rsidRPr="007C4D52">
        <w:rPr>
          <w:lang w:eastAsia="en-AU"/>
        </w:rPr>
        <w:tab/>
        <w:t>Inclusive of goods and services tax.</w:t>
      </w:r>
    </w:p>
    <w:p w:rsidR="00965D85" w:rsidRPr="000E2577" w:rsidRDefault="00965D85" w:rsidP="008B46DF">
      <w:pPr>
        <w:pStyle w:val="Notes"/>
      </w:pPr>
      <w:r w:rsidRPr="000E2577">
        <w:t>(c)</w:t>
      </w:r>
      <w:r w:rsidRPr="000E2577">
        <w:tab/>
      </w:r>
      <w:r w:rsidRPr="006660F6">
        <w:rPr>
          <w:i w:val="0"/>
        </w:rPr>
        <w:t>2015</w:t>
      </w:r>
      <w:r>
        <w:rPr>
          <w:i w:val="0"/>
        </w:rPr>
        <w:noBreakHyphen/>
      </w:r>
      <w:r w:rsidRPr="006660F6">
        <w:rPr>
          <w:i w:val="0"/>
        </w:rPr>
        <w:t>16 Budget</w:t>
      </w:r>
      <w:r w:rsidRPr="000E2577">
        <w:t xml:space="preserve"> figures have been restated to represent actual opening balances at 1 July 2015.</w:t>
      </w:r>
    </w:p>
    <w:p w:rsidR="00965D85" w:rsidRDefault="00965D85" w:rsidP="008B46DF">
      <w:pPr>
        <w:rPr>
          <w:rFonts w:asciiTheme="minorHAnsi" w:hAnsiTheme="minorHAnsi" w:cs="Tms Rmn"/>
          <w:i/>
          <w:color w:val="000000"/>
          <w:sz w:val="15"/>
          <w:szCs w:val="15"/>
          <w:lang w:eastAsia="en-AU"/>
        </w:rPr>
      </w:pPr>
    </w:p>
    <w:p w:rsidR="00965D85" w:rsidRDefault="00965D85" w:rsidP="008B46DF">
      <w:pPr>
        <w:spacing w:after="0"/>
        <w:rPr>
          <w:lang w:eastAsia="en-AU"/>
        </w:rPr>
      </w:pPr>
      <w:r>
        <w:rPr>
          <w:lang w:eastAsia="en-AU"/>
        </w:rPr>
        <w:br w:type="page"/>
      </w:r>
    </w:p>
    <w:p w:rsidR="00965D85" w:rsidRPr="001E7FA9" w:rsidRDefault="00965D85" w:rsidP="008B46DF">
      <w:pPr>
        <w:pStyle w:val="Tableheading"/>
        <w:rPr>
          <w:rFonts w:ascii="Times New Roman" w:hAnsi="Times New Roman"/>
          <w:b w:val="0"/>
          <w:sz w:val="20"/>
          <w:lang w:eastAsia="en-AU"/>
        </w:rPr>
      </w:pPr>
      <w:r w:rsidRPr="005220E2">
        <w:rPr>
          <w:lang w:eastAsia="en-AU"/>
        </w:rPr>
        <w:lastRenderedPageBreak/>
        <w:t>Table 5.10:</w:t>
      </w:r>
      <w:r w:rsidRPr="005220E2">
        <w:rPr>
          <w:lang w:eastAsia="en-AU"/>
        </w:rPr>
        <w:tab/>
        <w:t>Non</w:t>
      </w:r>
      <w:r>
        <w:rPr>
          <w:lang w:eastAsia="en-AU"/>
        </w:rPr>
        <w:noBreakHyphen/>
      </w:r>
      <w:r w:rsidRPr="005220E2">
        <w:rPr>
          <w:lang w:eastAsia="en-AU"/>
        </w:rPr>
        <w:t>financial public sector statement of changes in equity</w:t>
      </w:r>
    </w:p>
    <w:tbl>
      <w:tblPr>
        <w:tblW w:w="7767" w:type="dxa"/>
        <w:tblInd w:w="28" w:type="dxa"/>
        <w:tblLayout w:type="fixed"/>
        <w:tblCellMar>
          <w:left w:w="28" w:type="dxa"/>
          <w:right w:w="28" w:type="dxa"/>
        </w:tblCellMar>
        <w:tblLook w:val="0000" w:firstRow="0" w:lastRow="0" w:firstColumn="0" w:lastColumn="0" w:noHBand="0" w:noVBand="0"/>
      </w:tblPr>
      <w:tblGrid>
        <w:gridCol w:w="4678"/>
        <w:gridCol w:w="1559"/>
        <w:gridCol w:w="1530"/>
      </w:tblGrid>
      <w:tr w:rsidR="00965D85" w:rsidRPr="001E7FA9" w:rsidTr="008B46DF">
        <w:trPr>
          <w:tblHeader/>
        </w:trPr>
        <w:tc>
          <w:tcPr>
            <w:tcW w:w="7767" w:type="dxa"/>
            <w:gridSpan w:val="3"/>
            <w:tcBorders>
              <w:top w:val="nil"/>
              <w:left w:val="nil"/>
              <w:bottom w:val="nil"/>
              <w:right w:val="nil"/>
            </w:tcBorders>
          </w:tcPr>
          <w:p w:rsidR="00965D85" w:rsidRPr="001E7FA9" w:rsidRDefault="00965D85" w:rsidP="008B46DF">
            <w:pPr>
              <w:pStyle w:val="million"/>
              <w:rPr>
                <w:rFonts w:eastAsiaTheme="minorEastAsia" w:cs="Calibri"/>
                <w:iCs/>
                <w:color w:val="000000"/>
                <w:sz w:val="20"/>
                <w:lang w:eastAsia="en-AU"/>
              </w:rPr>
            </w:pPr>
            <w:r w:rsidRPr="001E7FA9">
              <w:rPr>
                <w:rFonts w:eastAsiaTheme="minorEastAsia"/>
                <w:lang w:eastAsia="en-AU"/>
              </w:rPr>
              <w:t>($ million)</w:t>
            </w:r>
          </w:p>
        </w:tc>
      </w:tr>
      <w:tr w:rsidR="00965D85" w:rsidRPr="001E7FA9" w:rsidTr="008B46DF">
        <w:trPr>
          <w:tblHeader/>
        </w:trPr>
        <w:tc>
          <w:tcPr>
            <w:tcW w:w="4678" w:type="dxa"/>
            <w:tcBorders>
              <w:top w:val="single" w:sz="6" w:space="0" w:color="auto"/>
              <w:left w:val="single" w:sz="6" w:space="0" w:color="auto"/>
              <w:bottom w:val="single" w:sz="6" w:space="0" w:color="auto"/>
              <w:right w:val="nil"/>
            </w:tcBorders>
            <w:shd w:val="solid" w:color="000000" w:fill="auto"/>
          </w:tcPr>
          <w:p w:rsidR="00965D85" w:rsidRPr="001E7FA9" w:rsidRDefault="00965D85" w:rsidP="008B46DF">
            <w:pPr>
              <w:autoSpaceDE w:val="0"/>
              <w:autoSpaceDN w:val="0"/>
              <w:adjustRightInd w:val="0"/>
              <w:spacing w:after="0"/>
              <w:rPr>
                <w:rFonts w:ascii="Calibri" w:eastAsiaTheme="minorEastAsia" w:hAnsi="Calibri" w:cs="Calibri"/>
                <w:i/>
                <w:iCs/>
                <w:color w:val="FFFFFF"/>
                <w:sz w:val="20"/>
                <w:lang w:eastAsia="en-AU"/>
              </w:rPr>
            </w:pPr>
            <w:r w:rsidRPr="001E7FA9">
              <w:rPr>
                <w:rFonts w:ascii="Calibri" w:eastAsiaTheme="minorEastAsia" w:hAnsi="Calibri" w:cs="Calibri"/>
                <w:i/>
                <w:iCs/>
                <w:color w:val="FFFFFF"/>
                <w:sz w:val="20"/>
                <w:lang w:eastAsia="en-AU"/>
              </w:rPr>
              <w:t xml:space="preserve"> </w:t>
            </w:r>
          </w:p>
        </w:tc>
        <w:tc>
          <w:tcPr>
            <w:tcW w:w="1559" w:type="dxa"/>
            <w:tcBorders>
              <w:top w:val="single" w:sz="6" w:space="0" w:color="auto"/>
              <w:left w:val="nil"/>
              <w:bottom w:val="single" w:sz="6" w:space="0" w:color="auto"/>
              <w:right w:val="nil"/>
            </w:tcBorders>
            <w:shd w:val="solid" w:color="000000" w:fill="auto"/>
          </w:tcPr>
          <w:p w:rsidR="00965D85" w:rsidRPr="001E7FA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p>
          <w:p w:rsidR="00965D85" w:rsidRPr="001E7FA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1E7FA9">
              <w:rPr>
                <w:rFonts w:ascii="Calibri" w:eastAsiaTheme="minorEastAsia" w:hAnsi="Calibri" w:cs="Calibri"/>
                <w:i/>
                <w:iCs/>
                <w:color w:val="FFFFFF"/>
                <w:sz w:val="20"/>
                <w:lang w:eastAsia="en-AU"/>
              </w:rPr>
              <w:t>Accumulated surplus/(deficit)</w:t>
            </w:r>
          </w:p>
        </w:tc>
        <w:tc>
          <w:tcPr>
            <w:tcW w:w="1530" w:type="dxa"/>
            <w:tcBorders>
              <w:top w:val="single" w:sz="6" w:space="0" w:color="auto"/>
              <w:left w:val="nil"/>
              <w:bottom w:val="single" w:sz="6" w:space="0" w:color="auto"/>
              <w:right w:val="nil"/>
            </w:tcBorders>
            <w:shd w:val="solid" w:color="000000" w:fill="auto"/>
          </w:tcPr>
          <w:p w:rsidR="00965D85" w:rsidRPr="001E7FA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p>
          <w:p w:rsidR="00965D85" w:rsidRPr="001E7FA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1E7FA9">
              <w:rPr>
                <w:rFonts w:ascii="Calibri" w:eastAsiaTheme="minorEastAsia" w:hAnsi="Calibri" w:cs="Calibri"/>
                <w:i/>
                <w:iCs/>
                <w:color w:val="FFFFFF"/>
                <w:sz w:val="20"/>
                <w:lang w:eastAsia="en-AU"/>
              </w:rPr>
              <w:t>Non</w:t>
            </w:r>
            <w:r>
              <w:rPr>
                <w:rFonts w:ascii="Calibri" w:eastAsiaTheme="minorEastAsia" w:hAnsi="Calibri" w:cs="Calibri"/>
                <w:i/>
                <w:iCs/>
                <w:color w:val="FFFFFF"/>
                <w:sz w:val="20"/>
                <w:lang w:eastAsia="en-AU"/>
              </w:rPr>
              <w:noBreakHyphen/>
            </w:r>
            <w:r w:rsidRPr="001E7FA9">
              <w:rPr>
                <w:rFonts w:ascii="Calibri" w:eastAsiaTheme="minorEastAsia" w:hAnsi="Calibri" w:cs="Calibri"/>
                <w:i/>
                <w:iCs/>
                <w:color w:val="FFFFFF"/>
                <w:sz w:val="20"/>
                <w:lang w:eastAsia="en-AU"/>
              </w:rPr>
              <w:t>controlling interest</w:t>
            </w:r>
          </w:p>
        </w:tc>
      </w:tr>
      <w:tr w:rsidR="00965D85" w:rsidRPr="001E7FA9" w:rsidTr="008B46DF">
        <w:tc>
          <w:tcPr>
            <w:tcW w:w="4678" w:type="dxa"/>
            <w:tcBorders>
              <w:top w:val="single" w:sz="6" w:space="0" w:color="auto"/>
              <w:left w:val="nil"/>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b/>
                <w:bCs/>
                <w:color w:val="000000"/>
                <w:sz w:val="20"/>
                <w:vertAlign w:val="superscript"/>
                <w:lang w:eastAsia="en-AU"/>
              </w:rPr>
            </w:pPr>
            <w:r w:rsidRPr="001E7FA9">
              <w:rPr>
                <w:rFonts w:ascii="Calibri" w:eastAsiaTheme="minorEastAsia" w:hAnsi="Calibri" w:cs="Calibri"/>
                <w:b/>
                <w:bCs/>
                <w:color w:val="000000"/>
                <w:sz w:val="20"/>
                <w:lang w:eastAsia="en-AU"/>
              </w:rPr>
              <w:t>2015</w:t>
            </w:r>
            <w:r>
              <w:rPr>
                <w:rFonts w:ascii="Calibri" w:eastAsiaTheme="minorEastAsia" w:hAnsi="Calibri" w:cs="Calibri"/>
                <w:b/>
                <w:bCs/>
                <w:color w:val="000000"/>
                <w:sz w:val="20"/>
                <w:lang w:eastAsia="en-AU"/>
              </w:rPr>
              <w:noBreakHyphen/>
            </w:r>
            <w:r w:rsidRPr="001E7FA9">
              <w:rPr>
                <w:rFonts w:ascii="Calibri" w:eastAsiaTheme="minorEastAsia" w:hAnsi="Calibri" w:cs="Calibri"/>
                <w:b/>
                <w:bCs/>
                <w:color w:val="000000"/>
                <w:sz w:val="20"/>
                <w:lang w:eastAsia="en-AU"/>
              </w:rPr>
              <w:t>16 budget</w:t>
            </w:r>
            <w:r w:rsidRPr="001E7FA9">
              <w:rPr>
                <w:rFonts w:ascii="Calibri" w:eastAsiaTheme="minorEastAsia" w:hAnsi="Calibri" w:cs="Calibri"/>
                <w:b/>
                <w:bCs/>
                <w:color w:val="000000"/>
                <w:sz w:val="20"/>
                <w:vertAlign w:val="superscript"/>
                <w:lang w:eastAsia="en-AU"/>
              </w:rPr>
              <w:t>(a)</w:t>
            </w:r>
          </w:p>
        </w:tc>
        <w:tc>
          <w:tcPr>
            <w:tcW w:w="1559" w:type="dxa"/>
            <w:tcBorders>
              <w:top w:val="single" w:sz="6" w:space="0" w:color="auto"/>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FF"/>
                <w:sz w:val="20"/>
                <w:lang w:eastAsia="en-AU"/>
              </w:rPr>
            </w:pPr>
          </w:p>
        </w:tc>
        <w:tc>
          <w:tcPr>
            <w:tcW w:w="1530" w:type="dxa"/>
            <w:tcBorders>
              <w:top w:val="single" w:sz="6" w:space="0" w:color="auto"/>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FF"/>
                <w:sz w:val="20"/>
                <w:lang w:eastAsia="en-AU"/>
              </w:rPr>
            </w:pPr>
          </w:p>
        </w:tc>
      </w:tr>
      <w:tr w:rsidR="00965D85" w:rsidRPr="001E7FA9" w:rsidTr="008B46DF">
        <w:tc>
          <w:tcPr>
            <w:tcW w:w="4678" w:type="dxa"/>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Balance at 1 July 2015</w:t>
            </w:r>
          </w:p>
        </w:tc>
        <w:tc>
          <w:tcPr>
            <w:tcW w:w="1559"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62 838.7</w:t>
            </w:r>
          </w:p>
        </w:tc>
        <w:tc>
          <w:tcPr>
            <w:tcW w:w="1530"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50.0</w:t>
            </w:r>
          </w:p>
        </w:tc>
      </w:tr>
      <w:tr w:rsidR="00965D85" w:rsidRPr="001E7FA9" w:rsidTr="008B46DF">
        <w:tc>
          <w:tcPr>
            <w:tcW w:w="4678" w:type="dxa"/>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Net result</w:t>
            </w:r>
          </w:p>
        </w:tc>
        <w:tc>
          <w:tcPr>
            <w:tcW w:w="1559"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4 291.5</w:t>
            </w:r>
          </w:p>
        </w:tc>
        <w:tc>
          <w:tcPr>
            <w:tcW w:w="1530"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w:t>
            </w:r>
          </w:p>
        </w:tc>
      </w:tr>
      <w:tr w:rsidR="00965D85" w:rsidRPr="001E7FA9" w:rsidTr="008B46DF">
        <w:tc>
          <w:tcPr>
            <w:tcW w:w="4678" w:type="dxa"/>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Other comprehensive income for the year</w:t>
            </w:r>
          </w:p>
        </w:tc>
        <w:tc>
          <w:tcPr>
            <w:tcW w:w="1559"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1 400.1</w:t>
            </w:r>
          </w:p>
        </w:tc>
        <w:tc>
          <w:tcPr>
            <w:tcW w:w="1530"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w:t>
            </w:r>
          </w:p>
        </w:tc>
      </w:tr>
      <w:tr w:rsidR="00965D85" w:rsidRPr="001E7FA9" w:rsidTr="008B46DF">
        <w:tc>
          <w:tcPr>
            <w:tcW w:w="4678" w:type="dxa"/>
            <w:tcBorders>
              <w:top w:val="nil"/>
              <w:left w:val="nil"/>
              <w:bottom w:val="single" w:sz="6" w:space="0" w:color="auto"/>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Transactions with owners in their capacity as owners</w:t>
            </w:r>
          </w:p>
        </w:tc>
        <w:tc>
          <w:tcPr>
            <w:tcW w:w="1559" w:type="dxa"/>
            <w:tcBorders>
              <w:top w:val="nil"/>
              <w:left w:val="nil"/>
              <w:bottom w:val="single" w:sz="6" w:space="0" w:color="auto"/>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w:t>
            </w:r>
          </w:p>
        </w:tc>
        <w:tc>
          <w:tcPr>
            <w:tcW w:w="1530" w:type="dxa"/>
            <w:tcBorders>
              <w:top w:val="nil"/>
              <w:left w:val="nil"/>
              <w:bottom w:val="single" w:sz="6" w:space="0" w:color="auto"/>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w:t>
            </w:r>
          </w:p>
        </w:tc>
      </w:tr>
      <w:tr w:rsidR="00965D85" w:rsidRPr="001E7FA9" w:rsidTr="008B46DF">
        <w:tc>
          <w:tcPr>
            <w:tcW w:w="4678" w:type="dxa"/>
            <w:tcBorders>
              <w:top w:val="single" w:sz="6" w:space="0" w:color="auto"/>
              <w:left w:val="nil"/>
              <w:bottom w:val="single" w:sz="12" w:space="0" w:color="auto"/>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b/>
                <w:bCs/>
                <w:color w:val="000000"/>
                <w:sz w:val="20"/>
                <w:lang w:eastAsia="en-AU"/>
              </w:rPr>
            </w:pPr>
            <w:r w:rsidRPr="001E7FA9">
              <w:rPr>
                <w:rFonts w:ascii="Calibri" w:eastAsiaTheme="minorEastAsia" w:hAnsi="Calibri" w:cs="Calibri"/>
                <w:b/>
                <w:bCs/>
                <w:color w:val="000000"/>
                <w:sz w:val="20"/>
                <w:lang w:eastAsia="en-AU"/>
              </w:rPr>
              <w:t>Total equity at end of period</w:t>
            </w:r>
          </w:p>
        </w:tc>
        <w:tc>
          <w:tcPr>
            <w:tcW w:w="1559" w:type="dxa"/>
            <w:tcBorders>
              <w:top w:val="single" w:sz="6" w:space="0" w:color="auto"/>
              <w:left w:val="nil"/>
              <w:bottom w:val="single" w:sz="12" w:space="0" w:color="auto"/>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1E7FA9">
              <w:rPr>
                <w:rFonts w:ascii="Calibri" w:eastAsiaTheme="minorEastAsia" w:hAnsi="Calibri" w:cs="Calibri"/>
                <w:b/>
                <w:bCs/>
                <w:color w:val="000000"/>
                <w:sz w:val="20"/>
                <w:lang w:eastAsia="en-AU"/>
              </w:rPr>
              <w:t>68 530.3</w:t>
            </w:r>
          </w:p>
        </w:tc>
        <w:tc>
          <w:tcPr>
            <w:tcW w:w="1530" w:type="dxa"/>
            <w:tcBorders>
              <w:top w:val="single" w:sz="6" w:space="0" w:color="auto"/>
              <w:left w:val="nil"/>
              <w:bottom w:val="single" w:sz="12" w:space="0" w:color="auto"/>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20"/>
                <w:lang w:eastAsia="en-AU"/>
              </w:rPr>
              <w:t>50.0</w:t>
            </w:r>
          </w:p>
        </w:tc>
      </w:tr>
      <w:tr w:rsidR="00965D85" w:rsidRPr="001E7FA9" w:rsidTr="008B46DF">
        <w:tc>
          <w:tcPr>
            <w:tcW w:w="4678" w:type="dxa"/>
            <w:tcBorders>
              <w:top w:val="single" w:sz="12" w:space="0" w:color="auto"/>
              <w:left w:val="nil"/>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b/>
                <w:bCs/>
                <w:color w:val="000000"/>
                <w:sz w:val="20"/>
                <w:lang w:eastAsia="en-AU"/>
              </w:rPr>
            </w:pPr>
            <w:r w:rsidRPr="001E7FA9">
              <w:rPr>
                <w:rFonts w:ascii="Calibri" w:eastAsiaTheme="minorEastAsia" w:hAnsi="Calibri" w:cs="Calibri"/>
                <w:b/>
                <w:bCs/>
                <w:color w:val="000000"/>
                <w:sz w:val="20"/>
                <w:lang w:eastAsia="en-AU"/>
              </w:rPr>
              <w:t>2015</w:t>
            </w:r>
            <w:r>
              <w:rPr>
                <w:rFonts w:ascii="Calibri" w:eastAsiaTheme="minorEastAsia" w:hAnsi="Calibri" w:cs="Calibri"/>
                <w:b/>
                <w:bCs/>
                <w:color w:val="000000"/>
                <w:sz w:val="20"/>
                <w:lang w:eastAsia="en-AU"/>
              </w:rPr>
              <w:noBreakHyphen/>
            </w:r>
            <w:r w:rsidRPr="001E7FA9">
              <w:rPr>
                <w:rFonts w:ascii="Calibri" w:eastAsiaTheme="minorEastAsia" w:hAnsi="Calibri" w:cs="Calibri"/>
                <w:b/>
                <w:bCs/>
                <w:color w:val="000000"/>
                <w:sz w:val="20"/>
                <w:lang w:eastAsia="en-AU"/>
              </w:rPr>
              <w:t>16 revised</w:t>
            </w:r>
          </w:p>
        </w:tc>
        <w:tc>
          <w:tcPr>
            <w:tcW w:w="1559" w:type="dxa"/>
            <w:tcBorders>
              <w:top w:val="single" w:sz="12" w:space="0" w:color="auto"/>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FF"/>
                <w:sz w:val="20"/>
                <w:lang w:eastAsia="en-AU"/>
              </w:rPr>
            </w:pPr>
          </w:p>
        </w:tc>
        <w:tc>
          <w:tcPr>
            <w:tcW w:w="1530" w:type="dxa"/>
            <w:tcBorders>
              <w:top w:val="single" w:sz="12" w:space="0" w:color="auto"/>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FF"/>
                <w:sz w:val="20"/>
                <w:lang w:eastAsia="en-AU"/>
              </w:rPr>
            </w:pPr>
          </w:p>
        </w:tc>
      </w:tr>
      <w:tr w:rsidR="00965D85" w:rsidRPr="001E7FA9" w:rsidTr="008B46DF">
        <w:tc>
          <w:tcPr>
            <w:tcW w:w="4678" w:type="dxa"/>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Balance at 1 July 2015</w:t>
            </w:r>
          </w:p>
        </w:tc>
        <w:tc>
          <w:tcPr>
            <w:tcW w:w="1559"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62 838.6</w:t>
            </w:r>
          </w:p>
        </w:tc>
        <w:tc>
          <w:tcPr>
            <w:tcW w:w="1530"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50.0</w:t>
            </w:r>
          </w:p>
        </w:tc>
      </w:tr>
      <w:tr w:rsidR="00965D85" w:rsidRPr="001E7FA9" w:rsidTr="008B46DF">
        <w:tc>
          <w:tcPr>
            <w:tcW w:w="4678" w:type="dxa"/>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Net result</w:t>
            </w:r>
          </w:p>
        </w:tc>
        <w:tc>
          <w:tcPr>
            <w:tcW w:w="1559"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4 149.6</w:t>
            </w:r>
          </w:p>
        </w:tc>
        <w:tc>
          <w:tcPr>
            <w:tcW w:w="1530"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w:t>
            </w:r>
          </w:p>
        </w:tc>
      </w:tr>
      <w:tr w:rsidR="00965D85" w:rsidRPr="001E7FA9" w:rsidTr="008B46DF">
        <w:tc>
          <w:tcPr>
            <w:tcW w:w="4678" w:type="dxa"/>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Other comprehensive income for the year</w:t>
            </w:r>
          </w:p>
        </w:tc>
        <w:tc>
          <w:tcPr>
            <w:tcW w:w="1559"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(1 797.1)</w:t>
            </w:r>
          </w:p>
        </w:tc>
        <w:tc>
          <w:tcPr>
            <w:tcW w:w="1530"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w:t>
            </w:r>
          </w:p>
        </w:tc>
      </w:tr>
      <w:tr w:rsidR="00965D85" w:rsidRPr="001E7FA9" w:rsidTr="008B46DF">
        <w:tc>
          <w:tcPr>
            <w:tcW w:w="4678" w:type="dxa"/>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Transfer to accumulated surplus</w:t>
            </w:r>
          </w:p>
        </w:tc>
        <w:tc>
          <w:tcPr>
            <w:tcW w:w="1559"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1 158.3</w:t>
            </w:r>
          </w:p>
        </w:tc>
        <w:tc>
          <w:tcPr>
            <w:tcW w:w="1530"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w:t>
            </w:r>
          </w:p>
        </w:tc>
      </w:tr>
      <w:tr w:rsidR="00965D85" w:rsidRPr="001E7FA9" w:rsidTr="008B46DF">
        <w:tc>
          <w:tcPr>
            <w:tcW w:w="4678" w:type="dxa"/>
            <w:tcBorders>
              <w:top w:val="nil"/>
              <w:left w:val="nil"/>
              <w:bottom w:val="single" w:sz="6" w:space="0" w:color="auto"/>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Transactions with owners in their capacity as owners</w:t>
            </w:r>
          </w:p>
        </w:tc>
        <w:tc>
          <w:tcPr>
            <w:tcW w:w="1559" w:type="dxa"/>
            <w:tcBorders>
              <w:top w:val="nil"/>
              <w:left w:val="nil"/>
              <w:bottom w:val="single" w:sz="6" w:space="0" w:color="auto"/>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w:t>
            </w:r>
          </w:p>
        </w:tc>
        <w:tc>
          <w:tcPr>
            <w:tcW w:w="1530" w:type="dxa"/>
            <w:tcBorders>
              <w:top w:val="nil"/>
              <w:left w:val="nil"/>
              <w:bottom w:val="single" w:sz="6" w:space="0" w:color="auto"/>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w:t>
            </w:r>
          </w:p>
        </w:tc>
      </w:tr>
      <w:tr w:rsidR="00965D85" w:rsidRPr="001E7FA9" w:rsidTr="008B46DF">
        <w:tc>
          <w:tcPr>
            <w:tcW w:w="4678" w:type="dxa"/>
            <w:tcBorders>
              <w:top w:val="single" w:sz="6" w:space="0" w:color="auto"/>
              <w:left w:val="nil"/>
              <w:bottom w:val="single" w:sz="12" w:space="0" w:color="auto"/>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b/>
                <w:bCs/>
                <w:color w:val="000000"/>
                <w:sz w:val="20"/>
                <w:lang w:eastAsia="en-AU"/>
              </w:rPr>
            </w:pPr>
            <w:r w:rsidRPr="001E7FA9">
              <w:rPr>
                <w:rFonts w:ascii="Calibri" w:eastAsiaTheme="minorEastAsia" w:hAnsi="Calibri" w:cs="Calibri"/>
                <w:b/>
                <w:bCs/>
                <w:color w:val="000000"/>
                <w:sz w:val="20"/>
                <w:lang w:eastAsia="en-AU"/>
              </w:rPr>
              <w:t>Total equity at end of period</w:t>
            </w:r>
          </w:p>
        </w:tc>
        <w:tc>
          <w:tcPr>
            <w:tcW w:w="1559" w:type="dxa"/>
            <w:tcBorders>
              <w:top w:val="single" w:sz="6" w:space="0" w:color="auto"/>
              <w:left w:val="nil"/>
              <w:bottom w:val="single" w:sz="12" w:space="0" w:color="auto"/>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1E7FA9">
              <w:rPr>
                <w:rFonts w:ascii="Calibri" w:eastAsiaTheme="minorEastAsia" w:hAnsi="Calibri" w:cs="Calibri"/>
                <w:b/>
                <w:bCs/>
                <w:color w:val="000000"/>
                <w:sz w:val="20"/>
                <w:lang w:eastAsia="en-AU"/>
              </w:rPr>
              <w:t>66 349.4</w:t>
            </w:r>
          </w:p>
        </w:tc>
        <w:tc>
          <w:tcPr>
            <w:tcW w:w="1530" w:type="dxa"/>
            <w:tcBorders>
              <w:top w:val="single" w:sz="6" w:space="0" w:color="auto"/>
              <w:left w:val="nil"/>
              <w:bottom w:val="single" w:sz="12" w:space="0" w:color="auto"/>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20"/>
                <w:lang w:eastAsia="en-AU"/>
              </w:rPr>
              <w:t>50.0</w:t>
            </w:r>
          </w:p>
        </w:tc>
      </w:tr>
      <w:tr w:rsidR="00965D85" w:rsidRPr="001E7FA9" w:rsidTr="008B46DF">
        <w:tc>
          <w:tcPr>
            <w:tcW w:w="4678" w:type="dxa"/>
            <w:tcBorders>
              <w:top w:val="single" w:sz="12" w:space="0" w:color="auto"/>
              <w:left w:val="nil"/>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b/>
                <w:bCs/>
                <w:color w:val="000000"/>
                <w:sz w:val="20"/>
                <w:lang w:eastAsia="en-AU"/>
              </w:rPr>
            </w:pPr>
            <w:r w:rsidRPr="001E7FA9">
              <w:rPr>
                <w:rFonts w:ascii="Calibri" w:eastAsiaTheme="minorEastAsia" w:hAnsi="Calibri" w:cs="Calibri"/>
                <w:b/>
                <w:bCs/>
                <w:color w:val="000000"/>
                <w:sz w:val="20"/>
                <w:lang w:eastAsia="en-AU"/>
              </w:rPr>
              <w:t>2016</w:t>
            </w:r>
            <w:r>
              <w:rPr>
                <w:rFonts w:ascii="Calibri" w:eastAsiaTheme="minorEastAsia" w:hAnsi="Calibri" w:cs="Calibri"/>
                <w:b/>
                <w:bCs/>
                <w:color w:val="000000"/>
                <w:sz w:val="20"/>
                <w:lang w:eastAsia="en-AU"/>
              </w:rPr>
              <w:noBreakHyphen/>
            </w:r>
            <w:r w:rsidRPr="001E7FA9">
              <w:rPr>
                <w:rFonts w:ascii="Calibri" w:eastAsiaTheme="minorEastAsia" w:hAnsi="Calibri" w:cs="Calibri"/>
                <w:b/>
                <w:bCs/>
                <w:color w:val="000000"/>
                <w:sz w:val="20"/>
                <w:lang w:eastAsia="en-AU"/>
              </w:rPr>
              <w:t>17 estimate</w:t>
            </w:r>
          </w:p>
        </w:tc>
        <w:tc>
          <w:tcPr>
            <w:tcW w:w="1559" w:type="dxa"/>
            <w:tcBorders>
              <w:top w:val="single" w:sz="12" w:space="0" w:color="auto"/>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FF"/>
                <w:sz w:val="20"/>
                <w:lang w:eastAsia="en-AU"/>
              </w:rPr>
            </w:pPr>
          </w:p>
        </w:tc>
        <w:tc>
          <w:tcPr>
            <w:tcW w:w="1530" w:type="dxa"/>
            <w:tcBorders>
              <w:top w:val="single" w:sz="12" w:space="0" w:color="auto"/>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FF"/>
                <w:sz w:val="20"/>
                <w:lang w:eastAsia="en-AU"/>
              </w:rPr>
            </w:pPr>
          </w:p>
        </w:tc>
      </w:tr>
      <w:tr w:rsidR="00965D85" w:rsidRPr="001E7FA9" w:rsidTr="008B46DF">
        <w:tc>
          <w:tcPr>
            <w:tcW w:w="4678" w:type="dxa"/>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Balance at 1 July 2016</w:t>
            </w:r>
          </w:p>
        </w:tc>
        <w:tc>
          <w:tcPr>
            <w:tcW w:w="1559"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66 349.4</w:t>
            </w:r>
          </w:p>
        </w:tc>
        <w:tc>
          <w:tcPr>
            <w:tcW w:w="1530"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50.0</w:t>
            </w:r>
          </w:p>
        </w:tc>
      </w:tr>
      <w:tr w:rsidR="00965D85" w:rsidRPr="001E7FA9" w:rsidTr="008B46DF">
        <w:tc>
          <w:tcPr>
            <w:tcW w:w="4678" w:type="dxa"/>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Net result</w:t>
            </w:r>
          </w:p>
        </w:tc>
        <w:tc>
          <w:tcPr>
            <w:tcW w:w="1559"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681.1</w:t>
            </w:r>
          </w:p>
        </w:tc>
        <w:tc>
          <w:tcPr>
            <w:tcW w:w="1530"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w:t>
            </w:r>
          </w:p>
        </w:tc>
      </w:tr>
      <w:tr w:rsidR="00965D85" w:rsidRPr="001E7FA9" w:rsidTr="008B46DF">
        <w:tc>
          <w:tcPr>
            <w:tcW w:w="4678" w:type="dxa"/>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Other comprehensive income for the year</w:t>
            </w:r>
          </w:p>
        </w:tc>
        <w:tc>
          <w:tcPr>
            <w:tcW w:w="1559"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946.3</w:t>
            </w:r>
          </w:p>
        </w:tc>
        <w:tc>
          <w:tcPr>
            <w:tcW w:w="1530"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w:t>
            </w:r>
          </w:p>
        </w:tc>
      </w:tr>
      <w:tr w:rsidR="00965D85" w:rsidRPr="001E7FA9" w:rsidTr="008B46DF">
        <w:tc>
          <w:tcPr>
            <w:tcW w:w="4678" w:type="dxa"/>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Transfer to accumulated surplus</w:t>
            </w:r>
          </w:p>
        </w:tc>
        <w:tc>
          <w:tcPr>
            <w:tcW w:w="1559"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w:t>
            </w:r>
          </w:p>
        </w:tc>
        <w:tc>
          <w:tcPr>
            <w:tcW w:w="1530"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w:t>
            </w:r>
          </w:p>
        </w:tc>
      </w:tr>
      <w:tr w:rsidR="00965D85" w:rsidRPr="001E7FA9" w:rsidTr="008B46DF">
        <w:tc>
          <w:tcPr>
            <w:tcW w:w="4678" w:type="dxa"/>
            <w:tcBorders>
              <w:top w:val="nil"/>
              <w:left w:val="nil"/>
              <w:bottom w:val="single" w:sz="6" w:space="0" w:color="auto"/>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Transactions with owners in their capacity as owners</w:t>
            </w:r>
          </w:p>
        </w:tc>
        <w:tc>
          <w:tcPr>
            <w:tcW w:w="1559" w:type="dxa"/>
            <w:tcBorders>
              <w:top w:val="nil"/>
              <w:left w:val="nil"/>
              <w:bottom w:val="single" w:sz="6" w:space="0" w:color="auto"/>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w:t>
            </w:r>
          </w:p>
        </w:tc>
        <w:tc>
          <w:tcPr>
            <w:tcW w:w="1530" w:type="dxa"/>
            <w:tcBorders>
              <w:top w:val="nil"/>
              <w:left w:val="nil"/>
              <w:bottom w:val="single" w:sz="6" w:space="0" w:color="auto"/>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w:t>
            </w:r>
          </w:p>
        </w:tc>
      </w:tr>
      <w:tr w:rsidR="00965D85" w:rsidRPr="001E7FA9" w:rsidTr="008B46DF">
        <w:tc>
          <w:tcPr>
            <w:tcW w:w="4678" w:type="dxa"/>
            <w:tcBorders>
              <w:top w:val="single" w:sz="6" w:space="0" w:color="auto"/>
              <w:left w:val="nil"/>
              <w:bottom w:val="single" w:sz="12" w:space="0" w:color="auto"/>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b/>
                <w:bCs/>
                <w:color w:val="000000"/>
                <w:sz w:val="20"/>
                <w:lang w:eastAsia="en-AU"/>
              </w:rPr>
            </w:pPr>
            <w:r w:rsidRPr="001E7FA9">
              <w:rPr>
                <w:rFonts w:ascii="Calibri" w:eastAsiaTheme="minorEastAsia" w:hAnsi="Calibri" w:cs="Calibri"/>
                <w:b/>
                <w:bCs/>
                <w:color w:val="000000"/>
                <w:sz w:val="20"/>
                <w:lang w:eastAsia="en-AU"/>
              </w:rPr>
              <w:t>Total equity at end of period</w:t>
            </w:r>
          </w:p>
        </w:tc>
        <w:tc>
          <w:tcPr>
            <w:tcW w:w="1559" w:type="dxa"/>
            <w:tcBorders>
              <w:top w:val="single" w:sz="6" w:space="0" w:color="auto"/>
              <w:left w:val="nil"/>
              <w:bottom w:val="single" w:sz="12" w:space="0" w:color="auto"/>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1E7FA9">
              <w:rPr>
                <w:rFonts w:ascii="Calibri" w:eastAsiaTheme="minorEastAsia" w:hAnsi="Calibri" w:cs="Calibri"/>
                <w:b/>
                <w:bCs/>
                <w:color w:val="000000"/>
                <w:sz w:val="20"/>
                <w:lang w:eastAsia="en-AU"/>
              </w:rPr>
              <w:t>67 976.7</w:t>
            </w:r>
          </w:p>
        </w:tc>
        <w:tc>
          <w:tcPr>
            <w:tcW w:w="1530" w:type="dxa"/>
            <w:tcBorders>
              <w:top w:val="single" w:sz="6" w:space="0" w:color="auto"/>
              <w:left w:val="nil"/>
              <w:bottom w:val="single" w:sz="12" w:space="0" w:color="auto"/>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20"/>
                <w:lang w:eastAsia="en-AU"/>
              </w:rPr>
              <w:t>50.0</w:t>
            </w:r>
          </w:p>
        </w:tc>
      </w:tr>
      <w:tr w:rsidR="00965D85" w:rsidRPr="001E7FA9" w:rsidTr="008B46DF">
        <w:tc>
          <w:tcPr>
            <w:tcW w:w="4678" w:type="dxa"/>
            <w:tcBorders>
              <w:top w:val="single" w:sz="12" w:space="0" w:color="auto"/>
              <w:left w:val="nil"/>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b/>
                <w:bCs/>
                <w:color w:val="000000"/>
                <w:sz w:val="20"/>
                <w:lang w:eastAsia="en-AU"/>
              </w:rPr>
            </w:pPr>
            <w:r w:rsidRPr="001E7FA9">
              <w:rPr>
                <w:rFonts w:ascii="Calibri" w:eastAsiaTheme="minorEastAsia" w:hAnsi="Calibri" w:cs="Calibri"/>
                <w:b/>
                <w:bCs/>
                <w:color w:val="000000"/>
                <w:sz w:val="20"/>
                <w:lang w:eastAsia="en-AU"/>
              </w:rPr>
              <w:t>2017</w:t>
            </w:r>
            <w:r>
              <w:rPr>
                <w:rFonts w:ascii="Calibri" w:eastAsiaTheme="minorEastAsia" w:hAnsi="Calibri" w:cs="Calibri"/>
                <w:b/>
                <w:bCs/>
                <w:color w:val="000000"/>
                <w:sz w:val="20"/>
                <w:lang w:eastAsia="en-AU"/>
              </w:rPr>
              <w:noBreakHyphen/>
            </w:r>
            <w:r w:rsidRPr="001E7FA9">
              <w:rPr>
                <w:rFonts w:ascii="Calibri" w:eastAsiaTheme="minorEastAsia" w:hAnsi="Calibri" w:cs="Calibri"/>
                <w:b/>
                <w:bCs/>
                <w:color w:val="000000"/>
                <w:sz w:val="20"/>
                <w:lang w:eastAsia="en-AU"/>
              </w:rPr>
              <w:t>18 estimate</w:t>
            </w:r>
          </w:p>
        </w:tc>
        <w:tc>
          <w:tcPr>
            <w:tcW w:w="1559" w:type="dxa"/>
            <w:tcBorders>
              <w:top w:val="single" w:sz="12" w:space="0" w:color="auto"/>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FF"/>
                <w:sz w:val="20"/>
                <w:lang w:eastAsia="en-AU"/>
              </w:rPr>
            </w:pPr>
          </w:p>
        </w:tc>
        <w:tc>
          <w:tcPr>
            <w:tcW w:w="1530" w:type="dxa"/>
            <w:tcBorders>
              <w:top w:val="single" w:sz="12" w:space="0" w:color="auto"/>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FF"/>
                <w:sz w:val="20"/>
                <w:lang w:eastAsia="en-AU"/>
              </w:rPr>
            </w:pPr>
          </w:p>
        </w:tc>
      </w:tr>
      <w:tr w:rsidR="00965D85" w:rsidRPr="001E7FA9" w:rsidTr="008B46DF">
        <w:tc>
          <w:tcPr>
            <w:tcW w:w="4678" w:type="dxa"/>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Balance at 1 July 2017</w:t>
            </w:r>
          </w:p>
        </w:tc>
        <w:tc>
          <w:tcPr>
            <w:tcW w:w="1559"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67 976.7</w:t>
            </w:r>
          </w:p>
        </w:tc>
        <w:tc>
          <w:tcPr>
            <w:tcW w:w="1530"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50.0</w:t>
            </w:r>
          </w:p>
        </w:tc>
      </w:tr>
      <w:tr w:rsidR="00965D85" w:rsidRPr="001E7FA9" w:rsidTr="008B46DF">
        <w:tc>
          <w:tcPr>
            <w:tcW w:w="4678" w:type="dxa"/>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Net result</w:t>
            </w:r>
          </w:p>
        </w:tc>
        <w:tc>
          <w:tcPr>
            <w:tcW w:w="1559"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1 091.7</w:t>
            </w:r>
          </w:p>
        </w:tc>
        <w:tc>
          <w:tcPr>
            <w:tcW w:w="1530"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w:t>
            </w:r>
          </w:p>
        </w:tc>
      </w:tr>
      <w:tr w:rsidR="00965D85" w:rsidRPr="001E7FA9" w:rsidTr="008B46DF">
        <w:tc>
          <w:tcPr>
            <w:tcW w:w="4678" w:type="dxa"/>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Other comprehensive income for the year</w:t>
            </w:r>
          </w:p>
        </w:tc>
        <w:tc>
          <w:tcPr>
            <w:tcW w:w="1559"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788.4</w:t>
            </w:r>
          </w:p>
        </w:tc>
        <w:tc>
          <w:tcPr>
            <w:tcW w:w="1530"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w:t>
            </w:r>
          </w:p>
        </w:tc>
      </w:tr>
      <w:tr w:rsidR="00965D85" w:rsidRPr="001E7FA9" w:rsidTr="008B46DF">
        <w:tc>
          <w:tcPr>
            <w:tcW w:w="4678" w:type="dxa"/>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Transfer to accumulated surplus</w:t>
            </w:r>
          </w:p>
        </w:tc>
        <w:tc>
          <w:tcPr>
            <w:tcW w:w="1559"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(89.5)</w:t>
            </w:r>
          </w:p>
        </w:tc>
        <w:tc>
          <w:tcPr>
            <w:tcW w:w="1530"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w:t>
            </w:r>
          </w:p>
        </w:tc>
      </w:tr>
      <w:tr w:rsidR="00965D85" w:rsidRPr="001E7FA9" w:rsidTr="008B46DF">
        <w:tc>
          <w:tcPr>
            <w:tcW w:w="4678" w:type="dxa"/>
            <w:tcBorders>
              <w:top w:val="nil"/>
              <w:left w:val="nil"/>
              <w:bottom w:val="single" w:sz="6" w:space="0" w:color="auto"/>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Transactions with owners in their capacity as owners</w:t>
            </w:r>
          </w:p>
        </w:tc>
        <w:tc>
          <w:tcPr>
            <w:tcW w:w="1559" w:type="dxa"/>
            <w:tcBorders>
              <w:top w:val="nil"/>
              <w:left w:val="nil"/>
              <w:bottom w:val="single" w:sz="6" w:space="0" w:color="auto"/>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w:t>
            </w:r>
          </w:p>
        </w:tc>
        <w:tc>
          <w:tcPr>
            <w:tcW w:w="1530" w:type="dxa"/>
            <w:tcBorders>
              <w:top w:val="nil"/>
              <w:left w:val="nil"/>
              <w:bottom w:val="single" w:sz="6" w:space="0" w:color="auto"/>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w:t>
            </w:r>
          </w:p>
        </w:tc>
      </w:tr>
      <w:tr w:rsidR="00965D85" w:rsidRPr="001E7FA9" w:rsidTr="008B46DF">
        <w:tc>
          <w:tcPr>
            <w:tcW w:w="4678" w:type="dxa"/>
            <w:tcBorders>
              <w:top w:val="single" w:sz="6" w:space="0" w:color="auto"/>
              <w:left w:val="nil"/>
              <w:bottom w:val="single" w:sz="12" w:space="0" w:color="auto"/>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b/>
                <w:bCs/>
                <w:color w:val="000000"/>
                <w:sz w:val="20"/>
                <w:lang w:eastAsia="en-AU"/>
              </w:rPr>
            </w:pPr>
            <w:r w:rsidRPr="001E7FA9">
              <w:rPr>
                <w:rFonts w:ascii="Calibri" w:eastAsiaTheme="minorEastAsia" w:hAnsi="Calibri" w:cs="Calibri"/>
                <w:b/>
                <w:bCs/>
                <w:color w:val="000000"/>
                <w:sz w:val="20"/>
                <w:lang w:eastAsia="en-AU"/>
              </w:rPr>
              <w:t>Total equity at end of period</w:t>
            </w:r>
          </w:p>
        </w:tc>
        <w:tc>
          <w:tcPr>
            <w:tcW w:w="1559" w:type="dxa"/>
            <w:tcBorders>
              <w:top w:val="single" w:sz="6" w:space="0" w:color="auto"/>
              <w:left w:val="nil"/>
              <w:bottom w:val="single" w:sz="12" w:space="0" w:color="auto"/>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1E7FA9">
              <w:rPr>
                <w:rFonts w:ascii="Calibri" w:eastAsiaTheme="minorEastAsia" w:hAnsi="Calibri" w:cs="Calibri"/>
                <w:b/>
                <w:bCs/>
                <w:color w:val="000000"/>
                <w:sz w:val="20"/>
                <w:lang w:eastAsia="en-AU"/>
              </w:rPr>
              <w:t>69 767.3</w:t>
            </w:r>
          </w:p>
        </w:tc>
        <w:tc>
          <w:tcPr>
            <w:tcW w:w="1530" w:type="dxa"/>
            <w:tcBorders>
              <w:top w:val="single" w:sz="6" w:space="0" w:color="auto"/>
              <w:left w:val="nil"/>
              <w:bottom w:val="single" w:sz="12" w:space="0" w:color="auto"/>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20"/>
                <w:lang w:eastAsia="en-AU"/>
              </w:rPr>
              <w:t>50.0</w:t>
            </w:r>
          </w:p>
        </w:tc>
      </w:tr>
      <w:tr w:rsidR="00965D85" w:rsidRPr="001E7FA9" w:rsidTr="008B46DF">
        <w:tc>
          <w:tcPr>
            <w:tcW w:w="4678" w:type="dxa"/>
            <w:tcBorders>
              <w:top w:val="single" w:sz="12" w:space="0" w:color="auto"/>
              <w:left w:val="nil"/>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b/>
                <w:bCs/>
                <w:color w:val="000000"/>
                <w:sz w:val="20"/>
                <w:lang w:eastAsia="en-AU"/>
              </w:rPr>
            </w:pPr>
            <w:r w:rsidRPr="001E7FA9">
              <w:rPr>
                <w:rFonts w:ascii="Calibri" w:eastAsiaTheme="minorEastAsia" w:hAnsi="Calibri" w:cs="Calibri"/>
                <w:b/>
                <w:bCs/>
                <w:color w:val="000000"/>
                <w:sz w:val="20"/>
                <w:lang w:eastAsia="en-AU"/>
              </w:rPr>
              <w:t>2018</w:t>
            </w:r>
            <w:r>
              <w:rPr>
                <w:rFonts w:ascii="Calibri" w:eastAsiaTheme="minorEastAsia" w:hAnsi="Calibri" w:cs="Calibri"/>
                <w:b/>
                <w:bCs/>
                <w:color w:val="000000"/>
                <w:sz w:val="20"/>
                <w:lang w:eastAsia="en-AU"/>
              </w:rPr>
              <w:noBreakHyphen/>
            </w:r>
            <w:r w:rsidRPr="001E7FA9">
              <w:rPr>
                <w:rFonts w:ascii="Calibri" w:eastAsiaTheme="minorEastAsia" w:hAnsi="Calibri" w:cs="Calibri"/>
                <w:b/>
                <w:bCs/>
                <w:color w:val="000000"/>
                <w:sz w:val="20"/>
                <w:lang w:eastAsia="en-AU"/>
              </w:rPr>
              <w:t>19 estimate</w:t>
            </w:r>
          </w:p>
        </w:tc>
        <w:tc>
          <w:tcPr>
            <w:tcW w:w="1559" w:type="dxa"/>
            <w:tcBorders>
              <w:top w:val="single" w:sz="12" w:space="0" w:color="auto"/>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FF"/>
                <w:sz w:val="20"/>
                <w:lang w:eastAsia="en-AU"/>
              </w:rPr>
            </w:pPr>
          </w:p>
        </w:tc>
        <w:tc>
          <w:tcPr>
            <w:tcW w:w="1530" w:type="dxa"/>
            <w:tcBorders>
              <w:top w:val="single" w:sz="12" w:space="0" w:color="auto"/>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FF"/>
                <w:sz w:val="20"/>
                <w:lang w:eastAsia="en-AU"/>
              </w:rPr>
            </w:pPr>
          </w:p>
        </w:tc>
      </w:tr>
      <w:tr w:rsidR="00965D85" w:rsidRPr="001E7FA9" w:rsidTr="008B46DF">
        <w:tc>
          <w:tcPr>
            <w:tcW w:w="4678" w:type="dxa"/>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Balance at 1 July 2018</w:t>
            </w:r>
          </w:p>
        </w:tc>
        <w:tc>
          <w:tcPr>
            <w:tcW w:w="1559"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69 767.3</w:t>
            </w:r>
          </w:p>
        </w:tc>
        <w:tc>
          <w:tcPr>
            <w:tcW w:w="1530"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50.0</w:t>
            </w:r>
          </w:p>
        </w:tc>
      </w:tr>
      <w:tr w:rsidR="00965D85" w:rsidRPr="001E7FA9" w:rsidTr="008B46DF">
        <w:tc>
          <w:tcPr>
            <w:tcW w:w="4678" w:type="dxa"/>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Net result</w:t>
            </w:r>
          </w:p>
        </w:tc>
        <w:tc>
          <w:tcPr>
            <w:tcW w:w="1559"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825.8</w:t>
            </w:r>
          </w:p>
        </w:tc>
        <w:tc>
          <w:tcPr>
            <w:tcW w:w="1530"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w:t>
            </w:r>
          </w:p>
        </w:tc>
      </w:tr>
      <w:tr w:rsidR="00965D85" w:rsidRPr="001E7FA9" w:rsidTr="008B46DF">
        <w:tc>
          <w:tcPr>
            <w:tcW w:w="4678" w:type="dxa"/>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Other comprehensive income for the year</w:t>
            </w:r>
          </w:p>
        </w:tc>
        <w:tc>
          <w:tcPr>
            <w:tcW w:w="1559"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798.1</w:t>
            </w:r>
          </w:p>
        </w:tc>
        <w:tc>
          <w:tcPr>
            <w:tcW w:w="1530"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w:t>
            </w:r>
          </w:p>
        </w:tc>
      </w:tr>
      <w:tr w:rsidR="00965D85" w:rsidRPr="001E7FA9" w:rsidTr="008B46DF">
        <w:tc>
          <w:tcPr>
            <w:tcW w:w="4678" w:type="dxa"/>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Transfer to accumulated surplus</w:t>
            </w:r>
          </w:p>
        </w:tc>
        <w:tc>
          <w:tcPr>
            <w:tcW w:w="1559"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(98.9)</w:t>
            </w:r>
          </w:p>
        </w:tc>
        <w:tc>
          <w:tcPr>
            <w:tcW w:w="1530"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w:t>
            </w:r>
          </w:p>
        </w:tc>
      </w:tr>
      <w:tr w:rsidR="00965D85" w:rsidRPr="001E7FA9" w:rsidTr="008B46DF">
        <w:tc>
          <w:tcPr>
            <w:tcW w:w="4678" w:type="dxa"/>
            <w:tcBorders>
              <w:top w:val="nil"/>
              <w:left w:val="nil"/>
              <w:bottom w:val="single" w:sz="6" w:space="0" w:color="auto"/>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Transactions with owners in their capacity as owners</w:t>
            </w:r>
          </w:p>
        </w:tc>
        <w:tc>
          <w:tcPr>
            <w:tcW w:w="1559" w:type="dxa"/>
            <w:tcBorders>
              <w:top w:val="nil"/>
              <w:left w:val="nil"/>
              <w:bottom w:val="single" w:sz="6" w:space="0" w:color="auto"/>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w:t>
            </w:r>
          </w:p>
        </w:tc>
        <w:tc>
          <w:tcPr>
            <w:tcW w:w="1530" w:type="dxa"/>
            <w:tcBorders>
              <w:top w:val="nil"/>
              <w:left w:val="nil"/>
              <w:bottom w:val="single" w:sz="6" w:space="0" w:color="auto"/>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w:t>
            </w:r>
          </w:p>
        </w:tc>
      </w:tr>
      <w:tr w:rsidR="00965D85" w:rsidRPr="001E7FA9" w:rsidTr="008B46DF">
        <w:tc>
          <w:tcPr>
            <w:tcW w:w="4678" w:type="dxa"/>
            <w:tcBorders>
              <w:top w:val="single" w:sz="6" w:space="0" w:color="auto"/>
              <w:left w:val="nil"/>
              <w:bottom w:val="single" w:sz="12" w:space="0" w:color="auto"/>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b/>
                <w:bCs/>
                <w:color w:val="000000"/>
                <w:sz w:val="20"/>
                <w:lang w:eastAsia="en-AU"/>
              </w:rPr>
            </w:pPr>
            <w:r w:rsidRPr="001E7FA9">
              <w:rPr>
                <w:rFonts w:ascii="Calibri" w:eastAsiaTheme="minorEastAsia" w:hAnsi="Calibri" w:cs="Calibri"/>
                <w:b/>
                <w:bCs/>
                <w:color w:val="000000"/>
                <w:sz w:val="20"/>
                <w:lang w:eastAsia="en-AU"/>
              </w:rPr>
              <w:t>Total equity at end of period</w:t>
            </w:r>
          </w:p>
        </w:tc>
        <w:tc>
          <w:tcPr>
            <w:tcW w:w="1559" w:type="dxa"/>
            <w:tcBorders>
              <w:top w:val="single" w:sz="6" w:space="0" w:color="auto"/>
              <w:left w:val="nil"/>
              <w:bottom w:val="single" w:sz="12" w:space="0" w:color="auto"/>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1E7FA9">
              <w:rPr>
                <w:rFonts w:ascii="Calibri" w:eastAsiaTheme="minorEastAsia" w:hAnsi="Calibri" w:cs="Calibri"/>
                <w:b/>
                <w:bCs/>
                <w:color w:val="000000"/>
                <w:sz w:val="20"/>
                <w:lang w:eastAsia="en-AU"/>
              </w:rPr>
              <w:t>71 292.3</w:t>
            </w:r>
          </w:p>
        </w:tc>
        <w:tc>
          <w:tcPr>
            <w:tcW w:w="1530" w:type="dxa"/>
            <w:tcBorders>
              <w:top w:val="single" w:sz="6" w:space="0" w:color="auto"/>
              <w:left w:val="nil"/>
              <w:bottom w:val="single" w:sz="12" w:space="0" w:color="auto"/>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20"/>
                <w:lang w:eastAsia="en-AU"/>
              </w:rPr>
              <w:t>50.0</w:t>
            </w:r>
          </w:p>
        </w:tc>
      </w:tr>
      <w:tr w:rsidR="00965D85" w:rsidRPr="001E7FA9" w:rsidTr="008B46DF">
        <w:tc>
          <w:tcPr>
            <w:tcW w:w="7767" w:type="dxa"/>
            <w:gridSpan w:val="3"/>
            <w:tcBorders>
              <w:top w:val="single" w:sz="12" w:space="0" w:color="auto"/>
              <w:left w:val="nil"/>
              <w:bottom w:val="nil"/>
              <w:right w:val="nil"/>
            </w:tcBorders>
            <w:shd w:val="clear" w:color="auto" w:fill="auto"/>
          </w:tcPr>
          <w:p w:rsidR="00965D85" w:rsidRPr="001E7FA9" w:rsidRDefault="00965D85" w:rsidP="008B46DF">
            <w:pPr>
              <w:pStyle w:val="Source"/>
              <w:rPr>
                <w:rFonts w:eastAsiaTheme="minorEastAsia"/>
                <w:lang w:eastAsia="en-AU"/>
              </w:rPr>
            </w:pPr>
            <w:r w:rsidRPr="001E7FA9">
              <w:rPr>
                <w:rFonts w:eastAsiaTheme="minorEastAsia"/>
                <w:lang w:eastAsia="en-AU"/>
              </w:rPr>
              <w:t>Source: Department of Treasury and Finance</w:t>
            </w:r>
          </w:p>
        </w:tc>
      </w:tr>
    </w:tbl>
    <w:p w:rsidR="00965D85" w:rsidRPr="00B24888" w:rsidRDefault="00965D85" w:rsidP="008B46DF">
      <w:pPr>
        <w:pStyle w:val="Notes"/>
        <w:rPr>
          <w:lang w:eastAsia="en-AU"/>
        </w:rPr>
      </w:pPr>
      <w:r w:rsidRPr="00B24888">
        <w:rPr>
          <w:lang w:eastAsia="en-AU"/>
        </w:rPr>
        <w:t>Note:</w:t>
      </w:r>
    </w:p>
    <w:p w:rsidR="00965D85" w:rsidRDefault="00965D85" w:rsidP="008B46DF">
      <w:pPr>
        <w:pStyle w:val="Notes"/>
        <w:rPr>
          <w:lang w:eastAsia="en-AU"/>
        </w:rPr>
      </w:pPr>
      <w:r w:rsidRPr="00B24888">
        <w:rPr>
          <w:lang w:eastAsia="en-AU"/>
        </w:rPr>
        <w:t>(a)</w:t>
      </w:r>
      <w:r w:rsidRPr="00B24888">
        <w:rPr>
          <w:lang w:eastAsia="en-AU"/>
        </w:rPr>
        <w:tab/>
        <w:t>Balances represent actual opening balances at 1 July 2015 plus 2015</w:t>
      </w:r>
      <w:r>
        <w:rPr>
          <w:lang w:eastAsia="en-AU"/>
        </w:rPr>
        <w:noBreakHyphen/>
      </w:r>
      <w:r w:rsidRPr="00B24888">
        <w:rPr>
          <w:lang w:eastAsia="en-AU"/>
        </w:rPr>
        <w:t>16 budgeted movements.</w:t>
      </w:r>
    </w:p>
    <w:p w:rsidR="00965D85" w:rsidRDefault="00965D85">
      <w:pPr>
        <w:spacing w:after="0"/>
        <w:rPr>
          <w:lang w:eastAsia="en-AU"/>
        </w:rPr>
      </w:pPr>
      <w:r>
        <w:rPr>
          <w:lang w:eastAsia="en-AU"/>
        </w:rPr>
        <w:br w:type="page"/>
      </w:r>
    </w:p>
    <w:p w:rsidR="00965D85" w:rsidRDefault="00965D85" w:rsidP="008B46DF">
      <w:pPr>
        <w:pStyle w:val="Tableheading"/>
        <w:rPr>
          <w:rFonts w:ascii="Times New Roman" w:hAnsi="Times New Roman"/>
          <w:sz w:val="20"/>
          <w:lang w:eastAsia="en-AU"/>
        </w:rPr>
      </w:pPr>
    </w:p>
    <w:tbl>
      <w:tblPr>
        <w:tblW w:w="7767" w:type="dxa"/>
        <w:tblInd w:w="28" w:type="dxa"/>
        <w:tblLayout w:type="fixed"/>
        <w:tblCellMar>
          <w:left w:w="28" w:type="dxa"/>
          <w:right w:w="28" w:type="dxa"/>
        </w:tblCellMar>
        <w:tblLook w:val="0000" w:firstRow="0" w:lastRow="0" w:firstColumn="0" w:lastColumn="0" w:noHBand="0" w:noVBand="0"/>
      </w:tblPr>
      <w:tblGrid>
        <w:gridCol w:w="2694"/>
        <w:gridCol w:w="2126"/>
        <w:gridCol w:w="1417"/>
        <w:gridCol w:w="1530"/>
      </w:tblGrid>
      <w:tr w:rsidR="00965D85" w:rsidRPr="001E7FA9" w:rsidTr="008B46DF">
        <w:trPr>
          <w:tblHeader/>
        </w:trPr>
        <w:tc>
          <w:tcPr>
            <w:tcW w:w="7767" w:type="dxa"/>
            <w:gridSpan w:val="4"/>
            <w:tcBorders>
              <w:top w:val="nil"/>
              <w:left w:val="nil"/>
              <w:bottom w:val="nil"/>
              <w:right w:val="nil"/>
            </w:tcBorders>
          </w:tcPr>
          <w:p w:rsidR="00965D85" w:rsidRPr="001E7FA9" w:rsidRDefault="00965D85" w:rsidP="008B46DF">
            <w:pPr>
              <w:pStyle w:val="million"/>
              <w:rPr>
                <w:rFonts w:eastAsiaTheme="minorEastAsia"/>
                <w:lang w:eastAsia="en-AU"/>
              </w:rPr>
            </w:pPr>
            <w:r w:rsidRPr="001E7FA9">
              <w:rPr>
                <w:rFonts w:eastAsiaTheme="minorEastAsia"/>
                <w:lang w:eastAsia="en-AU"/>
              </w:rPr>
              <w:t xml:space="preserve"> </w:t>
            </w:r>
          </w:p>
        </w:tc>
      </w:tr>
      <w:tr w:rsidR="00965D85" w:rsidRPr="001E7FA9" w:rsidTr="008B46DF">
        <w:trPr>
          <w:tblHeader/>
        </w:trPr>
        <w:tc>
          <w:tcPr>
            <w:tcW w:w="2694" w:type="dxa"/>
            <w:tcBorders>
              <w:top w:val="single" w:sz="6" w:space="0" w:color="auto"/>
              <w:left w:val="nil"/>
              <w:bottom w:val="single" w:sz="6" w:space="0" w:color="auto"/>
              <w:right w:val="nil"/>
            </w:tcBorders>
            <w:shd w:val="solid" w:color="000000" w:fill="auto"/>
          </w:tcPr>
          <w:p w:rsidR="00965D85" w:rsidRPr="001E7FA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1E7FA9">
              <w:rPr>
                <w:rFonts w:ascii="Calibri" w:eastAsiaTheme="minorEastAsia" w:hAnsi="Calibri" w:cs="Calibri"/>
                <w:i/>
                <w:iCs/>
                <w:color w:val="FFFFFF"/>
                <w:sz w:val="20"/>
                <w:lang w:eastAsia="en-AU"/>
              </w:rPr>
              <w:t>Land, buildings, infrastructure,</w:t>
            </w:r>
          </w:p>
          <w:p w:rsidR="00965D85" w:rsidRPr="001E7FA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1E7FA9">
              <w:rPr>
                <w:rFonts w:ascii="Calibri" w:eastAsiaTheme="minorEastAsia" w:hAnsi="Calibri" w:cs="Calibri"/>
                <w:i/>
                <w:iCs/>
                <w:color w:val="FFFFFF"/>
                <w:sz w:val="20"/>
                <w:lang w:eastAsia="en-AU"/>
              </w:rPr>
              <w:t xml:space="preserve"> plant and equipment</w:t>
            </w:r>
          </w:p>
          <w:p w:rsidR="00965D85" w:rsidRPr="001E7FA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1E7FA9">
              <w:rPr>
                <w:rFonts w:ascii="Calibri" w:eastAsiaTheme="minorEastAsia" w:hAnsi="Calibri" w:cs="Calibri"/>
                <w:i/>
                <w:iCs/>
                <w:color w:val="FFFFFF"/>
                <w:sz w:val="20"/>
                <w:lang w:eastAsia="en-AU"/>
              </w:rPr>
              <w:t xml:space="preserve"> revaluation surplus</w:t>
            </w:r>
          </w:p>
        </w:tc>
        <w:tc>
          <w:tcPr>
            <w:tcW w:w="2126" w:type="dxa"/>
            <w:tcBorders>
              <w:top w:val="single" w:sz="6" w:space="0" w:color="auto"/>
              <w:left w:val="nil"/>
              <w:bottom w:val="single" w:sz="6" w:space="0" w:color="auto"/>
              <w:right w:val="nil"/>
            </w:tcBorders>
            <w:shd w:val="solid" w:color="000000" w:fill="auto"/>
          </w:tcPr>
          <w:p w:rsidR="00965D85" w:rsidRPr="001E7FA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1E7FA9">
              <w:rPr>
                <w:rFonts w:ascii="Calibri" w:eastAsiaTheme="minorEastAsia" w:hAnsi="Calibri" w:cs="Calibri"/>
                <w:i/>
                <w:iCs/>
                <w:color w:val="FFFFFF"/>
                <w:sz w:val="20"/>
                <w:lang w:eastAsia="en-AU"/>
              </w:rPr>
              <w:t>Investment in other</w:t>
            </w:r>
          </w:p>
          <w:p w:rsidR="00965D85" w:rsidRPr="001E7FA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1E7FA9">
              <w:rPr>
                <w:rFonts w:ascii="Calibri" w:eastAsiaTheme="minorEastAsia" w:hAnsi="Calibri" w:cs="Calibri"/>
                <w:i/>
                <w:iCs/>
                <w:color w:val="FFFFFF"/>
                <w:sz w:val="20"/>
                <w:lang w:eastAsia="en-AU"/>
              </w:rPr>
              <w:t xml:space="preserve"> sector entities</w:t>
            </w:r>
          </w:p>
          <w:p w:rsidR="00965D85" w:rsidRPr="001E7FA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1E7FA9">
              <w:rPr>
                <w:rFonts w:ascii="Calibri" w:eastAsiaTheme="minorEastAsia" w:hAnsi="Calibri" w:cs="Calibri"/>
                <w:i/>
                <w:iCs/>
                <w:color w:val="FFFFFF"/>
                <w:sz w:val="20"/>
                <w:lang w:eastAsia="en-AU"/>
              </w:rPr>
              <w:t xml:space="preserve"> revaluation surplus</w:t>
            </w:r>
          </w:p>
        </w:tc>
        <w:tc>
          <w:tcPr>
            <w:tcW w:w="1417" w:type="dxa"/>
            <w:tcBorders>
              <w:top w:val="single" w:sz="6" w:space="0" w:color="auto"/>
              <w:left w:val="nil"/>
              <w:bottom w:val="single" w:sz="6" w:space="0" w:color="auto"/>
              <w:right w:val="nil"/>
            </w:tcBorders>
            <w:shd w:val="solid" w:color="000000" w:fill="auto"/>
          </w:tcPr>
          <w:p w:rsidR="00965D85" w:rsidRPr="001E7FA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p>
          <w:p w:rsidR="00965D85" w:rsidRPr="001E7FA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1E7FA9">
              <w:rPr>
                <w:rFonts w:ascii="Calibri" w:eastAsiaTheme="minorEastAsia" w:hAnsi="Calibri" w:cs="Calibri"/>
                <w:i/>
                <w:iCs/>
                <w:color w:val="FFFFFF"/>
                <w:sz w:val="20"/>
                <w:lang w:eastAsia="en-AU"/>
              </w:rPr>
              <w:t>Other</w:t>
            </w:r>
          </w:p>
          <w:p w:rsidR="00965D85" w:rsidRPr="001E7FA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1E7FA9">
              <w:rPr>
                <w:rFonts w:ascii="Calibri" w:eastAsiaTheme="minorEastAsia" w:hAnsi="Calibri" w:cs="Calibri"/>
                <w:i/>
                <w:iCs/>
                <w:color w:val="FFFFFF"/>
                <w:sz w:val="20"/>
                <w:lang w:eastAsia="en-AU"/>
              </w:rPr>
              <w:t xml:space="preserve"> reserves</w:t>
            </w:r>
          </w:p>
        </w:tc>
        <w:tc>
          <w:tcPr>
            <w:tcW w:w="1530" w:type="dxa"/>
            <w:tcBorders>
              <w:top w:val="single" w:sz="6" w:space="0" w:color="auto"/>
              <w:left w:val="nil"/>
              <w:bottom w:val="single" w:sz="6" w:space="0" w:color="auto"/>
              <w:right w:val="single" w:sz="6" w:space="0" w:color="auto"/>
            </w:tcBorders>
            <w:shd w:val="solid" w:color="000000" w:fill="auto"/>
          </w:tcPr>
          <w:p w:rsidR="00965D85" w:rsidRPr="001E7FA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p>
          <w:p w:rsidR="00965D85" w:rsidRPr="001E7FA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p>
          <w:p w:rsidR="00965D85" w:rsidRPr="001E7FA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1E7FA9">
              <w:rPr>
                <w:rFonts w:ascii="Calibri" w:eastAsiaTheme="minorEastAsia" w:hAnsi="Calibri" w:cs="Calibri"/>
                <w:i/>
                <w:iCs/>
                <w:color w:val="FFFFFF"/>
                <w:sz w:val="20"/>
                <w:lang w:eastAsia="en-AU"/>
              </w:rPr>
              <w:t>Total</w:t>
            </w:r>
          </w:p>
        </w:tc>
      </w:tr>
      <w:tr w:rsidR="00965D85" w:rsidRPr="001E7FA9" w:rsidTr="008B46DF">
        <w:tc>
          <w:tcPr>
            <w:tcW w:w="2694" w:type="dxa"/>
            <w:tcBorders>
              <w:top w:val="single" w:sz="6" w:space="0" w:color="auto"/>
              <w:left w:val="nil"/>
              <w:right w:val="nil"/>
            </w:tcBorders>
            <w:shd w:val="clear" w:color="auto" w:fill="FFFFFF"/>
          </w:tcPr>
          <w:p w:rsidR="00965D85" w:rsidRPr="001E7FA9" w:rsidRDefault="00965D85" w:rsidP="008B46DF">
            <w:pPr>
              <w:autoSpaceDE w:val="0"/>
              <w:autoSpaceDN w:val="0"/>
              <w:adjustRightInd w:val="0"/>
              <w:spacing w:after="0"/>
              <w:ind w:left="227" w:hanging="227"/>
              <w:jc w:val="right"/>
              <w:rPr>
                <w:rFonts w:ascii="Calibri" w:eastAsiaTheme="minorEastAsia" w:hAnsi="Calibri" w:cs="Calibri"/>
                <w:b/>
                <w:bCs/>
                <w:color w:val="000000"/>
                <w:sz w:val="20"/>
                <w:lang w:eastAsia="en-AU"/>
              </w:rPr>
            </w:pPr>
            <w:r w:rsidRPr="001E7FA9">
              <w:rPr>
                <w:rFonts w:ascii="Calibri" w:eastAsiaTheme="minorEastAsia" w:hAnsi="Calibri" w:cs="Calibri"/>
                <w:b/>
                <w:bCs/>
                <w:color w:val="000000"/>
                <w:sz w:val="20"/>
                <w:lang w:eastAsia="en-AU"/>
              </w:rPr>
              <w:t xml:space="preserve"> </w:t>
            </w:r>
          </w:p>
        </w:tc>
        <w:tc>
          <w:tcPr>
            <w:tcW w:w="2126" w:type="dxa"/>
            <w:tcBorders>
              <w:top w:val="single" w:sz="6" w:space="0" w:color="auto"/>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FF"/>
                <w:sz w:val="20"/>
                <w:lang w:eastAsia="en-AU"/>
              </w:rPr>
            </w:pPr>
          </w:p>
        </w:tc>
        <w:tc>
          <w:tcPr>
            <w:tcW w:w="1417" w:type="dxa"/>
            <w:tcBorders>
              <w:top w:val="single" w:sz="6" w:space="0" w:color="auto"/>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FF"/>
                <w:sz w:val="20"/>
                <w:lang w:eastAsia="en-AU"/>
              </w:rPr>
            </w:pPr>
          </w:p>
        </w:tc>
        <w:tc>
          <w:tcPr>
            <w:tcW w:w="1530" w:type="dxa"/>
            <w:tcBorders>
              <w:top w:val="single" w:sz="6" w:space="0" w:color="auto"/>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FF"/>
                <w:sz w:val="20"/>
                <w:lang w:eastAsia="en-AU"/>
              </w:rPr>
            </w:pPr>
          </w:p>
        </w:tc>
      </w:tr>
      <w:tr w:rsidR="00965D85" w:rsidRPr="001E7FA9" w:rsidTr="008B46DF">
        <w:tc>
          <w:tcPr>
            <w:tcW w:w="2694" w:type="dxa"/>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77 427.4</w:t>
            </w:r>
          </w:p>
        </w:tc>
        <w:tc>
          <w:tcPr>
            <w:tcW w:w="2126"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3 240.2</w:t>
            </w:r>
          </w:p>
        </w:tc>
        <w:tc>
          <w:tcPr>
            <w:tcW w:w="1417"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1 165.6</w:t>
            </w:r>
          </w:p>
        </w:tc>
        <w:tc>
          <w:tcPr>
            <w:tcW w:w="1530"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144 721.8</w:t>
            </w:r>
          </w:p>
        </w:tc>
      </w:tr>
      <w:tr w:rsidR="00965D85" w:rsidRPr="001E7FA9" w:rsidTr="008B46DF">
        <w:tc>
          <w:tcPr>
            <w:tcW w:w="2694" w:type="dxa"/>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w:t>
            </w:r>
          </w:p>
        </w:tc>
        <w:tc>
          <w:tcPr>
            <w:tcW w:w="2126"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w:t>
            </w:r>
          </w:p>
        </w:tc>
        <w:tc>
          <w:tcPr>
            <w:tcW w:w="1417"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w:t>
            </w:r>
          </w:p>
        </w:tc>
        <w:tc>
          <w:tcPr>
            <w:tcW w:w="1530"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4 291.5</w:t>
            </w:r>
          </w:p>
        </w:tc>
      </w:tr>
      <w:tr w:rsidR="00965D85" w:rsidRPr="001E7FA9" w:rsidTr="008B46DF">
        <w:tc>
          <w:tcPr>
            <w:tcW w:w="2694" w:type="dxa"/>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2 165.1</w:t>
            </w:r>
          </w:p>
        </w:tc>
        <w:tc>
          <w:tcPr>
            <w:tcW w:w="2126"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77.5</w:t>
            </w:r>
          </w:p>
        </w:tc>
        <w:tc>
          <w:tcPr>
            <w:tcW w:w="1417"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76.9</w:t>
            </w:r>
          </w:p>
        </w:tc>
        <w:tc>
          <w:tcPr>
            <w:tcW w:w="1530"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3 719.7</w:t>
            </w:r>
          </w:p>
        </w:tc>
      </w:tr>
      <w:tr w:rsidR="00965D85" w:rsidRPr="001E7FA9" w:rsidTr="008B46DF">
        <w:tc>
          <w:tcPr>
            <w:tcW w:w="2694" w:type="dxa"/>
            <w:tcBorders>
              <w:top w:val="nil"/>
              <w:left w:val="nil"/>
              <w:bottom w:val="single" w:sz="6" w:space="0" w:color="auto"/>
              <w:right w:val="nil"/>
            </w:tcBorders>
            <w:shd w:val="clear" w:color="auto" w:fill="FFFFFF"/>
          </w:tcPr>
          <w:p w:rsidR="00965D85" w:rsidRPr="001E7FA9" w:rsidRDefault="00965D85" w:rsidP="008B46DF">
            <w:pPr>
              <w:autoSpaceDE w:val="0"/>
              <w:autoSpaceDN w:val="0"/>
              <w:adjustRightInd w:val="0"/>
              <w:spacing w:after="0"/>
              <w:ind w:left="227" w:hanging="227"/>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w:t>
            </w:r>
          </w:p>
        </w:tc>
        <w:tc>
          <w:tcPr>
            <w:tcW w:w="2126" w:type="dxa"/>
            <w:tcBorders>
              <w:top w:val="nil"/>
              <w:left w:val="nil"/>
              <w:bottom w:val="single" w:sz="6" w:space="0" w:color="auto"/>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w:t>
            </w:r>
          </w:p>
        </w:tc>
        <w:tc>
          <w:tcPr>
            <w:tcW w:w="1417" w:type="dxa"/>
            <w:tcBorders>
              <w:top w:val="nil"/>
              <w:left w:val="nil"/>
              <w:bottom w:val="single" w:sz="6" w:space="0" w:color="auto"/>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w:t>
            </w:r>
          </w:p>
        </w:tc>
        <w:tc>
          <w:tcPr>
            <w:tcW w:w="1530" w:type="dxa"/>
            <w:tcBorders>
              <w:top w:val="nil"/>
              <w:left w:val="nil"/>
              <w:bottom w:val="single" w:sz="6" w:space="0" w:color="auto"/>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w:t>
            </w:r>
          </w:p>
        </w:tc>
      </w:tr>
      <w:tr w:rsidR="00965D85" w:rsidRPr="001E7FA9" w:rsidTr="008B46DF">
        <w:tc>
          <w:tcPr>
            <w:tcW w:w="2694" w:type="dxa"/>
            <w:tcBorders>
              <w:top w:val="single" w:sz="6" w:space="0" w:color="auto"/>
              <w:left w:val="nil"/>
              <w:bottom w:val="single" w:sz="12" w:space="0" w:color="auto"/>
              <w:right w:val="nil"/>
            </w:tcBorders>
            <w:shd w:val="clear" w:color="auto" w:fill="FFFFFF"/>
          </w:tcPr>
          <w:p w:rsidR="00965D85" w:rsidRPr="001E7FA9" w:rsidRDefault="00965D85" w:rsidP="008B46DF">
            <w:pPr>
              <w:autoSpaceDE w:val="0"/>
              <w:autoSpaceDN w:val="0"/>
              <w:adjustRightInd w:val="0"/>
              <w:spacing w:after="0"/>
              <w:ind w:left="227" w:hanging="227"/>
              <w:jc w:val="right"/>
              <w:rPr>
                <w:rFonts w:ascii="Calibri" w:eastAsiaTheme="minorEastAsia" w:hAnsi="Calibri" w:cs="Calibri"/>
                <w:b/>
                <w:bCs/>
                <w:color w:val="000000"/>
                <w:sz w:val="20"/>
                <w:lang w:eastAsia="en-AU"/>
              </w:rPr>
            </w:pPr>
            <w:r w:rsidRPr="001E7FA9">
              <w:rPr>
                <w:rFonts w:ascii="Calibri" w:eastAsiaTheme="minorEastAsia" w:hAnsi="Calibri" w:cs="Calibri"/>
                <w:b/>
                <w:bCs/>
                <w:color w:val="000000"/>
                <w:sz w:val="20"/>
                <w:lang w:eastAsia="en-AU"/>
              </w:rPr>
              <w:t>79 592.5</w:t>
            </w:r>
          </w:p>
        </w:tc>
        <w:tc>
          <w:tcPr>
            <w:tcW w:w="2126" w:type="dxa"/>
            <w:tcBorders>
              <w:top w:val="single" w:sz="6" w:space="0" w:color="auto"/>
              <w:left w:val="nil"/>
              <w:bottom w:val="single" w:sz="12" w:space="0" w:color="auto"/>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1E7FA9">
              <w:rPr>
                <w:rFonts w:ascii="Calibri" w:eastAsiaTheme="minorEastAsia" w:hAnsi="Calibri" w:cs="Calibri"/>
                <w:b/>
                <w:bCs/>
                <w:color w:val="000000"/>
                <w:sz w:val="20"/>
                <w:lang w:eastAsia="en-AU"/>
              </w:rPr>
              <w:t>3 317.7</w:t>
            </w:r>
          </w:p>
        </w:tc>
        <w:tc>
          <w:tcPr>
            <w:tcW w:w="1417" w:type="dxa"/>
            <w:tcBorders>
              <w:top w:val="single" w:sz="6" w:space="0" w:color="auto"/>
              <w:left w:val="nil"/>
              <w:bottom w:val="single" w:sz="12" w:space="0" w:color="auto"/>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1E7FA9">
              <w:rPr>
                <w:rFonts w:ascii="Calibri" w:eastAsiaTheme="minorEastAsia" w:hAnsi="Calibri" w:cs="Calibri"/>
                <w:b/>
                <w:bCs/>
                <w:color w:val="000000"/>
                <w:sz w:val="20"/>
                <w:lang w:eastAsia="en-AU"/>
              </w:rPr>
              <w:t>1 242.5</w:t>
            </w:r>
          </w:p>
        </w:tc>
        <w:tc>
          <w:tcPr>
            <w:tcW w:w="1530" w:type="dxa"/>
            <w:tcBorders>
              <w:top w:val="single" w:sz="6" w:space="0" w:color="auto"/>
              <w:left w:val="nil"/>
              <w:bottom w:val="single" w:sz="12" w:space="0" w:color="auto"/>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1E7FA9">
              <w:rPr>
                <w:rFonts w:ascii="Calibri" w:eastAsiaTheme="minorEastAsia" w:hAnsi="Calibri" w:cs="Calibri"/>
                <w:b/>
                <w:bCs/>
                <w:color w:val="000000"/>
                <w:sz w:val="20"/>
                <w:lang w:eastAsia="en-AU"/>
              </w:rPr>
              <w:t>152 733.0</w:t>
            </w:r>
          </w:p>
        </w:tc>
      </w:tr>
      <w:tr w:rsidR="00965D85" w:rsidRPr="001E7FA9" w:rsidTr="008B46DF">
        <w:tc>
          <w:tcPr>
            <w:tcW w:w="2694" w:type="dxa"/>
            <w:tcBorders>
              <w:top w:val="single" w:sz="12" w:space="0" w:color="auto"/>
              <w:left w:val="nil"/>
              <w:right w:val="nil"/>
            </w:tcBorders>
            <w:shd w:val="clear" w:color="auto" w:fill="FFFFFF"/>
          </w:tcPr>
          <w:p w:rsidR="00965D85" w:rsidRPr="001E7FA9" w:rsidRDefault="00965D85" w:rsidP="008B46DF">
            <w:pPr>
              <w:autoSpaceDE w:val="0"/>
              <w:autoSpaceDN w:val="0"/>
              <w:adjustRightInd w:val="0"/>
              <w:spacing w:after="0"/>
              <w:ind w:left="227" w:hanging="227"/>
              <w:jc w:val="right"/>
              <w:rPr>
                <w:rFonts w:ascii="Calibri" w:eastAsiaTheme="minorEastAsia" w:hAnsi="Calibri" w:cs="Calibri"/>
                <w:b/>
                <w:bCs/>
                <w:color w:val="000000"/>
                <w:sz w:val="20"/>
                <w:lang w:eastAsia="en-AU"/>
              </w:rPr>
            </w:pPr>
            <w:r w:rsidRPr="001E7FA9">
              <w:rPr>
                <w:rFonts w:ascii="Calibri" w:eastAsiaTheme="minorEastAsia" w:hAnsi="Calibri" w:cs="Calibri"/>
                <w:b/>
                <w:bCs/>
                <w:color w:val="000000"/>
                <w:sz w:val="20"/>
                <w:lang w:eastAsia="en-AU"/>
              </w:rPr>
              <w:t xml:space="preserve"> </w:t>
            </w:r>
          </w:p>
        </w:tc>
        <w:tc>
          <w:tcPr>
            <w:tcW w:w="2126" w:type="dxa"/>
            <w:tcBorders>
              <w:top w:val="single" w:sz="12" w:space="0" w:color="auto"/>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FF"/>
                <w:sz w:val="20"/>
                <w:lang w:eastAsia="en-AU"/>
              </w:rPr>
            </w:pPr>
          </w:p>
        </w:tc>
        <w:tc>
          <w:tcPr>
            <w:tcW w:w="1417" w:type="dxa"/>
            <w:tcBorders>
              <w:top w:val="single" w:sz="12" w:space="0" w:color="auto"/>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FF"/>
                <w:sz w:val="20"/>
                <w:lang w:eastAsia="en-AU"/>
              </w:rPr>
            </w:pPr>
          </w:p>
        </w:tc>
        <w:tc>
          <w:tcPr>
            <w:tcW w:w="1530" w:type="dxa"/>
            <w:tcBorders>
              <w:top w:val="single" w:sz="12" w:space="0" w:color="auto"/>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FF"/>
                <w:sz w:val="20"/>
                <w:lang w:eastAsia="en-AU"/>
              </w:rPr>
            </w:pPr>
          </w:p>
        </w:tc>
      </w:tr>
      <w:tr w:rsidR="00965D85" w:rsidRPr="001E7FA9" w:rsidTr="008B46DF">
        <w:tc>
          <w:tcPr>
            <w:tcW w:w="2694" w:type="dxa"/>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77 427.4</w:t>
            </w:r>
          </w:p>
        </w:tc>
        <w:tc>
          <w:tcPr>
            <w:tcW w:w="2126"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3 240.2</w:t>
            </w:r>
          </w:p>
        </w:tc>
        <w:tc>
          <w:tcPr>
            <w:tcW w:w="1417"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1 165.6</w:t>
            </w:r>
          </w:p>
        </w:tc>
        <w:tc>
          <w:tcPr>
            <w:tcW w:w="1530"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144 721.8</w:t>
            </w:r>
          </w:p>
        </w:tc>
      </w:tr>
      <w:tr w:rsidR="00965D85" w:rsidRPr="001E7FA9" w:rsidTr="008B46DF">
        <w:tc>
          <w:tcPr>
            <w:tcW w:w="2694" w:type="dxa"/>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w:t>
            </w:r>
          </w:p>
        </w:tc>
        <w:tc>
          <w:tcPr>
            <w:tcW w:w="2126"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w:t>
            </w:r>
          </w:p>
        </w:tc>
        <w:tc>
          <w:tcPr>
            <w:tcW w:w="1417"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w:t>
            </w:r>
          </w:p>
        </w:tc>
        <w:tc>
          <w:tcPr>
            <w:tcW w:w="1530"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4 149.6</w:t>
            </w:r>
          </w:p>
        </w:tc>
      </w:tr>
      <w:tr w:rsidR="00965D85" w:rsidRPr="001E7FA9" w:rsidTr="008B46DF">
        <w:tc>
          <w:tcPr>
            <w:tcW w:w="2694" w:type="dxa"/>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2 169.7</w:t>
            </w:r>
          </w:p>
        </w:tc>
        <w:tc>
          <w:tcPr>
            <w:tcW w:w="2126"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(416.2)</w:t>
            </w:r>
          </w:p>
        </w:tc>
        <w:tc>
          <w:tcPr>
            <w:tcW w:w="1417"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65.2</w:t>
            </w:r>
          </w:p>
        </w:tc>
        <w:tc>
          <w:tcPr>
            <w:tcW w:w="1530"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21.6</w:t>
            </w:r>
          </w:p>
        </w:tc>
      </w:tr>
      <w:tr w:rsidR="00965D85" w:rsidRPr="001E7FA9" w:rsidTr="008B46DF">
        <w:tc>
          <w:tcPr>
            <w:tcW w:w="2694" w:type="dxa"/>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(1 590.4)</w:t>
            </w:r>
          </w:p>
        </w:tc>
        <w:tc>
          <w:tcPr>
            <w:tcW w:w="2126"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w:t>
            </w:r>
          </w:p>
        </w:tc>
        <w:tc>
          <w:tcPr>
            <w:tcW w:w="1417"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w:t>
            </w:r>
          </w:p>
        </w:tc>
        <w:tc>
          <w:tcPr>
            <w:tcW w:w="1530"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(432.1)</w:t>
            </w:r>
          </w:p>
        </w:tc>
      </w:tr>
      <w:tr w:rsidR="00965D85" w:rsidRPr="001E7FA9" w:rsidTr="008B46DF">
        <w:tc>
          <w:tcPr>
            <w:tcW w:w="2694" w:type="dxa"/>
            <w:tcBorders>
              <w:top w:val="nil"/>
              <w:left w:val="nil"/>
              <w:bottom w:val="single" w:sz="6" w:space="0" w:color="auto"/>
              <w:right w:val="nil"/>
            </w:tcBorders>
            <w:shd w:val="clear" w:color="auto" w:fill="FFFFFF"/>
          </w:tcPr>
          <w:p w:rsidR="00965D85" w:rsidRPr="001E7FA9" w:rsidRDefault="00965D85" w:rsidP="008B46DF">
            <w:pPr>
              <w:autoSpaceDE w:val="0"/>
              <w:autoSpaceDN w:val="0"/>
              <w:adjustRightInd w:val="0"/>
              <w:spacing w:after="0"/>
              <w:ind w:left="227" w:hanging="227"/>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w:t>
            </w:r>
          </w:p>
        </w:tc>
        <w:tc>
          <w:tcPr>
            <w:tcW w:w="2126" w:type="dxa"/>
            <w:tcBorders>
              <w:top w:val="nil"/>
              <w:left w:val="nil"/>
              <w:bottom w:val="single" w:sz="6" w:space="0" w:color="auto"/>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w:t>
            </w:r>
          </w:p>
        </w:tc>
        <w:tc>
          <w:tcPr>
            <w:tcW w:w="1417" w:type="dxa"/>
            <w:tcBorders>
              <w:top w:val="nil"/>
              <w:left w:val="nil"/>
              <w:bottom w:val="single" w:sz="6" w:space="0" w:color="auto"/>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w:t>
            </w:r>
          </w:p>
        </w:tc>
        <w:tc>
          <w:tcPr>
            <w:tcW w:w="1530" w:type="dxa"/>
            <w:tcBorders>
              <w:top w:val="nil"/>
              <w:left w:val="nil"/>
              <w:bottom w:val="single" w:sz="6" w:space="0" w:color="auto"/>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w:t>
            </w:r>
          </w:p>
        </w:tc>
      </w:tr>
      <w:tr w:rsidR="00965D85" w:rsidRPr="001E7FA9" w:rsidTr="008B46DF">
        <w:tc>
          <w:tcPr>
            <w:tcW w:w="2694" w:type="dxa"/>
            <w:tcBorders>
              <w:top w:val="single" w:sz="6" w:space="0" w:color="auto"/>
              <w:left w:val="nil"/>
              <w:bottom w:val="single" w:sz="12" w:space="0" w:color="auto"/>
              <w:right w:val="nil"/>
            </w:tcBorders>
            <w:shd w:val="clear" w:color="auto" w:fill="FFFFFF"/>
          </w:tcPr>
          <w:p w:rsidR="00965D85" w:rsidRPr="001E7FA9" w:rsidRDefault="00965D85" w:rsidP="008B46DF">
            <w:pPr>
              <w:autoSpaceDE w:val="0"/>
              <w:autoSpaceDN w:val="0"/>
              <w:adjustRightInd w:val="0"/>
              <w:spacing w:after="0"/>
              <w:ind w:left="227" w:hanging="227"/>
              <w:jc w:val="right"/>
              <w:rPr>
                <w:rFonts w:ascii="Calibri" w:eastAsiaTheme="minorEastAsia" w:hAnsi="Calibri" w:cs="Calibri"/>
                <w:b/>
                <w:bCs/>
                <w:color w:val="000000"/>
                <w:sz w:val="20"/>
                <w:lang w:eastAsia="en-AU"/>
              </w:rPr>
            </w:pPr>
            <w:r w:rsidRPr="001E7FA9">
              <w:rPr>
                <w:rFonts w:ascii="Calibri" w:eastAsiaTheme="minorEastAsia" w:hAnsi="Calibri" w:cs="Calibri"/>
                <w:b/>
                <w:bCs/>
                <w:color w:val="000000"/>
                <w:sz w:val="20"/>
                <w:lang w:eastAsia="en-AU"/>
              </w:rPr>
              <w:t>78 006.7</w:t>
            </w:r>
          </w:p>
        </w:tc>
        <w:tc>
          <w:tcPr>
            <w:tcW w:w="2126" w:type="dxa"/>
            <w:tcBorders>
              <w:top w:val="single" w:sz="6" w:space="0" w:color="auto"/>
              <w:left w:val="nil"/>
              <w:bottom w:val="single" w:sz="12" w:space="0" w:color="auto"/>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1E7FA9">
              <w:rPr>
                <w:rFonts w:ascii="Calibri" w:eastAsiaTheme="minorEastAsia" w:hAnsi="Calibri" w:cs="Calibri"/>
                <w:b/>
                <w:bCs/>
                <w:color w:val="000000"/>
                <w:sz w:val="20"/>
                <w:lang w:eastAsia="en-AU"/>
              </w:rPr>
              <w:t>2 824.0</w:t>
            </w:r>
          </w:p>
        </w:tc>
        <w:tc>
          <w:tcPr>
            <w:tcW w:w="1417" w:type="dxa"/>
            <w:tcBorders>
              <w:top w:val="single" w:sz="6" w:space="0" w:color="auto"/>
              <w:left w:val="nil"/>
              <w:bottom w:val="single" w:sz="12" w:space="0" w:color="auto"/>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1E7FA9">
              <w:rPr>
                <w:rFonts w:ascii="Calibri" w:eastAsiaTheme="minorEastAsia" w:hAnsi="Calibri" w:cs="Calibri"/>
                <w:b/>
                <w:bCs/>
                <w:color w:val="000000"/>
                <w:sz w:val="20"/>
                <w:lang w:eastAsia="en-AU"/>
              </w:rPr>
              <w:t>1 230.8</w:t>
            </w:r>
          </w:p>
        </w:tc>
        <w:tc>
          <w:tcPr>
            <w:tcW w:w="1530" w:type="dxa"/>
            <w:tcBorders>
              <w:top w:val="single" w:sz="6" w:space="0" w:color="auto"/>
              <w:left w:val="nil"/>
              <w:bottom w:val="single" w:sz="12" w:space="0" w:color="auto"/>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1E7FA9">
              <w:rPr>
                <w:rFonts w:ascii="Calibri" w:eastAsiaTheme="minorEastAsia" w:hAnsi="Calibri" w:cs="Calibri"/>
                <w:b/>
                <w:bCs/>
                <w:color w:val="000000"/>
                <w:sz w:val="20"/>
                <w:lang w:eastAsia="en-AU"/>
              </w:rPr>
              <w:t>148 460.9</w:t>
            </w:r>
          </w:p>
        </w:tc>
      </w:tr>
      <w:tr w:rsidR="00965D85" w:rsidRPr="001E7FA9" w:rsidTr="008B46DF">
        <w:tc>
          <w:tcPr>
            <w:tcW w:w="2694" w:type="dxa"/>
            <w:tcBorders>
              <w:top w:val="single" w:sz="12" w:space="0" w:color="auto"/>
              <w:left w:val="nil"/>
              <w:right w:val="nil"/>
            </w:tcBorders>
            <w:shd w:val="clear" w:color="auto" w:fill="FFFFFF"/>
          </w:tcPr>
          <w:p w:rsidR="00965D85" w:rsidRPr="001E7FA9" w:rsidRDefault="00965D85" w:rsidP="008B46DF">
            <w:pPr>
              <w:autoSpaceDE w:val="0"/>
              <w:autoSpaceDN w:val="0"/>
              <w:adjustRightInd w:val="0"/>
              <w:spacing w:after="0"/>
              <w:ind w:left="227" w:hanging="227"/>
              <w:jc w:val="right"/>
              <w:rPr>
                <w:rFonts w:ascii="Calibri" w:eastAsiaTheme="minorEastAsia" w:hAnsi="Calibri" w:cs="Calibri"/>
                <w:b/>
                <w:bCs/>
                <w:color w:val="000000"/>
                <w:sz w:val="20"/>
                <w:lang w:eastAsia="en-AU"/>
              </w:rPr>
            </w:pPr>
            <w:r w:rsidRPr="001E7FA9">
              <w:rPr>
                <w:rFonts w:ascii="Calibri" w:eastAsiaTheme="minorEastAsia" w:hAnsi="Calibri" w:cs="Calibri"/>
                <w:b/>
                <w:bCs/>
                <w:color w:val="000000"/>
                <w:sz w:val="20"/>
                <w:lang w:eastAsia="en-AU"/>
              </w:rPr>
              <w:t xml:space="preserve"> </w:t>
            </w:r>
          </w:p>
        </w:tc>
        <w:tc>
          <w:tcPr>
            <w:tcW w:w="2126" w:type="dxa"/>
            <w:tcBorders>
              <w:top w:val="single" w:sz="12" w:space="0" w:color="auto"/>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FF"/>
                <w:sz w:val="20"/>
                <w:lang w:eastAsia="en-AU"/>
              </w:rPr>
            </w:pPr>
          </w:p>
        </w:tc>
        <w:tc>
          <w:tcPr>
            <w:tcW w:w="1417" w:type="dxa"/>
            <w:tcBorders>
              <w:top w:val="single" w:sz="12" w:space="0" w:color="auto"/>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FF"/>
                <w:sz w:val="20"/>
                <w:lang w:eastAsia="en-AU"/>
              </w:rPr>
            </w:pPr>
          </w:p>
        </w:tc>
        <w:tc>
          <w:tcPr>
            <w:tcW w:w="1530" w:type="dxa"/>
            <w:tcBorders>
              <w:top w:val="single" w:sz="12" w:space="0" w:color="auto"/>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FF"/>
                <w:sz w:val="20"/>
                <w:lang w:eastAsia="en-AU"/>
              </w:rPr>
            </w:pPr>
          </w:p>
        </w:tc>
      </w:tr>
      <w:tr w:rsidR="00965D85" w:rsidRPr="001E7FA9" w:rsidTr="008B46DF">
        <w:tc>
          <w:tcPr>
            <w:tcW w:w="2694" w:type="dxa"/>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78 006.7</w:t>
            </w:r>
          </w:p>
        </w:tc>
        <w:tc>
          <w:tcPr>
            <w:tcW w:w="2126"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2 824.0</w:t>
            </w:r>
          </w:p>
        </w:tc>
        <w:tc>
          <w:tcPr>
            <w:tcW w:w="1417"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1 230.8</w:t>
            </w:r>
          </w:p>
        </w:tc>
        <w:tc>
          <w:tcPr>
            <w:tcW w:w="1530"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148 460.9</w:t>
            </w:r>
          </w:p>
        </w:tc>
      </w:tr>
      <w:tr w:rsidR="00965D85" w:rsidRPr="001E7FA9" w:rsidTr="008B46DF">
        <w:tc>
          <w:tcPr>
            <w:tcW w:w="2694" w:type="dxa"/>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w:t>
            </w:r>
          </w:p>
        </w:tc>
        <w:tc>
          <w:tcPr>
            <w:tcW w:w="2126"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w:t>
            </w:r>
          </w:p>
        </w:tc>
        <w:tc>
          <w:tcPr>
            <w:tcW w:w="1417"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w:t>
            </w:r>
          </w:p>
        </w:tc>
        <w:tc>
          <w:tcPr>
            <w:tcW w:w="1530"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681.1</w:t>
            </w:r>
          </w:p>
        </w:tc>
      </w:tr>
      <w:tr w:rsidR="00965D85" w:rsidRPr="001E7FA9" w:rsidTr="008B46DF">
        <w:tc>
          <w:tcPr>
            <w:tcW w:w="2694" w:type="dxa"/>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 xml:space="preserve"> 498.2</w:t>
            </w:r>
          </w:p>
        </w:tc>
        <w:tc>
          <w:tcPr>
            <w:tcW w:w="2126"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169.9</w:t>
            </w:r>
          </w:p>
        </w:tc>
        <w:tc>
          <w:tcPr>
            <w:tcW w:w="1417"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43.4</w:t>
            </w:r>
          </w:p>
        </w:tc>
        <w:tc>
          <w:tcPr>
            <w:tcW w:w="1530"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1 657.8</w:t>
            </w:r>
          </w:p>
        </w:tc>
      </w:tr>
      <w:tr w:rsidR="00965D85" w:rsidRPr="001E7FA9" w:rsidTr="008B46DF">
        <w:tc>
          <w:tcPr>
            <w:tcW w:w="2694" w:type="dxa"/>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w:t>
            </w:r>
          </w:p>
        </w:tc>
        <w:tc>
          <w:tcPr>
            <w:tcW w:w="2126"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w:t>
            </w:r>
          </w:p>
        </w:tc>
        <w:tc>
          <w:tcPr>
            <w:tcW w:w="1417"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w:t>
            </w:r>
          </w:p>
        </w:tc>
        <w:tc>
          <w:tcPr>
            <w:tcW w:w="1530"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w:t>
            </w:r>
          </w:p>
        </w:tc>
      </w:tr>
      <w:tr w:rsidR="00965D85" w:rsidRPr="001E7FA9" w:rsidTr="008B46DF">
        <w:tc>
          <w:tcPr>
            <w:tcW w:w="2694" w:type="dxa"/>
            <w:tcBorders>
              <w:top w:val="nil"/>
              <w:left w:val="nil"/>
              <w:bottom w:val="single" w:sz="6" w:space="0" w:color="auto"/>
              <w:right w:val="nil"/>
            </w:tcBorders>
            <w:shd w:val="clear" w:color="auto" w:fill="FFFFFF"/>
          </w:tcPr>
          <w:p w:rsidR="00965D85" w:rsidRPr="001E7FA9" w:rsidRDefault="00965D85" w:rsidP="008B46DF">
            <w:pPr>
              <w:autoSpaceDE w:val="0"/>
              <w:autoSpaceDN w:val="0"/>
              <w:adjustRightInd w:val="0"/>
              <w:spacing w:after="0"/>
              <w:ind w:left="227" w:hanging="227"/>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w:t>
            </w:r>
          </w:p>
        </w:tc>
        <w:tc>
          <w:tcPr>
            <w:tcW w:w="2126" w:type="dxa"/>
            <w:tcBorders>
              <w:top w:val="nil"/>
              <w:left w:val="nil"/>
              <w:bottom w:val="single" w:sz="6" w:space="0" w:color="auto"/>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w:t>
            </w:r>
          </w:p>
        </w:tc>
        <w:tc>
          <w:tcPr>
            <w:tcW w:w="1417" w:type="dxa"/>
            <w:tcBorders>
              <w:top w:val="nil"/>
              <w:left w:val="nil"/>
              <w:bottom w:val="single" w:sz="6" w:space="0" w:color="auto"/>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w:t>
            </w:r>
          </w:p>
        </w:tc>
        <w:tc>
          <w:tcPr>
            <w:tcW w:w="1530" w:type="dxa"/>
            <w:tcBorders>
              <w:top w:val="nil"/>
              <w:left w:val="nil"/>
              <w:bottom w:val="single" w:sz="6" w:space="0" w:color="auto"/>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w:t>
            </w:r>
          </w:p>
        </w:tc>
      </w:tr>
      <w:tr w:rsidR="00965D85" w:rsidRPr="001E7FA9" w:rsidTr="008B46DF">
        <w:tc>
          <w:tcPr>
            <w:tcW w:w="2694" w:type="dxa"/>
            <w:tcBorders>
              <w:top w:val="single" w:sz="6" w:space="0" w:color="auto"/>
              <w:left w:val="nil"/>
              <w:bottom w:val="single" w:sz="12" w:space="0" w:color="auto"/>
              <w:right w:val="nil"/>
            </w:tcBorders>
            <w:shd w:val="clear" w:color="auto" w:fill="FFFFFF"/>
          </w:tcPr>
          <w:p w:rsidR="00965D85" w:rsidRPr="001E7FA9" w:rsidRDefault="00965D85" w:rsidP="008B46DF">
            <w:pPr>
              <w:autoSpaceDE w:val="0"/>
              <w:autoSpaceDN w:val="0"/>
              <w:adjustRightInd w:val="0"/>
              <w:spacing w:after="0"/>
              <w:ind w:left="227" w:hanging="227"/>
              <w:jc w:val="right"/>
              <w:rPr>
                <w:rFonts w:ascii="Calibri" w:eastAsiaTheme="minorEastAsia" w:hAnsi="Calibri" w:cs="Calibri"/>
                <w:b/>
                <w:bCs/>
                <w:color w:val="000000"/>
                <w:sz w:val="20"/>
                <w:lang w:eastAsia="en-AU"/>
              </w:rPr>
            </w:pPr>
            <w:r w:rsidRPr="001E7FA9">
              <w:rPr>
                <w:rFonts w:ascii="Calibri" w:eastAsiaTheme="minorEastAsia" w:hAnsi="Calibri" w:cs="Calibri"/>
                <w:b/>
                <w:bCs/>
                <w:color w:val="000000"/>
                <w:sz w:val="20"/>
                <w:lang w:eastAsia="en-AU"/>
              </w:rPr>
              <w:t>78 504.9</w:t>
            </w:r>
          </w:p>
        </w:tc>
        <w:tc>
          <w:tcPr>
            <w:tcW w:w="2126" w:type="dxa"/>
            <w:tcBorders>
              <w:top w:val="single" w:sz="6" w:space="0" w:color="auto"/>
              <w:left w:val="nil"/>
              <w:bottom w:val="single" w:sz="12" w:space="0" w:color="auto"/>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1E7FA9">
              <w:rPr>
                <w:rFonts w:ascii="Calibri" w:eastAsiaTheme="minorEastAsia" w:hAnsi="Calibri" w:cs="Calibri"/>
                <w:b/>
                <w:bCs/>
                <w:color w:val="000000"/>
                <w:sz w:val="20"/>
                <w:lang w:eastAsia="en-AU"/>
              </w:rPr>
              <w:t>2 993.9</w:t>
            </w:r>
          </w:p>
        </w:tc>
        <w:tc>
          <w:tcPr>
            <w:tcW w:w="1417" w:type="dxa"/>
            <w:tcBorders>
              <w:top w:val="single" w:sz="6" w:space="0" w:color="auto"/>
              <w:left w:val="nil"/>
              <w:bottom w:val="single" w:sz="12" w:space="0" w:color="auto"/>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1E7FA9">
              <w:rPr>
                <w:rFonts w:ascii="Calibri" w:eastAsiaTheme="minorEastAsia" w:hAnsi="Calibri" w:cs="Calibri"/>
                <w:b/>
                <w:bCs/>
                <w:color w:val="000000"/>
                <w:sz w:val="20"/>
                <w:lang w:eastAsia="en-AU"/>
              </w:rPr>
              <w:t>1 274.2</w:t>
            </w:r>
          </w:p>
        </w:tc>
        <w:tc>
          <w:tcPr>
            <w:tcW w:w="1530" w:type="dxa"/>
            <w:tcBorders>
              <w:top w:val="single" w:sz="6" w:space="0" w:color="auto"/>
              <w:left w:val="nil"/>
              <w:bottom w:val="single" w:sz="12" w:space="0" w:color="auto"/>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1E7FA9">
              <w:rPr>
                <w:rFonts w:ascii="Calibri" w:eastAsiaTheme="minorEastAsia" w:hAnsi="Calibri" w:cs="Calibri"/>
                <w:b/>
                <w:bCs/>
                <w:color w:val="000000"/>
                <w:sz w:val="20"/>
                <w:lang w:eastAsia="en-AU"/>
              </w:rPr>
              <w:t>150 799.7</w:t>
            </w:r>
          </w:p>
        </w:tc>
      </w:tr>
      <w:tr w:rsidR="00965D85" w:rsidRPr="001E7FA9" w:rsidTr="008B46DF">
        <w:tc>
          <w:tcPr>
            <w:tcW w:w="2694" w:type="dxa"/>
            <w:tcBorders>
              <w:top w:val="single" w:sz="12" w:space="0" w:color="auto"/>
              <w:left w:val="nil"/>
              <w:right w:val="nil"/>
            </w:tcBorders>
            <w:shd w:val="clear" w:color="auto" w:fill="FFFFFF"/>
          </w:tcPr>
          <w:p w:rsidR="00965D85" w:rsidRPr="001E7FA9" w:rsidRDefault="00965D85" w:rsidP="008B46DF">
            <w:pPr>
              <w:autoSpaceDE w:val="0"/>
              <w:autoSpaceDN w:val="0"/>
              <w:adjustRightInd w:val="0"/>
              <w:spacing w:after="0"/>
              <w:ind w:left="227" w:hanging="227"/>
              <w:jc w:val="right"/>
              <w:rPr>
                <w:rFonts w:ascii="Calibri" w:eastAsiaTheme="minorEastAsia" w:hAnsi="Calibri" w:cs="Calibri"/>
                <w:b/>
                <w:bCs/>
                <w:color w:val="000000"/>
                <w:sz w:val="20"/>
                <w:lang w:eastAsia="en-AU"/>
              </w:rPr>
            </w:pPr>
            <w:r w:rsidRPr="001E7FA9">
              <w:rPr>
                <w:rFonts w:ascii="Calibri" w:eastAsiaTheme="minorEastAsia" w:hAnsi="Calibri" w:cs="Calibri"/>
                <w:b/>
                <w:bCs/>
                <w:color w:val="000000"/>
                <w:sz w:val="20"/>
                <w:lang w:eastAsia="en-AU"/>
              </w:rPr>
              <w:t xml:space="preserve"> </w:t>
            </w:r>
          </w:p>
        </w:tc>
        <w:tc>
          <w:tcPr>
            <w:tcW w:w="2126" w:type="dxa"/>
            <w:tcBorders>
              <w:top w:val="single" w:sz="12" w:space="0" w:color="auto"/>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FF"/>
                <w:sz w:val="20"/>
                <w:lang w:eastAsia="en-AU"/>
              </w:rPr>
            </w:pPr>
          </w:p>
        </w:tc>
        <w:tc>
          <w:tcPr>
            <w:tcW w:w="1417" w:type="dxa"/>
            <w:tcBorders>
              <w:top w:val="single" w:sz="12" w:space="0" w:color="auto"/>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FF"/>
                <w:sz w:val="20"/>
                <w:lang w:eastAsia="en-AU"/>
              </w:rPr>
            </w:pPr>
          </w:p>
        </w:tc>
        <w:tc>
          <w:tcPr>
            <w:tcW w:w="1530" w:type="dxa"/>
            <w:tcBorders>
              <w:top w:val="single" w:sz="12" w:space="0" w:color="auto"/>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FF"/>
                <w:sz w:val="20"/>
                <w:lang w:eastAsia="en-AU"/>
              </w:rPr>
            </w:pPr>
          </w:p>
        </w:tc>
      </w:tr>
      <w:tr w:rsidR="00965D85" w:rsidRPr="001E7FA9" w:rsidTr="008B46DF">
        <w:tc>
          <w:tcPr>
            <w:tcW w:w="2694" w:type="dxa"/>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78 504.9</w:t>
            </w:r>
          </w:p>
        </w:tc>
        <w:tc>
          <w:tcPr>
            <w:tcW w:w="2126"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2 993.9</w:t>
            </w:r>
          </w:p>
        </w:tc>
        <w:tc>
          <w:tcPr>
            <w:tcW w:w="1417"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1 274.2</w:t>
            </w:r>
          </w:p>
        </w:tc>
        <w:tc>
          <w:tcPr>
            <w:tcW w:w="1530"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150 799.7</w:t>
            </w:r>
          </w:p>
        </w:tc>
      </w:tr>
      <w:tr w:rsidR="00965D85" w:rsidRPr="001E7FA9" w:rsidTr="008B46DF">
        <w:tc>
          <w:tcPr>
            <w:tcW w:w="2694" w:type="dxa"/>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w:t>
            </w:r>
          </w:p>
        </w:tc>
        <w:tc>
          <w:tcPr>
            <w:tcW w:w="2126"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w:t>
            </w:r>
          </w:p>
        </w:tc>
        <w:tc>
          <w:tcPr>
            <w:tcW w:w="1417"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w:t>
            </w:r>
          </w:p>
        </w:tc>
        <w:tc>
          <w:tcPr>
            <w:tcW w:w="1530"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1 091.7</w:t>
            </w:r>
          </w:p>
        </w:tc>
      </w:tr>
      <w:tr w:rsidR="00965D85" w:rsidRPr="001E7FA9" w:rsidTr="008B46DF">
        <w:tc>
          <w:tcPr>
            <w:tcW w:w="2694" w:type="dxa"/>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9 114.5</w:t>
            </w:r>
          </w:p>
        </w:tc>
        <w:tc>
          <w:tcPr>
            <w:tcW w:w="2126"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850.9</w:t>
            </w:r>
          </w:p>
        </w:tc>
        <w:tc>
          <w:tcPr>
            <w:tcW w:w="1417"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46.9</w:t>
            </w:r>
          </w:p>
        </w:tc>
        <w:tc>
          <w:tcPr>
            <w:tcW w:w="1530"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10 800.6</w:t>
            </w:r>
          </w:p>
        </w:tc>
      </w:tr>
      <w:tr w:rsidR="00965D85" w:rsidRPr="001E7FA9" w:rsidTr="008B46DF">
        <w:tc>
          <w:tcPr>
            <w:tcW w:w="2694" w:type="dxa"/>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w:t>
            </w:r>
          </w:p>
        </w:tc>
        <w:tc>
          <w:tcPr>
            <w:tcW w:w="2126"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w:t>
            </w:r>
          </w:p>
        </w:tc>
        <w:tc>
          <w:tcPr>
            <w:tcW w:w="1417"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w:t>
            </w:r>
          </w:p>
        </w:tc>
        <w:tc>
          <w:tcPr>
            <w:tcW w:w="1530"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(89.5)</w:t>
            </w:r>
          </w:p>
        </w:tc>
      </w:tr>
      <w:tr w:rsidR="00965D85" w:rsidRPr="001E7FA9" w:rsidTr="008B46DF">
        <w:tc>
          <w:tcPr>
            <w:tcW w:w="2694" w:type="dxa"/>
            <w:tcBorders>
              <w:top w:val="nil"/>
              <w:left w:val="nil"/>
              <w:bottom w:val="single" w:sz="6" w:space="0" w:color="auto"/>
              <w:right w:val="nil"/>
            </w:tcBorders>
            <w:shd w:val="clear" w:color="auto" w:fill="FFFFFF"/>
          </w:tcPr>
          <w:p w:rsidR="00965D85" w:rsidRPr="001E7FA9" w:rsidRDefault="00965D85" w:rsidP="008B46DF">
            <w:pPr>
              <w:autoSpaceDE w:val="0"/>
              <w:autoSpaceDN w:val="0"/>
              <w:adjustRightInd w:val="0"/>
              <w:spacing w:after="0"/>
              <w:ind w:left="227" w:hanging="227"/>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w:t>
            </w:r>
          </w:p>
        </w:tc>
        <w:tc>
          <w:tcPr>
            <w:tcW w:w="2126" w:type="dxa"/>
            <w:tcBorders>
              <w:top w:val="nil"/>
              <w:left w:val="nil"/>
              <w:bottom w:val="single" w:sz="6" w:space="0" w:color="auto"/>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w:t>
            </w:r>
          </w:p>
        </w:tc>
        <w:tc>
          <w:tcPr>
            <w:tcW w:w="1417" w:type="dxa"/>
            <w:tcBorders>
              <w:top w:val="nil"/>
              <w:left w:val="nil"/>
              <w:bottom w:val="single" w:sz="6" w:space="0" w:color="auto"/>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w:t>
            </w:r>
          </w:p>
        </w:tc>
        <w:tc>
          <w:tcPr>
            <w:tcW w:w="1530" w:type="dxa"/>
            <w:tcBorders>
              <w:top w:val="nil"/>
              <w:left w:val="nil"/>
              <w:bottom w:val="single" w:sz="6" w:space="0" w:color="auto"/>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w:t>
            </w:r>
          </w:p>
        </w:tc>
      </w:tr>
      <w:tr w:rsidR="00965D85" w:rsidRPr="001E7FA9" w:rsidTr="008B46DF">
        <w:tc>
          <w:tcPr>
            <w:tcW w:w="2694" w:type="dxa"/>
            <w:tcBorders>
              <w:top w:val="single" w:sz="6" w:space="0" w:color="auto"/>
              <w:left w:val="nil"/>
              <w:bottom w:val="single" w:sz="12" w:space="0" w:color="auto"/>
              <w:right w:val="nil"/>
            </w:tcBorders>
            <w:shd w:val="clear" w:color="auto" w:fill="FFFFFF"/>
          </w:tcPr>
          <w:p w:rsidR="00965D85" w:rsidRPr="001E7FA9" w:rsidRDefault="00965D85" w:rsidP="008B46DF">
            <w:pPr>
              <w:autoSpaceDE w:val="0"/>
              <w:autoSpaceDN w:val="0"/>
              <w:adjustRightInd w:val="0"/>
              <w:spacing w:after="0"/>
              <w:ind w:left="227" w:hanging="227"/>
              <w:jc w:val="right"/>
              <w:rPr>
                <w:rFonts w:ascii="Calibri" w:eastAsiaTheme="minorEastAsia" w:hAnsi="Calibri" w:cs="Calibri"/>
                <w:b/>
                <w:bCs/>
                <w:color w:val="000000"/>
                <w:sz w:val="20"/>
                <w:lang w:eastAsia="en-AU"/>
              </w:rPr>
            </w:pPr>
            <w:r w:rsidRPr="001E7FA9">
              <w:rPr>
                <w:rFonts w:ascii="Calibri" w:eastAsiaTheme="minorEastAsia" w:hAnsi="Calibri" w:cs="Calibri"/>
                <w:b/>
                <w:bCs/>
                <w:color w:val="000000"/>
                <w:sz w:val="20"/>
                <w:lang w:eastAsia="en-AU"/>
              </w:rPr>
              <w:t>87 619.4</w:t>
            </w:r>
          </w:p>
        </w:tc>
        <w:tc>
          <w:tcPr>
            <w:tcW w:w="2126" w:type="dxa"/>
            <w:tcBorders>
              <w:top w:val="single" w:sz="6" w:space="0" w:color="auto"/>
              <w:left w:val="nil"/>
              <w:bottom w:val="single" w:sz="12" w:space="0" w:color="auto"/>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1E7FA9">
              <w:rPr>
                <w:rFonts w:ascii="Calibri" w:eastAsiaTheme="minorEastAsia" w:hAnsi="Calibri" w:cs="Calibri"/>
                <w:b/>
                <w:bCs/>
                <w:color w:val="000000"/>
                <w:sz w:val="20"/>
                <w:lang w:eastAsia="en-AU"/>
              </w:rPr>
              <w:t>3 844.8</w:t>
            </w:r>
          </w:p>
        </w:tc>
        <w:tc>
          <w:tcPr>
            <w:tcW w:w="1417" w:type="dxa"/>
            <w:tcBorders>
              <w:top w:val="single" w:sz="6" w:space="0" w:color="auto"/>
              <w:left w:val="nil"/>
              <w:bottom w:val="single" w:sz="12" w:space="0" w:color="auto"/>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1E7FA9">
              <w:rPr>
                <w:rFonts w:ascii="Calibri" w:eastAsiaTheme="minorEastAsia" w:hAnsi="Calibri" w:cs="Calibri"/>
                <w:b/>
                <w:bCs/>
                <w:color w:val="000000"/>
                <w:sz w:val="20"/>
                <w:lang w:eastAsia="en-AU"/>
              </w:rPr>
              <w:t>1 321.1</w:t>
            </w:r>
          </w:p>
        </w:tc>
        <w:tc>
          <w:tcPr>
            <w:tcW w:w="1530" w:type="dxa"/>
            <w:tcBorders>
              <w:top w:val="single" w:sz="6" w:space="0" w:color="auto"/>
              <w:left w:val="nil"/>
              <w:bottom w:val="single" w:sz="12" w:space="0" w:color="auto"/>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1E7FA9">
              <w:rPr>
                <w:rFonts w:ascii="Calibri" w:eastAsiaTheme="minorEastAsia" w:hAnsi="Calibri" w:cs="Calibri"/>
                <w:b/>
                <w:bCs/>
                <w:color w:val="000000"/>
                <w:sz w:val="20"/>
                <w:lang w:eastAsia="en-AU"/>
              </w:rPr>
              <w:t>162 602.5</w:t>
            </w:r>
          </w:p>
        </w:tc>
      </w:tr>
      <w:tr w:rsidR="00965D85" w:rsidRPr="001E7FA9" w:rsidTr="008B46DF">
        <w:tc>
          <w:tcPr>
            <w:tcW w:w="2694" w:type="dxa"/>
            <w:tcBorders>
              <w:top w:val="single" w:sz="12" w:space="0" w:color="auto"/>
              <w:left w:val="nil"/>
              <w:right w:val="nil"/>
            </w:tcBorders>
            <w:shd w:val="clear" w:color="auto" w:fill="FFFFFF"/>
          </w:tcPr>
          <w:p w:rsidR="00965D85" w:rsidRPr="001E7FA9" w:rsidRDefault="00965D85" w:rsidP="008B46DF">
            <w:pPr>
              <w:autoSpaceDE w:val="0"/>
              <w:autoSpaceDN w:val="0"/>
              <w:adjustRightInd w:val="0"/>
              <w:spacing w:after="0"/>
              <w:ind w:left="227" w:hanging="227"/>
              <w:jc w:val="right"/>
              <w:rPr>
                <w:rFonts w:ascii="Calibri" w:eastAsiaTheme="minorEastAsia" w:hAnsi="Calibri" w:cs="Calibri"/>
                <w:b/>
                <w:bCs/>
                <w:color w:val="000000"/>
                <w:sz w:val="20"/>
                <w:lang w:eastAsia="en-AU"/>
              </w:rPr>
            </w:pPr>
            <w:r w:rsidRPr="001E7FA9">
              <w:rPr>
                <w:rFonts w:ascii="Calibri" w:eastAsiaTheme="minorEastAsia" w:hAnsi="Calibri" w:cs="Calibri"/>
                <w:b/>
                <w:bCs/>
                <w:color w:val="000000"/>
                <w:sz w:val="20"/>
                <w:lang w:eastAsia="en-AU"/>
              </w:rPr>
              <w:t xml:space="preserve"> </w:t>
            </w:r>
          </w:p>
        </w:tc>
        <w:tc>
          <w:tcPr>
            <w:tcW w:w="2126" w:type="dxa"/>
            <w:tcBorders>
              <w:top w:val="single" w:sz="12" w:space="0" w:color="auto"/>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FF"/>
                <w:sz w:val="20"/>
                <w:lang w:eastAsia="en-AU"/>
              </w:rPr>
            </w:pPr>
          </w:p>
        </w:tc>
        <w:tc>
          <w:tcPr>
            <w:tcW w:w="1417" w:type="dxa"/>
            <w:tcBorders>
              <w:top w:val="single" w:sz="12" w:space="0" w:color="auto"/>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FF"/>
                <w:sz w:val="20"/>
                <w:lang w:eastAsia="en-AU"/>
              </w:rPr>
            </w:pPr>
          </w:p>
        </w:tc>
        <w:tc>
          <w:tcPr>
            <w:tcW w:w="1530" w:type="dxa"/>
            <w:tcBorders>
              <w:top w:val="single" w:sz="12" w:space="0" w:color="auto"/>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FF"/>
                <w:sz w:val="20"/>
                <w:lang w:eastAsia="en-AU"/>
              </w:rPr>
            </w:pPr>
          </w:p>
        </w:tc>
      </w:tr>
      <w:tr w:rsidR="00965D85" w:rsidRPr="001E7FA9" w:rsidTr="008B46DF">
        <w:tc>
          <w:tcPr>
            <w:tcW w:w="2694" w:type="dxa"/>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87 619.4</w:t>
            </w:r>
          </w:p>
        </w:tc>
        <w:tc>
          <w:tcPr>
            <w:tcW w:w="2126"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3 844.8</w:t>
            </w:r>
          </w:p>
        </w:tc>
        <w:tc>
          <w:tcPr>
            <w:tcW w:w="1417"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1 321.1</w:t>
            </w:r>
          </w:p>
        </w:tc>
        <w:tc>
          <w:tcPr>
            <w:tcW w:w="1530"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162 602.5</w:t>
            </w:r>
          </w:p>
        </w:tc>
      </w:tr>
      <w:tr w:rsidR="00965D85" w:rsidRPr="001E7FA9" w:rsidTr="008B46DF">
        <w:tc>
          <w:tcPr>
            <w:tcW w:w="2694" w:type="dxa"/>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w:t>
            </w:r>
          </w:p>
        </w:tc>
        <w:tc>
          <w:tcPr>
            <w:tcW w:w="2126"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w:t>
            </w:r>
          </w:p>
        </w:tc>
        <w:tc>
          <w:tcPr>
            <w:tcW w:w="1417"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w:t>
            </w:r>
          </w:p>
        </w:tc>
        <w:tc>
          <w:tcPr>
            <w:tcW w:w="1530"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825.8</w:t>
            </w:r>
          </w:p>
        </w:tc>
      </w:tr>
      <w:tr w:rsidR="00965D85" w:rsidRPr="001E7FA9" w:rsidTr="008B46DF">
        <w:tc>
          <w:tcPr>
            <w:tcW w:w="2694" w:type="dxa"/>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 xml:space="preserve"> 406.7</w:t>
            </w:r>
          </w:p>
        </w:tc>
        <w:tc>
          <w:tcPr>
            <w:tcW w:w="2126"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320.4</w:t>
            </w:r>
          </w:p>
        </w:tc>
        <w:tc>
          <w:tcPr>
            <w:tcW w:w="1417"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43.8</w:t>
            </w:r>
          </w:p>
        </w:tc>
        <w:tc>
          <w:tcPr>
            <w:tcW w:w="1530"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1 569.1</w:t>
            </w:r>
          </w:p>
        </w:tc>
      </w:tr>
      <w:tr w:rsidR="00965D85" w:rsidRPr="001E7FA9" w:rsidTr="008B46DF">
        <w:tc>
          <w:tcPr>
            <w:tcW w:w="2694" w:type="dxa"/>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w:t>
            </w:r>
          </w:p>
        </w:tc>
        <w:tc>
          <w:tcPr>
            <w:tcW w:w="2126"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w:t>
            </w:r>
          </w:p>
        </w:tc>
        <w:tc>
          <w:tcPr>
            <w:tcW w:w="1417"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w:t>
            </w:r>
          </w:p>
        </w:tc>
        <w:tc>
          <w:tcPr>
            <w:tcW w:w="1530"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(98.9)</w:t>
            </w:r>
          </w:p>
        </w:tc>
      </w:tr>
      <w:tr w:rsidR="00965D85" w:rsidRPr="001E7FA9" w:rsidTr="008B46DF">
        <w:tc>
          <w:tcPr>
            <w:tcW w:w="2694" w:type="dxa"/>
            <w:tcBorders>
              <w:top w:val="nil"/>
              <w:left w:val="nil"/>
              <w:bottom w:val="single" w:sz="6" w:space="0" w:color="auto"/>
              <w:right w:val="nil"/>
            </w:tcBorders>
            <w:shd w:val="clear" w:color="auto" w:fill="FFFFFF"/>
          </w:tcPr>
          <w:p w:rsidR="00965D85" w:rsidRPr="001E7FA9" w:rsidRDefault="00965D85" w:rsidP="008B46DF">
            <w:pPr>
              <w:autoSpaceDE w:val="0"/>
              <w:autoSpaceDN w:val="0"/>
              <w:adjustRightInd w:val="0"/>
              <w:spacing w:after="0"/>
              <w:ind w:left="227" w:hanging="227"/>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w:t>
            </w:r>
          </w:p>
        </w:tc>
        <w:tc>
          <w:tcPr>
            <w:tcW w:w="2126" w:type="dxa"/>
            <w:tcBorders>
              <w:top w:val="nil"/>
              <w:left w:val="nil"/>
              <w:bottom w:val="single" w:sz="6" w:space="0" w:color="auto"/>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w:t>
            </w:r>
          </w:p>
        </w:tc>
        <w:tc>
          <w:tcPr>
            <w:tcW w:w="1417" w:type="dxa"/>
            <w:tcBorders>
              <w:top w:val="nil"/>
              <w:left w:val="nil"/>
              <w:bottom w:val="single" w:sz="6" w:space="0" w:color="auto"/>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w:t>
            </w:r>
          </w:p>
        </w:tc>
        <w:tc>
          <w:tcPr>
            <w:tcW w:w="1530" w:type="dxa"/>
            <w:tcBorders>
              <w:top w:val="nil"/>
              <w:left w:val="nil"/>
              <w:bottom w:val="single" w:sz="6" w:space="0" w:color="auto"/>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w:t>
            </w:r>
          </w:p>
        </w:tc>
      </w:tr>
      <w:tr w:rsidR="00965D85" w:rsidRPr="001E7FA9" w:rsidTr="008B46DF">
        <w:tc>
          <w:tcPr>
            <w:tcW w:w="2694" w:type="dxa"/>
            <w:tcBorders>
              <w:top w:val="single" w:sz="6" w:space="0" w:color="auto"/>
              <w:left w:val="nil"/>
              <w:bottom w:val="single" w:sz="12" w:space="0" w:color="auto"/>
              <w:right w:val="nil"/>
            </w:tcBorders>
            <w:shd w:val="clear" w:color="auto" w:fill="FFFFFF"/>
          </w:tcPr>
          <w:p w:rsidR="00965D85" w:rsidRPr="001E7FA9" w:rsidRDefault="00965D85" w:rsidP="008B46DF">
            <w:pPr>
              <w:autoSpaceDE w:val="0"/>
              <w:autoSpaceDN w:val="0"/>
              <w:adjustRightInd w:val="0"/>
              <w:spacing w:after="0"/>
              <w:ind w:left="227" w:hanging="227"/>
              <w:jc w:val="right"/>
              <w:rPr>
                <w:rFonts w:ascii="Calibri" w:eastAsiaTheme="minorEastAsia" w:hAnsi="Calibri" w:cs="Calibri"/>
                <w:b/>
                <w:bCs/>
                <w:color w:val="000000"/>
                <w:sz w:val="20"/>
                <w:lang w:eastAsia="en-AU"/>
              </w:rPr>
            </w:pPr>
            <w:r w:rsidRPr="001E7FA9">
              <w:rPr>
                <w:rFonts w:ascii="Calibri" w:eastAsiaTheme="minorEastAsia" w:hAnsi="Calibri" w:cs="Calibri"/>
                <w:b/>
                <w:bCs/>
                <w:color w:val="000000"/>
                <w:sz w:val="20"/>
                <w:lang w:eastAsia="en-AU"/>
              </w:rPr>
              <w:t>88 026.0</w:t>
            </w:r>
          </w:p>
        </w:tc>
        <w:tc>
          <w:tcPr>
            <w:tcW w:w="2126" w:type="dxa"/>
            <w:tcBorders>
              <w:top w:val="single" w:sz="6" w:space="0" w:color="auto"/>
              <w:left w:val="nil"/>
              <w:bottom w:val="single" w:sz="12" w:space="0" w:color="auto"/>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1E7FA9">
              <w:rPr>
                <w:rFonts w:ascii="Calibri" w:eastAsiaTheme="minorEastAsia" w:hAnsi="Calibri" w:cs="Calibri"/>
                <w:b/>
                <w:bCs/>
                <w:color w:val="000000"/>
                <w:sz w:val="20"/>
                <w:lang w:eastAsia="en-AU"/>
              </w:rPr>
              <w:t>4 165.2</w:t>
            </w:r>
          </w:p>
        </w:tc>
        <w:tc>
          <w:tcPr>
            <w:tcW w:w="1417" w:type="dxa"/>
            <w:tcBorders>
              <w:top w:val="single" w:sz="6" w:space="0" w:color="auto"/>
              <w:left w:val="nil"/>
              <w:bottom w:val="single" w:sz="12" w:space="0" w:color="auto"/>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1E7FA9">
              <w:rPr>
                <w:rFonts w:ascii="Calibri" w:eastAsiaTheme="minorEastAsia" w:hAnsi="Calibri" w:cs="Calibri"/>
                <w:b/>
                <w:bCs/>
                <w:color w:val="000000"/>
                <w:sz w:val="20"/>
                <w:lang w:eastAsia="en-AU"/>
              </w:rPr>
              <w:t>1 364.9</w:t>
            </w:r>
          </w:p>
        </w:tc>
        <w:tc>
          <w:tcPr>
            <w:tcW w:w="1530" w:type="dxa"/>
            <w:tcBorders>
              <w:top w:val="single" w:sz="6" w:space="0" w:color="auto"/>
              <w:left w:val="nil"/>
              <w:bottom w:val="single" w:sz="12" w:space="0" w:color="auto"/>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1E7FA9">
              <w:rPr>
                <w:rFonts w:ascii="Calibri" w:eastAsiaTheme="minorEastAsia" w:hAnsi="Calibri" w:cs="Calibri"/>
                <w:b/>
                <w:bCs/>
                <w:color w:val="000000"/>
                <w:sz w:val="20"/>
                <w:lang w:eastAsia="en-AU"/>
              </w:rPr>
              <w:t>164 898.4</w:t>
            </w:r>
          </w:p>
        </w:tc>
      </w:tr>
      <w:tr w:rsidR="00965D85" w:rsidRPr="001E7FA9" w:rsidTr="008B46DF">
        <w:tc>
          <w:tcPr>
            <w:tcW w:w="7767" w:type="dxa"/>
            <w:gridSpan w:val="4"/>
            <w:tcBorders>
              <w:top w:val="single" w:sz="12" w:space="0" w:color="auto"/>
              <w:left w:val="nil"/>
              <w:bottom w:val="nil"/>
              <w:right w:val="nil"/>
            </w:tcBorders>
            <w:shd w:val="clear" w:color="auto" w:fill="auto"/>
          </w:tcPr>
          <w:p w:rsidR="00965D85" w:rsidRPr="001E7FA9" w:rsidRDefault="00965D85" w:rsidP="008B46DF">
            <w:pPr>
              <w:tabs>
                <w:tab w:val="left" w:pos="454"/>
              </w:tabs>
              <w:autoSpaceDE w:val="0"/>
              <w:autoSpaceDN w:val="0"/>
              <w:adjustRightInd w:val="0"/>
              <w:spacing w:after="0"/>
              <w:jc w:val="right"/>
              <w:rPr>
                <w:rFonts w:ascii="Calibri" w:eastAsiaTheme="minorEastAsia" w:hAnsi="Calibri" w:cs="Calibri"/>
                <w:bCs/>
                <w:color w:val="000000"/>
                <w:sz w:val="16"/>
                <w:lang w:eastAsia="en-AU"/>
              </w:rPr>
            </w:pPr>
            <w:r w:rsidRPr="001E7FA9">
              <w:rPr>
                <w:rFonts w:ascii="Calibri" w:eastAsiaTheme="minorEastAsia" w:hAnsi="Calibri" w:cs="Calibri"/>
                <w:bCs/>
                <w:color w:val="000000"/>
                <w:sz w:val="16"/>
                <w:lang w:eastAsia="en-AU"/>
              </w:rPr>
              <w:t xml:space="preserve"> </w:t>
            </w:r>
          </w:p>
        </w:tc>
      </w:tr>
    </w:tbl>
    <w:p w:rsidR="00965D85" w:rsidRDefault="00965D85" w:rsidP="008B46DF">
      <w:pPr>
        <w:rPr>
          <w:rFonts w:ascii="Tms Rmn" w:hAnsi="Tms Rmn" w:cs="Tms Rmn"/>
          <w:color w:val="000000"/>
          <w:sz w:val="18"/>
          <w:szCs w:val="18"/>
          <w:lang w:eastAsia="en-AU"/>
        </w:rPr>
      </w:pPr>
    </w:p>
    <w:p w:rsidR="00965D85" w:rsidRDefault="00965D85">
      <w:pPr>
        <w:spacing w:after="0"/>
        <w:rPr>
          <w:rFonts w:ascii="Calibri" w:hAnsi="Calibri"/>
          <w:b/>
          <w:lang w:eastAsia="en-AU"/>
        </w:rPr>
      </w:pPr>
      <w:r>
        <w:rPr>
          <w:lang w:eastAsia="en-AU"/>
        </w:rPr>
        <w:br w:type="page"/>
      </w:r>
    </w:p>
    <w:p w:rsidR="00965D85" w:rsidRDefault="00965D85" w:rsidP="008B46DF">
      <w:pPr>
        <w:pStyle w:val="Tableheading"/>
        <w:rPr>
          <w:rFonts w:ascii="Times New Roman" w:hAnsi="Times New Roman"/>
          <w:i/>
          <w:sz w:val="20"/>
          <w:lang w:eastAsia="en-AU"/>
        </w:rPr>
      </w:pPr>
      <w:r w:rsidRPr="00C24CD2">
        <w:rPr>
          <w:lang w:eastAsia="en-AU"/>
        </w:rPr>
        <w:lastRenderedPageBreak/>
        <w:t>Table 5.11:</w:t>
      </w:r>
      <w:r w:rsidRPr="00C24CD2">
        <w:rPr>
          <w:lang w:eastAsia="en-AU"/>
        </w:rPr>
        <w:tab/>
        <w:t>Derivation of non</w:t>
      </w:r>
      <w:r>
        <w:rPr>
          <w:lang w:eastAsia="en-AU"/>
        </w:rPr>
        <w:noBreakHyphen/>
      </w:r>
      <w:r w:rsidRPr="00C24CD2">
        <w:rPr>
          <w:lang w:eastAsia="en-AU"/>
        </w:rPr>
        <w:t>financial public sector GFS cash surplus/(deficit)</w:t>
      </w:r>
    </w:p>
    <w:tbl>
      <w:tblPr>
        <w:tblW w:w="7767" w:type="dxa"/>
        <w:tblInd w:w="28" w:type="dxa"/>
        <w:tblLayout w:type="fixed"/>
        <w:tblCellMar>
          <w:left w:w="28" w:type="dxa"/>
          <w:right w:w="28" w:type="dxa"/>
        </w:tblCellMar>
        <w:tblLook w:val="0000" w:firstRow="0" w:lastRow="0" w:firstColumn="0" w:lastColumn="0" w:noHBand="0" w:noVBand="0"/>
      </w:tblPr>
      <w:tblGrid>
        <w:gridCol w:w="2947"/>
        <w:gridCol w:w="964"/>
        <w:gridCol w:w="964"/>
        <w:gridCol w:w="964"/>
        <w:gridCol w:w="964"/>
        <w:gridCol w:w="964"/>
      </w:tblGrid>
      <w:tr w:rsidR="00965D85" w:rsidRPr="001E7FA9" w:rsidTr="008B46DF">
        <w:trPr>
          <w:tblHeader/>
        </w:trPr>
        <w:tc>
          <w:tcPr>
            <w:tcW w:w="7767" w:type="dxa"/>
            <w:gridSpan w:val="6"/>
            <w:tcBorders>
              <w:top w:val="nil"/>
              <w:left w:val="nil"/>
              <w:bottom w:val="nil"/>
              <w:right w:val="nil"/>
            </w:tcBorders>
          </w:tcPr>
          <w:p w:rsidR="00965D85" w:rsidRPr="001E7FA9" w:rsidRDefault="00965D85" w:rsidP="008B46DF">
            <w:pPr>
              <w:pStyle w:val="million"/>
              <w:rPr>
                <w:rFonts w:eastAsiaTheme="minorEastAsia" w:cs="Calibri"/>
                <w:iCs/>
                <w:color w:val="000000"/>
                <w:sz w:val="20"/>
                <w:lang w:eastAsia="en-AU"/>
              </w:rPr>
            </w:pPr>
            <w:r w:rsidRPr="001E7FA9">
              <w:rPr>
                <w:rFonts w:eastAsiaTheme="minorEastAsia"/>
                <w:lang w:eastAsia="en-AU"/>
              </w:rPr>
              <w:t>($ million</w:t>
            </w:r>
            <w:r w:rsidRPr="001E7FA9">
              <w:rPr>
                <w:rFonts w:eastAsiaTheme="minorEastAsia" w:cs="Calibri"/>
                <w:iCs/>
                <w:color w:val="000000"/>
                <w:sz w:val="20"/>
                <w:lang w:eastAsia="en-AU"/>
              </w:rPr>
              <w:t>)</w:t>
            </w:r>
          </w:p>
        </w:tc>
      </w:tr>
      <w:tr w:rsidR="00965D85" w:rsidRPr="001E7FA9" w:rsidTr="008B46DF">
        <w:trPr>
          <w:trHeight w:val="488"/>
          <w:tblHeader/>
        </w:trPr>
        <w:tc>
          <w:tcPr>
            <w:tcW w:w="2947" w:type="dxa"/>
            <w:tcBorders>
              <w:top w:val="nil"/>
              <w:left w:val="nil"/>
              <w:right w:val="nil"/>
            </w:tcBorders>
            <w:shd w:val="solid" w:color="000000" w:fill="auto"/>
          </w:tcPr>
          <w:p w:rsidR="00965D85" w:rsidRPr="001E7FA9" w:rsidRDefault="00965D85" w:rsidP="008B46DF">
            <w:pPr>
              <w:autoSpaceDE w:val="0"/>
              <w:autoSpaceDN w:val="0"/>
              <w:adjustRightInd w:val="0"/>
              <w:spacing w:after="0"/>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 xml:space="preserve"> </w:t>
            </w:r>
          </w:p>
          <w:p w:rsidR="00965D85" w:rsidRPr="001E7FA9" w:rsidRDefault="00965D85" w:rsidP="008B46DF">
            <w:pPr>
              <w:autoSpaceDE w:val="0"/>
              <w:autoSpaceDN w:val="0"/>
              <w:adjustRightInd w:val="0"/>
              <w:spacing w:after="0"/>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 xml:space="preserve"> </w:t>
            </w:r>
          </w:p>
        </w:tc>
        <w:tc>
          <w:tcPr>
            <w:tcW w:w="964" w:type="dxa"/>
            <w:tcBorders>
              <w:top w:val="nil"/>
              <w:left w:val="nil"/>
              <w:right w:val="nil"/>
            </w:tcBorders>
            <w:shd w:val="solid" w:color="000000" w:fill="auto"/>
          </w:tcPr>
          <w:p w:rsidR="00965D85" w:rsidRPr="001E7FA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1E7FA9">
              <w:rPr>
                <w:rFonts w:ascii="Calibri" w:eastAsiaTheme="minorEastAsia" w:hAnsi="Calibri" w:cs="Calibri"/>
                <w:i/>
                <w:iCs/>
                <w:color w:val="FFFFFF"/>
                <w:sz w:val="20"/>
                <w:lang w:eastAsia="en-AU"/>
              </w:rPr>
              <w:t>2015</w:t>
            </w:r>
            <w:r>
              <w:rPr>
                <w:rFonts w:ascii="Calibri" w:eastAsiaTheme="minorEastAsia" w:hAnsi="Calibri" w:cs="Calibri"/>
                <w:i/>
                <w:iCs/>
                <w:color w:val="FFFFFF"/>
                <w:sz w:val="20"/>
                <w:lang w:eastAsia="en-AU"/>
              </w:rPr>
              <w:noBreakHyphen/>
            </w:r>
            <w:r w:rsidRPr="001E7FA9">
              <w:rPr>
                <w:rFonts w:ascii="Calibri" w:eastAsiaTheme="minorEastAsia" w:hAnsi="Calibri" w:cs="Calibri"/>
                <w:i/>
                <w:iCs/>
                <w:color w:val="FFFFFF"/>
                <w:sz w:val="20"/>
                <w:lang w:eastAsia="en-AU"/>
              </w:rPr>
              <w:t xml:space="preserve">16 </w:t>
            </w:r>
          </w:p>
          <w:p w:rsidR="00965D85" w:rsidRPr="001E7FA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1E7FA9">
              <w:rPr>
                <w:rFonts w:ascii="Calibri" w:eastAsiaTheme="minorEastAsia" w:hAnsi="Calibri" w:cs="Calibri"/>
                <w:i/>
                <w:iCs/>
                <w:color w:val="FFFFFF"/>
                <w:sz w:val="20"/>
                <w:lang w:eastAsia="en-AU"/>
              </w:rPr>
              <w:t>budget</w:t>
            </w:r>
          </w:p>
        </w:tc>
        <w:tc>
          <w:tcPr>
            <w:tcW w:w="964" w:type="dxa"/>
            <w:tcBorders>
              <w:top w:val="nil"/>
              <w:left w:val="nil"/>
              <w:right w:val="nil"/>
            </w:tcBorders>
            <w:shd w:val="solid" w:color="000000" w:fill="auto"/>
          </w:tcPr>
          <w:p w:rsidR="00965D85" w:rsidRPr="001E7FA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1E7FA9">
              <w:rPr>
                <w:rFonts w:ascii="Calibri" w:eastAsiaTheme="minorEastAsia" w:hAnsi="Calibri" w:cs="Calibri"/>
                <w:i/>
                <w:iCs/>
                <w:color w:val="FFFFFF"/>
                <w:sz w:val="20"/>
                <w:lang w:eastAsia="en-AU"/>
              </w:rPr>
              <w:t>2015</w:t>
            </w:r>
            <w:r>
              <w:rPr>
                <w:rFonts w:ascii="Calibri" w:eastAsiaTheme="minorEastAsia" w:hAnsi="Calibri" w:cs="Calibri"/>
                <w:i/>
                <w:iCs/>
                <w:color w:val="FFFFFF"/>
                <w:sz w:val="20"/>
                <w:lang w:eastAsia="en-AU"/>
              </w:rPr>
              <w:noBreakHyphen/>
            </w:r>
            <w:r w:rsidRPr="001E7FA9">
              <w:rPr>
                <w:rFonts w:ascii="Calibri" w:eastAsiaTheme="minorEastAsia" w:hAnsi="Calibri" w:cs="Calibri"/>
                <w:i/>
                <w:iCs/>
                <w:color w:val="FFFFFF"/>
                <w:sz w:val="20"/>
                <w:lang w:eastAsia="en-AU"/>
              </w:rPr>
              <w:t xml:space="preserve">16 </w:t>
            </w:r>
          </w:p>
          <w:p w:rsidR="00965D85" w:rsidRPr="001E7FA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1E7FA9">
              <w:rPr>
                <w:rFonts w:ascii="Calibri" w:eastAsiaTheme="minorEastAsia" w:hAnsi="Calibri" w:cs="Calibri"/>
                <w:i/>
                <w:iCs/>
                <w:color w:val="FFFFFF"/>
                <w:sz w:val="20"/>
                <w:lang w:eastAsia="en-AU"/>
              </w:rPr>
              <w:t>revised</w:t>
            </w:r>
          </w:p>
        </w:tc>
        <w:tc>
          <w:tcPr>
            <w:tcW w:w="964" w:type="dxa"/>
            <w:tcBorders>
              <w:top w:val="nil"/>
              <w:left w:val="nil"/>
              <w:right w:val="nil"/>
            </w:tcBorders>
            <w:shd w:val="solid" w:color="000000" w:fill="auto"/>
          </w:tcPr>
          <w:p w:rsidR="00965D85" w:rsidRPr="001E7FA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1E7FA9">
              <w:rPr>
                <w:rFonts w:ascii="Calibri" w:eastAsiaTheme="minorEastAsia" w:hAnsi="Calibri" w:cs="Calibri"/>
                <w:i/>
                <w:iCs/>
                <w:color w:val="FFFFFF"/>
                <w:sz w:val="20"/>
                <w:lang w:eastAsia="en-AU"/>
              </w:rPr>
              <w:t>2016</w:t>
            </w:r>
            <w:r>
              <w:rPr>
                <w:rFonts w:ascii="Calibri" w:eastAsiaTheme="minorEastAsia" w:hAnsi="Calibri" w:cs="Calibri"/>
                <w:i/>
                <w:iCs/>
                <w:color w:val="FFFFFF"/>
                <w:sz w:val="20"/>
                <w:lang w:eastAsia="en-AU"/>
              </w:rPr>
              <w:noBreakHyphen/>
            </w:r>
            <w:r w:rsidRPr="001E7FA9">
              <w:rPr>
                <w:rFonts w:ascii="Calibri" w:eastAsiaTheme="minorEastAsia" w:hAnsi="Calibri" w:cs="Calibri"/>
                <w:i/>
                <w:iCs/>
                <w:color w:val="FFFFFF"/>
                <w:sz w:val="20"/>
                <w:lang w:eastAsia="en-AU"/>
              </w:rPr>
              <w:t xml:space="preserve">17 </w:t>
            </w:r>
          </w:p>
          <w:p w:rsidR="00965D85" w:rsidRPr="001E7FA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1E7FA9">
              <w:rPr>
                <w:rFonts w:ascii="Calibri" w:eastAsiaTheme="minorEastAsia" w:hAnsi="Calibri" w:cs="Calibri"/>
                <w:i/>
                <w:iCs/>
                <w:color w:val="FFFFFF"/>
                <w:sz w:val="20"/>
                <w:lang w:eastAsia="en-AU"/>
              </w:rPr>
              <w:t>estimate</w:t>
            </w:r>
          </w:p>
        </w:tc>
        <w:tc>
          <w:tcPr>
            <w:tcW w:w="964" w:type="dxa"/>
            <w:tcBorders>
              <w:top w:val="nil"/>
              <w:left w:val="nil"/>
              <w:right w:val="nil"/>
            </w:tcBorders>
            <w:shd w:val="solid" w:color="000000" w:fill="auto"/>
          </w:tcPr>
          <w:p w:rsidR="00965D85" w:rsidRPr="001E7FA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1E7FA9">
              <w:rPr>
                <w:rFonts w:ascii="Calibri" w:eastAsiaTheme="minorEastAsia" w:hAnsi="Calibri" w:cs="Calibri"/>
                <w:i/>
                <w:iCs/>
                <w:color w:val="FFFFFF"/>
                <w:sz w:val="20"/>
                <w:lang w:eastAsia="en-AU"/>
              </w:rPr>
              <w:t>2017</w:t>
            </w:r>
            <w:r>
              <w:rPr>
                <w:rFonts w:ascii="Calibri" w:eastAsiaTheme="minorEastAsia" w:hAnsi="Calibri" w:cs="Calibri"/>
                <w:i/>
                <w:iCs/>
                <w:color w:val="FFFFFF"/>
                <w:sz w:val="20"/>
                <w:lang w:eastAsia="en-AU"/>
              </w:rPr>
              <w:noBreakHyphen/>
            </w:r>
            <w:r w:rsidRPr="001E7FA9">
              <w:rPr>
                <w:rFonts w:ascii="Calibri" w:eastAsiaTheme="minorEastAsia" w:hAnsi="Calibri" w:cs="Calibri"/>
                <w:i/>
                <w:iCs/>
                <w:color w:val="FFFFFF"/>
                <w:sz w:val="20"/>
                <w:lang w:eastAsia="en-AU"/>
              </w:rPr>
              <w:t xml:space="preserve">18 </w:t>
            </w:r>
          </w:p>
          <w:p w:rsidR="00965D85" w:rsidRPr="001E7FA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1E7FA9">
              <w:rPr>
                <w:rFonts w:ascii="Calibri" w:eastAsiaTheme="minorEastAsia" w:hAnsi="Calibri" w:cs="Calibri"/>
                <w:i/>
                <w:iCs/>
                <w:color w:val="FFFFFF"/>
                <w:sz w:val="20"/>
                <w:lang w:eastAsia="en-AU"/>
              </w:rPr>
              <w:t>estimate</w:t>
            </w:r>
          </w:p>
        </w:tc>
        <w:tc>
          <w:tcPr>
            <w:tcW w:w="964" w:type="dxa"/>
            <w:tcBorders>
              <w:top w:val="nil"/>
              <w:left w:val="nil"/>
              <w:right w:val="nil"/>
            </w:tcBorders>
            <w:shd w:val="solid" w:color="000000" w:fill="auto"/>
          </w:tcPr>
          <w:p w:rsidR="00965D85" w:rsidRPr="001E7FA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1E7FA9">
              <w:rPr>
                <w:rFonts w:ascii="Calibri" w:eastAsiaTheme="minorEastAsia" w:hAnsi="Calibri" w:cs="Calibri"/>
                <w:i/>
                <w:iCs/>
                <w:color w:val="FFFFFF"/>
                <w:sz w:val="20"/>
                <w:lang w:eastAsia="en-AU"/>
              </w:rPr>
              <w:t>2018</w:t>
            </w:r>
            <w:r>
              <w:rPr>
                <w:rFonts w:ascii="Calibri" w:eastAsiaTheme="minorEastAsia" w:hAnsi="Calibri" w:cs="Calibri"/>
                <w:i/>
                <w:iCs/>
                <w:color w:val="FFFFFF"/>
                <w:sz w:val="20"/>
                <w:lang w:eastAsia="en-AU"/>
              </w:rPr>
              <w:noBreakHyphen/>
            </w:r>
            <w:r w:rsidRPr="001E7FA9">
              <w:rPr>
                <w:rFonts w:ascii="Calibri" w:eastAsiaTheme="minorEastAsia" w:hAnsi="Calibri" w:cs="Calibri"/>
                <w:i/>
                <w:iCs/>
                <w:color w:val="FFFFFF"/>
                <w:sz w:val="20"/>
                <w:lang w:eastAsia="en-AU"/>
              </w:rPr>
              <w:t xml:space="preserve">19 </w:t>
            </w:r>
          </w:p>
          <w:p w:rsidR="00965D85" w:rsidRPr="001E7FA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1E7FA9">
              <w:rPr>
                <w:rFonts w:ascii="Calibri" w:eastAsiaTheme="minorEastAsia" w:hAnsi="Calibri" w:cs="Calibri"/>
                <w:i/>
                <w:iCs/>
                <w:color w:val="FFFFFF"/>
                <w:sz w:val="20"/>
                <w:lang w:eastAsia="en-AU"/>
              </w:rPr>
              <w:t>estimate</w:t>
            </w:r>
          </w:p>
        </w:tc>
      </w:tr>
      <w:tr w:rsidR="00965D85" w:rsidRPr="001E7FA9" w:rsidTr="008B46DF">
        <w:tc>
          <w:tcPr>
            <w:tcW w:w="2947" w:type="dxa"/>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b/>
                <w:bCs/>
                <w:color w:val="000000"/>
                <w:sz w:val="20"/>
                <w:lang w:eastAsia="en-AU"/>
              </w:rPr>
            </w:pPr>
            <w:r w:rsidRPr="001E7FA9">
              <w:rPr>
                <w:rFonts w:ascii="Calibri" w:eastAsiaTheme="minorEastAsia" w:hAnsi="Calibri" w:cs="Calibri"/>
                <w:b/>
                <w:bCs/>
                <w:color w:val="000000"/>
                <w:sz w:val="20"/>
                <w:lang w:eastAsia="en-AU"/>
              </w:rPr>
              <w:t>Cash surplus/(deficit)</w:t>
            </w: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1E7FA9">
              <w:rPr>
                <w:rFonts w:ascii="Calibri" w:eastAsiaTheme="minorEastAsia" w:hAnsi="Calibri" w:cs="Calibri"/>
                <w:b/>
                <w:bCs/>
                <w:color w:val="000000"/>
                <w:sz w:val="20"/>
                <w:lang w:eastAsia="en-AU"/>
              </w:rPr>
              <w:t>5 381.0</w:t>
            </w: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1E7FA9">
              <w:rPr>
                <w:rFonts w:ascii="Calibri" w:eastAsiaTheme="minorEastAsia" w:hAnsi="Calibri" w:cs="Calibri"/>
                <w:b/>
                <w:bCs/>
                <w:color w:val="000000"/>
                <w:sz w:val="20"/>
                <w:lang w:eastAsia="en-AU"/>
              </w:rPr>
              <w:t>5 873.7</w:t>
            </w: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20"/>
                <w:lang w:eastAsia="en-AU"/>
              </w:rPr>
              <w:t>(2 076.6)</w:t>
            </w: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20"/>
                <w:lang w:eastAsia="en-AU"/>
              </w:rPr>
              <w:t>(1 160.1)</w:t>
            </w: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20"/>
                <w:lang w:eastAsia="en-AU"/>
              </w:rPr>
              <w:t>(1 093.8)</w:t>
            </w:r>
          </w:p>
        </w:tc>
      </w:tr>
      <w:tr w:rsidR="00965D85" w:rsidRPr="001E7FA9" w:rsidTr="008B46DF">
        <w:tc>
          <w:tcPr>
            <w:tcW w:w="2947" w:type="dxa"/>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Convergence differences:</w:t>
            </w: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p>
        </w:tc>
      </w:tr>
      <w:tr w:rsidR="00965D85" w:rsidRPr="001E7FA9" w:rsidTr="008B46DF">
        <w:tc>
          <w:tcPr>
            <w:tcW w:w="2947" w:type="dxa"/>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color w:val="000000"/>
                <w:sz w:val="20"/>
                <w:vertAlign w:val="superscript"/>
                <w:lang w:eastAsia="en-AU"/>
              </w:rPr>
            </w:pPr>
            <w:r w:rsidRPr="001E7FA9">
              <w:rPr>
                <w:rFonts w:ascii="Calibri" w:eastAsiaTheme="minorEastAsia" w:hAnsi="Calibri" w:cs="Calibri"/>
                <w:color w:val="000000"/>
                <w:sz w:val="20"/>
                <w:lang w:eastAsia="en-AU"/>
              </w:rPr>
              <w:t>Acquisitions under finance leases and similar arrangements</w:t>
            </w:r>
            <w:r w:rsidRPr="001E7FA9">
              <w:rPr>
                <w:rFonts w:ascii="Calibri" w:eastAsiaTheme="minorEastAsia" w:hAnsi="Calibri" w:cs="Calibri"/>
                <w:color w:val="000000"/>
                <w:sz w:val="20"/>
                <w:vertAlign w:val="superscript"/>
                <w:lang w:eastAsia="en-AU"/>
              </w:rPr>
              <w:t xml:space="preserve"> (a)</w:t>
            </w:r>
          </w:p>
        </w:tc>
        <w:tc>
          <w:tcPr>
            <w:tcW w:w="964" w:type="dxa"/>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(1 050.4)</w:t>
            </w:r>
          </w:p>
        </w:tc>
        <w:tc>
          <w:tcPr>
            <w:tcW w:w="964" w:type="dxa"/>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(1 074.2)</w:t>
            </w:r>
          </w:p>
        </w:tc>
        <w:tc>
          <w:tcPr>
            <w:tcW w:w="964" w:type="dxa"/>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(496.0)</w:t>
            </w:r>
          </w:p>
        </w:tc>
        <w:tc>
          <w:tcPr>
            <w:tcW w:w="964" w:type="dxa"/>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(652.1)</w:t>
            </w:r>
          </w:p>
        </w:tc>
        <w:tc>
          <w:tcPr>
            <w:tcW w:w="964" w:type="dxa"/>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w:t>
            </w:r>
          </w:p>
        </w:tc>
      </w:tr>
      <w:tr w:rsidR="00965D85" w:rsidRPr="001E7FA9" w:rsidTr="008B46DF">
        <w:tc>
          <w:tcPr>
            <w:tcW w:w="2947" w:type="dxa"/>
            <w:tcBorders>
              <w:top w:val="single" w:sz="6" w:space="0" w:color="000000"/>
              <w:left w:val="nil"/>
              <w:bottom w:val="single" w:sz="12" w:space="0" w:color="auto"/>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b/>
                <w:bCs/>
                <w:color w:val="000000"/>
                <w:sz w:val="20"/>
                <w:vertAlign w:val="superscript"/>
                <w:lang w:eastAsia="en-AU"/>
              </w:rPr>
            </w:pPr>
            <w:r w:rsidRPr="001E7FA9">
              <w:rPr>
                <w:rFonts w:ascii="Calibri" w:eastAsiaTheme="minorEastAsia" w:hAnsi="Calibri" w:cs="Calibri"/>
                <w:b/>
                <w:bCs/>
                <w:color w:val="000000"/>
                <w:sz w:val="20"/>
                <w:lang w:eastAsia="en-AU"/>
              </w:rPr>
              <w:t>GFS cash surplus/(deficit)</w:t>
            </w:r>
            <w:r w:rsidRPr="001E7FA9">
              <w:rPr>
                <w:rFonts w:ascii="Calibri" w:eastAsiaTheme="minorEastAsia" w:hAnsi="Calibri" w:cs="Calibri"/>
                <w:b/>
                <w:bCs/>
                <w:color w:val="000000"/>
                <w:sz w:val="20"/>
                <w:vertAlign w:val="superscript"/>
                <w:lang w:eastAsia="en-AU"/>
              </w:rPr>
              <w:t xml:space="preserve"> (b)</w:t>
            </w:r>
          </w:p>
        </w:tc>
        <w:tc>
          <w:tcPr>
            <w:tcW w:w="964" w:type="dxa"/>
            <w:tcBorders>
              <w:top w:val="single" w:sz="6" w:space="0" w:color="000000"/>
              <w:left w:val="nil"/>
              <w:bottom w:val="single" w:sz="12" w:space="0" w:color="auto"/>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1E7FA9">
              <w:rPr>
                <w:rFonts w:ascii="Calibri" w:eastAsiaTheme="minorEastAsia" w:hAnsi="Calibri" w:cs="Calibri"/>
                <w:b/>
                <w:bCs/>
                <w:color w:val="000000"/>
                <w:sz w:val="20"/>
                <w:lang w:eastAsia="en-AU"/>
              </w:rPr>
              <w:t>4 330.5</w:t>
            </w:r>
          </w:p>
        </w:tc>
        <w:tc>
          <w:tcPr>
            <w:tcW w:w="964" w:type="dxa"/>
            <w:tcBorders>
              <w:top w:val="single" w:sz="6" w:space="0" w:color="000000"/>
              <w:left w:val="nil"/>
              <w:bottom w:val="single" w:sz="12" w:space="0" w:color="auto"/>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1E7FA9">
              <w:rPr>
                <w:rFonts w:ascii="Calibri" w:eastAsiaTheme="minorEastAsia" w:hAnsi="Calibri" w:cs="Calibri"/>
                <w:b/>
                <w:bCs/>
                <w:color w:val="000000"/>
                <w:sz w:val="20"/>
                <w:lang w:eastAsia="en-AU"/>
              </w:rPr>
              <w:t>4 799.6</w:t>
            </w:r>
          </w:p>
        </w:tc>
        <w:tc>
          <w:tcPr>
            <w:tcW w:w="964" w:type="dxa"/>
            <w:tcBorders>
              <w:top w:val="single" w:sz="6" w:space="0" w:color="000000"/>
              <w:left w:val="nil"/>
              <w:bottom w:val="single" w:sz="12" w:space="0" w:color="auto"/>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20"/>
                <w:lang w:eastAsia="en-AU"/>
              </w:rPr>
              <w:t>(2 572.6)</w:t>
            </w:r>
          </w:p>
        </w:tc>
        <w:tc>
          <w:tcPr>
            <w:tcW w:w="964" w:type="dxa"/>
            <w:tcBorders>
              <w:top w:val="single" w:sz="6" w:space="0" w:color="000000"/>
              <w:left w:val="nil"/>
              <w:bottom w:val="single" w:sz="12" w:space="0" w:color="auto"/>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20"/>
                <w:lang w:eastAsia="en-AU"/>
              </w:rPr>
              <w:t>(1 812.2)</w:t>
            </w:r>
          </w:p>
        </w:tc>
        <w:tc>
          <w:tcPr>
            <w:tcW w:w="964" w:type="dxa"/>
            <w:tcBorders>
              <w:top w:val="single" w:sz="6" w:space="0" w:color="000000"/>
              <w:left w:val="nil"/>
              <w:bottom w:val="single" w:sz="12" w:space="0" w:color="auto"/>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20"/>
                <w:lang w:eastAsia="en-AU"/>
              </w:rPr>
              <w:t>(1 093.8)</w:t>
            </w:r>
          </w:p>
        </w:tc>
      </w:tr>
      <w:tr w:rsidR="00965D85" w:rsidRPr="001E7FA9" w:rsidTr="008B46DF">
        <w:tc>
          <w:tcPr>
            <w:tcW w:w="7767" w:type="dxa"/>
            <w:gridSpan w:val="6"/>
            <w:tcBorders>
              <w:top w:val="single" w:sz="12" w:space="0" w:color="auto"/>
              <w:left w:val="nil"/>
              <w:bottom w:val="nil"/>
              <w:right w:val="nil"/>
            </w:tcBorders>
            <w:shd w:val="clear" w:color="auto" w:fill="auto"/>
          </w:tcPr>
          <w:p w:rsidR="00965D85" w:rsidRPr="001E7FA9" w:rsidRDefault="00965D85" w:rsidP="008B46DF">
            <w:pPr>
              <w:pStyle w:val="Source"/>
              <w:rPr>
                <w:rFonts w:eastAsiaTheme="minorEastAsia"/>
                <w:lang w:eastAsia="en-AU"/>
              </w:rPr>
            </w:pPr>
            <w:r w:rsidRPr="001E7FA9">
              <w:rPr>
                <w:rFonts w:eastAsiaTheme="minorEastAsia"/>
                <w:lang w:eastAsia="en-AU"/>
              </w:rPr>
              <w:t>Source: Department of Treasury and Finance</w:t>
            </w:r>
          </w:p>
        </w:tc>
      </w:tr>
    </w:tbl>
    <w:p w:rsidR="00965D85" w:rsidRPr="00144F12" w:rsidRDefault="00965D85" w:rsidP="008B46DF">
      <w:pPr>
        <w:pStyle w:val="Notes"/>
        <w:rPr>
          <w:lang w:eastAsia="en-AU"/>
        </w:rPr>
      </w:pPr>
      <w:r w:rsidRPr="00144F12">
        <w:rPr>
          <w:lang w:eastAsia="en-AU"/>
        </w:rPr>
        <w:t>Notes:</w:t>
      </w:r>
    </w:p>
    <w:p w:rsidR="00965D85" w:rsidRPr="00144F12" w:rsidRDefault="00965D85" w:rsidP="008B46DF">
      <w:pPr>
        <w:pStyle w:val="Notes"/>
        <w:rPr>
          <w:lang w:eastAsia="en-AU"/>
        </w:rPr>
      </w:pPr>
      <w:r w:rsidRPr="00144F12">
        <w:rPr>
          <w:lang w:eastAsia="en-AU"/>
        </w:rPr>
        <w:t>(a)</w:t>
      </w:r>
      <w:r w:rsidRPr="00144F12">
        <w:rPr>
          <w:lang w:eastAsia="en-AU"/>
        </w:rPr>
        <w:tab/>
        <w:t>The finance lease acquisition in 2015</w:t>
      </w:r>
      <w:r>
        <w:rPr>
          <w:lang w:eastAsia="en-AU"/>
        </w:rPr>
        <w:noBreakHyphen/>
      </w:r>
      <w:r w:rsidRPr="00144F12">
        <w:rPr>
          <w:lang w:eastAsia="en-AU"/>
        </w:rPr>
        <w:t xml:space="preserve">16 relates to the Victorian Comprehensive Cancer Centre and metropolitan </w:t>
      </w:r>
      <w:r>
        <w:rPr>
          <w:lang w:eastAsia="en-AU"/>
        </w:rPr>
        <w:t xml:space="preserve">Melbourne </w:t>
      </w:r>
      <w:r w:rsidRPr="00144F12">
        <w:rPr>
          <w:lang w:eastAsia="en-AU"/>
        </w:rPr>
        <w:t>bus</w:t>
      </w:r>
      <w:r>
        <w:rPr>
          <w:lang w:eastAsia="en-AU"/>
        </w:rPr>
        <w:t xml:space="preserve"> contracts</w:t>
      </w:r>
      <w:r w:rsidRPr="00144F12">
        <w:rPr>
          <w:lang w:eastAsia="en-AU"/>
        </w:rPr>
        <w:t xml:space="preserve">. </w:t>
      </w:r>
      <w:r w:rsidRPr="00144F12">
        <w:t>The 2016</w:t>
      </w:r>
      <w:r>
        <w:noBreakHyphen/>
      </w:r>
      <w:r w:rsidRPr="00144F12">
        <w:t xml:space="preserve">17 </w:t>
      </w:r>
      <w:r>
        <w:t>figure</w:t>
      </w:r>
      <w:r w:rsidRPr="00144F12">
        <w:t xml:space="preserve"> </w:t>
      </w:r>
      <w:r>
        <w:t xml:space="preserve">relates to the </w:t>
      </w:r>
      <w:r w:rsidRPr="00144F12">
        <w:t>new Bendigo Hospital project</w:t>
      </w:r>
      <w:r>
        <w:t xml:space="preserve"> </w:t>
      </w:r>
      <w:r w:rsidRPr="00144F12">
        <w:t xml:space="preserve">(stage 1), the New Schools PPP </w:t>
      </w:r>
      <w:r>
        <w:t xml:space="preserve">project </w:t>
      </w:r>
      <w:r w:rsidRPr="00144F12">
        <w:t xml:space="preserve">(tranche 1) and the metropolitan </w:t>
      </w:r>
      <w:r>
        <w:t xml:space="preserve">Melbourne </w:t>
      </w:r>
      <w:r w:rsidRPr="00144F12">
        <w:t>bus</w:t>
      </w:r>
      <w:r>
        <w:t xml:space="preserve"> contracts</w:t>
      </w:r>
      <w:r w:rsidRPr="00144F12">
        <w:t>. The 2017</w:t>
      </w:r>
      <w:r>
        <w:noBreakHyphen/>
      </w:r>
      <w:r w:rsidRPr="00144F12">
        <w:t>18 estimates relates to the Ravenhall Priso</w:t>
      </w:r>
      <w:r>
        <w:t xml:space="preserve">n project, the </w:t>
      </w:r>
      <w:r w:rsidRPr="00144F12">
        <w:t xml:space="preserve">new Bendigo Hospital project (stage 2) and the New Schools PPP </w:t>
      </w:r>
      <w:r>
        <w:t xml:space="preserve">project </w:t>
      </w:r>
      <w:r w:rsidRPr="00144F12">
        <w:t>(tranche 2).</w:t>
      </w:r>
    </w:p>
    <w:p w:rsidR="00965D85" w:rsidRDefault="00965D85" w:rsidP="008B46DF">
      <w:pPr>
        <w:pStyle w:val="Notes"/>
        <w:rPr>
          <w:lang w:eastAsia="en-AU"/>
        </w:rPr>
      </w:pPr>
      <w:r w:rsidRPr="00144F12">
        <w:rPr>
          <w:lang w:eastAsia="en-AU"/>
        </w:rPr>
        <w:t>(b)</w:t>
      </w:r>
      <w:r w:rsidRPr="00144F12">
        <w:rPr>
          <w:lang w:eastAsia="en-AU"/>
        </w:rPr>
        <w:tab/>
        <w:t>Determined in accordance with the ABS GFS manual.</w:t>
      </w:r>
    </w:p>
    <w:p w:rsidR="00965D85" w:rsidRDefault="00965D85" w:rsidP="008B46DF">
      <w:pPr>
        <w:rPr>
          <w:lang w:eastAsia="en-AU"/>
        </w:rPr>
      </w:pPr>
    </w:p>
    <w:p w:rsidR="00965D85" w:rsidRDefault="00965D85" w:rsidP="008B46DF">
      <w:pPr>
        <w:rPr>
          <w:lang w:eastAsia="en-AU"/>
        </w:rPr>
      </w:pPr>
    </w:p>
    <w:p w:rsidR="00965D85" w:rsidRDefault="00965D85" w:rsidP="008B46DF">
      <w:pPr>
        <w:pStyle w:val="Tableheading"/>
        <w:rPr>
          <w:rFonts w:ascii="Times New Roman" w:hAnsi="Times New Roman"/>
          <w:i/>
          <w:sz w:val="20"/>
          <w:lang w:eastAsia="en-AU"/>
        </w:rPr>
      </w:pPr>
      <w:r w:rsidRPr="00C24CD2">
        <w:rPr>
          <w:lang w:eastAsia="en-AU"/>
        </w:rPr>
        <w:t>Table 5.12:</w:t>
      </w:r>
      <w:r w:rsidRPr="00C24CD2">
        <w:rPr>
          <w:lang w:eastAsia="en-AU"/>
        </w:rPr>
        <w:tab/>
        <w:t>Net acquisition of non</w:t>
      </w:r>
      <w:r>
        <w:rPr>
          <w:lang w:eastAsia="en-AU"/>
        </w:rPr>
        <w:noBreakHyphen/>
      </w:r>
      <w:r w:rsidRPr="00C24CD2">
        <w:rPr>
          <w:lang w:eastAsia="en-AU"/>
        </w:rPr>
        <w:t>financial assets</w:t>
      </w:r>
      <w:r>
        <w:rPr>
          <w:lang w:eastAsia="en-AU"/>
        </w:rPr>
        <w:t xml:space="preserve"> – </w:t>
      </w:r>
      <w:r w:rsidRPr="00C24CD2">
        <w:rPr>
          <w:lang w:eastAsia="en-AU"/>
        </w:rPr>
        <w:t>non</w:t>
      </w:r>
      <w:r>
        <w:rPr>
          <w:lang w:eastAsia="en-AU"/>
        </w:rPr>
        <w:noBreakHyphen/>
      </w:r>
      <w:r w:rsidRPr="00C24CD2">
        <w:rPr>
          <w:lang w:eastAsia="en-AU"/>
        </w:rPr>
        <w:t>financial public sector</w:t>
      </w:r>
      <w:r w:rsidRPr="0003162C">
        <w:rPr>
          <w:vertAlign w:val="superscript"/>
          <w:lang w:eastAsia="en-AU"/>
        </w:rPr>
        <w:t>(a)</w:t>
      </w:r>
    </w:p>
    <w:tbl>
      <w:tblPr>
        <w:tblW w:w="7767" w:type="dxa"/>
        <w:tblInd w:w="28" w:type="dxa"/>
        <w:tblLayout w:type="fixed"/>
        <w:tblCellMar>
          <w:left w:w="28" w:type="dxa"/>
          <w:right w:w="28" w:type="dxa"/>
        </w:tblCellMar>
        <w:tblLook w:val="0000" w:firstRow="0" w:lastRow="0" w:firstColumn="0" w:lastColumn="0" w:noHBand="0" w:noVBand="0"/>
      </w:tblPr>
      <w:tblGrid>
        <w:gridCol w:w="3119"/>
        <w:gridCol w:w="929"/>
        <w:gridCol w:w="930"/>
        <w:gridCol w:w="929"/>
        <w:gridCol w:w="930"/>
        <w:gridCol w:w="930"/>
      </w:tblGrid>
      <w:tr w:rsidR="00965D85" w:rsidRPr="001E7FA9" w:rsidTr="008B46DF">
        <w:trPr>
          <w:tblHeader/>
        </w:trPr>
        <w:tc>
          <w:tcPr>
            <w:tcW w:w="7767" w:type="dxa"/>
            <w:gridSpan w:val="6"/>
            <w:tcBorders>
              <w:top w:val="nil"/>
              <w:left w:val="nil"/>
              <w:bottom w:val="nil"/>
              <w:right w:val="nil"/>
            </w:tcBorders>
          </w:tcPr>
          <w:p w:rsidR="00965D85" w:rsidRPr="001E7FA9" w:rsidRDefault="00965D85" w:rsidP="008B46DF">
            <w:pPr>
              <w:pStyle w:val="million"/>
              <w:rPr>
                <w:rFonts w:eastAsiaTheme="minorEastAsia" w:cs="Calibri"/>
                <w:iCs/>
                <w:color w:val="000000"/>
                <w:sz w:val="20"/>
                <w:lang w:eastAsia="en-AU"/>
              </w:rPr>
            </w:pPr>
            <w:r w:rsidRPr="001E7FA9">
              <w:rPr>
                <w:rFonts w:eastAsiaTheme="minorEastAsia"/>
                <w:lang w:eastAsia="en-AU"/>
              </w:rPr>
              <w:t>($ million</w:t>
            </w:r>
            <w:r w:rsidRPr="001E7FA9">
              <w:rPr>
                <w:rFonts w:eastAsiaTheme="minorEastAsia" w:cs="Calibri"/>
                <w:iCs/>
                <w:color w:val="000000"/>
                <w:sz w:val="20"/>
                <w:lang w:eastAsia="en-AU"/>
              </w:rPr>
              <w:t>)</w:t>
            </w:r>
          </w:p>
        </w:tc>
      </w:tr>
      <w:tr w:rsidR="00965D85" w:rsidRPr="001E7FA9" w:rsidTr="008B46DF">
        <w:trPr>
          <w:trHeight w:val="488"/>
          <w:tblHeader/>
        </w:trPr>
        <w:tc>
          <w:tcPr>
            <w:tcW w:w="3119" w:type="dxa"/>
            <w:tcBorders>
              <w:top w:val="nil"/>
              <w:left w:val="nil"/>
              <w:right w:val="nil"/>
            </w:tcBorders>
            <w:shd w:val="solid" w:color="000000" w:fill="auto"/>
          </w:tcPr>
          <w:p w:rsidR="00965D85" w:rsidRPr="001E7FA9" w:rsidRDefault="00965D85" w:rsidP="008B46DF">
            <w:pPr>
              <w:autoSpaceDE w:val="0"/>
              <w:autoSpaceDN w:val="0"/>
              <w:adjustRightInd w:val="0"/>
              <w:spacing w:after="0"/>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 xml:space="preserve"> </w:t>
            </w:r>
          </w:p>
          <w:p w:rsidR="00965D85" w:rsidRPr="001E7FA9" w:rsidRDefault="00965D85" w:rsidP="008B46DF">
            <w:pPr>
              <w:autoSpaceDE w:val="0"/>
              <w:autoSpaceDN w:val="0"/>
              <w:adjustRightInd w:val="0"/>
              <w:spacing w:after="0"/>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 xml:space="preserve"> </w:t>
            </w:r>
          </w:p>
        </w:tc>
        <w:tc>
          <w:tcPr>
            <w:tcW w:w="929" w:type="dxa"/>
            <w:tcBorders>
              <w:top w:val="nil"/>
              <w:left w:val="nil"/>
              <w:right w:val="nil"/>
            </w:tcBorders>
            <w:shd w:val="solid" w:color="000000" w:fill="auto"/>
          </w:tcPr>
          <w:p w:rsidR="00965D85" w:rsidRPr="001E7FA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1E7FA9">
              <w:rPr>
                <w:rFonts w:ascii="Calibri" w:eastAsiaTheme="minorEastAsia" w:hAnsi="Calibri" w:cs="Calibri"/>
                <w:i/>
                <w:iCs/>
                <w:color w:val="FFFFFF"/>
                <w:sz w:val="20"/>
                <w:lang w:eastAsia="en-AU"/>
              </w:rPr>
              <w:t>2015</w:t>
            </w:r>
            <w:r>
              <w:rPr>
                <w:rFonts w:ascii="Calibri" w:eastAsiaTheme="minorEastAsia" w:hAnsi="Calibri" w:cs="Calibri"/>
                <w:i/>
                <w:iCs/>
                <w:color w:val="FFFFFF"/>
                <w:sz w:val="20"/>
                <w:lang w:eastAsia="en-AU"/>
              </w:rPr>
              <w:noBreakHyphen/>
            </w:r>
            <w:r w:rsidRPr="001E7FA9">
              <w:rPr>
                <w:rFonts w:ascii="Calibri" w:eastAsiaTheme="minorEastAsia" w:hAnsi="Calibri" w:cs="Calibri"/>
                <w:i/>
                <w:iCs/>
                <w:color w:val="FFFFFF"/>
                <w:sz w:val="20"/>
                <w:lang w:eastAsia="en-AU"/>
              </w:rPr>
              <w:t xml:space="preserve">16 </w:t>
            </w:r>
          </w:p>
          <w:p w:rsidR="00965D85" w:rsidRPr="001E7FA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1E7FA9">
              <w:rPr>
                <w:rFonts w:ascii="Calibri" w:eastAsiaTheme="minorEastAsia" w:hAnsi="Calibri" w:cs="Calibri"/>
                <w:i/>
                <w:iCs/>
                <w:color w:val="FFFFFF"/>
                <w:sz w:val="20"/>
                <w:lang w:eastAsia="en-AU"/>
              </w:rPr>
              <w:t>budget</w:t>
            </w:r>
          </w:p>
        </w:tc>
        <w:tc>
          <w:tcPr>
            <w:tcW w:w="930" w:type="dxa"/>
            <w:tcBorders>
              <w:top w:val="nil"/>
              <w:left w:val="nil"/>
              <w:right w:val="nil"/>
            </w:tcBorders>
            <w:shd w:val="solid" w:color="000000" w:fill="auto"/>
          </w:tcPr>
          <w:p w:rsidR="00965D85" w:rsidRPr="001E7FA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1E7FA9">
              <w:rPr>
                <w:rFonts w:ascii="Calibri" w:eastAsiaTheme="minorEastAsia" w:hAnsi="Calibri" w:cs="Calibri"/>
                <w:i/>
                <w:iCs/>
                <w:color w:val="FFFFFF"/>
                <w:sz w:val="20"/>
                <w:lang w:eastAsia="en-AU"/>
              </w:rPr>
              <w:t>2015</w:t>
            </w:r>
            <w:r>
              <w:rPr>
                <w:rFonts w:ascii="Calibri" w:eastAsiaTheme="minorEastAsia" w:hAnsi="Calibri" w:cs="Calibri"/>
                <w:i/>
                <w:iCs/>
                <w:color w:val="FFFFFF"/>
                <w:sz w:val="20"/>
                <w:lang w:eastAsia="en-AU"/>
              </w:rPr>
              <w:noBreakHyphen/>
            </w:r>
            <w:r w:rsidRPr="001E7FA9">
              <w:rPr>
                <w:rFonts w:ascii="Calibri" w:eastAsiaTheme="minorEastAsia" w:hAnsi="Calibri" w:cs="Calibri"/>
                <w:i/>
                <w:iCs/>
                <w:color w:val="FFFFFF"/>
                <w:sz w:val="20"/>
                <w:lang w:eastAsia="en-AU"/>
              </w:rPr>
              <w:t xml:space="preserve">16 </w:t>
            </w:r>
          </w:p>
          <w:p w:rsidR="00965D85" w:rsidRPr="001E7FA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1E7FA9">
              <w:rPr>
                <w:rFonts w:ascii="Calibri" w:eastAsiaTheme="minorEastAsia" w:hAnsi="Calibri" w:cs="Calibri"/>
                <w:i/>
                <w:iCs/>
                <w:color w:val="FFFFFF"/>
                <w:sz w:val="20"/>
                <w:lang w:eastAsia="en-AU"/>
              </w:rPr>
              <w:t>revised</w:t>
            </w:r>
          </w:p>
        </w:tc>
        <w:tc>
          <w:tcPr>
            <w:tcW w:w="929" w:type="dxa"/>
            <w:tcBorders>
              <w:top w:val="nil"/>
              <w:left w:val="nil"/>
              <w:right w:val="nil"/>
            </w:tcBorders>
            <w:shd w:val="solid" w:color="000000" w:fill="auto"/>
          </w:tcPr>
          <w:p w:rsidR="00965D85" w:rsidRPr="001E7FA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1E7FA9">
              <w:rPr>
                <w:rFonts w:ascii="Calibri" w:eastAsiaTheme="minorEastAsia" w:hAnsi="Calibri" w:cs="Calibri"/>
                <w:i/>
                <w:iCs/>
                <w:color w:val="FFFFFF"/>
                <w:sz w:val="20"/>
                <w:lang w:eastAsia="en-AU"/>
              </w:rPr>
              <w:t>2016</w:t>
            </w:r>
            <w:r>
              <w:rPr>
                <w:rFonts w:ascii="Calibri" w:eastAsiaTheme="minorEastAsia" w:hAnsi="Calibri" w:cs="Calibri"/>
                <w:i/>
                <w:iCs/>
                <w:color w:val="FFFFFF"/>
                <w:sz w:val="20"/>
                <w:lang w:eastAsia="en-AU"/>
              </w:rPr>
              <w:noBreakHyphen/>
            </w:r>
            <w:r w:rsidRPr="001E7FA9">
              <w:rPr>
                <w:rFonts w:ascii="Calibri" w:eastAsiaTheme="minorEastAsia" w:hAnsi="Calibri" w:cs="Calibri"/>
                <w:i/>
                <w:iCs/>
                <w:color w:val="FFFFFF"/>
                <w:sz w:val="20"/>
                <w:lang w:eastAsia="en-AU"/>
              </w:rPr>
              <w:t xml:space="preserve">17 </w:t>
            </w:r>
          </w:p>
          <w:p w:rsidR="00965D85" w:rsidRPr="001E7FA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1E7FA9">
              <w:rPr>
                <w:rFonts w:ascii="Calibri" w:eastAsiaTheme="minorEastAsia" w:hAnsi="Calibri" w:cs="Calibri"/>
                <w:i/>
                <w:iCs/>
                <w:color w:val="FFFFFF"/>
                <w:sz w:val="20"/>
                <w:lang w:eastAsia="en-AU"/>
              </w:rPr>
              <w:t>estimate</w:t>
            </w:r>
          </w:p>
        </w:tc>
        <w:tc>
          <w:tcPr>
            <w:tcW w:w="930" w:type="dxa"/>
            <w:tcBorders>
              <w:top w:val="nil"/>
              <w:left w:val="nil"/>
              <w:right w:val="nil"/>
            </w:tcBorders>
            <w:shd w:val="solid" w:color="000000" w:fill="auto"/>
          </w:tcPr>
          <w:p w:rsidR="00965D85" w:rsidRPr="001E7FA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1E7FA9">
              <w:rPr>
                <w:rFonts w:ascii="Calibri" w:eastAsiaTheme="minorEastAsia" w:hAnsi="Calibri" w:cs="Calibri"/>
                <w:i/>
                <w:iCs/>
                <w:color w:val="FFFFFF"/>
                <w:sz w:val="20"/>
                <w:lang w:eastAsia="en-AU"/>
              </w:rPr>
              <w:t>2017</w:t>
            </w:r>
            <w:r>
              <w:rPr>
                <w:rFonts w:ascii="Calibri" w:eastAsiaTheme="minorEastAsia" w:hAnsi="Calibri" w:cs="Calibri"/>
                <w:i/>
                <w:iCs/>
                <w:color w:val="FFFFFF"/>
                <w:sz w:val="20"/>
                <w:lang w:eastAsia="en-AU"/>
              </w:rPr>
              <w:noBreakHyphen/>
            </w:r>
            <w:r w:rsidRPr="001E7FA9">
              <w:rPr>
                <w:rFonts w:ascii="Calibri" w:eastAsiaTheme="minorEastAsia" w:hAnsi="Calibri" w:cs="Calibri"/>
                <w:i/>
                <w:iCs/>
                <w:color w:val="FFFFFF"/>
                <w:sz w:val="20"/>
                <w:lang w:eastAsia="en-AU"/>
              </w:rPr>
              <w:t xml:space="preserve">18 </w:t>
            </w:r>
          </w:p>
          <w:p w:rsidR="00965D85" w:rsidRPr="001E7FA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1E7FA9">
              <w:rPr>
                <w:rFonts w:ascii="Calibri" w:eastAsiaTheme="minorEastAsia" w:hAnsi="Calibri" w:cs="Calibri"/>
                <w:i/>
                <w:iCs/>
                <w:color w:val="FFFFFF"/>
                <w:sz w:val="20"/>
                <w:lang w:eastAsia="en-AU"/>
              </w:rPr>
              <w:t>estimate</w:t>
            </w:r>
          </w:p>
        </w:tc>
        <w:tc>
          <w:tcPr>
            <w:tcW w:w="930" w:type="dxa"/>
            <w:tcBorders>
              <w:top w:val="nil"/>
              <w:left w:val="nil"/>
              <w:right w:val="nil"/>
            </w:tcBorders>
            <w:shd w:val="solid" w:color="000000" w:fill="auto"/>
          </w:tcPr>
          <w:p w:rsidR="00965D85" w:rsidRPr="001E7FA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1E7FA9">
              <w:rPr>
                <w:rFonts w:ascii="Calibri" w:eastAsiaTheme="minorEastAsia" w:hAnsi="Calibri" w:cs="Calibri"/>
                <w:i/>
                <w:iCs/>
                <w:color w:val="FFFFFF"/>
                <w:sz w:val="20"/>
                <w:lang w:eastAsia="en-AU"/>
              </w:rPr>
              <w:t>2018</w:t>
            </w:r>
            <w:r>
              <w:rPr>
                <w:rFonts w:ascii="Calibri" w:eastAsiaTheme="minorEastAsia" w:hAnsi="Calibri" w:cs="Calibri"/>
                <w:i/>
                <w:iCs/>
                <w:color w:val="FFFFFF"/>
                <w:sz w:val="20"/>
                <w:lang w:eastAsia="en-AU"/>
              </w:rPr>
              <w:noBreakHyphen/>
            </w:r>
            <w:r w:rsidRPr="001E7FA9">
              <w:rPr>
                <w:rFonts w:ascii="Calibri" w:eastAsiaTheme="minorEastAsia" w:hAnsi="Calibri" w:cs="Calibri"/>
                <w:i/>
                <w:iCs/>
                <w:color w:val="FFFFFF"/>
                <w:sz w:val="20"/>
                <w:lang w:eastAsia="en-AU"/>
              </w:rPr>
              <w:t xml:space="preserve">19 </w:t>
            </w:r>
          </w:p>
          <w:p w:rsidR="00965D85" w:rsidRPr="001E7FA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1E7FA9">
              <w:rPr>
                <w:rFonts w:ascii="Calibri" w:eastAsiaTheme="minorEastAsia" w:hAnsi="Calibri" w:cs="Calibri"/>
                <w:i/>
                <w:iCs/>
                <w:color w:val="FFFFFF"/>
                <w:sz w:val="20"/>
                <w:lang w:eastAsia="en-AU"/>
              </w:rPr>
              <w:t>estimate</w:t>
            </w:r>
          </w:p>
        </w:tc>
      </w:tr>
      <w:tr w:rsidR="00965D85" w:rsidRPr="001E7FA9" w:rsidTr="008B46DF">
        <w:tc>
          <w:tcPr>
            <w:tcW w:w="3119" w:type="dxa"/>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color w:val="000000"/>
                <w:sz w:val="20"/>
                <w:vertAlign w:val="superscript"/>
                <w:lang w:eastAsia="en-AU"/>
              </w:rPr>
            </w:pPr>
            <w:r w:rsidRPr="001E7FA9">
              <w:rPr>
                <w:rFonts w:ascii="Calibri" w:eastAsiaTheme="minorEastAsia" w:hAnsi="Calibri" w:cs="Calibri"/>
                <w:color w:val="000000"/>
                <w:sz w:val="20"/>
                <w:lang w:eastAsia="en-AU"/>
              </w:rPr>
              <w:t>Purchases of non</w:t>
            </w:r>
            <w:r>
              <w:rPr>
                <w:rFonts w:ascii="Calibri" w:eastAsiaTheme="minorEastAsia" w:hAnsi="Calibri" w:cs="Calibri"/>
                <w:color w:val="000000"/>
                <w:sz w:val="20"/>
                <w:lang w:eastAsia="en-AU"/>
              </w:rPr>
              <w:noBreakHyphen/>
            </w:r>
            <w:r w:rsidRPr="001E7FA9">
              <w:rPr>
                <w:rFonts w:ascii="Calibri" w:eastAsiaTheme="minorEastAsia" w:hAnsi="Calibri" w:cs="Calibri"/>
                <w:color w:val="000000"/>
                <w:sz w:val="20"/>
                <w:lang w:eastAsia="en-AU"/>
              </w:rPr>
              <w:t>financial assets less sales of non</w:t>
            </w:r>
            <w:r>
              <w:rPr>
                <w:rFonts w:ascii="Calibri" w:eastAsiaTheme="minorEastAsia" w:hAnsi="Calibri" w:cs="Calibri"/>
                <w:color w:val="000000"/>
                <w:sz w:val="20"/>
                <w:lang w:eastAsia="en-AU"/>
              </w:rPr>
              <w:noBreakHyphen/>
            </w:r>
            <w:r w:rsidRPr="001E7FA9">
              <w:rPr>
                <w:rFonts w:ascii="Calibri" w:eastAsiaTheme="minorEastAsia" w:hAnsi="Calibri" w:cs="Calibri"/>
                <w:color w:val="000000"/>
                <w:sz w:val="20"/>
                <w:lang w:eastAsia="en-AU"/>
              </w:rPr>
              <w:t>financial assets</w:t>
            </w:r>
            <w:r w:rsidRPr="001E7FA9">
              <w:rPr>
                <w:rFonts w:ascii="Calibri" w:eastAsiaTheme="minorEastAsia" w:hAnsi="Calibri" w:cs="Calibri"/>
                <w:color w:val="000000"/>
                <w:sz w:val="20"/>
                <w:vertAlign w:val="superscript"/>
                <w:lang w:eastAsia="en-AU"/>
              </w:rPr>
              <w:t xml:space="preserve"> (b)</w:t>
            </w:r>
          </w:p>
        </w:tc>
        <w:tc>
          <w:tcPr>
            <w:tcW w:w="929"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(504.9)</w:t>
            </w:r>
          </w:p>
        </w:tc>
        <w:tc>
          <w:tcPr>
            <w:tcW w:w="930"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(867.2)</w:t>
            </w:r>
          </w:p>
        </w:tc>
        <w:tc>
          <w:tcPr>
            <w:tcW w:w="929"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7 445.8</w:t>
            </w:r>
          </w:p>
        </w:tc>
        <w:tc>
          <w:tcPr>
            <w:tcW w:w="930"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7 055.5</w:t>
            </w:r>
          </w:p>
        </w:tc>
        <w:tc>
          <w:tcPr>
            <w:tcW w:w="930"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6 968.8</w:t>
            </w:r>
          </w:p>
        </w:tc>
      </w:tr>
      <w:tr w:rsidR="00965D85" w:rsidRPr="001E7FA9" w:rsidTr="008B46DF">
        <w:tc>
          <w:tcPr>
            <w:tcW w:w="3119" w:type="dxa"/>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Less: Depreciation</w:t>
            </w:r>
          </w:p>
        </w:tc>
        <w:tc>
          <w:tcPr>
            <w:tcW w:w="929"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(4 706.5)</w:t>
            </w:r>
          </w:p>
        </w:tc>
        <w:tc>
          <w:tcPr>
            <w:tcW w:w="930"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(4 633.0)</w:t>
            </w:r>
          </w:p>
        </w:tc>
        <w:tc>
          <w:tcPr>
            <w:tcW w:w="929"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(4 766.4)</w:t>
            </w:r>
          </w:p>
        </w:tc>
        <w:tc>
          <w:tcPr>
            <w:tcW w:w="930"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(5 017.1)</w:t>
            </w:r>
          </w:p>
        </w:tc>
        <w:tc>
          <w:tcPr>
            <w:tcW w:w="930"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(5 361.2)</w:t>
            </w:r>
          </w:p>
        </w:tc>
      </w:tr>
      <w:tr w:rsidR="00965D85" w:rsidRPr="001E7FA9" w:rsidTr="008B46DF">
        <w:tc>
          <w:tcPr>
            <w:tcW w:w="3119" w:type="dxa"/>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color w:val="000000"/>
                <w:sz w:val="20"/>
                <w:vertAlign w:val="superscript"/>
                <w:lang w:eastAsia="en-AU"/>
              </w:rPr>
            </w:pPr>
            <w:r w:rsidRPr="001E7FA9">
              <w:rPr>
                <w:rFonts w:ascii="Calibri" w:eastAsiaTheme="minorEastAsia" w:hAnsi="Calibri" w:cs="Calibri"/>
                <w:color w:val="000000"/>
                <w:sz w:val="20"/>
                <w:lang w:eastAsia="en-AU"/>
              </w:rPr>
              <w:t>Plus: Other movements in non</w:t>
            </w:r>
            <w:r>
              <w:rPr>
                <w:rFonts w:ascii="Calibri" w:eastAsiaTheme="minorEastAsia" w:hAnsi="Calibri" w:cs="Calibri"/>
                <w:color w:val="000000"/>
                <w:sz w:val="20"/>
                <w:lang w:eastAsia="en-AU"/>
              </w:rPr>
              <w:noBreakHyphen/>
            </w:r>
            <w:r w:rsidRPr="001E7FA9">
              <w:rPr>
                <w:rFonts w:ascii="Calibri" w:eastAsiaTheme="minorEastAsia" w:hAnsi="Calibri" w:cs="Calibri"/>
                <w:color w:val="000000"/>
                <w:sz w:val="20"/>
                <w:lang w:eastAsia="en-AU"/>
              </w:rPr>
              <w:t>financial assets</w:t>
            </w:r>
            <w:r w:rsidRPr="001E7FA9">
              <w:rPr>
                <w:rFonts w:ascii="Calibri" w:eastAsiaTheme="minorEastAsia" w:hAnsi="Calibri" w:cs="Calibri"/>
                <w:color w:val="000000"/>
                <w:sz w:val="20"/>
                <w:vertAlign w:val="superscript"/>
                <w:lang w:eastAsia="en-AU"/>
              </w:rPr>
              <w:t xml:space="preserve"> (b)(c)</w:t>
            </w:r>
          </w:p>
        </w:tc>
        <w:tc>
          <w:tcPr>
            <w:tcW w:w="929" w:type="dxa"/>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1 157.9</w:t>
            </w:r>
          </w:p>
        </w:tc>
        <w:tc>
          <w:tcPr>
            <w:tcW w:w="930" w:type="dxa"/>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1 195.3</w:t>
            </w:r>
          </w:p>
        </w:tc>
        <w:tc>
          <w:tcPr>
            <w:tcW w:w="929" w:type="dxa"/>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570.2</w:t>
            </w:r>
          </w:p>
        </w:tc>
        <w:tc>
          <w:tcPr>
            <w:tcW w:w="930" w:type="dxa"/>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771.1</w:t>
            </w:r>
          </w:p>
        </w:tc>
        <w:tc>
          <w:tcPr>
            <w:tcW w:w="930" w:type="dxa"/>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122.9</w:t>
            </w:r>
          </w:p>
        </w:tc>
      </w:tr>
      <w:tr w:rsidR="00965D85" w:rsidRPr="001E7FA9" w:rsidTr="008B46DF">
        <w:tc>
          <w:tcPr>
            <w:tcW w:w="3119" w:type="dxa"/>
            <w:tcBorders>
              <w:top w:val="single" w:sz="6" w:space="0" w:color="000000"/>
              <w:left w:val="nil"/>
              <w:bottom w:val="single" w:sz="12" w:space="0" w:color="auto"/>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b/>
                <w:bCs/>
                <w:color w:val="000000"/>
                <w:sz w:val="20"/>
                <w:vertAlign w:val="superscript"/>
                <w:lang w:eastAsia="en-AU"/>
              </w:rPr>
            </w:pPr>
            <w:r w:rsidRPr="001E7FA9">
              <w:rPr>
                <w:rFonts w:ascii="Calibri" w:eastAsiaTheme="minorEastAsia" w:hAnsi="Calibri" w:cs="Calibri"/>
                <w:b/>
                <w:bCs/>
                <w:color w:val="000000"/>
                <w:sz w:val="20"/>
                <w:lang w:eastAsia="en-AU"/>
              </w:rPr>
              <w:t>Total net acquisition of non</w:t>
            </w:r>
            <w:r>
              <w:rPr>
                <w:rFonts w:ascii="Calibri" w:eastAsiaTheme="minorEastAsia" w:hAnsi="Calibri" w:cs="Calibri"/>
                <w:b/>
                <w:bCs/>
                <w:color w:val="000000"/>
                <w:sz w:val="20"/>
                <w:lang w:eastAsia="en-AU"/>
              </w:rPr>
              <w:noBreakHyphen/>
            </w:r>
            <w:r w:rsidRPr="001E7FA9">
              <w:rPr>
                <w:rFonts w:ascii="Calibri" w:eastAsiaTheme="minorEastAsia" w:hAnsi="Calibri" w:cs="Calibri"/>
                <w:b/>
                <w:bCs/>
                <w:color w:val="000000"/>
                <w:sz w:val="20"/>
                <w:lang w:eastAsia="en-AU"/>
              </w:rPr>
              <w:t>financial assets</w:t>
            </w:r>
            <w:r w:rsidRPr="001E7FA9">
              <w:rPr>
                <w:rFonts w:ascii="Calibri" w:eastAsiaTheme="minorEastAsia" w:hAnsi="Calibri" w:cs="Calibri"/>
                <w:b/>
                <w:bCs/>
                <w:color w:val="000000"/>
                <w:sz w:val="20"/>
                <w:vertAlign w:val="superscript"/>
                <w:lang w:eastAsia="en-AU"/>
              </w:rPr>
              <w:t xml:space="preserve"> (b)</w:t>
            </w:r>
          </w:p>
        </w:tc>
        <w:tc>
          <w:tcPr>
            <w:tcW w:w="929" w:type="dxa"/>
            <w:tcBorders>
              <w:top w:val="single" w:sz="6" w:space="0" w:color="000000"/>
              <w:left w:val="nil"/>
              <w:bottom w:val="single" w:sz="12" w:space="0" w:color="auto"/>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20"/>
                <w:lang w:eastAsia="en-AU"/>
              </w:rPr>
              <w:t>(4 053.5)</w:t>
            </w:r>
          </w:p>
        </w:tc>
        <w:tc>
          <w:tcPr>
            <w:tcW w:w="930" w:type="dxa"/>
            <w:tcBorders>
              <w:top w:val="single" w:sz="6" w:space="0" w:color="000000"/>
              <w:left w:val="nil"/>
              <w:bottom w:val="single" w:sz="12" w:space="0" w:color="auto"/>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20"/>
                <w:lang w:eastAsia="en-AU"/>
              </w:rPr>
              <w:t>(4 304.9)</w:t>
            </w:r>
          </w:p>
        </w:tc>
        <w:tc>
          <w:tcPr>
            <w:tcW w:w="929" w:type="dxa"/>
            <w:tcBorders>
              <w:top w:val="single" w:sz="6" w:space="0" w:color="000000"/>
              <w:left w:val="nil"/>
              <w:bottom w:val="single" w:sz="12" w:space="0" w:color="auto"/>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1E7FA9">
              <w:rPr>
                <w:rFonts w:ascii="Calibri" w:eastAsiaTheme="minorEastAsia" w:hAnsi="Calibri" w:cs="Calibri"/>
                <w:b/>
                <w:bCs/>
                <w:color w:val="000000"/>
                <w:sz w:val="20"/>
                <w:lang w:eastAsia="en-AU"/>
              </w:rPr>
              <w:t>3 249.6</w:t>
            </w:r>
          </w:p>
        </w:tc>
        <w:tc>
          <w:tcPr>
            <w:tcW w:w="930" w:type="dxa"/>
            <w:tcBorders>
              <w:top w:val="single" w:sz="6" w:space="0" w:color="000000"/>
              <w:left w:val="nil"/>
              <w:bottom w:val="single" w:sz="12" w:space="0" w:color="auto"/>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1E7FA9">
              <w:rPr>
                <w:rFonts w:ascii="Calibri" w:eastAsiaTheme="minorEastAsia" w:hAnsi="Calibri" w:cs="Calibri"/>
                <w:b/>
                <w:bCs/>
                <w:color w:val="000000"/>
                <w:sz w:val="20"/>
                <w:lang w:eastAsia="en-AU"/>
              </w:rPr>
              <w:t>2 809.5</w:t>
            </w:r>
          </w:p>
        </w:tc>
        <w:tc>
          <w:tcPr>
            <w:tcW w:w="930" w:type="dxa"/>
            <w:tcBorders>
              <w:top w:val="single" w:sz="6" w:space="0" w:color="000000"/>
              <w:left w:val="nil"/>
              <w:bottom w:val="single" w:sz="12" w:space="0" w:color="auto"/>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1E7FA9">
              <w:rPr>
                <w:rFonts w:ascii="Calibri" w:eastAsiaTheme="minorEastAsia" w:hAnsi="Calibri" w:cs="Calibri"/>
                <w:b/>
                <w:bCs/>
                <w:color w:val="000000"/>
                <w:sz w:val="20"/>
                <w:lang w:eastAsia="en-AU"/>
              </w:rPr>
              <w:t>1 730.5</w:t>
            </w:r>
          </w:p>
        </w:tc>
      </w:tr>
      <w:tr w:rsidR="00965D85" w:rsidRPr="001E7FA9" w:rsidTr="008B46DF">
        <w:tc>
          <w:tcPr>
            <w:tcW w:w="7767" w:type="dxa"/>
            <w:gridSpan w:val="6"/>
            <w:tcBorders>
              <w:top w:val="single" w:sz="12" w:space="0" w:color="auto"/>
              <w:left w:val="nil"/>
              <w:bottom w:val="nil"/>
              <w:right w:val="nil"/>
            </w:tcBorders>
            <w:shd w:val="clear" w:color="auto" w:fill="auto"/>
          </w:tcPr>
          <w:p w:rsidR="00965D85" w:rsidRPr="001E7FA9" w:rsidRDefault="00965D85" w:rsidP="008B46DF">
            <w:pPr>
              <w:pStyle w:val="Source"/>
              <w:rPr>
                <w:rFonts w:eastAsiaTheme="minorEastAsia"/>
                <w:lang w:eastAsia="en-AU"/>
              </w:rPr>
            </w:pPr>
            <w:r w:rsidRPr="001E7FA9">
              <w:rPr>
                <w:rFonts w:eastAsiaTheme="minorEastAsia"/>
                <w:lang w:eastAsia="en-AU"/>
              </w:rPr>
              <w:t>Source: Department of Treasury and Finance</w:t>
            </w:r>
          </w:p>
        </w:tc>
      </w:tr>
    </w:tbl>
    <w:p w:rsidR="00965D85" w:rsidRPr="0027082E" w:rsidRDefault="00965D85" w:rsidP="008B46DF">
      <w:pPr>
        <w:pStyle w:val="Notes"/>
        <w:rPr>
          <w:lang w:eastAsia="en-AU"/>
        </w:rPr>
      </w:pPr>
      <w:r w:rsidRPr="0027082E">
        <w:rPr>
          <w:lang w:eastAsia="en-AU"/>
        </w:rPr>
        <w:t>Notes:</w:t>
      </w:r>
    </w:p>
    <w:p w:rsidR="00965D85" w:rsidRDefault="00965D85" w:rsidP="008B46DF">
      <w:pPr>
        <w:pStyle w:val="Notes"/>
        <w:rPr>
          <w:lang w:eastAsia="en-AU"/>
        </w:rPr>
      </w:pPr>
      <w:r w:rsidRPr="0027082E">
        <w:rPr>
          <w:lang w:eastAsia="en-AU"/>
        </w:rPr>
        <w:t>(a)</w:t>
      </w:r>
      <w:r w:rsidRPr="0027082E">
        <w:rPr>
          <w:lang w:eastAsia="en-AU"/>
        </w:rPr>
        <w:tab/>
        <w:t>Certain line items have been aggregated in the table above due to commercial sensitivities of balances.</w:t>
      </w:r>
    </w:p>
    <w:p w:rsidR="00965D85" w:rsidRPr="000E2577" w:rsidRDefault="00965D85" w:rsidP="008B46DF">
      <w:pPr>
        <w:pStyle w:val="Notes"/>
      </w:pPr>
      <w:r w:rsidRPr="000E2577">
        <w:t>(b)</w:t>
      </w:r>
      <w:r w:rsidRPr="000E2577">
        <w:tab/>
      </w:r>
      <w:r w:rsidRPr="004D3C1E">
        <w:rPr>
          <w:i w:val="0"/>
        </w:rPr>
        <w:t>2015</w:t>
      </w:r>
      <w:r>
        <w:rPr>
          <w:i w:val="0"/>
        </w:rPr>
        <w:noBreakHyphen/>
      </w:r>
      <w:r w:rsidRPr="004D3C1E">
        <w:rPr>
          <w:i w:val="0"/>
        </w:rPr>
        <w:t>16 Budget</w:t>
      </w:r>
      <w:r w:rsidRPr="000E2577">
        <w:t xml:space="preserve"> figures have been restated to reflect more current information.</w:t>
      </w:r>
    </w:p>
    <w:p w:rsidR="00965D85" w:rsidRPr="00144F12" w:rsidRDefault="00965D85" w:rsidP="008B46DF">
      <w:pPr>
        <w:pStyle w:val="Notes"/>
        <w:rPr>
          <w:lang w:eastAsia="en-AU"/>
        </w:rPr>
      </w:pPr>
      <w:r>
        <w:rPr>
          <w:lang w:eastAsia="en-AU"/>
        </w:rPr>
        <w:t>(c</w:t>
      </w:r>
      <w:r w:rsidRPr="0027082E">
        <w:rPr>
          <w:lang w:eastAsia="en-AU"/>
        </w:rPr>
        <w:t>)</w:t>
      </w:r>
      <w:r w:rsidRPr="0027082E">
        <w:rPr>
          <w:lang w:eastAsia="en-AU"/>
        </w:rPr>
        <w:tab/>
      </w:r>
      <w:r>
        <w:rPr>
          <w:lang w:eastAsia="en-AU"/>
        </w:rPr>
        <w:t>The other movements in non</w:t>
      </w:r>
      <w:r>
        <w:rPr>
          <w:lang w:eastAsia="en-AU"/>
        </w:rPr>
        <w:noBreakHyphen/>
        <w:t>financial assets in 2015</w:t>
      </w:r>
      <w:r>
        <w:rPr>
          <w:lang w:eastAsia="en-AU"/>
        </w:rPr>
        <w:noBreakHyphen/>
        <w:t xml:space="preserve">16 predominantly </w:t>
      </w:r>
      <w:r w:rsidRPr="00144F12">
        <w:rPr>
          <w:lang w:eastAsia="en-AU"/>
        </w:rPr>
        <w:t xml:space="preserve">relates to the </w:t>
      </w:r>
      <w:r>
        <w:rPr>
          <w:lang w:eastAsia="en-AU"/>
        </w:rPr>
        <w:t xml:space="preserve">recognition of finance lease arrangements for the </w:t>
      </w:r>
      <w:r w:rsidRPr="00144F12">
        <w:rPr>
          <w:lang w:eastAsia="en-AU"/>
        </w:rPr>
        <w:t>Victorian Comprehensive Cancer Centre and metropolitan</w:t>
      </w:r>
      <w:r>
        <w:rPr>
          <w:lang w:eastAsia="en-AU"/>
        </w:rPr>
        <w:t xml:space="preserve"> Melbourne bus contracts</w:t>
      </w:r>
      <w:r w:rsidRPr="00144F12">
        <w:rPr>
          <w:lang w:eastAsia="en-AU"/>
        </w:rPr>
        <w:t xml:space="preserve">. </w:t>
      </w:r>
      <w:r w:rsidRPr="00144F12">
        <w:t>The 2016</w:t>
      </w:r>
      <w:r>
        <w:noBreakHyphen/>
      </w:r>
      <w:r w:rsidRPr="00144F12">
        <w:t xml:space="preserve">17 estimate </w:t>
      </w:r>
      <w:r>
        <w:t xml:space="preserve">predominantly relates to the </w:t>
      </w:r>
      <w:r w:rsidRPr="00144F12">
        <w:t xml:space="preserve">new Bendigo Hospital project (stage 1), the New Schools PPP project </w:t>
      </w:r>
      <w:r>
        <w:br/>
      </w:r>
      <w:r w:rsidRPr="00144F12">
        <w:t xml:space="preserve">(tranche 1) and the metropolitan </w:t>
      </w:r>
      <w:r>
        <w:t xml:space="preserve">Melbourne </w:t>
      </w:r>
      <w:r w:rsidRPr="00144F12">
        <w:t xml:space="preserve">bus </w:t>
      </w:r>
      <w:r>
        <w:t>contracts. The 2017</w:t>
      </w:r>
      <w:r>
        <w:noBreakHyphen/>
        <w:t xml:space="preserve">18 estimate predominantly </w:t>
      </w:r>
      <w:r w:rsidRPr="00144F12">
        <w:t>relates to the Ravenhall Priso</w:t>
      </w:r>
      <w:r>
        <w:t xml:space="preserve">n project, the </w:t>
      </w:r>
      <w:r w:rsidRPr="00144F12">
        <w:t xml:space="preserve">new Bendigo Hospital project (stage 2) and the New Schools PPP project </w:t>
      </w:r>
      <w:r>
        <w:br/>
      </w:r>
      <w:r w:rsidRPr="00144F12">
        <w:t>(tranche 2).</w:t>
      </w:r>
      <w:r>
        <w:t xml:space="preserve"> The 2018</w:t>
      </w:r>
      <w:r>
        <w:noBreakHyphen/>
        <w:t>19 estimate predominantly relates to developer contributions to metropolitan water corporations.</w:t>
      </w:r>
    </w:p>
    <w:p w:rsidR="00965D85" w:rsidRDefault="00965D85" w:rsidP="008B46DF">
      <w:pPr>
        <w:pStyle w:val="Notes"/>
        <w:rPr>
          <w:lang w:eastAsia="en-AU"/>
        </w:rPr>
      </w:pPr>
    </w:p>
    <w:p w:rsidR="00965D85" w:rsidRDefault="00965D85">
      <w:pPr>
        <w:spacing w:after="0"/>
        <w:rPr>
          <w:rFonts w:ascii="Calibri" w:hAnsi="Calibri"/>
          <w:b/>
          <w:lang w:eastAsia="en-AU"/>
        </w:rPr>
      </w:pPr>
      <w:r>
        <w:rPr>
          <w:lang w:eastAsia="en-AU"/>
        </w:rPr>
        <w:br w:type="page"/>
      </w:r>
    </w:p>
    <w:p w:rsidR="00965D85" w:rsidRDefault="00965D85" w:rsidP="008B46DF">
      <w:pPr>
        <w:pStyle w:val="Tableheading"/>
        <w:rPr>
          <w:rFonts w:ascii="Times New Roman" w:hAnsi="Times New Roman"/>
          <w:i/>
          <w:sz w:val="20"/>
          <w:lang w:eastAsia="en-AU"/>
        </w:rPr>
      </w:pPr>
      <w:r w:rsidRPr="00C24CD2">
        <w:rPr>
          <w:lang w:eastAsia="en-AU"/>
        </w:rPr>
        <w:lastRenderedPageBreak/>
        <w:t>Table 5.13:</w:t>
      </w:r>
      <w:r w:rsidRPr="00C24CD2">
        <w:rPr>
          <w:lang w:eastAsia="en-AU"/>
        </w:rPr>
        <w:tab/>
        <w:t>Public financial corporations sector comprehensive operating statement for the financial year ended 30 June</w:t>
      </w:r>
    </w:p>
    <w:tbl>
      <w:tblPr>
        <w:tblW w:w="7762" w:type="dxa"/>
        <w:tblInd w:w="28" w:type="dxa"/>
        <w:tblLayout w:type="fixed"/>
        <w:tblCellMar>
          <w:left w:w="28" w:type="dxa"/>
          <w:right w:w="28" w:type="dxa"/>
        </w:tblCellMar>
        <w:tblLook w:val="0000" w:firstRow="0" w:lastRow="0" w:firstColumn="0" w:lastColumn="0" w:noHBand="0" w:noVBand="0"/>
      </w:tblPr>
      <w:tblGrid>
        <w:gridCol w:w="2941"/>
        <w:gridCol w:w="959"/>
        <w:gridCol w:w="961"/>
        <w:gridCol w:w="961"/>
        <w:gridCol w:w="525"/>
        <w:gridCol w:w="283"/>
        <w:gridCol w:w="155"/>
        <w:gridCol w:w="128"/>
        <w:gridCol w:w="283"/>
        <w:gridCol w:w="283"/>
        <w:gridCol w:w="283"/>
      </w:tblGrid>
      <w:tr w:rsidR="00965D85" w:rsidRPr="001E7FA9" w:rsidTr="008B46DF">
        <w:trPr>
          <w:tblHeader/>
        </w:trPr>
        <w:tc>
          <w:tcPr>
            <w:tcW w:w="7762" w:type="dxa"/>
            <w:gridSpan w:val="11"/>
            <w:tcBorders>
              <w:top w:val="nil"/>
              <w:left w:val="nil"/>
              <w:bottom w:val="nil"/>
              <w:right w:val="nil"/>
            </w:tcBorders>
          </w:tcPr>
          <w:p w:rsidR="00965D85" w:rsidRPr="001E7FA9" w:rsidRDefault="00965D85" w:rsidP="008B46DF">
            <w:pPr>
              <w:pStyle w:val="million"/>
              <w:rPr>
                <w:rFonts w:eastAsiaTheme="minorEastAsia" w:cs="Calibri"/>
                <w:iCs/>
                <w:color w:val="000000"/>
                <w:sz w:val="20"/>
                <w:lang w:eastAsia="en-AU"/>
              </w:rPr>
            </w:pPr>
            <w:r w:rsidRPr="001E7FA9">
              <w:rPr>
                <w:rFonts w:eastAsiaTheme="minorEastAsia"/>
                <w:lang w:eastAsia="en-AU"/>
              </w:rPr>
              <w:t>($ million</w:t>
            </w:r>
            <w:r w:rsidRPr="001E7FA9">
              <w:rPr>
                <w:rFonts w:eastAsiaTheme="minorEastAsia" w:cs="Calibri"/>
                <w:iCs/>
                <w:color w:val="000000"/>
                <w:sz w:val="20"/>
                <w:lang w:eastAsia="en-AU"/>
              </w:rPr>
              <w:t>)</w:t>
            </w:r>
          </w:p>
        </w:tc>
      </w:tr>
      <w:tr w:rsidR="00965D85" w:rsidRPr="001E7FA9" w:rsidTr="008B46DF">
        <w:trPr>
          <w:trHeight w:val="464"/>
          <w:tblHeader/>
        </w:trPr>
        <w:tc>
          <w:tcPr>
            <w:tcW w:w="2941" w:type="dxa"/>
            <w:tcBorders>
              <w:top w:val="nil"/>
              <w:left w:val="nil"/>
              <w:right w:val="nil"/>
            </w:tcBorders>
            <w:shd w:val="solid" w:color="000000" w:fill="auto"/>
          </w:tcPr>
          <w:p w:rsidR="00965D85" w:rsidRPr="001E7FA9" w:rsidRDefault="00965D85" w:rsidP="008B46DF">
            <w:pPr>
              <w:autoSpaceDE w:val="0"/>
              <w:autoSpaceDN w:val="0"/>
              <w:adjustRightInd w:val="0"/>
              <w:spacing w:after="0"/>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 xml:space="preserve"> </w:t>
            </w:r>
          </w:p>
          <w:p w:rsidR="00965D85" w:rsidRPr="001E7FA9" w:rsidRDefault="00965D85" w:rsidP="008B46DF">
            <w:pPr>
              <w:autoSpaceDE w:val="0"/>
              <w:autoSpaceDN w:val="0"/>
              <w:adjustRightInd w:val="0"/>
              <w:spacing w:after="0"/>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 xml:space="preserve"> </w:t>
            </w:r>
          </w:p>
        </w:tc>
        <w:tc>
          <w:tcPr>
            <w:tcW w:w="959" w:type="dxa"/>
            <w:tcBorders>
              <w:top w:val="nil"/>
              <w:left w:val="nil"/>
              <w:right w:val="nil"/>
            </w:tcBorders>
            <w:shd w:val="solid" w:color="000000" w:fill="auto"/>
          </w:tcPr>
          <w:p w:rsidR="00965D85" w:rsidRPr="001E7FA9" w:rsidRDefault="00965D85" w:rsidP="008B46DF">
            <w:pPr>
              <w:autoSpaceDE w:val="0"/>
              <w:autoSpaceDN w:val="0"/>
              <w:adjustRightInd w:val="0"/>
              <w:spacing w:after="0"/>
              <w:jc w:val="right"/>
              <w:rPr>
                <w:rFonts w:ascii="Calibri" w:eastAsiaTheme="minorEastAsia" w:hAnsi="Calibri" w:cs="Calibri"/>
                <w:i/>
                <w:iCs/>
                <w:color w:val="FFFFFF"/>
                <w:sz w:val="19"/>
                <w:lang w:eastAsia="en-AU"/>
              </w:rPr>
            </w:pPr>
            <w:r w:rsidRPr="001E7FA9">
              <w:rPr>
                <w:rFonts w:ascii="Calibri" w:eastAsiaTheme="minorEastAsia" w:hAnsi="Calibri" w:cs="Calibri"/>
                <w:i/>
                <w:iCs/>
                <w:color w:val="FFFFFF"/>
                <w:sz w:val="19"/>
                <w:lang w:eastAsia="en-AU"/>
              </w:rPr>
              <w:t>2015</w:t>
            </w:r>
            <w:r>
              <w:rPr>
                <w:rFonts w:ascii="Calibri" w:eastAsiaTheme="minorEastAsia" w:hAnsi="Calibri" w:cs="Calibri"/>
                <w:i/>
                <w:iCs/>
                <w:color w:val="FFFFFF"/>
                <w:sz w:val="19"/>
                <w:lang w:eastAsia="en-AU"/>
              </w:rPr>
              <w:noBreakHyphen/>
            </w:r>
            <w:r w:rsidRPr="001E7FA9">
              <w:rPr>
                <w:rFonts w:ascii="Calibri" w:eastAsiaTheme="minorEastAsia" w:hAnsi="Calibri" w:cs="Calibri"/>
                <w:i/>
                <w:iCs/>
                <w:color w:val="FFFFFF"/>
                <w:sz w:val="19"/>
                <w:lang w:eastAsia="en-AU"/>
              </w:rPr>
              <w:t>16</w:t>
            </w:r>
          </w:p>
          <w:p w:rsidR="00965D85" w:rsidRPr="001E7FA9" w:rsidRDefault="00965D85" w:rsidP="008B46DF">
            <w:pPr>
              <w:autoSpaceDE w:val="0"/>
              <w:autoSpaceDN w:val="0"/>
              <w:adjustRightInd w:val="0"/>
              <w:spacing w:after="0"/>
              <w:jc w:val="right"/>
              <w:rPr>
                <w:rFonts w:ascii="Calibri" w:eastAsiaTheme="minorEastAsia" w:hAnsi="Calibri" w:cs="Calibri"/>
                <w:i/>
                <w:iCs/>
                <w:color w:val="FFFFFF"/>
                <w:sz w:val="19"/>
                <w:lang w:eastAsia="en-AU"/>
              </w:rPr>
            </w:pPr>
            <w:r w:rsidRPr="001E7FA9">
              <w:rPr>
                <w:rFonts w:ascii="Calibri" w:eastAsiaTheme="minorEastAsia" w:hAnsi="Calibri" w:cs="Calibri"/>
                <w:i/>
                <w:iCs/>
                <w:color w:val="FFFFFF"/>
                <w:sz w:val="19"/>
                <w:lang w:eastAsia="en-AU"/>
              </w:rPr>
              <w:t>budget</w:t>
            </w:r>
          </w:p>
        </w:tc>
        <w:tc>
          <w:tcPr>
            <w:tcW w:w="961" w:type="dxa"/>
            <w:tcBorders>
              <w:top w:val="nil"/>
              <w:left w:val="nil"/>
              <w:right w:val="nil"/>
            </w:tcBorders>
            <w:shd w:val="solid" w:color="000000" w:fill="auto"/>
          </w:tcPr>
          <w:p w:rsidR="00965D85" w:rsidRPr="001E7FA9" w:rsidRDefault="00965D85" w:rsidP="008B46DF">
            <w:pPr>
              <w:autoSpaceDE w:val="0"/>
              <w:autoSpaceDN w:val="0"/>
              <w:adjustRightInd w:val="0"/>
              <w:spacing w:after="0"/>
              <w:jc w:val="right"/>
              <w:rPr>
                <w:rFonts w:ascii="Calibri" w:eastAsiaTheme="minorEastAsia" w:hAnsi="Calibri" w:cs="Calibri"/>
                <w:i/>
                <w:iCs/>
                <w:color w:val="FFFFFF"/>
                <w:sz w:val="19"/>
                <w:lang w:eastAsia="en-AU"/>
              </w:rPr>
            </w:pPr>
            <w:r w:rsidRPr="001E7FA9">
              <w:rPr>
                <w:rFonts w:ascii="Calibri" w:eastAsiaTheme="minorEastAsia" w:hAnsi="Calibri" w:cs="Calibri"/>
                <w:i/>
                <w:iCs/>
                <w:color w:val="FFFFFF"/>
                <w:sz w:val="19"/>
                <w:lang w:eastAsia="en-AU"/>
              </w:rPr>
              <w:t>2015</w:t>
            </w:r>
            <w:r>
              <w:rPr>
                <w:rFonts w:ascii="Calibri" w:eastAsiaTheme="minorEastAsia" w:hAnsi="Calibri" w:cs="Calibri"/>
                <w:i/>
                <w:iCs/>
                <w:color w:val="FFFFFF"/>
                <w:sz w:val="19"/>
                <w:lang w:eastAsia="en-AU"/>
              </w:rPr>
              <w:noBreakHyphen/>
            </w:r>
            <w:r w:rsidRPr="001E7FA9">
              <w:rPr>
                <w:rFonts w:ascii="Calibri" w:eastAsiaTheme="minorEastAsia" w:hAnsi="Calibri" w:cs="Calibri"/>
                <w:i/>
                <w:iCs/>
                <w:color w:val="FFFFFF"/>
                <w:sz w:val="19"/>
                <w:lang w:eastAsia="en-AU"/>
              </w:rPr>
              <w:t>16</w:t>
            </w:r>
          </w:p>
          <w:p w:rsidR="00965D85" w:rsidRPr="001E7FA9" w:rsidRDefault="00965D85" w:rsidP="008B46DF">
            <w:pPr>
              <w:autoSpaceDE w:val="0"/>
              <w:autoSpaceDN w:val="0"/>
              <w:adjustRightInd w:val="0"/>
              <w:spacing w:after="0"/>
              <w:jc w:val="right"/>
              <w:rPr>
                <w:rFonts w:ascii="Calibri" w:eastAsiaTheme="minorEastAsia" w:hAnsi="Calibri" w:cs="Calibri"/>
                <w:i/>
                <w:iCs/>
                <w:color w:val="FFFFFF"/>
                <w:sz w:val="19"/>
                <w:lang w:eastAsia="en-AU"/>
              </w:rPr>
            </w:pPr>
            <w:r w:rsidRPr="001E7FA9">
              <w:rPr>
                <w:rFonts w:ascii="Calibri" w:eastAsiaTheme="minorEastAsia" w:hAnsi="Calibri" w:cs="Calibri"/>
                <w:i/>
                <w:iCs/>
                <w:color w:val="FFFFFF"/>
                <w:sz w:val="19"/>
                <w:lang w:eastAsia="en-AU"/>
              </w:rPr>
              <w:t>revised</w:t>
            </w:r>
          </w:p>
        </w:tc>
        <w:tc>
          <w:tcPr>
            <w:tcW w:w="961" w:type="dxa"/>
            <w:tcBorders>
              <w:top w:val="nil"/>
              <w:left w:val="nil"/>
              <w:right w:val="nil"/>
            </w:tcBorders>
            <w:shd w:val="solid" w:color="000000" w:fill="auto"/>
          </w:tcPr>
          <w:p w:rsidR="00965D85" w:rsidRPr="001E7FA9" w:rsidRDefault="00965D85" w:rsidP="008B46DF">
            <w:pPr>
              <w:autoSpaceDE w:val="0"/>
              <w:autoSpaceDN w:val="0"/>
              <w:adjustRightInd w:val="0"/>
              <w:spacing w:after="0"/>
              <w:jc w:val="right"/>
              <w:rPr>
                <w:rFonts w:ascii="Calibri" w:eastAsiaTheme="minorEastAsia" w:hAnsi="Calibri" w:cs="Calibri"/>
                <w:i/>
                <w:iCs/>
                <w:color w:val="FFFFFF"/>
                <w:sz w:val="19"/>
                <w:lang w:eastAsia="en-AU"/>
              </w:rPr>
            </w:pPr>
            <w:r w:rsidRPr="001E7FA9">
              <w:rPr>
                <w:rFonts w:ascii="Calibri" w:eastAsiaTheme="minorEastAsia" w:hAnsi="Calibri" w:cs="Calibri"/>
                <w:i/>
                <w:iCs/>
                <w:color w:val="FFFFFF"/>
                <w:sz w:val="19"/>
                <w:lang w:eastAsia="en-AU"/>
              </w:rPr>
              <w:t>2016</w:t>
            </w:r>
            <w:r>
              <w:rPr>
                <w:rFonts w:ascii="Calibri" w:eastAsiaTheme="minorEastAsia" w:hAnsi="Calibri" w:cs="Calibri"/>
                <w:i/>
                <w:iCs/>
                <w:color w:val="FFFFFF"/>
                <w:sz w:val="19"/>
                <w:lang w:eastAsia="en-AU"/>
              </w:rPr>
              <w:noBreakHyphen/>
            </w:r>
            <w:r w:rsidRPr="001E7FA9">
              <w:rPr>
                <w:rFonts w:ascii="Calibri" w:eastAsiaTheme="minorEastAsia" w:hAnsi="Calibri" w:cs="Calibri"/>
                <w:i/>
                <w:iCs/>
                <w:color w:val="FFFFFF"/>
                <w:sz w:val="19"/>
                <w:lang w:eastAsia="en-AU"/>
              </w:rPr>
              <w:t>17</w:t>
            </w:r>
          </w:p>
          <w:p w:rsidR="00965D85" w:rsidRPr="001E7FA9" w:rsidRDefault="00965D85" w:rsidP="008B46DF">
            <w:pPr>
              <w:autoSpaceDE w:val="0"/>
              <w:autoSpaceDN w:val="0"/>
              <w:adjustRightInd w:val="0"/>
              <w:spacing w:after="0"/>
              <w:jc w:val="right"/>
              <w:rPr>
                <w:rFonts w:ascii="Calibri" w:eastAsiaTheme="minorEastAsia" w:hAnsi="Calibri" w:cs="Calibri"/>
                <w:i/>
                <w:iCs/>
                <w:color w:val="FFFFFF"/>
                <w:sz w:val="19"/>
                <w:lang w:eastAsia="en-AU"/>
              </w:rPr>
            </w:pPr>
            <w:r w:rsidRPr="001E7FA9">
              <w:rPr>
                <w:rFonts w:ascii="Calibri" w:eastAsiaTheme="minorEastAsia" w:hAnsi="Calibri" w:cs="Calibri"/>
                <w:i/>
                <w:iCs/>
                <w:color w:val="FFFFFF"/>
                <w:sz w:val="19"/>
                <w:lang w:eastAsia="en-AU"/>
              </w:rPr>
              <w:t>estimate</w:t>
            </w:r>
          </w:p>
        </w:tc>
        <w:tc>
          <w:tcPr>
            <w:tcW w:w="963" w:type="dxa"/>
            <w:gridSpan w:val="3"/>
            <w:tcBorders>
              <w:top w:val="nil"/>
              <w:left w:val="nil"/>
              <w:right w:val="nil"/>
            </w:tcBorders>
            <w:shd w:val="solid" w:color="000000" w:fill="auto"/>
          </w:tcPr>
          <w:p w:rsidR="00965D85" w:rsidRPr="001E7FA9" w:rsidRDefault="00965D85" w:rsidP="008B46DF">
            <w:pPr>
              <w:autoSpaceDE w:val="0"/>
              <w:autoSpaceDN w:val="0"/>
              <w:adjustRightInd w:val="0"/>
              <w:spacing w:after="0"/>
              <w:jc w:val="right"/>
              <w:rPr>
                <w:rFonts w:ascii="Calibri" w:eastAsiaTheme="minorEastAsia" w:hAnsi="Calibri" w:cs="Calibri"/>
                <w:i/>
                <w:iCs/>
                <w:color w:val="FFFFFF"/>
                <w:sz w:val="19"/>
                <w:lang w:eastAsia="en-AU"/>
              </w:rPr>
            </w:pPr>
            <w:r w:rsidRPr="001E7FA9">
              <w:rPr>
                <w:rFonts w:ascii="Calibri" w:eastAsiaTheme="minorEastAsia" w:hAnsi="Calibri" w:cs="Calibri"/>
                <w:i/>
                <w:iCs/>
                <w:color w:val="FFFFFF"/>
                <w:sz w:val="19"/>
                <w:lang w:eastAsia="en-AU"/>
              </w:rPr>
              <w:t>2017</w:t>
            </w:r>
            <w:r>
              <w:rPr>
                <w:rFonts w:ascii="Calibri" w:eastAsiaTheme="minorEastAsia" w:hAnsi="Calibri" w:cs="Calibri"/>
                <w:i/>
                <w:iCs/>
                <w:color w:val="FFFFFF"/>
                <w:sz w:val="19"/>
                <w:lang w:eastAsia="en-AU"/>
              </w:rPr>
              <w:noBreakHyphen/>
            </w:r>
            <w:r w:rsidRPr="001E7FA9">
              <w:rPr>
                <w:rFonts w:ascii="Calibri" w:eastAsiaTheme="minorEastAsia" w:hAnsi="Calibri" w:cs="Calibri"/>
                <w:i/>
                <w:iCs/>
                <w:color w:val="FFFFFF"/>
                <w:sz w:val="19"/>
                <w:lang w:eastAsia="en-AU"/>
              </w:rPr>
              <w:t>18</w:t>
            </w:r>
          </w:p>
          <w:p w:rsidR="00965D85" w:rsidRPr="001E7FA9" w:rsidRDefault="00965D85" w:rsidP="008B46DF">
            <w:pPr>
              <w:autoSpaceDE w:val="0"/>
              <w:autoSpaceDN w:val="0"/>
              <w:adjustRightInd w:val="0"/>
              <w:spacing w:after="0"/>
              <w:jc w:val="right"/>
              <w:rPr>
                <w:rFonts w:ascii="Calibri" w:eastAsiaTheme="minorEastAsia" w:hAnsi="Calibri" w:cs="Calibri"/>
                <w:i/>
                <w:iCs/>
                <w:color w:val="FFFFFF"/>
                <w:sz w:val="19"/>
                <w:lang w:eastAsia="en-AU"/>
              </w:rPr>
            </w:pPr>
            <w:r w:rsidRPr="001E7FA9">
              <w:rPr>
                <w:rFonts w:ascii="Calibri" w:eastAsiaTheme="minorEastAsia" w:hAnsi="Calibri" w:cs="Calibri"/>
                <w:i/>
                <w:iCs/>
                <w:color w:val="FFFFFF"/>
                <w:sz w:val="19"/>
                <w:lang w:eastAsia="en-AU"/>
              </w:rPr>
              <w:t>estimate</w:t>
            </w:r>
          </w:p>
        </w:tc>
        <w:tc>
          <w:tcPr>
            <w:tcW w:w="977" w:type="dxa"/>
            <w:gridSpan w:val="4"/>
            <w:tcBorders>
              <w:top w:val="nil"/>
              <w:left w:val="nil"/>
              <w:right w:val="nil"/>
            </w:tcBorders>
            <w:shd w:val="solid" w:color="000000" w:fill="auto"/>
          </w:tcPr>
          <w:p w:rsidR="00965D85" w:rsidRPr="001E7FA9" w:rsidRDefault="00965D85" w:rsidP="008B46DF">
            <w:pPr>
              <w:autoSpaceDE w:val="0"/>
              <w:autoSpaceDN w:val="0"/>
              <w:adjustRightInd w:val="0"/>
              <w:spacing w:after="0"/>
              <w:jc w:val="right"/>
              <w:rPr>
                <w:rFonts w:ascii="Calibri" w:eastAsiaTheme="minorEastAsia" w:hAnsi="Calibri" w:cs="Calibri"/>
                <w:i/>
                <w:iCs/>
                <w:color w:val="FFFFFF"/>
                <w:sz w:val="19"/>
                <w:lang w:eastAsia="en-AU"/>
              </w:rPr>
            </w:pPr>
            <w:r w:rsidRPr="001E7FA9">
              <w:rPr>
                <w:rFonts w:ascii="Calibri" w:eastAsiaTheme="minorEastAsia" w:hAnsi="Calibri" w:cs="Calibri"/>
                <w:i/>
                <w:iCs/>
                <w:color w:val="FFFFFF"/>
                <w:sz w:val="19"/>
                <w:lang w:eastAsia="en-AU"/>
              </w:rPr>
              <w:t>2018</w:t>
            </w:r>
            <w:r>
              <w:rPr>
                <w:rFonts w:ascii="Calibri" w:eastAsiaTheme="minorEastAsia" w:hAnsi="Calibri" w:cs="Calibri"/>
                <w:i/>
                <w:iCs/>
                <w:color w:val="FFFFFF"/>
                <w:sz w:val="19"/>
                <w:lang w:eastAsia="en-AU"/>
              </w:rPr>
              <w:noBreakHyphen/>
            </w:r>
            <w:r w:rsidRPr="001E7FA9">
              <w:rPr>
                <w:rFonts w:ascii="Calibri" w:eastAsiaTheme="minorEastAsia" w:hAnsi="Calibri" w:cs="Calibri"/>
                <w:i/>
                <w:iCs/>
                <w:color w:val="FFFFFF"/>
                <w:sz w:val="19"/>
                <w:lang w:eastAsia="en-AU"/>
              </w:rPr>
              <w:t>19</w:t>
            </w:r>
          </w:p>
          <w:p w:rsidR="00965D85" w:rsidRPr="001E7FA9" w:rsidRDefault="00965D85" w:rsidP="008B46DF">
            <w:pPr>
              <w:autoSpaceDE w:val="0"/>
              <w:autoSpaceDN w:val="0"/>
              <w:adjustRightInd w:val="0"/>
              <w:spacing w:after="0"/>
              <w:jc w:val="right"/>
              <w:rPr>
                <w:rFonts w:ascii="Calibri" w:eastAsiaTheme="minorEastAsia" w:hAnsi="Calibri" w:cs="Calibri"/>
                <w:i/>
                <w:iCs/>
                <w:color w:val="FFFFFF"/>
                <w:sz w:val="19"/>
                <w:lang w:eastAsia="en-AU"/>
              </w:rPr>
            </w:pPr>
            <w:r w:rsidRPr="001E7FA9">
              <w:rPr>
                <w:rFonts w:ascii="Calibri" w:eastAsiaTheme="minorEastAsia" w:hAnsi="Calibri" w:cs="Calibri"/>
                <w:i/>
                <w:iCs/>
                <w:color w:val="FFFFFF"/>
                <w:sz w:val="19"/>
                <w:lang w:eastAsia="en-AU"/>
              </w:rPr>
              <w:t>estimate</w:t>
            </w:r>
          </w:p>
        </w:tc>
      </w:tr>
      <w:tr w:rsidR="00965D85" w:rsidRPr="001E7FA9" w:rsidTr="008B46DF">
        <w:tc>
          <w:tcPr>
            <w:tcW w:w="2941" w:type="dxa"/>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b/>
                <w:bCs/>
                <w:color w:val="000000"/>
                <w:sz w:val="19"/>
                <w:lang w:eastAsia="en-AU"/>
              </w:rPr>
            </w:pPr>
            <w:r w:rsidRPr="001E7FA9">
              <w:rPr>
                <w:rFonts w:ascii="Calibri" w:eastAsiaTheme="minorEastAsia" w:hAnsi="Calibri" w:cs="Calibri"/>
                <w:b/>
                <w:bCs/>
                <w:color w:val="000000"/>
                <w:sz w:val="19"/>
                <w:lang w:eastAsia="en-AU"/>
              </w:rPr>
              <w:t>Revenue from transactions</w:t>
            </w:r>
          </w:p>
        </w:tc>
        <w:tc>
          <w:tcPr>
            <w:tcW w:w="959"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961"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961"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963" w:type="dxa"/>
            <w:gridSpan w:val="3"/>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977" w:type="dxa"/>
            <w:gridSpan w:val="4"/>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r>
      <w:tr w:rsidR="00965D85" w:rsidRPr="001E7FA9" w:rsidTr="008B46DF">
        <w:tc>
          <w:tcPr>
            <w:tcW w:w="2941" w:type="dxa"/>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Interest revenue</w:t>
            </w:r>
          </w:p>
        </w:tc>
        <w:tc>
          <w:tcPr>
            <w:tcW w:w="959"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2 398.3</w:t>
            </w:r>
          </w:p>
        </w:tc>
        <w:tc>
          <w:tcPr>
            <w:tcW w:w="961"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2 176.7</w:t>
            </w:r>
          </w:p>
        </w:tc>
        <w:tc>
          <w:tcPr>
            <w:tcW w:w="961"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2 232.2</w:t>
            </w:r>
          </w:p>
        </w:tc>
        <w:tc>
          <w:tcPr>
            <w:tcW w:w="963" w:type="dxa"/>
            <w:gridSpan w:val="3"/>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2 273.4</w:t>
            </w:r>
          </w:p>
        </w:tc>
        <w:tc>
          <w:tcPr>
            <w:tcW w:w="977" w:type="dxa"/>
            <w:gridSpan w:val="4"/>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2 278.1</w:t>
            </w:r>
          </w:p>
        </w:tc>
      </w:tr>
      <w:tr w:rsidR="00965D85" w:rsidRPr="001E7FA9" w:rsidTr="008B46DF">
        <w:tc>
          <w:tcPr>
            <w:tcW w:w="2941" w:type="dxa"/>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Dividends and income tax equivalent and rate equivalent revenue</w:t>
            </w:r>
          </w:p>
        </w:tc>
        <w:tc>
          <w:tcPr>
            <w:tcW w:w="959"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991.6</w:t>
            </w:r>
          </w:p>
        </w:tc>
        <w:tc>
          <w:tcPr>
            <w:tcW w:w="961"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481.8</w:t>
            </w:r>
          </w:p>
        </w:tc>
        <w:tc>
          <w:tcPr>
            <w:tcW w:w="961"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1 173.9</w:t>
            </w:r>
          </w:p>
        </w:tc>
        <w:tc>
          <w:tcPr>
            <w:tcW w:w="963" w:type="dxa"/>
            <w:gridSpan w:val="3"/>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1 122.0</w:t>
            </w:r>
          </w:p>
        </w:tc>
        <w:tc>
          <w:tcPr>
            <w:tcW w:w="977" w:type="dxa"/>
            <w:gridSpan w:val="4"/>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1 081.8</w:t>
            </w:r>
          </w:p>
        </w:tc>
      </w:tr>
      <w:tr w:rsidR="00965D85" w:rsidRPr="001E7FA9" w:rsidTr="008B46DF">
        <w:tc>
          <w:tcPr>
            <w:tcW w:w="2941" w:type="dxa"/>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Sales of goods and services</w:t>
            </w:r>
          </w:p>
        </w:tc>
        <w:tc>
          <w:tcPr>
            <w:tcW w:w="959"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4 167.8</w:t>
            </w:r>
          </w:p>
        </w:tc>
        <w:tc>
          <w:tcPr>
            <w:tcW w:w="961"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4 164.5</w:t>
            </w:r>
          </w:p>
        </w:tc>
        <w:tc>
          <w:tcPr>
            <w:tcW w:w="961"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4 334.8</w:t>
            </w:r>
          </w:p>
        </w:tc>
        <w:tc>
          <w:tcPr>
            <w:tcW w:w="963" w:type="dxa"/>
            <w:gridSpan w:val="3"/>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4 551.8</w:t>
            </w:r>
          </w:p>
        </w:tc>
        <w:tc>
          <w:tcPr>
            <w:tcW w:w="977" w:type="dxa"/>
            <w:gridSpan w:val="4"/>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4 777.0</w:t>
            </w:r>
          </w:p>
        </w:tc>
      </w:tr>
      <w:tr w:rsidR="00965D85" w:rsidRPr="001E7FA9" w:rsidTr="008B46DF">
        <w:tc>
          <w:tcPr>
            <w:tcW w:w="2941" w:type="dxa"/>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Other revenue</w:t>
            </w:r>
          </w:p>
        </w:tc>
        <w:tc>
          <w:tcPr>
            <w:tcW w:w="959" w:type="dxa"/>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23.1</w:t>
            </w:r>
          </w:p>
        </w:tc>
        <w:tc>
          <w:tcPr>
            <w:tcW w:w="961" w:type="dxa"/>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21.4</w:t>
            </w:r>
          </w:p>
        </w:tc>
        <w:tc>
          <w:tcPr>
            <w:tcW w:w="961" w:type="dxa"/>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21.8</w:t>
            </w:r>
          </w:p>
        </w:tc>
        <w:tc>
          <w:tcPr>
            <w:tcW w:w="963" w:type="dxa"/>
            <w:gridSpan w:val="3"/>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22.9</w:t>
            </w:r>
          </w:p>
        </w:tc>
        <w:tc>
          <w:tcPr>
            <w:tcW w:w="977" w:type="dxa"/>
            <w:gridSpan w:val="4"/>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23.8</w:t>
            </w:r>
          </w:p>
        </w:tc>
      </w:tr>
      <w:tr w:rsidR="00965D85" w:rsidRPr="001E7FA9" w:rsidTr="008B46DF">
        <w:tc>
          <w:tcPr>
            <w:tcW w:w="2941" w:type="dxa"/>
            <w:tcBorders>
              <w:top w:val="single" w:sz="6" w:space="0" w:color="000000"/>
              <w:left w:val="nil"/>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b/>
                <w:bCs/>
                <w:color w:val="000000"/>
                <w:sz w:val="19"/>
                <w:lang w:eastAsia="en-AU"/>
              </w:rPr>
            </w:pPr>
            <w:r w:rsidRPr="001E7FA9">
              <w:rPr>
                <w:rFonts w:ascii="Calibri" w:eastAsiaTheme="minorEastAsia" w:hAnsi="Calibri" w:cs="Calibri"/>
                <w:b/>
                <w:bCs/>
                <w:color w:val="000000"/>
                <w:sz w:val="19"/>
                <w:lang w:eastAsia="en-AU"/>
              </w:rPr>
              <w:t>Total revenue from transactions</w:t>
            </w:r>
          </w:p>
        </w:tc>
        <w:tc>
          <w:tcPr>
            <w:tcW w:w="959" w:type="dxa"/>
            <w:tcBorders>
              <w:top w:val="single" w:sz="6" w:space="0" w:color="000000"/>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19"/>
                <w:lang w:eastAsia="en-AU"/>
              </w:rPr>
            </w:pPr>
            <w:r w:rsidRPr="001E7FA9">
              <w:rPr>
                <w:rFonts w:ascii="Calibri" w:eastAsiaTheme="minorEastAsia" w:hAnsi="Calibri" w:cs="Calibri"/>
                <w:b/>
                <w:bCs/>
                <w:color w:val="000000"/>
                <w:sz w:val="19"/>
                <w:lang w:eastAsia="en-AU"/>
              </w:rPr>
              <w:t>7 580.7</w:t>
            </w:r>
          </w:p>
        </w:tc>
        <w:tc>
          <w:tcPr>
            <w:tcW w:w="961" w:type="dxa"/>
            <w:tcBorders>
              <w:top w:val="single" w:sz="6" w:space="0" w:color="000000"/>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19"/>
                <w:lang w:eastAsia="en-AU"/>
              </w:rPr>
            </w:pPr>
            <w:r w:rsidRPr="001E7FA9">
              <w:rPr>
                <w:rFonts w:ascii="Calibri" w:eastAsiaTheme="minorEastAsia" w:hAnsi="Calibri" w:cs="Calibri"/>
                <w:b/>
                <w:bCs/>
                <w:color w:val="000000"/>
                <w:sz w:val="19"/>
                <w:lang w:eastAsia="en-AU"/>
              </w:rPr>
              <w:t>6 844.3</w:t>
            </w:r>
          </w:p>
        </w:tc>
        <w:tc>
          <w:tcPr>
            <w:tcW w:w="961" w:type="dxa"/>
            <w:tcBorders>
              <w:top w:val="single" w:sz="6" w:space="0" w:color="000000"/>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19"/>
                <w:lang w:eastAsia="en-AU"/>
              </w:rPr>
            </w:pPr>
            <w:r w:rsidRPr="001E7FA9">
              <w:rPr>
                <w:rFonts w:ascii="Calibri" w:eastAsiaTheme="minorEastAsia" w:hAnsi="Calibri" w:cs="Calibri"/>
                <w:b/>
                <w:bCs/>
                <w:color w:val="000000"/>
                <w:sz w:val="19"/>
                <w:lang w:eastAsia="en-AU"/>
              </w:rPr>
              <w:t>7 762.6</w:t>
            </w:r>
          </w:p>
        </w:tc>
        <w:tc>
          <w:tcPr>
            <w:tcW w:w="963" w:type="dxa"/>
            <w:gridSpan w:val="3"/>
            <w:tcBorders>
              <w:top w:val="single" w:sz="6" w:space="0" w:color="000000"/>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19"/>
                <w:lang w:eastAsia="en-AU"/>
              </w:rPr>
            </w:pPr>
            <w:r w:rsidRPr="001E7FA9">
              <w:rPr>
                <w:rFonts w:ascii="Calibri" w:eastAsiaTheme="minorEastAsia" w:hAnsi="Calibri" w:cs="Calibri"/>
                <w:b/>
                <w:bCs/>
                <w:color w:val="000000"/>
                <w:sz w:val="19"/>
                <w:lang w:eastAsia="en-AU"/>
              </w:rPr>
              <w:t>7 970.1</w:t>
            </w:r>
          </w:p>
        </w:tc>
        <w:tc>
          <w:tcPr>
            <w:tcW w:w="977" w:type="dxa"/>
            <w:gridSpan w:val="4"/>
            <w:tcBorders>
              <w:top w:val="single" w:sz="6" w:space="0" w:color="000000"/>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19"/>
                <w:lang w:eastAsia="en-AU"/>
              </w:rPr>
            </w:pPr>
            <w:r w:rsidRPr="001E7FA9">
              <w:rPr>
                <w:rFonts w:ascii="Calibri" w:eastAsiaTheme="minorEastAsia" w:hAnsi="Calibri" w:cs="Calibri"/>
                <w:b/>
                <w:bCs/>
                <w:color w:val="000000"/>
                <w:sz w:val="19"/>
                <w:lang w:eastAsia="en-AU"/>
              </w:rPr>
              <w:t>8 160.8</w:t>
            </w:r>
          </w:p>
        </w:tc>
      </w:tr>
      <w:tr w:rsidR="00965D85" w:rsidRPr="001E7FA9" w:rsidTr="008B46DF">
        <w:tc>
          <w:tcPr>
            <w:tcW w:w="2941" w:type="dxa"/>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b/>
                <w:bCs/>
                <w:color w:val="000000"/>
                <w:sz w:val="19"/>
                <w:lang w:eastAsia="en-AU"/>
              </w:rPr>
            </w:pPr>
            <w:r w:rsidRPr="001E7FA9">
              <w:rPr>
                <w:rFonts w:ascii="Calibri" w:eastAsiaTheme="minorEastAsia" w:hAnsi="Calibri" w:cs="Calibri"/>
                <w:b/>
                <w:bCs/>
                <w:color w:val="000000"/>
                <w:sz w:val="19"/>
                <w:lang w:eastAsia="en-AU"/>
              </w:rPr>
              <w:t>Expenses from transactions</w:t>
            </w:r>
          </w:p>
        </w:tc>
        <w:tc>
          <w:tcPr>
            <w:tcW w:w="959"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961"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961"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963" w:type="dxa"/>
            <w:gridSpan w:val="3"/>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977" w:type="dxa"/>
            <w:gridSpan w:val="4"/>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r>
      <w:tr w:rsidR="00965D85" w:rsidRPr="001E7FA9" w:rsidTr="008B46DF">
        <w:tc>
          <w:tcPr>
            <w:tcW w:w="2941" w:type="dxa"/>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Employee expenses</w:t>
            </w:r>
          </w:p>
        </w:tc>
        <w:tc>
          <w:tcPr>
            <w:tcW w:w="959"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297.2</w:t>
            </w:r>
          </w:p>
        </w:tc>
        <w:tc>
          <w:tcPr>
            <w:tcW w:w="961"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302.3</w:t>
            </w:r>
          </w:p>
        </w:tc>
        <w:tc>
          <w:tcPr>
            <w:tcW w:w="961"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305.6</w:t>
            </w:r>
          </w:p>
        </w:tc>
        <w:tc>
          <w:tcPr>
            <w:tcW w:w="963" w:type="dxa"/>
            <w:gridSpan w:val="3"/>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314.9</w:t>
            </w:r>
          </w:p>
        </w:tc>
        <w:tc>
          <w:tcPr>
            <w:tcW w:w="977" w:type="dxa"/>
            <w:gridSpan w:val="4"/>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323.0</w:t>
            </w:r>
          </w:p>
        </w:tc>
      </w:tr>
      <w:tr w:rsidR="00965D85" w:rsidRPr="001E7FA9" w:rsidTr="008B46DF">
        <w:tc>
          <w:tcPr>
            <w:tcW w:w="2941" w:type="dxa"/>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Other superannuation</w:t>
            </w:r>
          </w:p>
        </w:tc>
        <w:tc>
          <w:tcPr>
            <w:tcW w:w="959"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23.7</w:t>
            </w:r>
          </w:p>
        </w:tc>
        <w:tc>
          <w:tcPr>
            <w:tcW w:w="961"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23.4</w:t>
            </w:r>
          </w:p>
        </w:tc>
        <w:tc>
          <w:tcPr>
            <w:tcW w:w="961"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23.9</w:t>
            </w:r>
          </w:p>
        </w:tc>
        <w:tc>
          <w:tcPr>
            <w:tcW w:w="963" w:type="dxa"/>
            <w:gridSpan w:val="3"/>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24.7</w:t>
            </w:r>
          </w:p>
        </w:tc>
        <w:tc>
          <w:tcPr>
            <w:tcW w:w="977" w:type="dxa"/>
            <w:gridSpan w:val="4"/>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25.4</w:t>
            </w:r>
          </w:p>
        </w:tc>
      </w:tr>
      <w:tr w:rsidR="00965D85" w:rsidRPr="001E7FA9" w:rsidTr="008B46DF">
        <w:tc>
          <w:tcPr>
            <w:tcW w:w="2941" w:type="dxa"/>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Depreciation</w:t>
            </w:r>
          </w:p>
        </w:tc>
        <w:tc>
          <w:tcPr>
            <w:tcW w:w="959"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54.8</w:t>
            </w:r>
          </w:p>
        </w:tc>
        <w:tc>
          <w:tcPr>
            <w:tcW w:w="961"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48.1</w:t>
            </w:r>
          </w:p>
        </w:tc>
        <w:tc>
          <w:tcPr>
            <w:tcW w:w="961"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50.2</w:t>
            </w:r>
          </w:p>
        </w:tc>
        <w:tc>
          <w:tcPr>
            <w:tcW w:w="963" w:type="dxa"/>
            <w:gridSpan w:val="3"/>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50.8</w:t>
            </w:r>
          </w:p>
        </w:tc>
        <w:tc>
          <w:tcPr>
            <w:tcW w:w="977" w:type="dxa"/>
            <w:gridSpan w:val="4"/>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44.5</w:t>
            </w:r>
          </w:p>
        </w:tc>
      </w:tr>
      <w:tr w:rsidR="00965D85" w:rsidRPr="001E7FA9" w:rsidTr="008B46DF">
        <w:tc>
          <w:tcPr>
            <w:tcW w:w="2941" w:type="dxa"/>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Interest expense</w:t>
            </w:r>
          </w:p>
        </w:tc>
        <w:tc>
          <w:tcPr>
            <w:tcW w:w="959"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2 022.2</w:t>
            </w:r>
          </w:p>
        </w:tc>
        <w:tc>
          <w:tcPr>
            <w:tcW w:w="961"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1 987.2</w:t>
            </w:r>
          </w:p>
        </w:tc>
        <w:tc>
          <w:tcPr>
            <w:tcW w:w="961"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1 858.0</w:t>
            </w:r>
          </w:p>
        </w:tc>
        <w:tc>
          <w:tcPr>
            <w:tcW w:w="963" w:type="dxa"/>
            <w:gridSpan w:val="3"/>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1 863.5</w:t>
            </w:r>
          </w:p>
        </w:tc>
        <w:tc>
          <w:tcPr>
            <w:tcW w:w="977" w:type="dxa"/>
            <w:gridSpan w:val="4"/>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1 872.3</w:t>
            </w:r>
          </w:p>
        </w:tc>
      </w:tr>
      <w:tr w:rsidR="00965D85" w:rsidRPr="001E7FA9" w:rsidTr="008B46DF">
        <w:tc>
          <w:tcPr>
            <w:tcW w:w="2941" w:type="dxa"/>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Other operating expenses</w:t>
            </w:r>
          </w:p>
        </w:tc>
        <w:tc>
          <w:tcPr>
            <w:tcW w:w="959"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5 871.1</w:t>
            </w:r>
          </w:p>
        </w:tc>
        <w:tc>
          <w:tcPr>
            <w:tcW w:w="961"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5 870.8</w:t>
            </w:r>
          </w:p>
        </w:tc>
        <w:tc>
          <w:tcPr>
            <w:tcW w:w="961"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6 190.3</w:t>
            </w:r>
          </w:p>
        </w:tc>
        <w:tc>
          <w:tcPr>
            <w:tcW w:w="963" w:type="dxa"/>
            <w:gridSpan w:val="3"/>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6 507.3</w:t>
            </w:r>
          </w:p>
        </w:tc>
        <w:tc>
          <w:tcPr>
            <w:tcW w:w="977" w:type="dxa"/>
            <w:gridSpan w:val="4"/>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6 734.7</w:t>
            </w:r>
          </w:p>
        </w:tc>
      </w:tr>
      <w:tr w:rsidR="00965D85" w:rsidRPr="001E7FA9" w:rsidTr="008B46DF">
        <w:tc>
          <w:tcPr>
            <w:tcW w:w="2941" w:type="dxa"/>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Other property expenses</w:t>
            </w:r>
          </w:p>
        </w:tc>
        <w:tc>
          <w:tcPr>
            <w:tcW w:w="959" w:type="dxa"/>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207.5</w:t>
            </w:r>
          </w:p>
        </w:tc>
        <w:tc>
          <w:tcPr>
            <w:tcW w:w="961" w:type="dxa"/>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12.6</w:t>
            </w:r>
          </w:p>
        </w:tc>
        <w:tc>
          <w:tcPr>
            <w:tcW w:w="961" w:type="dxa"/>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77.7</w:t>
            </w:r>
          </w:p>
        </w:tc>
        <w:tc>
          <w:tcPr>
            <w:tcW w:w="963" w:type="dxa"/>
            <w:gridSpan w:val="3"/>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92.1</w:t>
            </w:r>
          </w:p>
        </w:tc>
        <w:tc>
          <w:tcPr>
            <w:tcW w:w="977" w:type="dxa"/>
            <w:gridSpan w:val="4"/>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132.5</w:t>
            </w:r>
          </w:p>
        </w:tc>
      </w:tr>
      <w:tr w:rsidR="00965D85" w:rsidRPr="001E7FA9" w:rsidTr="008B46DF">
        <w:tc>
          <w:tcPr>
            <w:tcW w:w="2941" w:type="dxa"/>
            <w:tcBorders>
              <w:top w:val="single" w:sz="6" w:space="0" w:color="000000"/>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b/>
                <w:bCs/>
                <w:color w:val="000000"/>
                <w:sz w:val="19"/>
                <w:lang w:eastAsia="en-AU"/>
              </w:rPr>
            </w:pPr>
            <w:r w:rsidRPr="001E7FA9">
              <w:rPr>
                <w:rFonts w:ascii="Calibri" w:eastAsiaTheme="minorEastAsia" w:hAnsi="Calibri" w:cs="Calibri"/>
                <w:b/>
                <w:bCs/>
                <w:color w:val="000000"/>
                <w:sz w:val="19"/>
                <w:lang w:eastAsia="en-AU"/>
              </w:rPr>
              <w:t>Total expenses from transactions</w:t>
            </w:r>
          </w:p>
        </w:tc>
        <w:tc>
          <w:tcPr>
            <w:tcW w:w="959" w:type="dxa"/>
            <w:tcBorders>
              <w:top w:val="single" w:sz="6" w:space="0" w:color="000000"/>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19"/>
                <w:lang w:eastAsia="en-AU"/>
              </w:rPr>
            </w:pPr>
            <w:r w:rsidRPr="001E7FA9">
              <w:rPr>
                <w:rFonts w:ascii="Calibri" w:eastAsiaTheme="minorEastAsia" w:hAnsi="Calibri" w:cs="Calibri"/>
                <w:b/>
                <w:bCs/>
                <w:color w:val="000000"/>
                <w:sz w:val="19"/>
                <w:lang w:eastAsia="en-AU"/>
              </w:rPr>
              <w:t>8 476.4</w:t>
            </w:r>
          </w:p>
        </w:tc>
        <w:tc>
          <w:tcPr>
            <w:tcW w:w="961" w:type="dxa"/>
            <w:tcBorders>
              <w:top w:val="single" w:sz="6" w:space="0" w:color="000000"/>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19"/>
                <w:lang w:eastAsia="en-AU"/>
              </w:rPr>
            </w:pPr>
            <w:r w:rsidRPr="001E7FA9">
              <w:rPr>
                <w:rFonts w:ascii="Calibri" w:eastAsiaTheme="minorEastAsia" w:hAnsi="Calibri" w:cs="Calibri"/>
                <w:b/>
                <w:bCs/>
                <w:color w:val="000000"/>
                <w:sz w:val="19"/>
                <w:lang w:eastAsia="en-AU"/>
              </w:rPr>
              <w:t>8 244.4</w:t>
            </w:r>
          </w:p>
        </w:tc>
        <w:tc>
          <w:tcPr>
            <w:tcW w:w="961" w:type="dxa"/>
            <w:tcBorders>
              <w:top w:val="single" w:sz="6" w:space="0" w:color="000000"/>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19"/>
                <w:lang w:eastAsia="en-AU"/>
              </w:rPr>
            </w:pPr>
            <w:r w:rsidRPr="001E7FA9">
              <w:rPr>
                <w:rFonts w:ascii="Calibri" w:eastAsiaTheme="minorEastAsia" w:hAnsi="Calibri" w:cs="Calibri"/>
                <w:b/>
                <w:bCs/>
                <w:color w:val="000000"/>
                <w:sz w:val="19"/>
                <w:lang w:eastAsia="en-AU"/>
              </w:rPr>
              <w:t>8 505.8</w:t>
            </w:r>
          </w:p>
        </w:tc>
        <w:tc>
          <w:tcPr>
            <w:tcW w:w="963" w:type="dxa"/>
            <w:gridSpan w:val="3"/>
            <w:tcBorders>
              <w:top w:val="single" w:sz="6" w:space="0" w:color="000000"/>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19"/>
                <w:lang w:eastAsia="en-AU"/>
              </w:rPr>
            </w:pPr>
            <w:r w:rsidRPr="001E7FA9">
              <w:rPr>
                <w:rFonts w:ascii="Calibri" w:eastAsiaTheme="minorEastAsia" w:hAnsi="Calibri" w:cs="Calibri"/>
                <w:b/>
                <w:bCs/>
                <w:color w:val="000000"/>
                <w:sz w:val="19"/>
                <w:lang w:eastAsia="en-AU"/>
              </w:rPr>
              <w:t>8 853.3</w:t>
            </w:r>
          </w:p>
        </w:tc>
        <w:tc>
          <w:tcPr>
            <w:tcW w:w="977" w:type="dxa"/>
            <w:gridSpan w:val="4"/>
            <w:tcBorders>
              <w:top w:val="single" w:sz="6" w:space="0" w:color="000000"/>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19"/>
                <w:lang w:eastAsia="en-AU"/>
              </w:rPr>
            </w:pPr>
            <w:r w:rsidRPr="001E7FA9">
              <w:rPr>
                <w:rFonts w:ascii="Calibri" w:eastAsiaTheme="minorEastAsia" w:hAnsi="Calibri" w:cs="Calibri"/>
                <w:b/>
                <w:bCs/>
                <w:color w:val="000000"/>
                <w:sz w:val="19"/>
                <w:lang w:eastAsia="en-AU"/>
              </w:rPr>
              <w:t>9 132.4</w:t>
            </w:r>
          </w:p>
        </w:tc>
      </w:tr>
      <w:tr w:rsidR="00965D85" w:rsidRPr="001E7FA9" w:rsidTr="008B46DF">
        <w:tc>
          <w:tcPr>
            <w:tcW w:w="2941" w:type="dxa"/>
            <w:tcBorders>
              <w:top w:val="single" w:sz="6" w:space="0" w:color="000000"/>
              <w:left w:val="nil"/>
              <w:bottom w:val="single" w:sz="12" w:space="0" w:color="000000"/>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b/>
                <w:bCs/>
                <w:color w:val="000000"/>
                <w:sz w:val="20"/>
                <w:vertAlign w:val="superscript"/>
                <w:lang w:eastAsia="en-AU"/>
              </w:rPr>
            </w:pPr>
            <w:r w:rsidRPr="001E7FA9">
              <w:rPr>
                <w:rFonts w:ascii="Calibri" w:eastAsiaTheme="minorEastAsia" w:hAnsi="Calibri" w:cs="Calibri"/>
                <w:b/>
                <w:bCs/>
                <w:color w:val="000000"/>
                <w:sz w:val="19"/>
                <w:lang w:eastAsia="en-AU"/>
              </w:rPr>
              <w:t>Net result from transactions – net operating balance</w:t>
            </w:r>
            <w:r w:rsidRPr="001E7FA9">
              <w:rPr>
                <w:rFonts w:ascii="Calibri" w:eastAsiaTheme="minorEastAsia" w:hAnsi="Calibri" w:cs="Calibri"/>
                <w:b/>
                <w:bCs/>
                <w:color w:val="000000"/>
                <w:sz w:val="19"/>
                <w:vertAlign w:val="superscript"/>
                <w:lang w:eastAsia="en-AU"/>
              </w:rPr>
              <w:t xml:space="preserve"> (a)</w:t>
            </w:r>
          </w:p>
        </w:tc>
        <w:tc>
          <w:tcPr>
            <w:tcW w:w="959" w:type="dxa"/>
            <w:tcBorders>
              <w:top w:val="single" w:sz="6" w:space="0" w:color="000000"/>
              <w:left w:val="nil"/>
              <w:bottom w:val="single" w:sz="12"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19"/>
                <w:lang w:eastAsia="en-AU"/>
              </w:rPr>
              <w:t>(895.7)</w:t>
            </w:r>
          </w:p>
        </w:tc>
        <w:tc>
          <w:tcPr>
            <w:tcW w:w="961" w:type="dxa"/>
            <w:tcBorders>
              <w:top w:val="single" w:sz="6" w:space="0" w:color="000000"/>
              <w:left w:val="nil"/>
              <w:bottom w:val="single" w:sz="12"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19"/>
                <w:lang w:eastAsia="en-AU"/>
              </w:rPr>
              <w:t>(1 400.1)</w:t>
            </w:r>
          </w:p>
        </w:tc>
        <w:tc>
          <w:tcPr>
            <w:tcW w:w="961" w:type="dxa"/>
            <w:tcBorders>
              <w:top w:val="single" w:sz="6" w:space="0" w:color="000000"/>
              <w:left w:val="nil"/>
              <w:bottom w:val="single" w:sz="12"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19"/>
                <w:lang w:eastAsia="en-AU"/>
              </w:rPr>
              <w:t>(743.1)</w:t>
            </w:r>
          </w:p>
        </w:tc>
        <w:tc>
          <w:tcPr>
            <w:tcW w:w="963" w:type="dxa"/>
            <w:gridSpan w:val="3"/>
            <w:tcBorders>
              <w:top w:val="single" w:sz="6" w:space="0" w:color="000000"/>
              <w:left w:val="nil"/>
              <w:bottom w:val="single" w:sz="12"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19"/>
                <w:lang w:eastAsia="en-AU"/>
              </w:rPr>
              <w:t>(883.1)</w:t>
            </w:r>
          </w:p>
        </w:tc>
        <w:tc>
          <w:tcPr>
            <w:tcW w:w="977" w:type="dxa"/>
            <w:gridSpan w:val="4"/>
            <w:tcBorders>
              <w:top w:val="single" w:sz="6" w:space="0" w:color="000000"/>
              <w:left w:val="nil"/>
              <w:bottom w:val="single" w:sz="12"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19"/>
                <w:lang w:eastAsia="en-AU"/>
              </w:rPr>
              <w:t>(971.6)</w:t>
            </w:r>
          </w:p>
        </w:tc>
      </w:tr>
      <w:tr w:rsidR="00965D85" w:rsidRPr="001E7FA9" w:rsidTr="008B46DF">
        <w:tc>
          <w:tcPr>
            <w:tcW w:w="6347" w:type="dxa"/>
            <w:gridSpan w:val="5"/>
            <w:tcBorders>
              <w:top w:val="single" w:sz="12" w:space="0" w:color="000000"/>
              <w:left w:val="nil"/>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b/>
                <w:bCs/>
                <w:color w:val="000000"/>
                <w:sz w:val="19"/>
                <w:lang w:eastAsia="en-AU"/>
              </w:rPr>
            </w:pPr>
            <w:r w:rsidRPr="001E7FA9">
              <w:rPr>
                <w:rFonts w:ascii="Calibri" w:eastAsiaTheme="minorEastAsia" w:hAnsi="Calibri" w:cs="Calibri"/>
                <w:b/>
                <w:bCs/>
                <w:color w:val="000000"/>
                <w:sz w:val="19"/>
                <w:lang w:eastAsia="en-AU"/>
              </w:rPr>
              <w:t>Other economic flows included in net result</w:t>
            </w:r>
          </w:p>
        </w:tc>
        <w:tc>
          <w:tcPr>
            <w:tcW w:w="283" w:type="dxa"/>
            <w:tcBorders>
              <w:top w:val="single" w:sz="12" w:space="0" w:color="000000"/>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283" w:type="dxa"/>
            <w:gridSpan w:val="2"/>
            <w:tcBorders>
              <w:top w:val="single" w:sz="12" w:space="0" w:color="000000"/>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283" w:type="dxa"/>
            <w:tcBorders>
              <w:top w:val="single" w:sz="12" w:space="0" w:color="000000"/>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283" w:type="dxa"/>
            <w:tcBorders>
              <w:top w:val="single" w:sz="12" w:space="0" w:color="000000"/>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283" w:type="dxa"/>
            <w:tcBorders>
              <w:top w:val="single" w:sz="12" w:space="0" w:color="000000"/>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r>
      <w:tr w:rsidR="00965D85" w:rsidRPr="001E7FA9" w:rsidTr="008B46DF">
        <w:tc>
          <w:tcPr>
            <w:tcW w:w="2941" w:type="dxa"/>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Net gain/(loss) on disposal of non</w:t>
            </w:r>
            <w:r>
              <w:rPr>
                <w:rFonts w:ascii="Calibri" w:eastAsiaTheme="minorEastAsia" w:hAnsi="Calibri" w:cs="Calibri"/>
                <w:color w:val="000000"/>
                <w:sz w:val="19"/>
                <w:lang w:eastAsia="en-AU"/>
              </w:rPr>
              <w:noBreakHyphen/>
            </w:r>
            <w:r w:rsidRPr="001E7FA9">
              <w:rPr>
                <w:rFonts w:ascii="Calibri" w:eastAsiaTheme="minorEastAsia" w:hAnsi="Calibri" w:cs="Calibri"/>
                <w:color w:val="000000"/>
                <w:sz w:val="19"/>
                <w:lang w:eastAsia="en-AU"/>
              </w:rPr>
              <w:t>financial assets</w:t>
            </w:r>
          </w:p>
        </w:tc>
        <w:tc>
          <w:tcPr>
            <w:tcW w:w="959"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w:t>
            </w:r>
          </w:p>
        </w:tc>
        <w:tc>
          <w:tcPr>
            <w:tcW w:w="961"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w:t>
            </w:r>
          </w:p>
        </w:tc>
        <w:tc>
          <w:tcPr>
            <w:tcW w:w="961"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w:t>
            </w:r>
          </w:p>
        </w:tc>
        <w:tc>
          <w:tcPr>
            <w:tcW w:w="963" w:type="dxa"/>
            <w:gridSpan w:val="3"/>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w:t>
            </w:r>
          </w:p>
        </w:tc>
        <w:tc>
          <w:tcPr>
            <w:tcW w:w="977" w:type="dxa"/>
            <w:gridSpan w:val="4"/>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w:t>
            </w:r>
          </w:p>
        </w:tc>
      </w:tr>
      <w:tr w:rsidR="00965D85" w:rsidRPr="001E7FA9" w:rsidTr="008B46DF">
        <w:tc>
          <w:tcPr>
            <w:tcW w:w="2941" w:type="dxa"/>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Net gain/(loss) on financial assets or liabilities at fair value</w:t>
            </w:r>
          </w:p>
        </w:tc>
        <w:tc>
          <w:tcPr>
            <w:tcW w:w="959"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787.7</w:t>
            </w:r>
          </w:p>
        </w:tc>
        <w:tc>
          <w:tcPr>
            <w:tcW w:w="961"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77.8</w:t>
            </w:r>
          </w:p>
        </w:tc>
        <w:tc>
          <w:tcPr>
            <w:tcW w:w="961"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706.6</w:t>
            </w:r>
          </w:p>
        </w:tc>
        <w:tc>
          <w:tcPr>
            <w:tcW w:w="963" w:type="dxa"/>
            <w:gridSpan w:val="3"/>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796.0</w:t>
            </w:r>
          </w:p>
        </w:tc>
        <w:tc>
          <w:tcPr>
            <w:tcW w:w="977" w:type="dxa"/>
            <w:gridSpan w:val="4"/>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933.2</w:t>
            </w:r>
          </w:p>
        </w:tc>
      </w:tr>
      <w:tr w:rsidR="00965D85" w:rsidRPr="001E7FA9" w:rsidTr="008B46DF">
        <w:tc>
          <w:tcPr>
            <w:tcW w:w="2941" w:type="dxa"/>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Other gains/(losses) from other economic flows</w:t>
            </w:r>
          </w:p>
        </w:tc>
        <w:tc>
          <w:tcPr>
            <w:tcW w:w="959" w:type="dxa"/>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694.9</w:t>
            </w:r>
          </w:p>
        </w:tc>
        <w:tc>
          <w:tcPr>
            <w:tcW w:w="961" w:type="dxa"/>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236.3</w:t>
            </w:r>
          </w:p>
        </w:tc>
        <w:tc>
          <w:tcPr>
            <w:tcW w:w="961" w:type="dxa"/>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627.9</w:t>
            </w:r>
          </w:p>
        </w:tc>
        <w:tc>
          <w:tcPr>
            <w:tcW w:w="963" w:type="dxa"/>
            <w:gridSpan w:val="3"/>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669.6</w:t>
            </w:r>
          </w:p>
        </w:tc>
        <w:tc>
          <w:tcPr>
            <w:tcW w:w="977" w:type="dxa"/>
            <w:gridSpan w:val="4"/>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704.7</w:t>
            </w:r>
          </w:p>
        </w:tc>
      </w:tr>
      <w:tr w:rsidR="00965D85" w:rsidRPr="001E7FA9" w:rsidTr="008B46DF">
        <w:tc>
          <w:tcPr>
            <w:tcW w:w="2941" w:type="dxa"/>
            <w:tcBorders>
              <w:top w:val="single" w:sz="6" w:space="0" w:color="000000"/>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b/>
                <w:bCs/>
                <w:color w:val="000000"/>
                <w:sz w:val="19"/>
                <w:lang w:eastAsia="en-AU"/>
              </w:rPr>
            </w:pPr>
            <w:r w:rsidRPr="001E7FA9">
              <w:rPr>
                <w:rFonts w:ascii="Calibri" w:eastAsiaTheme="minorEastAsia" w:hAnsi="Calibri" w:cs="Calibri"/>
                <w:b/>
                <w:bCs/>
                <w:color w:val="000000"/>
                <w:sz w:val="19"/>
                <w:lang w:eastAsia="en-AU"/>
              </w:rPr>
              <w:t>Total other economic flows included in net result</w:t>
            </w:r>
          </w:p>
        </w:tc>
        <w:tc>
          <w:tcPr>
            <w:tcW w:w="959" w:type="dxa"/>
            <w:tcBorders>
              <w:top w:val="single" w:sz="6" w:space="0" w:color="000000"/>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19"/>
                <w:lang w:eastAsia="en-AU"/>
              </w:rPr>
            </w:pPr>
            <w:r w:rsidRPr="001E7FA9">
              <w:rPr>
                <w:rFonts w:ascii="Calibri" w:eastAsiaTheme="minorEastAsia" w:hAnsi="Calibri" w:cs="Calibri"/>
                <w:b/>
                <w:bCs/>
                <w:color w:val="000000"/>
                <w:sz w:val="19"/>
                <w:lang w:eastAsia="en-AU"/>
              </w:rPr>
              <w:t>1 482.6</w:t>
            </w:r>
          </w:p>
        </w:tc>
        <w:tc>
          <w:tcPr>
            <w:tcW w:w="961" w:type="dxa"/>
            <w:tcBorders>
              <w:top w:val="single" w:sz="6" w:space="0" w:color="000000"/>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19"/>
                <w:lang w:eastAsia="en-AU"/>
              </w:rPr>
              <w:t>314.0</w:t>
            </w:r>
          </w:p>
        </w:tc>
        <w:tc>
          <w:tcPr>
            <w:tcW w:w="961" w:type="dxa"/>
            <w:tcBorders>
              <w:top w:val="single" w:sz="6" w:space="0" w:color="000000"/>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19"/>
                <w:lang w:eastAsia="en-AU"/>
              </w:rPr>
            </w:pPr>
            <w:r w:rsidRPr="001E7FA9">
              <w:rPr>
                <w:rFonts w:ascii="Calibri" w:eastAsiaTheme="minorEastAsia" w:hAnsi="Calibri" w:cs="Calibri"/>
                <w:b/>
                <w:bCs/>
                <w:color w:val="000000"/>
                <w:sz w:val="19"/>
                <w:lang w:eastAsia="en-AU"/>
              </w:rPr>
              <w:t>1 334.5</w:t>
            </w:r>
          </w:p>
        </w:tc>
        <w:tc>
          <w:tcPr>
            <w:tcW w:w="963" w:type="dxa"/>
            <w:gridSpan w:val="3"/>
            <w:tcBorders>
              <w:top w:val="single" w:sz="6" w:space="0" w:color="000000"/>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19"/>
                <w:lang w:eastAsia="en-AU"/>
              </w:rPr>
            </w:pPr>
            <w:r w:rsidRPr="001E7FA9">
              <w:rPr>
                <w:rFonts w:ascii="Calibri" w:eastAsiaTheme="minorEastAsia" w:hAnsi="Calibri" w:cs="Calibri"/>
                <w:b/>
                <w:bCs/>
                <w:color w:val="000000"/>
                <w:sz w:val="19"/>
                <w:lang w:eastAsia="en-AU"/>
              </w:rPr>
              <w:t>1 465.5</w:t>
            </w:r>
          </w:p>
        </w:tc>
        <w:tc>
          <w:tcPr>
            <w:tcW w:w="977" w:type="dxa"/>
            <w:gridSpan w:val="4"/>
            <w:tcBorders>
              <w:top w:val="single" w:sz="6" w:space="0" w:color="000000"/>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19"/>
                <w:lang w:eastAsia="en-AU"/>
              </w:rPr>
            </w:pPr>
            <w:r w:rsidRPr="001E7FA9">
              <w:rPr>
                <w:rFonts w:ascii="Calibri" w:eastAsiaTheme="minorEastAsia" w:hAnsi="Calibri" w:cs="Calibri"/>
                <w:b/>
                <w:bCs/>
                <w:color w:val="000000"/>
                <w:sz w:val="19"/>
                <w:lang w:eastAsia="en-AU"/>
              </w:rPr>
              <w:t>1 637.9</w:t>
            </w:r>
          </w:p>
        </w:tc>
      </w:tr>
      <w:tr w:rsidR="00965D85" w:rsidRPr="001E7FA9" w:rsidTr="008B46DF">
        <w:tc>
          <w:tcPr>
            <w:tcW w:w="2941" w:type="dxa"/>
            <w:tcBorders>
              <w:top w:val="single" w:sz="6" w:space="0" w:color="000000"/>
              <w:left w:val="nil"/>
              <w:bottom w:val="single" w:sz="12" w:space="0" w:color="000000"/>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b/>
                <w:bCs/>
                <w:color w:val="000000"/>
                <w:sz w:val="19"/>
                <w:lang w:eastAsia="en-AU"/>
              </w:rPr>
            </w:pPr>
            <w:r w:rsidRPr="001E7FA9">
              <w:rPr>
                <w:rFonts w:ascii="Calibri" w:eastAsiaTheme="minorEastAsia" w:hAnsi="Calibri" w:cs="Calibri"/>
                <w:b/>
                <w:bCs/>
                <w:color w:val="000000"/>
                <w:sz w:val="19"/>
                <w:lang w:eastAsia="en-AU"/>
              </w:rPr>
              <w:t>Net result</w:t>
            </w:r>
          </w:p>
        </w:tc>
        <w:tc>
          <w:tcPr>
            <w:tcW w:w="959" w:type="dxa"/>
            <w:tcBorders>
              <w:top w:val="single" w:sz="6" w:space="0" w:color="000000"/>
              <w:left w:val="nil"/>
              <w:bottom w:val="single" w:sz="12"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19"/>
                <w:lang w:eastAsia="en-AU"/>
              </w:rPr>
              <w:t>586.9</w:t>
            </w:r>
          </w:p>
        </w:tc>
        <w:tc>
          <w:tcPr>
            <w:tcW w:w="961" w:type="dxa"/>
            <w:tcBorders>
              <w:top w:val="single" w:sz="6" w:space="0" w:color="000000"/>
              <w:left w:val="nil"/>
              <w:bottom w:val="single" w:sz="12"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19"/>
                <w:lang w:eastAsia="en-AU"/>
              </w:rPr>
              <w:t>(1 086.1)</w:t>
            </w:r>
          </w:p>
        </w:tc>
        <w:tc>
          <w:tcPr>
            <w:tcW w:w="961" w:type="dxa"/>
            <w:tcBorders>
              <w:top w:val="single" w:sz="6" w:space="0" w:color="000000"/>
              <w:left w:val="nil"/>
              <w:bottom w:val="single" w:sz="12"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19"/>
                <w:lang w:eastAsia="en-AU"/>
              </w:rPr>
              <w:t>591.4</w:t>
            </w:r>
          </w:p>
        </w:tc>
        <w:tc>
          <w:tcPr>
            <w:tcW w:w="963" w:type="dxa"/>
            <w:gridSpan w:val="3"/>
            <w:tcBorders>
              <w:top w:val="single" w:sz="6" w:space="0" w:color="000000"/>
              <w:left w:val="nil"/>
              <w:bottom w:val="single" w:sz="12"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19"/>
                <w:lang w:eastAsia="en-AU"/>
              </w:rPr>
              <w:t>582.4</w:t>
            </w:r>
          </w:p>
        </w:tc>
        <w:tc>
          <w:tcPr>
            <w:tcW w:w="977" w:type="dxa"/>
            <w:gridSpan w:val="4"/>
            <w:tcBorders>
              <w:top w:val="single" w:sz="6" w:space="0" w:color="000000"/>
              <w:left w:val="nil"/>
              <w:bottom w:val="single" w:sz="12"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19"/>
                <w:lang w:eastAsia="en-AU"/>
              </w:rPr>
              <w:t>666.3</w:t>
            </w:r>
          </w:p>
        </w:tc>
      </w:tr>
      <w:tr w:rsidR="00965D85" w:rsidRPr="001E7FA9" w:rsidTr="008B46DF">
        <w:tc>
          <w:tcPr>
            <w:tcW w:w="6347" w:type="dxa"/>
            <w:gridSpan w:val="5"/>
            <w:tcBorders>
              <w:top w:val="single" w:sz="12" w:space="0" w:color="000000"/>
              <w:left w:val="nil"/>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b/>
                <w:bCs/>
                <w:color w:val="000000"/>
                <w:sz w:val="19"/>
                <w:lang w:eastAsia="en-AU"/>
              </w:rPr>
            </w:pPr>
            <w:r w:rsidRPr="001E7FA9">
              <w:rPr>
                <w:rFonts w:ascii="Calibri" w:eastAsiaTheme="minorEastAsia" w:hAnsi="Calibri" w:cs="Calibri"/>
                <w:b/>
                <w:bCs/>
                <w:color w:val="000000"/>
                <w:sz w:val="19"/>
                <w:lang w:eastAsia="en-AU"/>
              </w:rPr>
              <w:t>Other economic flows – other comprehensive income</w:t>
            </w:r>
          </w:p>
        </w:tc>
        <w:tc>
          <w:tcPr>
            <w:tcW w:w="283" w:type="dxa"/>
            <w:tcBorders>
              <w:top w:val="single" w:sz="12" w:space="0" w:color="000000"/>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283" w:type="dxa"/>
            <w:gridSpan w:val="2"/>
            <w:tcBorders>
              <w:top w:val="single" w:sz="12" w:space="0" w:color="000000"/>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283" w:type="dxa"/>
            <w:tcBorders>
              <w:top w:val="single" w:sz="12" w:space="0" w:color="000000"/>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283" w:type="dxa"/>
            <w:tcBorders>
              <w:top w:val="single" w:sz="12" w:space="0" w:color="000000"/>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283" w:type="dxa"/>
            <w:tcBorders>
              <w:top w:val="single" w:sz="12" w:space="0" w:color="000000"/>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r>
      <w:tr w:rsidR="00965D85" w:rsidRPr="001E7FA9" w:rsidTr="008B46DF">
        <w:tc>
          <w:tcPr>
            <w:tcW w:w="6347" w:type="dxa"/>
            <w:gridSpan w:val="5"/>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b/>
                <w:bCs/>
                <w:color w:val="000000"/>
                <w:sz w:val="19"/>
                <w:lang w:eastAsia="en-AU"/>
              </w:rPr>
            </w:pPr>
            <w:r w:rsidRPr="001E7FA9">
              <w:rPr>
                <w:rFonts w:ascii="Calibri" w:eastAsiaTheme="minorEastAsia" w:hAnsi="Calibri" w:cs="Calibri"/>
                <w:b/>
                <w:bCs/>
                <w:color w:val="000000"/>
                <w:sz w:val="19"/>
                <w:lang w:eastAsia="en-AU"/>
              </w:rPr>
              <w:t>Items that will not be reclassified to net result</w:t>
            </w:r>
          </w:p>
        </w:tc>
        <w:tc>
          <w:tcPr>
            <w:tcW w:w="283"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283" w:type="dxa"/>
            <w:gridSpan w:val="2"/>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283"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283"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283"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r>
      <w:tr w:rsidR="00965D85" w:rsidRPr="001E7FA9" w:rsidTr="008B46DF">
        <w:tc>
          <w:tcPr>
            <w:tcW w:w="2941" w:type="dxa"/>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Changes in non</w:t>
            </w:r>
            <w:r>
              <w:rPr>
                <w:rFonts w:ascii="Calibri" w:eastAsiaTheme="minorEastAsia" w:hAnsi="Calibri" w:cs="Calibri"/>
                <w:color w:val="000000"/>
                <w:sz w:val="19"/>
                <w:lang w:eastAsia="en-AU"/>
              </w:rPr>
              <w:noBreakHyphen/>
            </w:r>
            <w:r w:rsidRPr="001E7FA9">
              <w:rPr>
                <w:rFonts w:ascii="Calibri" w:eastAsiaTheme="minorEastAsia" w:hAnsi="Calibri" w:cs="Calibri"/>
                <w:color w:val="000000"/>
                <w:sz w:val="19"/>
                <w:lang w:eastAsia="en-AU"/>
              </w:rPr>
              <w:t>financial assets revaluation surplus</w:t>
            </w:r>
          </w:p>
        </w:tc>
        <w:tc>
          <w:tcPr>
            <w:tcW w:w="959"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w:t>
            </w:r>
          </w:p>
        </w:tc>
        <w:tc>
          <w:tcPr>
            <w:tcW w:w="961"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w:t>
            </w:r>
          </w:p>
        </w:tc>
        <w:tc>
          <w:tcPr>
            <w:tcW w:w="961"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w:t>
            </w:r>
          </w:p>
        </w:tc>
        <w:tc>
          <w:tcPr>
            <w:tcW w:w="963" w:type="dxa"/>
            <w:gridSpan w:val="3"/>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w:t>
            </w:r>
          </w:p>
        </w:tc>
        <w:tc>
          <w:tcPr>
            <w:tcW w:w="977" w:type="dxa"/>
            <w:gridSpan w:val="4"/>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w:t>
            </w:r>
          </w:p>
        </w:tc>
      </w:tr>
      <w:tr w:rsidR="00965D85" w:rsidRPr="001E7FA9" w:rsidTr="008B46DF">
        <w:tc>
          <w:tcPr>
            <w:tcW w:w="2941" w:type="dxa"/>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Other movements in equity</w:t>
            </w:r>
          </w:p>
        </w:tc>
        <w:tc>
          <w:tcPr>
            <w:tcW w:w="959" w:type="dxa"/>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(3.3)</w:t>
            </w:r>
          </w:p>
        </w:tc>
        <w:tc>
          <w:tcPr>
            <w:tcW w:w="961" w:type="dxa"/>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0.5</w:t>
            </w:r>
          </w:p>
        </w:tc>
        <w:tc>
          <w:tcPr>
            <w:tcW w:w="961" w:type="dxa"/>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(1.0)</w:t>
            </w:r>
          </w:p>
        </w:tc>
        <w:tc>
          <w:tcPr>
            <w:tcW w:w="963" w:type="dxa"/>
            <w:gridSpan w:val="3"/>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(1.5)</w:t>
            </w:r>
          </w:p>
        </w:tc>
        <w:tc>
          <w:tcPr>
            <w:tcW w:w="977" w:type="dxa"/>
            <w:gridSpan w:val="4"/>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(1.4)</w:t>
            </w:r>
          </w:p>
        </w:tc>
      </w:tr>
      <w:tr w:rsidR="00965D85" w:rsidRPr="001E7FA9" w:rsidTr="008B46DF">
        <w:tc>
          <w:tcPr>
            <w:tcW w:w="2941" w:type="dxa"/>
            <w:tcBorders>
              <w:top w:val="single" w:sz="6" w:space="0" w:color="000000"/>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b/>
                <w:bCs/>
                <w:color w:val="000000"/>
                <w:sz w:val="19"/>
                <w:lang w:eastAsia="en-AU"/>
              </w:rPr>
            </w:pPr>
            <w:r w:rsidRPr="001E7FA9">
              <w:rPr>
                <w:rFonts w:ascii="Calibri" w:eastAsiaTheme="minorEastAsia" w:hAnsi="Calibri" w:cs="Calibri"/>
                <w:b/>
                <w:bCs/>
                <w:color w:val="000000"/>
                <w:sz w:val="19"/>
                <w:lang w:eastAsia="en-AU"/>
              </w:rPr>
              <w:t>Total other economic flows – other comprehensive income</w:t>
            </w:r>
          </w:p>
        </w:tc>
        <w:tc>
          <w:tcPr>
            <w:tcW w:w="959" w:type="dxa"/>
            <w:tcBorders>
              <w:top w:val="single" w:sz="6" w:space="0" w:color="000000"/>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19"/>
                <w:lang w:eastAsia="en-AU"/>
              </w:rPr>
              <w:t>(3.3)</w:t>
            </w:r>
          </w:p>
        </w:tc>
        <w:tc>
          <w:tcPr>
            <w:tcW w:w="961" w:type="dxa"/>
            <w:tcBorders>
              <w:top w:val="single" w:sz="6" w:space="0" w:color="000000"/>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19"/>
                <w:lang w:eastAsia="en-AU"/>
              </w:rPr>
              <w:t>0.5</w:t>
            </w:r>
          </w:p>
        </w:tc>
        <w:tc>
          <w:tcPr>
            <w:tcW w:w="961" w:type="dxa"/>
            <w:tcBorders>
              <w:top w:val="single" w:sz="6" w:space="0" w:color="000000"/>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19"/>
                <w:lang w:eastAsia="en-AU"/>
              </w:rPr>
              <w:t>(1.0)</w:t>
            </w:r>
          </w:p>
        </w:tc>
        <w:tc>
          <w:tcPr>
            <w:tcW w:w="963" w:type="dxa"/>
            <w:gridSpan w:val="3"/>
            <w:tcBorders>
              <w:top w:val="single" w:sz="6" w:space="0" w:color="000000"/>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19"/>
                <w:lang w:eastAsia="en-AU"/>
              </w:rPr>
              <w:t>(1.5)</w:t>
            </w:r>
          </w:p>
        </w:tc>
        <w:tc>
          <w:tcPr>
            <w:tcW w:w="977" w:type="dxa"/>
            <w:gridSpan w:val="4"/>
            <w:tcBorders>
              <w:top w:val="single" w:sz="6" w:space="0" w:color="000000"/>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19"/>
                <w:lang w:eastAsia="en-AU"/>
              </w:rPr>
              <w:t>(1.4)</w:t>
            </w:r>
          </w:p>
        </w:tc>
      </w:tr>
      <w:tr w:rsidR="00965D85" w:rsidRPr="001E7FA9" w:rsidTr="008B46DF">
        <w:tc>
          <w:tcPr>
            <w:tcW w:w="2941" w:type="dxa"/>
            <w:tcBorders>
              <w:top w:val="single" w:sz="6" w:space="0" w:color="000000"/>
              <w:left w:val="nil"/>
              <w:bottom w:val="single" w:sz="12" w:space="0" w:color="000000"/>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b/>
                <w:bCs/>
                <w:color w:val="000000"/>
                <w:sz w:val="19"/>
                <w:lang w:eastAsia="en-AU"/>
              </w:rPr>
            </w:pPr>
            <w:r w:rsidRPr="001E7FA9">
              <w:rPr>
                <w:rFonts w:ascii="Calibri" w:eastAsiaTheme="minorEastAsia" w:hAnsi="Calibri" w:cs="Calibri"/>
                <w:b/>
                <w:bCs/>
                <w:color w:val="000000"/>
                <w:sz w:val="19"/>
                <w:lang w:eastAsia="en-AU"/>
              </w:rPr>
              <w:t>Comprehensive result – total change in net worth</w:t>
            </w:r>
          </w:p>
        </w:tc>
        <w:tc>
          <w:tcPr>
            <w:tcW w:w="959" w:type="dxa"/>
            <w:tcBorders>
              <w:top w:val="single" w:sz="6" w:space="0" w:color="000000"/>
              <w:left w:val="nil"/>
              <w:bottom w:val="single" w:sz="12"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19"/>
                <w:lang w:eastAsia="en-AU"/>
              </w:rPr>
              <w:t>583.6</w:t>
            </w:r>
          </w:p>
        </w:tc>
        <w:tc>
          <w:tcPr>
            <w:tcW w:w="961" w:type="dxa"/>
            <w:tcBorders>
              <w:top w:val="single" w:sz="6" w:space="0" w:color="000000"/>
              <w:left w:val="nil"/>
              <w:bottom w:val="single" w:sz="12"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19"/>
                <w:lang w:eastAsia="en-AU"/>
              </w:rPr>
              <w:t>(1 085.6)</w:t>
            </w:r>
          </w:p>
        </w:tc>
        <w:tc>
          <w:tcPr>
            <w:tcW w:w="961" w:type="dxa"/>
            <w:tcBorders>
              <w:top w:val="single" w:sz="6" w:space="0" w:color="000000"/>
              <w:left w:val="nil"/>
              <w:bottom w:val="single" w:sz="12"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19"/>
                <w:lang w:eastAsia="en-AU"/>
              </w:rPr>
              <w:t>590.4</w:t>
            </w:r>
          </w:p>
        </w:tc>
        <w:tc>
          <w:tcPr>
            <w:tcW w:w="963" w:type="dxa"/>
            <w:gridSpan w:val="3"/>
            <w:tcBorders>
              <w:top w:val="single" w:sz="6" w:space="0" w:color="000000"/>
              <w:left w:val="nil"/>
              <w:bottom w:val="single" w:sz="12"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19"/>
                <w:lang w:eastAsia="en-AU"/>
              </w:rPr>
              <w:t>580.9</w:t>
            </w:r>
          </w:p>
        </w:tc>
        <w:tc>
          <w:tcPr>
            <w:tcW w:w="977" w:type="dxa"/>
            <w:gridSpan w:val="4"/>
            <w:tcBorders>
              <w:top w:val="single" w:sz="6" w:space="0" w:color="000000"/>
              <w:left w:val="nil"/>
              <w:bottom w:val="single" w:sz="12"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19"/>
                <w:lang w:eastAsia="en-AU"/>
              </w:rPr>
              <w:t>664.9</w:t>
            </w:r>
          </w:p>
        </w:tc>
      </w:tr>
      <w:tr w:rsidR="00965D85" w:rsidRPr="001E7FA9" w:rsidTr="008B46DF">
        <w:trPr>
          <w:trHeight w:hRule="exact" w:val="120"/>
        </w:trPr>
        <w:tc>
          <w:tcPr>
            <w:tcW w:w="2941" w:type="dxa"/>
            <w:tcBorders>
              <w:top w:val="single" w:sz="12" w:space="0" w:color="000000"/>
              <w:left w:val="nil"/>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 xml:space="preserve"> </w:t>
            </w:r>
          </w:p>
        </w:tc>
        <w:tc>
          <w:tcPr>
            <w:tcW w:w="959" w:type="dxa"/>
            <w:tcBorders>
              <w:top w:val="single" w:sz="12" w:space="0" w:color="000000"/>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p>
        </w:tc>
        <w:tc>
          <w:tcPr>
            <w:tcW w:w="961" w:type="dxa"/>
            <w:tcBorders>
              <w:top w:val="single" w:sz="12" w:space="0" w:color="000000"/>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p>
        </w:tc>
        <w:tc>
          <w:tcPr>
            <w:tcW w:w="961" w:type="dxa"/>
            <w:tcBorders>
              <w:top w:val="single" w:sz="12" w:space="0" w:color="000000"/>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p>
        </w:tc>
        <w:tc>
          <w:tcPr>
            <w:tcW w:w="963" w:type="dxa"/>
            <w:gridSpan w:val="3"/>
            <w:tcBorders>
              <w:top w:val="single" w:sz="12" w:space="0" w:color="000000"/>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p>
        </w:tc>
        <w:tc>
          <w:tcPr>
            <w:tcW w:w="977" w:type="dxa"/>
            <w:gridSpan w:val="4"/>
            <w:tcBorders>
              <w:top w:val="single" w:sz="12" w:space="0" w:color="000000"/>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p>
        </w:tc>
      </w:tr>
    </w:tbl>
    <w:p w:rsidR="00965D85" w:rsidRDefault="00965D85"/>
    <w:p w:rsidR="00965D85" w:rsidRDefault="00965D85">
      <w:pPr>
        <w:spacing w:after="0"/>
        <w:rPr>
          <w:rFonts w:ascii="Calibri" w:hAnsi="Calibri"/>
          <w:b/>
          <w:lang w:eastAsia="en-AU"/>
        </w:rPr>
      </w:pPr>
      <w:r>
        <w:rPr>
          <w:lang w:eastAsia="en-AU"/>
        </w:rPr>
        <w:br w:type="page"/>
      </w:r>
    </w:p>
    <w:p w:rsidR="00965D85" w:rsidRDefault="00965D85" w:rsidP="008B46DF">
      <w:pPr>
        <w:pStyle w:val="Tableheading"/>
        <w:rPr>
          <w:rFonts w:ascii="Times New Roman" w:hAnsi="Times New Roman"/>
          <w:i/>
          <w:sz w:val="20"/>
          <w:lang w:eastAsia="en-AU"/>
        </w:rPr>
      </w:pPr>
      <w:r w:rsidRPr="00C24CD2">
        <w:rPr>
          <w:lang w:eastAsia="en-AU"/>
        </w:rPr>
        <w:lastRenderedPageBreak/>
        <w:t>Table 5.13:</w:t>
      </w:r>
      <w:r w:rsidRPr="00C24CD2">
        <w:rPr>
          <w:lang w:eastAsia="en-AU"/>
        </w:rPr>
        <w:tab/>
        <w:t>Public financial corporations sector comprehensive operating statement for the financial year ended 30 June</w:t>
      </w:r>
      <w:r>
        <w:rPr>
          <w:lang w:eastAsia="en-AU"/>
        </w:rPr>
        <w:t xml:space="preserve"> </w:t>
      </w:r>
      <w:r w:rsidRPr="00B941BF">
        <w:rPr>
          <w:i/>
          <w:lang w:eastAsia="en-AU"/>
        </w:rPr>
        <w:t>(continued)</w:t>
      </w:r>
    </w:p>
    <w:tbl>
      <w:tblPr>
        <w:tblW w:w="7762" w:type="dxa"/>
        <w:tblInd w:w="28" w:type="dxa"/>
        <w:tblLayout w:type="fixed"/>
        <w:tblCellMar>
          <w:left w:w="28" w:type="dxa"/>
          <w:right w:w="28" w:type="dxa"/>
        </w:tblCellMar>
        <w:tblLook w:val="0000" w:firstRow="0" w:lastRow="0" w:firstColumn="0" w:lastColumn="0" w:noHBand="0" w:noVBand="0"/>
      </w:tblPr>
      <w:tblGrid>
        <w:gridCol w:w="2941"/>
        <w:gridCol w:w="959"/>
        <w:gridCol w:w="961"/>
        <w:gridCol w:w="961"/>
        <w:gridCol w:w="963"/>
        <w:gridCol w:w="977"/>
      </w:tblGrid>
      <w:tr w:rsidR="00965D85" w:rsidRPr="001E7FA9" w:rsidTr="008B46DF">
        <w:trPr>
          <w:tblHeader/>
        </w:trPr>
        <w:tc>
          <w:tcPr>
            <w:tcW w:w="7762" w:type="dxa"/>
            <w:gridSpan w:val="6"/>
            <w:tcBorders>
              <w:top w:val="nil"/>
              <w:left w:val="nil"/>
              <w:bottom w:val="nil"/>
              <w:right w:val="nil"/>
            </w:tcBorders>
          </w:tcPr>
          <w:p w:rsidR="00965D85" w:rsidRPr="001E7FA9" w:rsidRDefault="00965D85" w:rsidP="008B46DF">
            <w:pPr>
              <w:pStyle w:val="million"/>
              <w:rPr>
                <w:rFonts w:eastAsiaTheme="minorEastAsia" w:cs="Calibri"/>
                <w:iCs/>
                <w:color w:val="000000"/>
                <w:sz w:val="20"/>
                <w:lang w:eastAsia="en-AU"/>
              </w:rPr>
            </w:pPr>
            <w:r w:rsidRPr="001E7FA9">
              <w:rPr>
                <w:rFonts w:eastAsiaTheme="minorEastAsia"/>
                <w:lang w:eastAsia="en-AU"/>
              </w:rPr>
              <w:t>($ million</w:t>
            </w:r>
            <w:r w:rsidRPr="001E7FA9">
              <w:rPr>
                <w:rFonts w:eastAsiaTheme="minorEastAsia" w:cs="Calibri"/>
                <w:iCs/>
                <w:color w:val="000000"/>
                <w:sz w:val="20"/>
                <w:lang w:eastAsia="en-AU"/>
              </w:rPr>
              <w:t>)</w:t>
            </w:r>
          </w:p>
        </w:tc>
      </w:tr>
      <w:tr w:rsidR="00965D85" w:rsidRPr="001E7FA9" w:rsidTr="008B46DF">
        <w:trPr>
          <w:trHeight w:val="464"/>
          <w:tblHeader/>
        </w:trPr>
        <w:tc>
          <w:tcPr>
            <w:tcW w:w="2941" w:type="dxa"/>
            <w:tcBorders>
              <w:top w:val="nil"/>
              <w:left w:val="nil"/>
              <w:right w:val="nil"/>
            </w:tcBorders>
            <w:shd w:val="solid" w:color="000000" w:fill="auto"/>
          </w:tcPr>
          <w:p w:rsidR="00965D85" w:rsidRPr="001E7FA9" w:rsidRDefault="00965D85" w:rsidP="008B46DF">
            <w:pPr>
              <w:autoSpaceDE w:val="0"/>
              <w:autoSpaceDN w:val="0"/>
              <w:adjustRightInd w:val="0"/>
              <w:spacing w:after="0"/>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 xml:space="preserve"> </w:t>
            </w:r>
          </w:p>
          <w:p w:rsidR="00965D85" w:rsidRPr="001E7FA9" w:rsidRDefault="00965D85" w:rsidP="008B46DF">
            <w:pPr>
              <w:autoSpaceDE w:val="0"/>
              <w:autoSpaceDN w:val="0"/>
              <w:adjustRightInd w:val="0"/>
              <w:spacing w:after="0"/>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 xml:space="preserve"> </w:t>
            </w:r>
          </w:p>
        </w:tc>
        <w:tc>
          <w:tcPr>
            <w:tcW w:w="959" w:type="dxa"/>
            <w:tcBorders>
              <w:top w:val="nil"/>
              <w:left w:val="nil"/>
              <w:right w:val="nil"/>
            </w:tcBorders>
            <w:shd w:val="solid" w:color="000000" w:fill="auto"/>
          </w:tcPr>
          <w:p w:rsidR="00965D85" w:rsidRPr="001E7FA9" w:rsidRDefault="00965D85" w:rsidP="008B46DF">
            <w:pPr>
              <w:autoSpaceDE w:val="0"/>
              <w:autoSpaceDN w:val="0"/>
              <w:adjustRightInd w:val="0"/>
              <w:spacing w:after="0"/>
              <w:jc w:val="right"/>
              <w:rPr>
                <w:rFonts w:ascii="Calibri" w:eastAsiaTheme="minorEastAsia" w:hAnsi="Calibri" w:cs="Calibri"/>
                <w:i/>
                <w:iCs/>
                <w:color w:val="FFFFFF"/>
                <w:sz w:val="19"/>
                <w:lang w:eastAsia="en-AU"/>
              </w:rPr>
            </w:pPr>
            <w:r w:rsidRPr="001E7FA9">
              <w:rPr>
                <w:rFonts w:ascii="Calibri" w:eastAsiaTheme="minorEastAsia" w:hAnsi="Calibri" w:cs="Calibri"/>
                <w:i/>
                <w:iCs/>
                <w:color w:val="FFFFFF"/>
                <w:sz w:val="19"/>
                <w:lang w:eastAsia="en-AU"/>
              </w:rPr>
              <w:t>2015</w:t>
            </w:r>
            <w:r>
              <w:rPr>
                <w:rFonts w:ascii="Calibri" w:eastAsiaTheme="minorEastAsia" w:hAnsi="Calibri" w:cs="Calibri"/>
                <w:i/>
                <w:iCs/>
                <w:color w:val="FFFFFF"/>
                <w:sz w:val="19"/>
                <w:lang w:eastAsia="en-AU"/>
              </w:rPr>
              <w:noBreakHyphen/>
            </w:r>
            <w:r w:rsidRPr="001E7FA9">
              <w:rPr>
                <w:rFonts w:ascii="Calibri" w:eastAsiaTheme="minorEastAsia" w:hAnsi="Calibri" w:cs="Calibri"/>
                <w:i/>
                <w:iCs/>
                <w:color w:val="FFFFFF"/>
                <w:sz w:val="19"/>
                <w:lang w:eastAsia="en-AU"/>
              </w:rPr>
              <w:t>16</w:t>
            </w:r>
          </w:p>
          <w:p w:rsidR="00965D85" w:rsidRPr="001E7FA9" w:rsidRDefault="00965D85" w:rsidP="008B46DF">
            <w:pPr>
              <w:autoSpaceDE w:val="0"/>
              <w:autoSpaceDN w:val="0"/>
              <w:adjustRightInd w:val="0"/>
              <w:spacing w:after="0"/>
              <w:jc w:val="right"/>
              <w:rPr>
                <w:rFonts w:ascii="Calibri" w:eastAsiaTheme="minorEastAsia" w:hAnsi="Calibri" w:cs="Calibri"/>
                <w:i/>
                <w:iCs/>
                <w:color w:val="FFFFFF"/>
                <w:sz w:val="19"/>
                <w:lang w:eastAsia="en-AU"/>
              </w:rPr>
            </w:pPr>
            <w:r w:rsidRPr="001E7FA9">
              <w:rPr>
                <w:rFonts w:ascii="Calibri" w:eastAsiaTheme="minorEastAsia" w:hAnsi="Calibri" w:cs="Calibri"/>
                <w:i/>
                <w:iCs/>
                <w:color w:val="FFFFFF"/>
                <w:sz w:val="19"/>
                <w:lang w:eastAsia="en-AU"/>
              </w:rPr>
              <w:t>budget</w:t>
            </w:r>
          </w:p>
        </w:tc>
        <w:tc>
          <w:tcPr>
            <w:tcW w:w="961" w:type="dxa"/>
            <w:tcBorders>
              <w:top w:val="nil"/>
              <w:left w:val="nil"/>
              <w:right w:val="nil"/>
            </w:tcBorders>
            <w:shd w:val="solid" w:color="000000" w:fill="auto"/>
          </w:tcPr>
          <w:p w:rsidR="00965D85" w:rsidRPr="001E7FA9" w:rsidRDefault="00965D85" w:rsidP="008B46DF">
            <w:pPr>
              <w:autoSpaceDE w:val="0"/>
              <w:autoSpaceDN w:val="0"/>
              <w:adjustRightInd w:val="0"/>
              <w:spacing w:after="0"/>
              <w:jc w:val="right"/>
              <w:rPr>
                <w:rFonts w:ascii="Calibri" w:eastAsiaTheme="minorEastAsia" w:hAnsi="Calibri" w:cs="Calibri"/>
                <w:i/>
                <w:iCs/>
                <w:color w:val="FFFFFF"/>
                <w:sz w:val="19"/>
                <w:lang w:eastAsia="en-AU"/>
              </w:rPr>
            </w:pPr>
            <w:r w:rsidRPr="001E7FA9">
              <w:rPr>
                <w:rFonts w:ascii="Calibri" w:eastAsiaTheme="minorEastAsia" w:hAnsi="Calibri" w:cs="Calibri"/>
                <w:i/>
                <w:iCs/>
                <w:color w:val="FFFFFF"/>
                <w:sz w:val="19"/>
                <w:lang w:eastAsia="en-AU"/>
              </w:rPr>
              <w:t>2015</w:t>
            </w:r>
            <w:r>
              <w:rPr>
                <w:rFonts w:ascii="Calibri" w:eastAsiaTheme="minorEastAsia" w:hAnsi="Calibri" w:cs="Calibri"/>
                <w:i/>
                <w:iCs/>
                <w:color w:val="FFFFFF"/>
                <w:sz w:val="19"/>
                <w:lang w:eastAsia="en-AU"/>
              </w:rPr>
              <w:noBreakHyphen/>
            </w:r>
            <w:r w:rsidRPr="001E7FA9">
              <w:rPr>
                <w:rFonts w:ascii="Calibri" w:eastAsiaTheme="minorEastAsia" w:hAnsi="Calibri" w:cs="Calibri"/>
                <w:i/>
                <w:iCs/>
                <w:color w:val="FFFFFF"/>
                <w:sz w:val="19"/>
                <w:lang w:eastAsia="en-AU"/>
              </w:rPr>
              <w:t>16</w:t>
            </w:r>
          </w:p>
          <w:p w:rsidR="00965D85" w:rsidRPr="001E7FA9" w:rsidRDefault="00965D85" w:rsidP="008B46DF">
            <w:pPr>
              <w:autoSpaceDE w:val="0"/>
              <w:autoSpaceDN w:val="0"/>
              <w:adjustRightInd w:val="0"/>
              <w:spacing w:after="0"/>
              <w:jc w:val="right"/>
              <w:rPr>
                <w:rFonts w:ascii="Calibri" w:eastAsiaTheme="minorEastAsia" w:hAnsi="Calibri" w:cs="Calibri"/>
                <w:i/>
                <w:iCs/>
                <w:color w:val="FFFFFF"/>
                <w:sz w:val="19"/>
                <w:lang w:eastAsia="en-AU"/>
              </w:rPr>
            </w:pPr>
            <w:r w:rsidRPr="001E7FA9">
              <w:rPr>
                <w:rFonts w:ascii="Calibri" w:eastAsiaTheme="minorEastAsia" w:hAnsi="Calibri" w:cs="Calibri"/>
                <w:i/>
                <w:iCs/>
                <w:color w:val="FFFFFF"/>
                <w:sz w:val="19"/>
                <w:lang w:eastAsia="en-AU"/>
              </w:rPr>
              <w:t>revised</w:t>
            </w:r>
          </w:p>
        </w:tc>
        <w:tc>
          <w:tcPr>
            <w:tcW w:w="961" w:type="dxa"/>
            <w:tcBorders>
              <w:top w:val="nil"/>
              <w:left w:val="nil"/>
              <w:right w:val="nil"/>
            </w:tcBorders>
            <w:shd w:val="solid" w:color="000000" w:fill="auto"/>
          </w:tcPr>
          <w:p w:rsidR="00965D85" w:rsidRPr="001E7FA9" w:rsidRDefault="00965D85" w:rsidP="008B46DF">
            <w:pPr>
              <w:autoSpaceDE w:val="0"/>
              <w:autoSpaceDN w:val="0"/>
              <w:adjustRightInd w:val="0"/>
              <w:spacing w:after="0"/>
              <w:jc w:val="right"/>
              <w:rPr>
                <w:rFonts w:ascii="Calibri" w:eastAsiaTheme="minorEastAsia" w:hAnsi="Calibri" w:cs="Calibri"/>
                <w:i/>
                <w:iCs/>
                <w:color w:val="FFFFFF"/>
                <w:sz w:val="19"/>
                <w:lang w:eastAsia="en-AU"/>
              </w:rPr>
            </w:pPr>
            <w:r w:rsidRPr="001E7FA9">
              <w:rPr>
                <w:rFonts w:ascii="Calibri" w:eastAsiaTheme="minorEastAsia" w:hAnsi="Calibri" w:cs="Calibri"/>
                <w:i/>
                <w:iCs/>
                <w:color w:val="FFFFFF"/>
                <w:sz w:val="19"/>
                <w:lang w:eastAsia="en-AU"/>
              </w:rPr>
              <w:t>2016</w:t>
            </w:r>
            <w:r>
              <w:rPr>
                <w:rFonts w:ascii="Calibri" w:eastAsiaTheme="minorEastAsia" w:hAnsi="Calibri" w:cs="Calibri"/>
                <w:i/>
                <w:iCs/>
                <w:color w:val="FFFFFF"/>
                <w:sz w:val="19"/>
                <w:lang w:eastAsia="en-AU"/>
              </w:rPr>
              <w:noBreakHyphen/>
            </w:r>
            <w:r w:rsidRPr="001E7FA9">
              <w:rPr>
                <w:rFonts w:ascii="Calibri" w:eastAsiaTheme="minorEastAsia" w:hAnsi="Calibri" w:cs="Calibri"/>
                <w:i/>
                <w:iCs/>
                <w:color w:val="FFFFFF"/>
                <w:sz w:val="19"/>
                <w:lang w:eastAsia="en-AU"/>
              </w:rPr>
              <w:t>17</w:t>
            </w:r>
          </w:p>
          <w:p w:rsidR="00965D85" w:rsidRPr="001E7FA9" w:rsidRDefault="00965D85" w:rsidP="008B46DF">
            <w:pPr>
              <w:autoSpaceDE w:val="0"/>
              <w:autoSpaceDN w:val="0"/>
              <w:adjustRightInd w:val="0"/>
              <w:spacing w:after="0"/>
              <w:jc w:val="right"/>
              <w:rPr>
                <w:rFonts w:ascii="Calibri" w:eastAsiaTheme="minorEastAsia" w:hAnsi="Calibri" w:cs="Calibri"/>
                <w:i/>
                <w:iCs/>
                <w:color w:val="FFFFFF"/>
                <w:sz w:val="19"/>
                <w:lang w:eastAsia="en-AU"/>
              </w:rPr>
            </w:pPr>
            <w:r w:rsidRPr="001E7FA9">
              <w:rPr>
                <w:rFonts w:ascii="Calibri" w:eastAsiaTheme="minorEastAsia" w:hAnsi="Calibri" w:cs="Calibri"/>
                <w:i/>
                <w:iCs/>
                <w:color w:val="FFFFFF"/>
                <w:sz w:val="19"/>
                <w:lang w:eastAsia="en-AU"/>
              </w:rPr>
              <w:t>estimate</w:t>
            </w:r>
          </w:p>
        </w:tc>
        <w:tc>
          <w:tcPr>
            <w:tcW w:w="963" w:type="dxa"/>
            <w:tcBorders>
              <w:top w:val="nil"/>
              <w:left w:val="nil"/>
              <w:right w:val="nil"/>
            </w:tcBorders>
            <w:shd w:val="solid" w:color="000000" w:fill="auto"/>
          </w:tcPr>
          <w:p w:rsidR="00965D85" w:rsidRPr="001E7FA9" w:rsidRDefault="00965D85" w:rsidP="008B46DF">
            <w:pPr>
              <w:autoSpaceDE w:val="0"/>
              <w:autoSpaceDN w:val="0"/>
              <w:adjustRightInd w:val="0"/>
              <w:spacing w:after="0"/>
              <w:jc w:val="right"/>
              <w:rPr>
                <w:rFonts w:ascii="Calibri" w:eastAsiaTheme="minorEastAsia" w:hAnsi="Calibri" w:cs="Calibri"/>
                <w:i/>
                <w:iCs/>
                <w:color w:val="FFFFFF"/>
                <w:sz w:val="19"/>
                <w:lang w:eastAsia="en-AU"/>
              </w:rPr>
            </w:pPr>
            <w:r w:rsidRPr="001E7FA9">
              <w:rPr>
                <w:rFonts w:ascii="Calibri" w:eastAsiaTheme="minorEastAsia" w:hAnsi="Calibri" w:cs="Calibri"/>
                <w:i/>
                <w:iCs/>
                <w:color w:val="FFFFFF"/>
                <w:sz w:val="19"/>
                <w:lang w:eastAsia="en-AU"/>
              </w:rPr>
              <w:t>2017</w:t>
            </w:r>
            <w:r>
              <w:rPr>
                <w:rFonts w:ascii="Calibri" w:eastAsiaTheme="minorEastAsia" w:hAnsi="Calibri" w:cs="Calibri"/>
                <w:i/>
                <w:iCs/>
                <w:color w:val="FFFFFF"/>
                <w:sz w:val="19"/>
                <w:lang w:eastAsia="en-AU"/>
              </w:rPr>
              <w:noBreakHyphen/>
            </w:r>
            <w:r w:rsidRPr="001E7FA9">
              <w:rPr>
                <w:rFonts w:ascii="Calibri" w:eastAsiaTheme="minorEastAsia" w:hAnsi="Calibri" w:cs="Calibri"/>
                <w:i/>
                <w:iCs/>
                <w:color w:val="FFFFFF"/>
                <w:sz w:val="19"/>
                <w:lang w:eastAsia="en-AU"/>
              </w:rPr>
              <w:t>18</w:t>
            </w:r>
          </w:p>
          <w:p w:rsidR="00965D85" w:rsidRPr="001E7FA9" w:rsidRDefault="00965D85" w:rsidP="008B46DF">
            <w:pPr>
              <w:autoSpaceDE w:val="0"/>
              <w:autoSpaceDN w:val="0"/>
              <w:adjustRightInd w:val="0"/>
              <w:spacing w:after="0"/>
              <w:jc w:val="right"/>
              <w:rPr>
                <w:rFonts w:ascii="Calibri" w:eastAsiaTheme="minorEastAsia" w:hAnsi="Calibri" w:cs="Calibri"/>
                <w:i/>
                <w:iCs/>
                <w:color w:val="FFFFFF"/>
                <w:sz w:val="19"/>
                <w:lang w:eastAsia="en-AU"/>
              </w:rPr>
            </w:pPr>
            <w:r w:rsidRPr="001E7FA9">
              <w:rPr>
                <w:rFonts w:ascii="Calibri" w:eastAsiaTheme="minorEastAsia" w:hAnsi="Calibri" w:cs="Calibri"/>
                <w:i/>
                <w:iCs/>
                <w:color w:val="FFFFFF"/>
                <w:sz w:val="19"/>
                <w:lang w:eastAsia="en-AU"/>
              </w:rPr>
              <w:t>estimate</w:t>
            </w:r>
          </w:p>
        </w:tc>
        <w:tc>
          <w:tcPr>
            <w:tcW w:w="977" w:type="dxa"/>
            <w:tcBorders>
              <w:top w:val="nil"/>
              <w:left w:val="nil"/>
              <w:right w:val="nil"/>
            </w:tcBorders>
            <w:shd w:val="solid" w:color="000000" w:fill="auto"/>
          </w:tcPr>
          <w:p w:rsidR="00965D85" w:rsidRPr="001E7FA9" w:rsidRDefault="00965D85" w:rsidP="008B46DF">
            <w:pPr>
              <w:autoSpaceDE w:val="0"/>
              <w:autoSpaceDN w:val="0"/>
              <w:adjustRightInd w:val="0"/>
              <w:spacing w:after="0"/>
              <w:jc w:val="right"/>
              <w:rPr>
                <w:rFonts w:ascii="Calibri" w:eastAsiaTheme="minorEastAsia" w:hAnsi="Calibri" w:cs="Calibri"/>
                <w:i/>
                <w:iCs/>
                <w:color w:val="FFFFFF"/>
                <w:sz w:val="19"/>
                <w:lang w:eastAsia="en-AU"/>
              </w:rPr>
            </w:pPr>
            <w:r w:rsidRPr="001E7FA9">
              <w:rPr>
                <w:rFonts w:ascii="Calibri" w:eastAsiaTheme="minorEastAsia" w:hAnsi="Calibri" w:cs="Calibri"/>
                <w:i/>
                <w:iCs/>
                <w:color w:val="FFFFFF"/>
                <w:sz w:val="19"/>
                <w:lang w:eastAsia="en-AU"/>
              </w:rPr>
              <w:t>2018</w:t>
            </w:r>
            <w:r>
              <w:rPr>
                <w:rFonts w:ascii="Calibri" w:eastAsiaTheme="minorEastAsia" w:hAnsi="Calibri" w:cs="Calibri"/>
                <w:i/>
                <w:iCs/>
                <w:color w:val="FFFFFF"/>
                <w:sz w:val="19"/>
                <w:lang w:eastAsia="en-AU"/>
              </w:rPr>
              <w:noBreakHyphen/>
            </w:r>
            <w:r w:rsidRPr="001E7FA9">
              <w:rPr>
                <w:rFonts w:ascii="Calibri" w:eastAsiaTheme="minorEastAsia" w:hAnsi="Calibri" w:cs="Calibri"/>
                <w:i/>
                <w:iCs/>
                <w:color w:val="FFFFFF"/>
                <w:sz w:val="19"/>
                <w:lang w:eastAsia="en-AU"/>
              </w:rPr>
              <w:t>19</w:t>
            </w:r>
          </w:p>
          <w:p w:rsidR="00965D85" w:rsidRPr="001E7FA9" w:rsidRDefault="00965D85" w:rsidP="008B46DF">
            <w:pPr>
              <w:autoSpaceDE w:val="0"/>
              <w:autoSpaceDN w:val="0"/>
              <w:adjustRightInd w:val="0"/>
              <w:spacing w:after="0"/>
              <w:jc w:val="right"/>
              <w:rPr>
                <w:rFonts w:ascii="Calibri" w:eastAsiaTheme="minorEastAsia" w:hAnsi="Calibri" w:cs="Calibri"/>
                <w:i/>
                <w:iCs/>
                <w:color w:val="FFFFFF"/>
                <w:sz w:val="19"/>
                <w:lang w:eastAsia="en-AU"/>
              </w:rPr>
            </w:pPr>
            <w:r w:rsidRPr="001E7FA9">
              <w:rPr>
                <w:rFonts w:ascii="Calibri" w:eastAsiaTheme="minorEastAsia" w:hAnsi="Calibri" w:cs="Calibri"/>
                <w:i/>
                <w:iCs/>
                <w:color w:val="FFFFFF"/>
                <w:sz w:val="19"/>
                <w:lang w:eastAsia="en-AU"/>
              </w:rPr>
              <w:t>estimate</w:t>
            </w:r>
          </w:p>
        </w:tc>
      </w:tr>
      <w:tr w:rsidR="00965D85" w:rsidRPr="001E7FA9" w:rsidTr="008B46DF">
        <w:tc>
          <w:tcPr>
            <w:tcW w:w="2941" w:type="dxa"/>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b/>
                <w:bCs/>
                <w:color w:val="000000"/>
                <w:sz w:val="19"/>
                <w:lang w:eastAsia="en-AU"/>
              </w:rPr>
            </w:pPr>
            <w:r w:rsidRPr="001E7FA9">
              <w:rPr>
                <w:rFonts w:ascii="Calibri" w:eastAsiaTheme="minorEastAsia" w:hAnsi="Calibri" w:cs="Calibri"/>
                <w:b/>
                <w:bCs/>
                <w:color w:val="000000"/>
                <w:sz w:val="19"/>
                <w:lang w:eastAsia="en-AU"/>
              </w:rPr>
              <w:t>KEY FISCAL AGGREGATES</w:t>
            </w:r>
          </w:p>
        </w:tc>
        <w:tc>
          <w:tcPr>
            <w:tcW w:w="959"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961"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961"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963"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977"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r>
      <w:tr w:rsidR="00965D85" w:rsidRPr="001E7FA9" w:rsidTr="008B46DF">
        <w:tc>
          <w:tcPr>
            <w:tcW w:w="2941" w:type="dxa"/>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b/>
                <w:bCs/>
                <w:color w:val="000000"/>
                <w:sz w:val="19"/>
                <w:lang w:eastAsia="en-AU"/>
              </w:rPr>
            </w:pPr>
            <w:r w:rsidRPr="001E7FA9">
              <w:rPr>
                <w:rFonts w:ascii="Calibri" w:eastAsiaTheme="minorEastAsia" w:hAnsi="Calibri" w:cs="Calibri"/>
                <w:b/>
                <w:bCs/>
                <w:color w:val="000000"/>
                <w:sz w:val="19"/>
                <w:lang w:eastAsia="en-AU"/>
              </w:rPr>
              <w:t>Net operating balance</w:t>
            </w:r>
          </w:p>
        </w:tc>
        <w:tc>
          <w:tcPr>
            <w:tcW w:w="959"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19"/>
                <w:lang w:eastAsia="en-AU"/>
              </w:rPr>
              <w:t>(895.7)</w:t>
            </w:r>
          </w:p>
        </w:tc>
        <w:tc>
          <w:tcPr>
            <w:tcW w:w="961"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19"/>
                <w:lang w:eastAsia="en-AU"/>
              </w:rPr>
              <w:t>(1 400.1)</w:t>
            </w:r>
          </w:p>
        </w:tc>
        <w:tc>
          <w:tcPr>
            <w:tcW w:w="961"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19"/>
                <w:lang w:eastAsia="en-AU"/>
              </w:rPr>
              <w:t>(743.1)</w:t>
            </w:r>
          </w:p>
        </w:tc>
        <w:tc>
          <w:tcPr>
            <w:tcW w:w="963"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19"/>
                <w:lang w:eastAsia="en-AU"/>
              </w:rPr>
              <w:t>(883.1)</w:t>
            </w:r>
          </w:p>
        </w:tc>
        <w:tc>
          <w:tcPr>
            <w:tcW w:w="977"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19"/>
                <w:lang w:eastAsia="en-AU"/>
              </w:rPr>
              <w:t>(971.6)</w:t>
            </w:r>
          </w:p>
        </w:tc>
      </w:tr>
      <w:tr w:rsidR="00965D85" w:rsidRPr="001E7FA9" w:rsidTr="008B46DF">
        <w:tc>
          <w:tcPr>
            <w:tcW w:w="2941" w:type="dxa"/>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Less: Net acquisition of non</w:t>
            </w:r>
            <w:r>
              <w:rPr>
                <w:rFonts w:ascii="Calibri" w:eastAsiaTheme="minorEastAsia" w:hAnsi="Calibri" w:cs="Calibri"/>
                <w:color w:val="000000"/>
                <w:sz w:val="19"/>
                <w:lang w:eastAsia="en-AU"/>
              </w:rPr>
              <w:noBreakHyphen/>
            </w:r>
            <w:r w:rsidRPr="001E7FA9">
              <w:rPr>
                <w:rFonts w:ascii="Calibri" w:eastAsiaTheme="minorEastAsia" w:hAnsi="Calibri" w:cs="Calibri"/>
                <w:color w:val="000000"/>
                <w:sz w:val="19"/>
                <w:lang w:eastAsia="en-AU"/>
              </w:rPr>
              <w:t>financial assets from transactions</w:t>
            </w:r>
          </w:p>
        </w:tc>
        <w:tc>
          <w:tcPr>
            <w:tcW w:w="959" w:type="dxa"/>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(8.3)</w:t>
            </w:r>
          </w:p>
        </w:tc>
        <w:tc>
          <w:tcPr>
            <w:tcW w:w="961" w:type="dxa"/>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(3.1)</w:t>
            </w:r>
          </w:p>
        </w:tc>
        <w:tc>
          <w:tcPr>
            <w:tcW w:w="961" w:type="dxa"/>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(0.7)</w:t>
            </w:r>
          </w:p>
        </w:tc>
        <w:tc>
          <w:tcPr>
            <w:tcW w:w="963" w:type="dxa"/>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(0.6)</w:t>
            </w:r>
          </w:p>
        </w:tc>
        <w:tc>
          <w:tcPr>
            <w:tcW w:w="977" w:type="dxa"/>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(9.9)</w:t>
            </w:r>
          </w:p>
        </w:tc>
      </w:tr>
      <w:tr w:rsidR="00965D85" w:rsidRPr="001E7FA9" w:rsidTr="008B46DF">
        <w:tc>
          <w:tcPr>
            <w:tcW w:w="2941" w:type="dxa"/>
            <w:tcBorders>
              <w:top w:val="single" w:sz="6" w:space="0" w:color="000000"/>
              <w:left w:val="nil"/>
              <w:bottom w:val="single" w:sz="12" w:space="0" w:color="auto"/>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b/>
                <w:bCs/>
                <w:color w:val="000000"/>
                <w:sz w:val="19"/>
                <w:lang w:eastAsia="en-AU"/>
              </w:rPr>
            </w:pPr>
            <w:r w:rsidRPr="001E7FA9">
              <w:rPr>
                <w:rFonts w:ascii="Calibri" w:eastAsiaTheme="minorEastAsia" w:hAnsi="Calibri" w:cs="Calibri"/>
                <w:b/>
                <w:bCs/>
                <w:color w:val="000000"/>
                <w:sz w:val="19"/>
                <w:lang w:eastAsia="en-AU"/>
              </w:rPr>
              <w:t>Net lending/(borrowing)</w:t>
            </w:r>
          </w:p>
        </w:tc>
        <w:tc>
          <w:tcPr>
            <w:tcW w:w="959" w:type="dxa"/>
            <w:tcBorders>
              <w:top w:val="single" w:sz="6" w:space="0" w:color="000000"/>
              <w:left w:val="nil"/>
              <w:bottom w:val="single" w:sz="12" w:space="0" w:color="auto"/>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19"/>
                <w:lang w:eastAsia="en-AU"/>
              </w:rPr>
              <w:t>(887.4)</w:t>
            </w:r>
          </w:p>
        </w:tc>
        <w:tc>
          <w:tcPr>
            <w:tcW w:w="961" w:type="dxa"/>
            <w:tcBorders>
              <w:top w:val="single" w:sz="6" w:space="0" w:color="000000"/>
              <w:left w:val="nil"/>
              <w:bottom w:val="single" w:sz="12" w:space="0" w:color="auto"/>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19"/>
                <w:lang w:eastAsia="en-AU"/>
              </w:rPr>
              <w:t>(1 397.0)</w:t>
            </w:r>
          </w:p>
        </w:tc>
        <w:tc>
          <w:tcPr>
            <w:tcW w:w="961" w:type="dxa"/>
            <w:tcBorders>
              <w:top w:val="single" w:sz="6" w:space="0" w:color="000000"/>
              <w:left w:val="nil"/>
              <w:bottom w:val="single" w:sz="12" w:space="0" w:color="auto"/>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19"/>
                <w:lang w:eastAsia="en-AU"/>
              </w:rPr>
              <w:t>(742.5)</w:t>
            </w:r>
          </w:p>
        </w:tc>
        <w:tc>
          <w:tcPr>
            <w:tcW w:w="963" w:type="dxa"/>
            <w:tcBorders>
              <w:top w:val="single" w:sz="6" w:space="0" w:color="000000"/>
              <w:left w:val="nil"/>
              <w:bottom w:val="single" w:sz="12" w:space="0" w:color="auto"/>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19"/>
                <w:lang w:eastAsia="en-AU"/>
              </w:rPr>
              <w:t>(882.6)</w:t>
            </w:r>
          </w:p>
        </w:tc>
        <w:tc>
          <w:tcPr>
            <w:tcW w:w="977" w:type="dxa"/>
            <w:tcBorders>
              <w:top w:val="single" w:sz="6" w:space="0" w:color="000000"/>
              <w:left w:val="nil"/>
              <w:bottom w:val="single" w:sz="12" w:space="0" w:color="auto"/>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19"/>
                <w:lang w:eastAsia="en-AU"/>
              </w:rPr>
              <w:t>(961.7)</w:t>
            </w:r>
          </w:p>
        </w:tc>
      </w:tr>
      <w:tr w:rsidR="00965D85" w:rsidRPr="001E7FA9" w:rsidTr="008B46DF">
        <w:tc>
          <w:tcPr>
            <w:tcW w:w="7762" w:type="dxa"/>
            <w:gridSpan w:val="6"/>
            <w:tcBorders>
              <w:top w:val="single" w:sz="12" w:space="0" w:color="auto"/>
              <w:left w:val="nil"/>
              <w:bottom w:val="nil"/>
              <w:right w:val="nil"/>
            </w:tcBorders>
            <w:shd w:val="clear" w:color="auto" w:fill="auto"/>
          </w:tcPr>
          <w:p w:rsidR="00965D85" w:rsidRPr="001E7FA9" w:rsidRDefault="00965D85" w:rsidP="008B46DF">
            <w:pPr>
              <w:pStyle w:val="Source"/>
              <w:rPr>
                <w:rFonts w:eastAsiaTheme="minorEastAsia"/>
                <w:lang w:eastAsia="en-AU"/>
              </w:rPr>
            </w:pPr>
            <w:r w:rsidRPr="001E7FA9">
              <w:rPr>
                <w:rFonts w:eastAsiaTheme="minorEastAsia"/>
                <w:lang w:eastAsia="en-AU"/>
              </w:rPr>
              <w:t>Source: Department of Treasury and Finance</w:t>
            </w:r>
          </w:p>
        </w:tc>
      </w:tr>
    </w:tbl>
    <w:p w:rsidR="00965D85" w:rsidRPr="0027082E" w:rsidRDefault="00965D85" w:rsidP="008B46DF">
      <w:pPr>
        <w:pStyle w:val="Notes"/>
        <w:rPr>
          <w:lang w:eastAsia="en-AU"/>
        </w:rPr>
      </w:pPr>
      <w:r w:rsidRPr="0027082E">
        <w:rPr>
          <w:lang w:eastAsia="en-AU"/>
        </w:rPr>
        <w:t>Note:</w:t>
      </w:r>
    </w:p>
    <w:p w:rsidR="00965D85" w:rsidRDefault="00965D85" w:rsidP="008B46DF">
      <w:pPr>
        <w:pStyle w:val="Notes"/>
        <w:rPr>
          <w:lang w:eastAsia="en-AU"/>
        </w:rPr>
      </w:pPr>
      <w:r w:rsidRPr="00FD3690">
        <w:t>(a)</w:t>
      </w:r>
      <w:r w:rsidRPr="00FD3690">
        <w:tab/>
      </w:r>
      <w:r>
        <w:rPr>
          <w:lang w:eastAsia="en-AU"/>
        </w:rPr>
        <w:t>Capital gains on the investment portfolios of the State’s insurance agencies (WorkSafe Victoria, Transport Accident Commission and Victorian Managed Insurance Authority) are classified as other economic flows. As these capital gains are available to fund claims expenses, the net result provides a more meaningful reflection of the underlying operating and performance of the PFC sector than the net result from transactions.</w:t>
      </w:r>
    </w:p>
    <w:p w:rsidR="00965D85" w:rsidRDefault="00965D85" w:rsidP="008B46DF">
      <w:pPr>
        <w:rPr>
          <w:lang w:eastAsia="en-AU"/>
        </w:rPr>
      </w:pPr>
    </w:p>
    <w:p w:rsidR="00965D85" w:rsidRDefault="00965D85">
      <w:pPr>
        <w:spacing w:after="0"/>
        <w:rPr>
          <w:rFonts w:ascii="Calibri" w:hAnsi="Calibri"/>
          <w:b/>
          <w:lang w:eastAsia="en-AU"/>
        </w:rPr>
      </w:pPr>
      <w:r>
        <w:rPr>
          <w:lang w:eastAsia="en-AU"/>
        </w:rPr>
        <w:br w:type="page"/>
      </w:r>
    </w:p>
    <w:p w:rsidR="00965D85" w:rsidRDefault="00965D85" w:rsidP="008B46DF">
      <w:pPr>
        <w:pStyle w:val="Tableheading"/>
        <w:rPr>
          <w:rFonts w:ascii="Times New Roman" w:hAnsi="Times New Roman"/>
          <w:i/>
          <w:sz w:val="20"/>
          <w:lang w:eastAsia="en-AU"/>
        </w:rPr>
      </w:pPr>
      <w:r w:rsidRPr="00A520A5">
        <w:rPr>
          <w:lang w:eastAsia="en-AU"/>
        </w:rPr>
        <w:lastRenderedPageBreak/>
        <w:t>Table 5.14:</w:t>
      </w:r>
      <w:r w:rsidRPr="00A520A5">
        <w:rPr>
          <w:lang w:eastAsia="en-AU"/>
        </w:rPr>
        <w:tab/>
        <w:t>Public financial corporations balance sheet as at 30 June</w:t>
      </w:r>
    </w:p>
    <w:tbl>
      <w:tblPr>
        <w:tblW w:w="7767" w:type="dxa"/>
        <w:tblInd w:w="28" w:type="dxa"/>
        <w:tblLayout w:type="fixed"/>
        <w:tblCellMar>
          <w:left w:w="28" w:type="dxa"/>
          <w:right w:w="28" w:type="dxa"/>
        </w:tblCellMar>
        <w:tblLook w:val="0000" w:firstRow="0" w:lastRow="0" w:firstColumn="0" w:lastColumn="0" w:noHBand="0" w:noVBand="0"/>
      </w:tblPr>
      <w:tblGrid>
        <w:gridCol w:w="2947"/>
        <w:gridCol w:w="964"/>
        <w:gridCol w:w="964"/>
        <w:gridCol w:w="964"/>
        <w:gridCol w:w="964"/>
        <w:gridCol w:w="964"/>
      </w:tblGrid>
      <w:tr w:rsidR="00965D85" w:rsidRPr="001E7FA9" w:rsidTr="008B46DF">
        <w:trPr>
          <w:tblHeader/>
        </w:trPr>
        <w:tc>
          <w:tcPr>
            <w:tcW w:w="7767" w:type="dxa"/>
            <w:gridSpan w:val="6"/>
            <w:tcBorders>
              <w:top w:val="nil"/>
              <w:left w:val="nil"/>
              <w:bottom w:val="nil"/>
              <w:right w:val="nil"/>
            </w:tcBorders>
          </w:tcPr>
          <w:p w:rsidR="00965D85" w:rsidRPr="001E7FA9" w:rsidRDefault="00965D85" w:rsidP="008B46DF">
            <w:pPr>
              <w:pStyle w:val="million"/>
              <w:rPr>
                <w:rFonts w:eastAsiaTheme="minorEastAsia" w:cs="Calibri"/>
                <w:iCs/>
                <w:color w:val="000000"/>
                <w:sz w:val="20"/>
                <w:lang w:eastAsia="en-AU"/>
              </w:rPr>
            </w:pPr>
            <w:r w:rsidRPr="001E7FA9">
              <w:rPr>
                <w:rFonts w:eastAsiaTheme="minorEastAsia"/>
                <w:lang w:eastAsia="en-AU"/>
              </w:rPr>
              <w:t>($ million</w:t>
            </w:r>
            <w:r w:rsidRPr="001E7FA9">
              <w:rPr>
                <w:rFonts w:eastAsiaTheme="minorEastAsia" w:cs="Calibri"/>
                <w:iCs/>
                <w:color w:val="000000"/>
                <w:sz w:val="20"/>
                <w:lang w:eastAsia="en-AU"/>
              </w:rPr>
              <w:t>)</w:t>
            </w:r>
          </w:p>
        </w:tc>
      </w:tr>
      <w:tr w:rsidR="00965D85" w:rsidRPr="001E7FA9" w:rsidTr="008B46DF">
        <w:trPr>
          <w:trHeight w:val="464"/>
          <w:tblHeader/>
        </w:trPr>
        <w:tc>
          <w:tcPr>
            <w:tcW w:w="2947" w:type="dxa"/>
            <w:tcBorders>
              <w:top w:val="nil"/>
              <w:left w:val="nil"/>
              <w:right w:val="nil"/>
            </w:tcBorders>
            <w:shd w:val="solid" w:color="000000" w:fill="auto"/>
          </w:tcPr>
          <w:p w:rsidR="00965D85" w:rsidRPr="001E7FA9" w:rsidRDefault="00965D85" w:rsidP="008B46DF">
            <w:pPr>
              <w:autoSpaceDE w:val="0"/>
              <w:autoSpaceDN w:val="0"/>
              <w:adjustRightInd w:val="0"/>
              <w:spacing w:after="0"/>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 xml:space="preserve"> </w:t>
            </w:r>
          </w:p>
          <w:p w:rsidR="00965D85" w:rsidRPr="001E7FA9" w:rsidRDefault="00965D85" w:rsidP="008B46DF">
            <w:pPr>
              <w:autoSpaceDE w:val="0"/>
              <w:autoSpaceDN w:val="0"/>
              <w:adjustRightInd w:val="0"/>
              <w:spacing w:after="0"/>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 xml:space="preserve"> </w:t>
            </w:r>
          </w:p>
        </w:tc>
        <w:tc>
          <w:tcPr>
            <w:tcW w:w="964" w:type="dxa"/>
            <w:tcBorders>
              <w:top w:val="nil"/>
              <w:left w:val="nil"/>
              <w:right w:val="nil"/>
            </w:tcBorders>
            <w:shd w:val="solid" w:color="000000" w:fill="auto"/>
          </w:tcPr>
          <w:p w:rsidR="00965D85" w:rsidRPr="001E7FA9" w:rsidRDefault="00965D85" w:rsidP="008B46DF">
            <w:pPr>
              <w:autoSpaceDE w:val="0"/>
              <w:autoSpaceDN w:val="0"/>
              <w:adjustRightInd w:val="0"/>
              <w:spacing w:after="0"/>
              <w:jc w:val="right"/>
              <w:rPr>
                <w:rFonts w:ascii="Calibri" w:eastAsiaTheme="minorEastAsia" w:hAnsi="Calibri" w:cs="Calibri"/>
                <w:i/>
                <w:iCs/>
                <w:color w:val="FFFFFF"/>
                <w:sz w:val="19"/>
                <w:lang w:eastAsia="en-AU"/>
              </w:rPr>
            </w:pPr>
            <w:r w:rsidRPr="001E7FA9">
              <w:rPr>
                <w:rFonts w:ascii="Calibri" w:eastAsiaTheme="minorEastAsia" w:hAnsi="Calibri" w:cs="Calibri"/>
                <w:i/>
                <w:iCs/>
                <w:color w:val="FFFFFF"/>
                <w:sz w:val="19"/>
                <w:lang w:eastAsia="en-AU"/>
              </w:rPr>
              <w:t>2016</w:t>
            </w:r>
          </w:p>
          <w:p w:rsidR="00965D85" w:rsidRPr="001E7FA9" w:rsidRDefault="00965D85" w:rsidP="008B46DF">
            <w:pPr>
              <w:autoSpaceDE w:val="0"/>
              <w:autoSpaceDN w:val="0"/>
              <w:adjustRightInd w:val="0"/>
              <w:spacing w:after="0"/>
              <w:jc w:val="right"/>
              <w:rPr>
                <w:rFonts w:ascii="Calibri" w:eastAsiaTheme="minorEastAsia" w:hAnsi="Calibri" w:cs="Calibri"/>
                <w:i/>
                <w:iCs/>
                <w:color w:val="FFFFFF"/>
                <w:sz w:val="19"/>
                <w:lang w:eastAsia="en-AU"/>
              </w:rPr>
            </w:pPr>
            <w:r w:rsidRPr="001E7FA9">
              <w:rPr>
                <w:rFonts w:ascii="Calibri" w:eastAsiaTheme="minorEastAsia" w:hAnsi="Calibri" w:cs="Calibri"/>
                <w:i/>
                <w:iCs/>
                <w:color w:val="FFFFFF"/>
                <w:sz w:val="19"/>
                <w:lang w:eastAsia="en-AU"/>
              </w:rPr>
              <w:t>budget</w:t>
            </w:r>
            <w:r w:rsidRPr="001E7FA9">
              <w:rPr>
                <w:rFonts w:ascii="Calibri" w:eastAsiaTheme="minorEastAsia" w:hAnsi="Calibri" w:cs="Calibri"/>
                <w:i/>
                <w:iCs/>
                <w:color w:val="FFFFFF"/>
                <w:sz w:val="19"/>
                <w:vertAlign w:val="superscript"/>
                <w:lang w:eastAsia="en-AU"/>
              </w:rPr>
              <w:t xml:space="preserve"> (a)</w:t>
            </w:r>
          </w:p>
        </w:tc>
        <w:tc>
          <w:tcPr>
            <w:tcW w:w="964" w:type="dxa"/>
            <w:tcBorders>
              <w:top w:val="nil"/>
              <w:left w:val="nil"/>
              <w:right w:val="nil"/>
            </w:tcBorders>
            <w:shd w:val="solid" w:color="000000" w:fill="auto"/>
          </w:tcPr>
          <w:p w:rsidR="00965D85" w:rsidRPr="001E7FA9" w:rsidRDefault="00965D85" w:rsidP="008B46DF">
            <w:pPr>
              <w:autoSpaceDE w:val="0"/>
              <w:autoSpaceDN w:val="0"/>
              <w:adjustRightInd w:val="0"/>
              <w:spacing w:after="0"/>
              <w:jc w:val="right"/>
              <w:rPr>
                <w:rFonts w:ascii="Calibri" w:eastAsiaTheme="minorEastAsia" w:hAnsi="Calibri" w:cs="Calibri"/>
                <w:i/>
                <w:iCs/>
                <w:color w:val="FFFFFF"/>
                <w:sz w:val="19"/>
                <w:lang w:eastAsia="en-AU"/>
              </w:rPr>
            </w:pPr>
            <w:r w:rsidRPr="001E7FA9">
              <w:rPr>
                <w:rFonts w:ascii="Calibri" w:eastAsiaTheme="minorEastAsia" w:hAnsi="Calibri" w:cs="Calibri"/>
                <w:i/>
                <w:iCs/>
                <w:color w:val="FFFFFF"/>
                <w:sz w:val="19"/>
                <w:lang w:eastAsia="en-AU"/>
              </w:rPr>
              <w:t>2016</w:t>
            </w:r>
          </w:p>
          <w:p w:rsidR="00965D85" w:rsidRPr="001E7FA9" w:rsidRDefault="00965D85" w:rsidP="008B46DF">
            <w:pPr>
              <w:autoSpaceDE w:val="0"/>
              <w:autoSpaceDN w:val="0"/>
              <w:adjustRightInd w:val="0"/>
              <w:spacing w:after="0"/>
              <w:jc w:val="right"/>
              <w:rPr>
                <w:rFonts w:ascii="Calibri" w:eastAsiaTheme="minorEastAsia" w:hAnsi="Calibri" w:cs="Calibri"/>
                <w:i/>
                <w:iCs/>
                <w:color w:val="FFFFFF"/>
                <w:sz w:val="19"/>
                <w:lang w:eastAsia="en-AU"/>
              </w:rPr>
            </w:pPr>
            <w:r w:rsidRPr="001E7FA9">
              <w:rPr>
                <w:rFonts w:ascii="Calibri" w:eastAsiaTheme="minorEastAsia" w:hAnsi="Calibri" w:cs="Calibri"/>
                <w:i/>
                <w:iCs/>
                <w:color w:val="FFFFFF"/>
                <w:sz w:val="19"/>
                <w:lang w:eastAsia="en-AU"/>
              </w:rPr>
              <w:t>revised</w:t>
            </w:r>
          </w:p>
        </w:tc>
        <w:tc>
          <w:tcPr>
            <w:tcW w:w="964" w:type="dxa"/>
            <w:tcBorders>
              <w:top w:val="nil"/>
              <w:left w:val="nil"/>
              <w:right w:val="nil"/>
            </w:tcBorders>
            <w:shd w:val="solid" w:color="000000" w:fill="auto"/>
          </w:tcPr>
          <w:p w:rsidR="00965D85" w:rsidRPr="001E7FA9" w:rsidRDefault="00965D85" w:rsidP="008B46DF">
            <w:pPr>
              <w:autoSpaceDE w:val="0"/>
              <w:autoSpaceDN w:val="0"/>
              <w:adjustRightInd w:val="0"/>
              <w:spacing w:after="0"/>
              <w:jc w:val="right"/>
              <w:rPr>
                <w:rFonts w:ascii="Calibri" w:eastAsiaTheme="minorEastAsia" w:hAnsi="Calibri" w:cs="Calibri"/>
                <w:i/>
                <w:iCs/>
                <w:color w:val="FFFFFF"/>
                <w:sz w:val="19"/>
                <w:lang w:eastAsia="en-AU"/>
              </w:rPr>
            </w:pPr>
            <w:r w:rsidRPr="001E7FA9">
              <w:rPr>
                <w:rFonts w:ascii="Calibri" w:eastAsiaTheme="minorEastAsia" w:hAnsi="Calibri" w:cs="Calibri"/>
                <w:i/>
                <w:iCs/>
                <w:color w:val="FFFFFF"/>
                <w:sz w:val="19"/>
                <w:lang w:eastAsia="en-AU"/>
              </w:rPr>
              <w:t>2017</w:t>
            </w:r>
          </w:p>
          <w:p w:rsidR="00965D85" w:rsidRPr="001E7FA9" w:rsidRDefault="00965D85" w:rsidP="008B46DF">
            <w:pPr>
              <w:autoSpaceDE w:val="0"/>
              <w:autoSpaceDN w:val="0"/>
              <w:adjustRightInd w:val="0"/>
              <w:spacing w:after="0"/>
              <w:jc w:val="right"/>
              <w:rPr>
                <w:rFonts w:ascii="Calibri" w:eastAsiaTheme="minorEastAsia" w:hAnsi="Calibri" w:cs="Calibri"/>
                <w:i/>
                <w:iCs/>
                <w:color w:val="FFFFFF"/>
                <w:sz w:val="19"/>
                <w:lang w:eastAsia="en-AU"/>
              </w:rPr>
            </w:pPr>
            <w:r w:rsidRPr="001E7FA9">
              <w:rPr>
                <w:rFonts w:ascii="Calibri" w:eastAsiaTheme="minorEastAsia" w:hAnsi="Calibri" w:cs="Calibri"/>
                <w:i/>
                <w:iCs/>
                <w:color w:val="FFFFFF"/>
                <w:sz w:val="19"/>
                <w:lang w:eastAsia="en-AU"/>
              </w:rPr>
              <w:t>estimate</w:t>
            </w:r>
          </w:p>
        </w:tc>
        <w:tc>
          <w:tcPr>
            <w:tcW w:w="964" w:type="dxa"/>
            <w:tcBorders>
              <w:top w:val="nil"/>
              <w:left w:val="nil"/>
              <w:right w:val="nil"/>
            </w:tcBorders>
            <w:shd w:val="solid" w:color="000000" w:fill="auto"/>
          </w:tcPr>
          <w:p w:rsidR="00965D85" w:rsidRPr="001E7FA9" w:rsidRDefault="00965D85" w:rsidP="008B46DF">
            <w:pPr>
              <w:autoSpaceDE w:val="0"/>
              <w:autoSpaceDN w:val="0"/>
              <w:adjustRightInd w:val="0"/>
              <w:spacing w:after="0"/>
              <w:jc w:val="right"/>
              <w:rPr>
                <w:rFonts w:ascii="Calibri" w:eastAsiaTheme="minorEastAsia" w:hAnsi="Calibri" w:cs="Calibri"/>
                <w:i/>
                <w:iCs/>
                <w:color w:val="FFFFFF"/>
                <w:sz w:val="19"/>
                <w:lang w:eastAsia="en-AU"/>
              </w:rPr>
            </w:pPr>
            <w:r w:rsidRPr="001E7FA9">
              <w:rPr>
                <w:rFonts w:ascii="Calibri" w:eastAsiaTheme="minorEastAsia" w:hAnsi="Calibri" w:cs="Calibri"/>
                <w:i/>
                <w:iCs/>
                <w:color w:val="FFFFFF"/>
                <w:sz w:val="19"/>
                <w:lang w:eastAsia="en-AU"/>
              </w:rPr>
              <w:t>2018</w:t>
            </w:r>
          </w:p>
          <w:p w:rsidR="00965D85" w:rsidRPr="001E7FA9" w:rsidRDefault="00965D85" w:rsidP="008B46DF">
            <w:pPr>
              <w:autoSpaceDE w:val="0"/>
              <w:autoSpaceDN w:val="0"/>
              <w:adjustRightInd w:val="0"/>
              <w:spacing w:after="0"/>
              <w:jc w:val="right"/>
              <w:rPr>
                <w:rFonts w:ascii="Calibri" w:eastAsiaTheme="minorEastAsia" w:hAnsi="Calibri" w:cs="Calibri"/>
                <w:i/>
                <w:iCs/>
                <w:color w:val="FFFFFF"/>
                <w:sz w:val="19"/>
                <w:lang w:eastAsia="en-AU"/>
              </w:rPr>
            </w:pPr>
            <w:r w:rsidRPr="001E7FA9">
              <w:rPr>
                <w:rFonts w:ascii="Calibri" w:eastAsiaTheme="minorEastAsia" w:hAnsi="Calibri" w:cs="Calibri"/>
                <w:i/>
                <w:iCs/>
                <w:color w:val="FFFFFF"/>
                <w:sz w:val="19"/>
                <w:lang w:eastAsia="en-AU"/>
              </w:rPr>
              <w:t>estimate</w:t>
            </w:r>
          </w:p>
        </w:tc>
        <w:tc>
          <w:tcPr>
            <w:tcW w:w="964" w:type="dxa"/>
            <w:tcBorders>
              <w:top w:val="nil"/>
              <w:left w:val="nil"/>
              <w:right w:val="nil"/>
            </w:tcBorders>
            <w:shd w:val="solid" w:color="000000" w:fill="auto"/>
          </w:tcPr>
          <w:p w:rsidR="00965D85" w:rsidRPr="001E7FA9" w:rsidRDefault="00965D85" w:rsidP="008B46DF">
            <w:pPr>
              <w:autoSpaceDE w:val="0"/>
              <w:autoSpaceDN w:val="0"/>
              <w:adjustRightInd w:val="0"/>
              <w:spacing w:after="0"/>
              <w:jc w:val="right"/>
              <w:rPr>
                <w:rFonts w:ascii="Calibri" w:eastAsiaTheme="minorEastAsia" w:hAnsi="Calibri" w:cs="Calibri"/>
                <w:i/>
                <w:iCs/>
                <w:color w:val="FFFFFF"/>
                <w:sz w:val="19"/>
                <w:lang w:eastAsia="en-AU"/>
              </w:rPr>
            </w:pPr>
            <w:r w:rsidRPr="001E7FA9">
              <w:rPr>
                <w:rFonts w:ascii="Calibri" w:eastAsiaTheme="minorEastAsia" w:hAnsi="Calibri" w:cs="Calibri"/>
                <w:i/>
                <w:iCs/>
                <w:color w:val="FFFFFF"/>
                <w:sz w:val="19"/>
                <w:lang w:eastAsia="en-AU"/>
              </w:rPr>
              <w:t>2019</w:t>
            </w:r>
          </w:p>
          <w:p w:rsidR="00965D85" w:rsidRPr="001E7FA9" w:rsidRDefault="00965D85" w:rsidP="008B46DF">
            <w:pPr>
              <w:autoSpaceDE w:val="0"/>
              <w:autoSpaceDN w:val="0"/>
              <w:adjustRightInd w:val="0"/>
              <w:spacing w:after="0"/>
              <w:jc w:val="right"/>
              <w:rPr>
                <w:rFonts w:ascii="Calibri" w:eastAsiaTheme="minorEastAsia" w:hAnsi="Calibri" w:cs="Calibri"/>
                <w:i/>
                <w:iCs/>
                <w:color w:val="FFFFFF"/>
                <w:sz w:val="19"/>
                <w:lang w:eastAsia="en-AU"/>
              </w:rPr>
            </w:pPr>
            <w:r w:rsidRPr="001E7FA9">
              <w:rPr>
                <w:rFonts w:ascii="Calibri" w:eastAsiaTheme="minorEastAsia" w:hAnsi="Calibri" w:cs="Calibri"/>
                <w:i/>
                <w:iCs/>
                <w:color w:val="FFFFFF"/>
                <w:sz w:val="19"/>
                <w:lang w:eastAsia="en-AU"/>
              </w:rPr>
              <w:t>estimate</w:t>
            </w:r>
          </w:p>
        </w:tc>
      </w:tr>
      <w:tr w:rsidR="00965D85" w:rsidRPr="001E7FA9" w:rsidTr="008B46DF">
        <w:tc>
          <w:tcPr>
            <w:tcW w:w="2947" w:type="dxa"/>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b/>
                <w:bCs/>
                <w:color w:val="000000"/>
                <w:sz w:val="19"/>
                <w:lang w:eastAsia="en-AU"/>
              </w:rPr>
            </w:pPr>
            <w:r w:rsidRPr="001E7FA9">
              <w:rPr>
                <w:rFonts w:ascii="Calibri" w:eastAsiaTheme="minorEastAsia" w:hAnsi="Calibri" w:cs="Calibri"/>
                <w:b/>
                <w:bCs/>
                <w:color w:val="000000"/>
                <w:sz w:val="19"/>
                <w:lang w:eastAsia="en-AU"/>
              </w:rPr>
              <w:t>Assets</w:t>
            </w: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r>
      <w:tr w:rsidR="00965D85" w:rsidRPr="001E7FA9" w:rsidTr="008B46DF">
        <w:tc>
          <w:tcPr>
            <w:tcW w:w="2947" w:type="dxa"/>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b/>
                <w:bCs/>
                <w:color w:val="000000"/>
                <w:sz w:val="19"/>
                <w:lang w:eastAsia="en-AU"/>
              </w:rPr>
            </w:pPr>
            <w:r w:rsidRPr="001E7FA9">
              <w:rPr>
                <w:rFonts w:ascii="Calibri" w:eastAsiaTheme="minorEastAsia" w:hAnsi="Calibri" w:cs="Calibri"/>
                <w:b/>
                <w:bCs/>
                <w:color w:val="000000"/>
                <w:sz w:val="19"/>
                <w:lang w:eastAsia="en-AU"/>
              </w:rPr>
              <w:t>Financial assets</w:t>
            </w: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r>
      <w:tr w:rsidR="00965D85" w:rsidRPr="001E7FA9" w:rsidTr="008B46DF">
        <w:tc>
          <w:tcPr>
            <w:tcW w:w="2947" w:type="dxa"/>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Cash and deposits</w:t>
            </w: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4 766.6</w:t>
            </w: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3 166.9</w:t>
            </w: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3 348.3</w:t>
            </w: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3 402.9</w:t>
            </w: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3 609.7</w:t>
            </w:r>
          </w:p>
        </w:tc>
      </w:tr>
      <w:tr w:rsidR="00965D85" w:rsidRPr="001E7FA9" w:rsidTr="008B46DF">
        <w:tc>
          <w:tcPr>
            <w:tcW w:w="2947" w:type="dxa"/>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Advances paid</w:t>
            </w: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47.2</w:t>
            </w: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11.4</w:t>
            </w: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12.1</w:t>
            </w: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12.9</w:t>
            </w: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13.7</w:t>
            </w:r>
          </w:p>
        </w:tc>
      </w:tr>
      <w:tr w:rsidR="00965D85" w:rsidRPr="001E7FA9" w:rsidTr="008B46DF">
        <w:tc>
          <w:tcPr>
            <w:tcW w:w="2947" w:type="dxa"/>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Investments, loans and placements</w:t>
            </w: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34 240.7</w:t>
            </w: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32 869.8</w:t>
            </w: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34 178.8</w:t>
            </w: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34 475.6</w:t>
            </w: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36 367.1</w:t>
            </w:r>
          </w:p>
        </w:tc>
      </w:tr>
      <w:tr w:rsidR="00965D85" w:rsidRPr="001E7FA9" w:rsidTr="008B46DF">
        <w:tc>
          <w:tcPr>
            <w:tcW w:w="2947" w:type="dxa"/>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color w:val="000000"/>
                <w:sz w:val="20"/>
                <w:vertAlign w:val="superscript"/>
                <w:lang w:eastAsia="en-AU"/>
              </w:rPr>
            </w:pPr>
            <w:r w:rsidRPr="001E7FA9">
              <w:rPr>
                <w:rFonts w:ascii="Calibri" w:eastAsiaTheme="minorEastAsia" w:hAnsi="Calibri" w:cs="Calibri"/>
                <w:color w:val="000000"/>
                <w:sz w:val="19"/>
                <w:lang w:eastAsia="en-AU"/>
              </w:rPr>
              <w:t>Loans receivable from non</w:t>
            </w:r>
            <w:r>
              <w:rPr>
                <w:rFonts w:ascii="Calibri" w:eastAsiaTheme="minorEastAsia" w:hAnsi="Calibri" w:cs="Calibri"/>
                <w:color w:val="000000"/>
                <w:sz w:val="19"/>
                <w:lang w:eastAsia="en-AU"/>
              </w:rPr>
              <w:noBreakHyphen/>
            </w:r>
            <w:r w:rsidRPr="001E7FA9">
              <w:rPr>
                <w:rFonts w:ascii="Calibri" w:eastAsiaTheme="minorEastAsia" w:hAnsi="Calibri" w:cs="Calibri"/>
                <w:color w:val="000000"/>
                <w:sz w:val="19"/>
                <w:lang w:eastAsia="en-AU"/>
              </w:rPr>
              <w:t>financial public sector</w:t>
            </w:r>
            <w:r w:rsidRPr="001E7FA9">
              <w:rPr>
                <w:rFonts w:ascii="Calibri" w:eastAsiaTheme="minorEastAsia" w:hAnsi="Calibri" w:cs="Calibri"/>
                <w:color w:val="000000"/>
                <w:sz w:val="19"/>
                <w:vertAlign w:val="superscript"/>
                <w:lang w:eastAsia="en-AU"/>
              </w:rPr>
              <w:t xml:space="preserve"> (b)</w:t>
            </w: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31 206.3</w:t>
            </w: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31 058.7</w:t>
            </w: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33 383.8</w:t>
            </w: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33 862.0</w:t>
            </w: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35 745.2</w:t>
            </w:r>
          </w:p>
        </w:tc>
      </w:tr>
      <w:tr w:rsidR="00965D85" w:rsidRPr="001E7FA9" w:rsidTr="008B46DF">
        <w:tc>
          <w:tcPr>
            <w:tcW w:w="2947" w:type="dxa"/>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Receivables</w:t>
            </w:r>
          </w:p>
        </w:tc>
        <w:tc>
          <w:tcPr>
            <w:tcW w:w="964" w:type="dxa"/>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1 620.6</w:t>
            </w:r>
          </w:p>
        </w:tc>
        <w:tc>
          <w:tcPr>
            <w:tcW w:w="964" w:type="dxa"/>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1 562.6</w:t>
            </w:r>
          </w:p>
        </w:tc>
        <w:tc>
          <w:tcPr>
            <w:tcW w:w="964" w:type="dxa"/>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1 534.4</w:t>
            </w:r>
          </w:p>
        </w:tc>
        <w:tc>
          <w:tcPr>
            <w:tcW w:w="964" w:type="dxa"/>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1 600.5</w:t>
            </w:r>
          </w:p>
        </w:tc>
        <w:tc>
          <w:tcPr>
            <w:tcW w:w="964" w:type="dxa"/>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1 714.8</w:t>
            </w:r>
          </w:p>
        </w:tc>
      </w:tr>
      <w:tr w:rsidR="00965D85" w:rsidRPr="001E7FA9" w:rsidTr="008B46DF">
        <w:tc>
          <w:tcPr>
            <w:tcW w:w="2947" w:type="dxa"/>
            <w:tcBorders>
              <w:top w:val="single" w:sz="6" w:space="0" w:color="000000"/>
              <w:left w:val="nil"/>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b/>
                <w:bCs/>
                <w:color w:val="000000"/>
                <w:sz w:val="19"/>
                <w:lang w:eastAsia="en-AU"/>
              </w:rPr>
            </w:pPr>
            <w:r w:rsidRPr="001E7FA9">
              <w:rPr>
                <w:rFonts w:ascii="Calibri" w:eastAsiaTheme="minorEastAsia" w:hAnsi="Calibri" w:cs="Calibri"/>
                <w:b/>
                <w:bCs/>
                <w:color w:val="000000"/>
                <w:sz w:val="19"/>
                <w:lang w:eastAsia="en-AU"/>
              </w:rPr>
              <w:t>Total financial assets</w:t>
            </w:r>
          </w:p>
        </w:tc>
        <w:tc>
          <w:tcPr>
            <w:tcW w:w="964" w:type="dxa"/>
            <w:tcBorders>
              <w:top w:val="single" w:sz="6" w:space="0" w:color="000000"/>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19"/>
                <w:lang w:eastAsia="en-AU"/>
              </w:rPr>
            </w:pPr>
            <w:r w:rsidRPr="001E7FA9">
              <w:rPr>
                <w:rFonts w:ascii="Calibri" w:eastAsiaTheme="minorEastAsia" w:hAnsi="Calibri" w:cs="Calibri"/>
                <w:b/>
                <w:bCs/>
                <w:color w:val="000000"/>
                <w:sz w:val="19"/>
                <w:lang w:eastAsia="en-AU"/>
              </w:rPr>
              <w:t>71 881.4</w:t>
            </w:r>
          </w:p>
        </w:tc>
        <w:tc>
          <w:tcPr>
            <w:tcW w:w="964" w:type="dxa"/>
            <w:tcBorders>
              <w:top w:val="single" w:sz="6" w:space="0" w:color="000000"/>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19"/>
                <w:lang w:eastAsia="en-AU"/>
              </w:rPr>
            </w:pPr>
            <w:r w:rsidRPr="001E7FA9">
              <w:rPr>
                <w:rFonts w:ascii="Calibri" w:eastAsiaTheme="minorEastAsia" w:hAnsi="Calibri" w:cs="Calibri"/>
                <w:b/>
                <w:bCs/>
                <w:color w:val="000000"/>
                <w:sz w:val="19"/>
                <w:lang w:eastAsia="en-AU"/>
              </w:rPr>
              <w:t>68 669.4</w:t>
            </w:r>
          </w:p>
        </w:tc>
        <w:tc>
          <w:tcPr>
            <w:tcW w:w="964" w:type="dxa"/>
            <w:tcBorders>
              <w:top w:val="single" w:sz="6" w:space="0" w:color="000000"/>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19"/>
                <w:lang w:eastAsia="en-AU"/>
              </w:rPr>
            </w:pPr>
            <w:r w:rsidRPr="001E7FA9">
              <w:rPr>
                <w:rFonts w:ascii="Calibri" w:eastAsiaTheme="minorEastAsia" w:hAnsi="Calibri" w:cs="Calibri"/>
                <w:b/>
                <w:bCs/>
                <w:color w:val="000000"/>
                <w:sz w:val="19"/>
                <w:lang w:eastAsia="en-AU"/>
              </w:rPr>
              <w:t>72 457.4</w:t>
            </w:r>
          </w:p>
        </w:tc>
        <w:tc>
          <w:tcPr>
            <w:tcW w:w="964" w:type="dxa"/>
            <w:tcBorders>
              <w:top w:val="single" w:sz="6" w:space="0" w:color="000000"/>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19"/>
                <w:lang w:eastAsia="en-AU"/>
              </w:rPr>
            </w:pPr>
            <w:r w:rsidRPr="001E7FA9">
              <w:rPr>
                <w:rFonts w:ascii="Calibri" w:eastAsiaTheme="minorEastAsia" w:hAnsi="Calibri" w:cs="Calibri"/>
                <w:b/>
                <w:bCs/>
                <w:color w:val="000000"/>
                <w:sz w:val="19"/>
                <w:lang w:eastAsia="en-AU"/>
              </w:rPr>
              <w:t>73 353.9</w:t>
            </w:r>
          </w:p>
        </w:tc>
        <w:tc>
          <w:tcPr>
            <w:tcW w:w="964" w:type="dxa"/>
            <w:tcBorders>
              <w:top w:val="single" w:sz="6" w:space="0" w:color="000000"/>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19"/>
                <w:lang w:eastAsia="en-AU"/>
              </w:rPr>
            </w:pPr>
            <w:r w:rsidRPr="001E7FA9">
              <w:rPr>
                <w:rFonts w:ascii="Calibri" w:eastAsiaTheme="minorEastAsia" w:hAnsi="Calibri" w:cs="Calibri"/>
                <w:b/>
                <w:bCs/>
                <w:color w:val="000000"/>
                <w:sz w:val="19"/>
                <w:lang w:eastAsia="en-AU"/>
              </w:rPr>
              <w:t>77 450.5</w:t>
            </w:r>
          </w:p>
        </w:tc>
      </w:tr>
      <w:tr w:rsidR="00965D85" w:rsidRPr="001E7FA9" w:rsidTr="008B46DF">
        <w:tc>
          <w:tcPr>
            <w:tcW w:w="2947" w:type="dxa"/>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b/>
                <w:bCs/>
                <w:color w:val="000000"/>
                <w:sz w:val="19"/>
                <w:lang w:eastAsia="en-AU"/>
              </w:rPr>
            </w:pPr>
            <w:r w:rsidRPr="001E7FA9">
              <w:rPr>
                <w:rFonts w:ascii="Calibri" w:eastAsiaTheme="minorEastAsia" w:hAnsi="Calibri" w:cs="Calibri"/>
                <w:b/>
                <w:bCs/>
                <w:color w:val="000000"/>
                <w:sz w:val="19"/>
                <w:lang w:eastAsia="en-AU"/>
              </w:rPr>
              <w:t>Non</w:t>
            </w:r>
            <w:r>
              <w:rPr>
                <w:rFonts w:ascii="Calibri" w:eastAsiaTheme="minorEastAsia" w:hAnsi="Calibri" w:cs="Calibri"/>
                <w:b/>
                <w:bCs/>
                <w:color w:val="000000"/>
                <w:sz w:val="19"/>
                <w:lang w:eastAsia="en-AU"/>
              </w:rPr>
              <w:noBreakHyphen/>
            </w:r>
            <w:r w:rsidRPr="001E7FA9">
              <w:rPr>
                <w:rFonts w:ascii="Calibri" w:eastAsiaTheme="minorEastAsia" w:hAnsi="Calibri" w:cs="Calibri"/>
                <w:b/>
                <w:bCs/>
                <w:color w:val="000000"/>
                <w:sz w:val="19"/>
                <w:lang w:eastAsia="en-AU"/>
              </w:rPr>
              <w:t>financial assets</w:t>
            </w: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r>
      <w:tr w:rsidR="00965D85" w:rsidRPr="001E7FA9" w:rsidTr="008B46DF">
        <w:tc>
          <w:tcPr>
            <w:tcW w:w="2947" w:type="dxa"/>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Non</w:t>
            </w:r>
            <w:r>
              <w:rPr>
                <w:rFonts w:ascii="Calibri" w:eastAsiaTheme="minorEastAsia" w:hAnsi="Calibri" w:cs="Calibri"/>
                <w:color w:val="000000"/>
                <w:sz w:val="19"/>
                <w:lang w:eastAsia="en-AU"/>
              </w:rPr>
              <w:noBreakHyphen/>
            </w:r>
            <w:r w:rsidRPr="001E7FA9">
              <w:rPr>
                <w:rFonts w:ascii="Calibri" w:eastAsiaTheme="minorEastAsia" w:hAnsi="Calibri" w:cs="Calibri"/>
                <w:color w:val="000000"/>
                <w:sz w:val="19"/>
                <w:lang w:eastAsia="en-AU"/>
              </w:rPr>
              <w:t>financial assets held for sale</w:t>
            </w: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w:t>
            </w: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w:t>
            </w: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w:t>
            </w: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w:t>
            </w: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w:t>
            </w:r>
          </w:p>
        </w:tc>
      </w:tr>
      <w:tr w:rsidR="00965D85" w:rsidRPr="001E7FA9" w:rsidTr="008B46DF">
        <w:tc>
          <w:tcPr>
            <w:tcW w:w="2947" w:type="dxa"/>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Land, buildings, infrastructure, plant and equipment</w:t>
            </w: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75.7</w:t>
            </w: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76.9</w:t>
            </w: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82.6</w:t>
            </w: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89.4</w:t>
            </w: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80.8</w:t>
            </w:r>
          </w:p>
        </w:tc>
      </w:tr>
      <w:tr w:rsidR="00965D85" w:rsidRPr="001E7FA9" w:rsidTr="008B46DF">
        <w:tc>
          <w:tcPr>
            <w:tcW w:w="2947" w:type="dxa"/>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Other non</w:t>
            </w:r>
            <w:r>
              <w:rPr>
                <w:rFonts w:ascii="Calibri" w:eastAsiaTheme="minorEastAsia" w:hAnsi="Calibri" w:cs="Calibri"/>
                <w:color w:val="000000"/>
                <w:sz w:val="19"/>
                <w:lang w:eastAsia="en-AU"/>
              </w:rPr>
              <w:noBreakHyphen/>
            </w:r>
            <w:r w:rsidRPr="001E7FA9">
              <w:rPr>
                <w:rFonts w:ascii="Calibri" w:eastAsiaTheme="minorEastAsia" w:hAnsi="Calibri" w:cs="Calibri"/>
                <w:color w:val="000000"/>
                <w:sz w:val="19"/>
                <w:lang w:eastAsia="en-AU"/>
              </w:rPr>
              <w:t>financial assets</w:t>
            </w:r>
          </w:p>
        </w:tc>
        <w:tc>
          <w:tcPr>
            <w:tcW w:w="964" w:type="dxa"/>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960.0</w:t>
            </w:r>
          </w:p>
        </w:tc>
        <w:tc>
          <w:tcPr>
            <w:tcW w:w="964" w:type="dxa"/>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1 298.7</w:t>
            </w:r>
          </w:p>
        </w:tc>
        <w:tc>
          <w:tcPr>
            <w:tcW w:w="964" w:type="dxa"/>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1 156.7</w:t>
            </w:r>
          </w:p>
        </w:tc>
        <w:tc>
          <w:tcPr>
            <w:tcW w:w="964" w:type="dxa"/>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1 033.4</w:t>
            </w:r>
          </w:p>
        </w:tc>
        <w:tc>
          <w:tcPr>
            <w:tcW w:w="964" w:type="dxa"/>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922.6</w:t>
            </w:r>
          </w:p>
        </w:tc>
      </w:tr>
      <w:tr w:rsidR="00965D85" w:rsidRPr="001E7FA9" w:rsidTr="008B46DF">
        <w:tc>
          <w:tcPr>
            <w:tcW w:w="2947" w:type="dxa"/>
            <w:tcBorders>
              <w:top w:val="single" w:sz="6" w:space="0" w:color="000000"/>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b/>
                <w:bCs/>
                <w:color w:val="000000"/>
                <w:sz w:val="19"/>
                <w:lang w:eastAsia="en-AU"/>
              </w:rPr>
            </w:pPr>
            <w:r w:rsidRPr="001E7FA9">
              <w:rPr>
                <w:rFonts w:ascii="Calibri" w:eastAsiaTheme="minorEastAsia" w:hAnsi="Calibri" w:cs="Calibri"/>
                <w:b/>
                <w:bCs/>
                <w:color w:val="000000"/>
                <w:sz w:val="19"/>
                <w:lang w:eastAsia="en-AU"/>
              </w:rPr>
              <w:t>Total non</w:t>
            </w:r>
            <w:r>
              <w:rPr>
                <w:rFonts w:ascii="Calibri" w:eastAsiaTheme="minorEastAsia" w:hAnsi="Calibri" w:cs="Calibri"/>
                <w:b/>
                <w:bCs/>
                <w:color w:val="000000"/>
                <w:sz w:val="19"/>
                <w:lang w:eastAsia="en-AU"/>
              </w:rPr>
              <w:noBreakHyphen/>
            </w:r>
            <w:r w:rsidRPr="001E7FA9">
              <w:rPr>
                <w:rFonts w:ascii="Calibri" w:eastAsiaTheme="minorEastAsia" w:hAnsi="Calibri" w:cs="Calibri"/>
                <w:b/>
                <w:bCs/>
                <w:color w:val="000000"/>
                <w:sz w:val="19"/>
                <w:lang w:eastAsia="en-AU"/>
              </w:rPr>
              <w:t>financial assets</w:t>
            </w:r>
          </w:p>
        </w:tc>
        <w:tc>
          <w:tcPr>
            <w:tcW w:w="964" w:type="dxa"/>
            <w:tcBorders>
              <w:top w:val="single" w:sz="6" w:space="0" w:color="000000"/>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19"/>
                <w:lang w:eastAsia="en-AU"/>
              </w:rPr>
            </w:pPr>
            <w:r w:rsidRPr="001E7FA9">
              <w:rPr>
                <w:rFonts w:ascii="Calibri" w:eastAsiaTheme="minorEastAsia" w:hAnsi="Calibri" w:cs="Calibri"/>
                <w:b/>
                <w:bCs/>
                <w:color w:val="000000"/>
                <w:sz w:val="19"/>
                <w:lang w:eastAsia="en-AU"/>
              </w:rPr>
              <w:t>1 035.6</w:t>
            </w:r>
          </w:p>
        </w:tc>
        <w:tc>
          <w:tcPr>
            <w:tcW w:w="964" w:type="dxa"/>
            <w:tcBorders>
              <w:top w:val="single" w:sz="6" w:space="0" w:color="000000"/>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19"/>
                <w:lang w:eastAsia="en-AU"/>
              </w:rPr>
            </w:pPr>
            <w:r w:rsidRPr="001E7FA9">
              <w:rPr>
                <w:rFonts w:ascii="Calibri" w:eastAsiaTheme="minorEastAsia" w:hAnsi="Calibri" w:cs="Calibri"/>
                <w:b/>
                <w:bCs/>
                <w:color w:val="000000"/>
                <w:sz w:val="19"/>
                <w:lang w:eastAsia="en-AU"/>
              </w:rPr>
              <w:t>1 375.6</w:t>
            </w:r>
          </w:p>
        </w:tc>
        <w:tc>
          <w:tcPr>
            <w:tcW w:w="964" w:type="dxa"/>
            <w:tcBorders>
              <w:top w:val="single" w:sz="6" w:space="0" w:color="000000"/>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19"/>
                <w:lang w:eastAsia="en-AU"/>
              </w:rPr>
            </w:pPr>
            <w:r w:rsidRPr="001E7FA9">
              <w:rPr>
                <w:rFonts w:ascii="Calibri" w:eastAsiaTheme="minorEastAsia" w:hAnsi="Calibri" w:cs="Calibri"/>
                <w:b/>
                <w:bCs/>
                <w:color w:val="000000"/>
                <w:sz w:val="19"/>
                <w:lang w:eastAsia="en-AU"/>
              </w:rPr>
              <w:t>1 239.3</w:t>
            </w:r>
          </w:p>
        </w:tc>
        <w:tc>
          <w:tcPr>
            <w:tcW w:w="964" w:type="dxa"/>
            <w:tcBorders>
              <w:top w:val="single" w:sz="6" w:space="0" w:color="000000"/>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19"/>
                <w:lang w:eastAsia="en-AU"/>
              </w:rPr>
            </w:pPr>
            <w:r w:rsidRPr="001E7FA9">
              <w:rPr>
                <w:rFonts w:ascii="Calibri" w:eastAsiaTheme="minorEastAsia" w:hAnsi="Calibri" w:cs="Calibri"/>
                <w:b/>
                <w:bCs/>
                <w:color w:val="000000"/>
                <w:sz w:val="19"/>
                <w:lang w:eastAsia="en-AU"/>
              </w:rPr>
              <w:t>1 122.8</w:t>
            </w:r>
          </w:p>
        </w:tc>
        <w:tc>
          <w:tcPr>
            <w:tcW w:w="964" w:type="dxa"/>
            <w:tcBorders>
              <w:top w:val="single" w:sz="6" w:space="0" w:color="000000"/>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19"/>
                <w:lang w:eastAsia="en-AU"/>
              </w:rPr>
            </w:pPr>
            <w:r w:rsidRPr="001E7FA9">
              <w:rPr>
                <w:rFonts w:ascii="Calibri" w:eastAsiaTheme="minorEastAsia" w:hAnsi="Calibri" w:cs="Calibri"/>
                <w:b/>
                <w:bCs/>
                <w:color w:val="000000"/>
                <w:sz w:val="19"/>
                <w:lang w:eastAsia="en-AU"/>
              </w:rPr>
              <w:t>1 003.4</w:t>
            </w:r>
          </w:p>
        </w:tc>
      </w:tr>
      <w:tr w:rsidR="00965D85" w:rsidRPr="001E7FA9" w:rsidTr="008B46DF">
        <w:tc>
          <w:tcPr>
            <w:tcW w:w="2947" w:type="dxa"/>
            <w:tcBorders>
              <w:top w:val="single" w:sz="6" w:space="0" w:color="000000"/>
              <w:left w:val="nil"/>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b/>
                <w:bCs/>
                <w:color w:val="000000"/>
                <w:sz w:val="19"/>
                <w:lang w:eastAsia="en-AU"/>
              </w:rPr>
            </w:pPr>
            <w:r w:rsidRPr="001E7FA9">
              <w:rPr>
                <w:rFonts w:ascii="Calibri" w:eastAsiaTheme="minorEastAsia" w:hAnsi="Calibri" w:cs="Calibri"/>
                <w:b/>
                <w:bCs/>
                <w:color w:val="000000"/>
                <w:sz w:val="19"/>
                <w:lang w:eastAsia="en-AU"/>
              </w:rPr>
              <w:t>Total assets</w:t>
            </w:r>
          </w:p>
        </w:tc>
        <w:tc>
          <w:tcPr>
            <w:tcW w:w="964" w:type="dxa"/>
            <w:tcBorders>
              <w:top w:val="single" w:sz="6" w:space="0" w:color="000000"/>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19"/>
                <w:lang w:eastAsia="en-AU"/>
              </w:rPr>
            </w:pPr>
            <w:r w:rsidRPr="001E7FA9">
              <w:rPr>
                <w:rFonts w:ascii="Calibri" w:eastAsiaTheme="minorEastAsia" w:hAnsi="Calibri" w:cs="Calibri"/>
                <w:b/>
                <w:bCs/>
                <w:color w:val="000000"/>
                <w:sz w:val="19"/>
                <w:lang w:eastAsia="en-AU"/>
              </w:rPr>
              <w:t>72 917.1</w:t>
            </w:r>
          </w:p>
        </w:tc>
        <w:tc>
          <w:tcPr>
            <w:tcW w:w="964" w:type="dxa"/>
            <w:tcBorders>
              <w:top w:val="single" w:sz="6" w:space="0" w:color="000000"/>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19"/>
                <w:lang w:eastAsia="en-AU"/>
              </w:rPr>
            </w:pPr>
            <w:r w:rsidRPr="001E7FA9">
              <w:rPr>
                <w:rFonts w:ascii="Calibri" w:eastAsiaTheme="minorEastAsia" w:hAnsi="Calibri" w:cs="Calibri"/>
                <w:b/>
                <w:bCs/>
                <w:color w:val="000000"/>
                <w:sz w:val="19"/>
                <w:lang w:eastAsia="en-AU"/>
              </w:rPr>
              <w:t>70 045.1</w:t>
            </w:r>
          </w:p>
        </w:tc>
        <w:tc>
          <w:tcPr>
            <w:tcW w:w="964" w:type="dxa"/>
            <w:tcBorders>
              <w:top w:val="single" w:sz="6" w:space="0" w:color="000000"/>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19"/>
                <w:lang w:eastAsia="en-AU"/>
              </w:rPr>
            </w:pPr>
            <w:r w:rsidRPr="001E7FA9">
              <w:rPr>
                <w:rFonts w:ascii="Calibri" w:eastAsiaTheme="minorEastAsia" w:hAnsi="Calibri" w:cs="Calibri"/>
                <w:b/>
                <w:bCs/>
                <w:color w:val="000000"/>
                <w:sz w:val="19"/>
                <w:lang w:eastAsia="en-AU"/>
              </w:rPr>
              <w:t>73 696.7</w:t>
            </w:r>
          </w:p>
        </w:tc>
        <w:tc>
          <w:tcPr>
            <w:tcW w:w="964" w:type="dxa"/>
            <w:tcBorders>
              <w:top w:val="single" w:sz="6" w:space="0" w:color="000000"/>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19"/>
                <w:lang w:eastAsia="en-AU"/>
              </w:rPr>
            </w:pPr>
            <w:r w:rsidRPr="001E7FA9">
              <w:rPr>
                <w:rFonts w:ascii="Calibri" w:eastAsiaTheme="minorEastAsia" w:hAnsi="Calibri" w:cs="Calibri"/>
                <w:b/>
                <w:bCs/>
                <w:color w:val="000000"/>
                <w:sz w:val="19"/>
                <w:lang w:eastAsia="en-AU"/>
              </w:rPr>
              <w:t>74 476.7</w:t>
            </w:r>
          </w:p>
        </w:tc>
        <w:tc>
          <w:tcPr>
            <w:tcW w:w="964" w:type="dxa"/>
            <w:tcBorders>
              <w:top w:val="single" w:sz="6" w:space="0" w:color="000000"/>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19"/>
                <w:lang w:eastAsia="en-AU"/>
              </w:rPr>
            </w:pPr>
            <w:r w:rsidRPr="001E7FA9">
              <w:rPr>
                <w:rFonts w:ascii="Calibri" w:eastAsiaTheme="minorEastAsia" w:hAnsi="Calibri" w:cs="Calibri"/>
                <w:b/>
                <w:bCs/>
                <w:color w:val="000000"/>
                <w:sz w:val="19"/>
                <w:lang w:eastAsia="en-AU"/>
              </w:rPr>
              <w:t>78 453.9</w:t>
            </w:r>
          </w:p>
        </w:tc>
      </w:tr>
      <w:tr w:rsidR="00965D85" w:rsidRPr="001E7FA9" w:rsidTr="008B46DF">
        <w:tc>
          <w:tcPr>
            <w:tcW w:w="2947" w:type="dxa"/>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b/>
                <w:bCs/>
                <w:color w:val="000000"/>
                <w:sz w:val="19"/>
                <w:lang w:eastAsia="en-AU"/>
              </w:rPr>
            </w:pPr>
            <w:r w:rsidRPr="001E7FA9">
              <w:rPr>
                <w:rFonts w:ascii="Calibri" w:eastAsiaTheme="minorEastAsia" w:hAnsi="Calibri" w:cs="Calibri"/>
                <w:b/>
                <w:bCs/>
                <w:color w:val="000000"/>
                <w:sz w:val="19"/>
                <w:lang w:eastAsia="en-AU"/>
              </w:rPr>
              <w:t>Liabilities</w:t>
            </w: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r>
      <w:tr w:rsidR="00965D85" w:rsidRPr="001E7FA9" w:rsidTr="008B46DF">
        <w:tc>
          <w:tcPr>
            <w:tcW w:w="2947" w:type="dxa"/>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Deposits held and advances received</w:t>
            </w: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6 724.6</w:t>
            </w: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6 272.4</w:t>
            </w: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6 105.5</w:t>
            </w: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6 105.0</w:t>
            </w: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6 273.3</w:t>
            </w:r>
          </w:p>
        </w:tc>
      </w:tr>
      <w:tr w:rsidR="00965D85" w:rsidRPr="001E7FA9" w:rsidTr="008B46DF">
        <w:tc>
          <w:tcPr>
            <w:tcW w:w="2947" w:type="dxa"/>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Payables</w:t>
            </w: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1 787.4</w:t>
            </w: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1 720.1</w:t>
            </w: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1 794.7</w:t>
            </w: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1 845.1</w:t>
            </w: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1 948.1</w:t>
            </w:r>
          </w:p>
        </w:tc>
      </w:tr>
      <w:tr w:rsidR="00965D85" w:rsidRPr="001E7FA9" w:rsidTr="008B46DF">
        <w:tc>
          <w:tcPr>
            <w:tcW w:w="2947" w:type="dxa"/>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color w:val="000000"/>
                <w:sz w:val="20"/>
                <w:vertAlign w:val="superscript"/>
                <w:lang w:eastAsia="en-AU"/>
              </w:rPr>
            </w:pPr>
            <w:r w:rsidRPr="001E7FA9">
              <w:rPr>
                <w:rFonts w:ascii="Calibri" w:eastAsiaTheme="minorEastAsia" w:hAnsi="Calibri" w:cs="Calibri"/>
                <w:color w:val="000000"/>
                <w:sz w:val="19"/>
                <w:lang w:eastAsia="en-AU"/>
              </w:rPr>
              <w:t>Borrowings</w:t>
            </w:r>
            <w:r w:rsidRPr="001E7FA9">
              <w:rPr>
                <w:rFonts w:ascii="Calibri" w:eastAsiaTheme="minorEastAsia" w:hAnsi="Calibri" w:cs="Calibri"/>
                <w:color w:val="000000"/>
                <w:sz w:val="19"/>
                <w:vertAlign w:val="superscript"/>
                <w:lang w:eastAsia="en-AU"/>
              </w:rPr>
              <w:t xml:space="preserve"> (c)</w:t>
            </w: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38 671.3</w:t>
            </w: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37 304.5</w:t>
            </w: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39 624.4</w:t>
            </w: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40 100.7</w:t>
            </w: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41 977.9</w:t>
            </w:r>
          </w:p>
        </w:tc>
      </w:tr>
      <w:tr w:rsidR="00965D85" w:rsidRPr="001E7FA9" w:rsidTr="008B46DF">
        <w:tc>
          <w:tcPr>
            <w:tcW w:w="2947" w:type="dxa"/>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Employee benefits</w:t>
            </w: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93.0</w:t>
            </w: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89.3</w:t>
            </w: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91.3</w:t>
            </w: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93.8</w:t>
            </w: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95.4</w:t>
            </w:r>
          </w:p>
        </w:tc>
      </w:tr>
      <w:tr w:rsidR="00965D85" w:rsidRPr="001E7FA9" w:rsidTr="008B46DF">
        <w:tc>
          <w:tcPr>
            <w:tcW w:w="2947" w:type="dxa"/>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Other provisions</w:t>
            </w:r>
          </w:p>
        </w:tc>
        <w:tc>
          <w:tcPr>
            <w:tcW w:w="964" w:type="dxa"/>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26 454.2</w:t>
            </w:r>
          </w:p>
        </w:tc>
        <w:tc>
          <w:tcPr>
            <w:tcW w:w="964" w:type="dxa"/>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27 135.3</w:t>
            </w:r>
          </w:p>
        </w:tc>
        <w:tc>
          <w:tcPr>
            <w:tcW w:w="964" w:type="dxa"/>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28 465.0</w:t>
            </w:r>
          </w:p>
        </w:tc>
        <w:tc>
          <w:tcPr>
            <w:tcW w:w="964" w:type="dxa"/>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29 880.4</w:t>
            </w:r>
          </w:p>
        </w:tc>
        <w:tc>
          <w:tcPr>
            <w:tcW w:w="964" w:type="dxa"/>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31 361.9</w:t>
            </w:r>
          </w:p>
        </w:tc>
      </w:tr>
      <w:tr w:rsidR="00965D85" w:rsidRPr="001E7FA9" w:rsidTr="008B46DF">
        <w:tc>
          <w:tcPr>
            <w:tcW w:w="2947" w:type="dxa"/>
            <w:tcBorders>
              <w:top w:val="single" w:sz="6" w:space="0" w:color="000000"/>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b/>
                <w:bCs/>
                <w:color w:val="000000"/>
                <w:sz w:val="19"/>
                <w:lang w:eastAsia="en-AU"/>
              </w:rPr>
            </w:pPr>
            <w:r w:rsidRPr="001E7FA9">
              <w:rPr>
                <w:rFonts w:ascii="Calibri" w:eastAsiaTheme="minorEastAsia" w:hAnsi="Calibri" w:cs="Calibri"/>
                <w:b/>
                <w:bCs/>
                <w:color w:val="000000"/>
                <w:sz w:val="19"/>
                <w:lang w:eastAsia="en-AU"/>
              </w:rPr>
              <w:t>Total liabilities</w:t>
            </w:r>
          </w:p>
        </w:tc>
        <w:tc>
          <w:tcPr>
            <w:tcW w:w="964" w:type="dxa"/>
            <w:tcBorders>
              <w:top w:val="single" w:sz="6" w:space="0" w:color="000000"/>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19"/>
                <w:lang w:eastAsia="en-AU"/>
              </w:rPr>
            </w:pPr>
            <w:r w:rsidRPr="001E7FA9">
              <w:rPr>
                <w:rFonts w:ascii="Calibri" w:eastAsiaTheme="minorEastAsia" w:hAnsi="Calibri" w:cs="Calibri"/>
                <w:b/>
                <w:bCs/>
                <w:color w:val="000000"/>
                <w:sz w:val="19"/>
                <w:lang w:eastAsia="en-AU"/>
              </w:rPr>
              <w:t>73 730.5</w:t>
            </w:r>
          </w:p>
        </w:tc>
        <w:tc>
          <w:tcPr>
            <w:tcW w:w="964" w:type="dxa"/>
            <w:tcBorders>
              <w:top w:val="single" w:sz="6" w:space="0" w:color="000000"/>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19"/>
                <w:lang w:eastAsia="en-AU"/>
              </w:rPr>
            </w:pPr>
            <w:r w:rsidRPr="001E7FA9">
              <w:rPr>
                <w:rFonts w:ascii="Calibri" w:eastAsiaTheme="minorEastAsia" w:hAnsi="Calibri" w:cs="Calibri"/>
                <w:b/>
                <w:bCs/>
                <w:color w:val="000000"/>
                <w:sz w:val="19"/>
                <w:lang w:eastAsia="en-AU"/>
              </w:rPr>
              <w:t>72 521.6</w:t>
            </w:r>
          </w:p>
        </w:tc>
        <w:tc>
          <w:tcPr>
            <w:tcW w:w="964" w:type="dxa"/>
            <w:tcBorders>
              <w:top w:val="single" w:sz="6" w:space="0" w:color="000000"/>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19"/>
                <w:lang w:eastAsia="en-AU"/>
              </w:rPr>
            </w:pPr>
            <w:r w:rsidRPr="001E7FA9">
              <w:rPr>
                <w:rFonts w:ascii="Calibri" w:eastAsiaTheme="minorEastAsia" w:hAnsi="Calibri" w:cs="Calibri"/>
                <w:b/>
                <w:bCs/>
                <w:color w:val="000000"/>
                <w:sz w:val="19"/>
                <w:lang w:eastAsia="en-AU"/>
              </w:rPr>
              <w:t>76 080.9</w:t>
            </w:r>
          </w:p>
        </w:tc>
        <w:tc>
          <w:tcPr>
            <w:tcW w:w="964" w:type="dxa"/>
            <w:tcBorders>
              <w:top w:val="single" w:sz="6" w:space="0" w:color="000000"/>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19"/>
                <w:lang w:eastAsia="en-AU"/>
              </w:rPr>
            </w:pPr>
            <w:r w:rsidRPr="001E7FA9">
              <w:rPr>
                <w:rFonts w:ascii="Calibri" w:eastAsiaTheme="minorEastAsia" w:hAnsi="Calibri" w:cs="Calibri"/>
                <w:b/>
                <w:bCs/>
                <w:color w:val="000000"/>
                <w:sz w:val="19"/>
                <w:lang w:eastAsia="en-AU"/>
              </w:rPr>
              <w:t>78 025.0</w:t>
            </w:r>
          </w:p>
        </w:tc>
        <w:tc>
          <w:tcPr>
            <w:tcW w:w="964" w:type="dxa"/>
            <w:tcBorders>
              <w:top w:val="single" w:sz="6" w:space="0" w:color="000000"/>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19"/>
                <w:lang w:eastAsia="en-AU"/>
              </w:rPr>
            </w:pPr>
            <w:r w:rsidRPr="001E7FA9">
              <w:rPr>
                <w:rFonts w:ascii="Calibri" w:eastAsiaTheme="minorEastAsia" w:hAnsi="Calibri" w:cs="Calibri"/>
                <w:b/>
                <w:bCs/>
                <w:color w:val="000000"/>
                <w:sz w:val="19"/>
                <w:lang w:eastAsia="en-AU"/>
              </w:rPr>
              <w:t>81 656.7</w:t>
            </w:r>
          </w:p>
        </w:tc>
      </w:tr>
      <w:tr w:rsidR="00965D85" w:rsidRPr="001E7FA9" w:rsidTr="008B46DF">
        <w:tc>
          <w:tcPr>
            <w:tcW w:w="2947" w:type="dxa"/>
            <w:tcBorders>
              <w:top w:val="single" w:sz="6" w:space="0" w:color="000000"/>
              <w:left w:val="nil"/>
              <w:bottom w:val="single" w:sz="12" w:space="0" w:color="000000"/>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b/>
                <w:bCs/>
                <w:color w:val="000000"/>
                <w:sz w:val="20"/>
                <w:vertAlign w:val="superscript"/>
                <w:lang w:eastAsia="en-AU"/>
              </w:rPr>
            </w:pPr>
            <w:r w:rsidRPr="001E7FA9">
              <w:rPr>
                <w:rFonts w:ascii="Calibri" w:eastAsiaTheme="minorEastAsia" w:hAnsi="Calibri" w:cs="Calibri"/>
                <w:b/>
                <w:bCs/>
                <w:color w:val="000000"/>
                <w:sz w:val="19"/>
                <w:lang w:eastAsia="en-AU"/>
              </w:rPr>
              <w:t>Net assets</w:t>
            </w:r>
            <w:r w:rsidRPr="001E7FA9">
              <w:rPr>
                <w:rFonts w:ascii="Calibri" w:eastAsiaTheme="minorEastAsia" w:hAnsi="Calibri" w:cs="Calibri"/>
                <w:b/>
                <w:bCs/>
                <w:color w:val="000000"/>
                <w:sz w:val="19"/>
                <w:vertAlign w:val="superscript"/>
                <w:lang w:eastAsia="en-AU"/>
              </w:rPr>
              <w:t xml:space="preserve"> (d)</w:t>
            </w:r>
          </w:p>
        </w:tc>
        <w:tc>
          <w:tcPr>
            <w:tcW w:w="964" w:type="dxa"/>
            <w:tcBorders>
              <w:top w:val="single" w:sz="6" w:space="0" w:color="000000"/>
              <w:left w:val="nil"/>
              <w:bottom w:val="single" w:sz="12"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19"/>
                <w:lang w:eastAsia="en-AU"/>
              </w:rPr>
              <w:t>(813.4)</w:t>
            </w:r>
          </w:p>
        </w:tc>
        <w:tc>
          <w:tcPr>
            <w:tcW w:w="964" w:type="dxa"/>
            <w:tcBorders>
              <w:top w:val="single" w:sz="6" w:space="0" w:color="000000"/>
              <w:left w:val="nil"/>
              <w:bottom w:val="single" w:sz="12"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19"/>
                <w:lang w:eastAsia="en-AU"/>
              </w:rPr>
              <w:t>(2 476.6)</w:t>
            </w:r>
          </w:p>
        </w:tc>
        <w:tc>
          <w:tcPr>
            <w:tcW w:w="964" w:type="dxa"/>
            <w:tcBorders>
              <w:top w:val="single" w:sz="6" w:space="0" w:color="000000"/>
              <w:left w:val="nil"/>
              <w:bottom w:val="single" w:sz="12"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19"/>
                <w:lang w:eastAsia="en-AU"/>
              </w:rPr>
              <w:t>(2 384.3)</w:t>
            </w:r>
          </w:p>
        </w:tc>
        <w:tc>
          <w:tcPr>
            <w:tcW w:w="964" w:type="dxa"/>
            <w:tcBorders>
              <w:top w:val="single" w:sz="6" w:space="0" w:color="000000"/>
              <w:left w:val="nil"/>
              <w:bottom w:val="single" w:sz="12"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19"/>
                <w:lang w:eastAsia="en-AU"/>
              </w:rPr>
              <w:t>(3 548.3)</w:t>
            </w:r>
          </w:p>
        </w:tc>
        <w:tc>
          <w:tcPr>
            <w:tcW w:w="964" w:type="dxa"/>
            <w:tcBorders>
              <w:top w:val="single" w:sz="6" w:space="0" w:color="000000"/>
              <w:left w:val="nil"/>
              <w:bottom w:val="single" w:sz="12"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19"/>
                <w:lang w:eastAsia="en-AU"/>
              </w:rPr>
              <w:t>(3 202.8)</w:t>
            </w:r>
          </w:p>
        </w:tc>
      </w:tr>
      <w:tr w:rsidR="00965D85" w:rsidRPr="001E7FA9" w:rsidTr="008B46DF">
        <w:tc>
          <w:tcPr>
            <w:tcW w:w="2947" w:type="dxa"/>
            <w:tcBorders>
              <w:top w:val="single" w:sz="12" w:space="0" w:color="000000"/>
              <w:left w:val="nil"/>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Accumulated surplus/(deficit)</w:t>
            </w:r>
          </w:p>
        </w:tc>
        <w:tc>
          <w:tcPr>
            <w:tcW w:w="964" w:type="dxa"/>
            <w:tcBorders>
              <w:top w:val="single" w:sz="12" w:space="0" w:color="000000"/>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(1 045.4)</w:t>
            </w:r>
          </w:p>
        </w:tc>
        <w:tc>
          <w:tcPr>
            <w:tcW w:w="964" w:type="dxa"/>
            <w:tcBorders>
              <w:top w:val="single" w:sz="12" w:space="0" w:color="000000"/>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(2 719.5)</w:t>
            </w:r>
          </w:p>
        </w:tc>
        <w:tc>
          <w:tcPr>
            <w:tcW w:w="964" w:type="dxa"/>
            <w:tcBorders>
              <w:top w:val="single" w:sz="12" w:space="0" w:color="000000"/>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(2 644.0)</w:t>
            </w:r>
          </w:p>
        </w:tc>
        <w:tc>
          <w:tcPr>
            <w:tcW w:w="964" w:type="dxa"/>
            <w:tcBorders>
              <w:top w:val="single" w:sz="12" w:space="0" w:color="000000"/>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(3 824.6)</w:t>
            </w:r>
          </w:p>
        </w:tc>
        <w:tc>
          <w:tcPr>
            <w:tcW w:w="964" w:type="dxa"/>
            <w:tcBorders>
              <w:top w:val="single" w:sz="12" w:space="0" w:color="000000"/>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(3 495.7)</w:t>
            </w:r>
          </w:p>
        </w:tc>
      </w:tr>
      <w:tr w:rsidR="00965D85" w:rsidRPr="001E7FA9" w:rsidTr="008B46DF">
        <w:tc>
          <w:tcPr>
            <w:tcW w:w="2947" w:type="dxa"/>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Reserves</w:t>
            </w:r>
          </w:p>
        </w:tc>
        <w:tc>
          <w:tcPr>
            <w:tcW w:w="964" w:type="dxa"/>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232.0</w:t>
            </w:r>
          </w:p>
        </w:tc>
        <w:tc>
          <w:tcPr>
            <w:tcW w:w="964" w:type="dxa"/>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242.9</w:t>
            </w:r>
          </w:p>
        </w:tc>
        <w:tc>
          <w:tcPr>
            <w:tcW w:w="964" w:type="dxa"/>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259.7</w:t>
            </w:r>
          </w:p>
        </w:tc>
        <w:tc>
          <w:tcPr>
            <w:tcW w:w="964" w:type="dxa"/>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276.3</w:t>
            </w:r>
          </w:p>
        </w:tc>
        <w:tc>
          <w:tcPr>
            <w:tcW w:w="964" w:type="dxa"/>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292.9</w:t>
            </w:r>
          </w:p>
        </w:tc>
      </w:tr>
      <w:tr w:rsidR="00965D85" w:rsidRPr="001E7FA9" w:rsidTr="008B46DF">
        <w:tc>
          <w:tcPr>
            <w:tcW w:w="2947" w:type="dxa"/>
            <w:tcBorders>
              <w:top w:val="single" w:sz="6" w:space="0" w:color="000000"/>
              <w:left w:val="nil"/>
              <w:bottom w:val="single" w:sz="12" w:space="0" w:color="000000"/>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b/>
                <w:bCs/>
                <w:color w:val="000000"/>
                <w:sz w:val="20"/>
                <w:vertAlign w:val="superscript"/>
                <w:lang w:eastAsia="en-AU"/>
              </w:rPr>
            </w:pPr>
            <w:r w:rsidRPr="001E7FA9">
              <w:rPr>
                <w:rFonts w:ascii="Calibri" w:eastAsiaTheme="minorEastAsia" w:hAnsi="Calibri" w:cs="Calibri"/>
                <w:b/>
                <w:bCs/>
                <w:color w:val="000000"/>
                <w:sz w:val="19"/>
                <w:lang w:eastAsia="en-AU"/>
              </w:rPr>
              <w:t>Net worth</w:t>
            </w:r>
            <w:r w:rsidRPr="001E7FA9">
              <w:rPr>
                <w:rFonts w:ascii="Calibri" w:eastAsiaTheme="minorEastAsia" w:hAnsi="Calibri" w:cs="Calibri"/>
                <w:b/>
                <w:bCs/>
                <w:color w:val="000000"/>
                <w:sz w:val="19"/>
                <w:vertAlign w:val="superscript"/>
                <w:lang w:eastAsia="en-AU"/>
              </w:rPr>
              <w:t xml:space="preserve"> (d)</w:t>
            </w:r>
          </w:p>
        </w:tc>
        <w:tc>
          <w:tcPr>
            <w:tcW w:w="964" w:type="dxa"/>
            <w:tcBorders>
              <w:top w:val="single" w:sz="6" w:space="0" w:color="000000"/>
              <w:left w:val="nil"/>
              <w:bottom w:val="single" w:sz="12"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19"/>
                <w:lang w:eastAsia="en-AU"/>
              </w:rPr>
              <w:t>(813.4)</w:t>
            </w:r>
          </w:p>
        </w:tc>
        <w:tc>
          <w:tcPr>
            <w:tcW w:w="964" w:type="dxa"/>
            <w:tcBorders>
              <w:top w:val="single" w:sz="6" w:space="0" w:color="000000"/>
              <w:left w:val="nil"/>
              <w:bottom w:val="single" w:sz="12"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19"/>
                <w:lang w:eastAsia="en-AU"/>
              </w:rPr>
              <w:t>(2 476.6)</w:t>
            </w:r>
          </w:p>
        </w:tc>
        <w:tc>
          <w:tcPr>
            <w:tcW w:w="964" w:type="dxa"/>
            <w:tcBorders>
              <w:top w:val="single" w:sz="6" w:space="0" w:color="000000"/>
              <w:left w:val="nil"/>
              <w:bottom w:val="single" w:sz="12"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19"/>
                <w:lang w:eastAsia="en-AU"/>
              </w:rPr>
              <w:t>(2 384.3)</w:t>
            </w:r>
          </w:p>
        </w:tc>
        <w:tc>
          <w:tcPr>
            <w:tcW w:w="964" w:type="dxa"/>
            <w:tcBorders>
              <w:top w:val="single" w:sz="6" w:space="0" w:color="000000"/>
              <w:left w:val="nil"/>
              <w:bottom w:val="single" w:sz="12"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19"/>
                <w:lang w:eastAsia="en-AU"/>
              </w:rPr>
              <w:t>(3 548.3)</w:t>
            </w:r>
          </w:p>
        </w:tc>
        <w:tc>
          <w:tcPr>
            <w:tcW w:w="964" w:type="dxa"/>
            <w:tcBorders>
              <w:top w:val="single" w:sz="6" w:space="0" w:color="000000"/>
              <w:left w:val="nil"/>
              <w:bottom w:val="single" w:sz="12"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19"/>
                <w:lang w:eastAsia="en-AU"/>
              </w:rPr>
              <w:t>(3 202.8)</w:t>
            </w:r>
          </w:p>
        </w:tc>
      </w:tr>
      <w:tr w:rsidR="00965D85" w:rsidRPr="001E7FA9" w:rsidTr="008B46DF">
        <w:trPr>
          <w:trHeight w:hRule="exact" w:val="120"/>
        </w:trPr>
        <w:tc>
          <w:tcPr>
            <w:tcW w:w="2947" w:type="dxa"/>
            <w:tcBorders>
              <w:top w:val="single" w:sz="12" w:space="0" w:color="000000"/>
              <w:left w:val="nil"/>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 xml:space="preserve"> </w:t>
            </w:r>
          </w:p>
        </w:tc>
        <w:tc>
          <w:tcPr>
            <w:tcW w:w="964" w:type="dxa"/>
            <w:tcBorders>
              <w:top w:val="single" w:sz="12" w:space="0" w:color="000000"/>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p>
        </w:tc>
        <w:tc>
          <w:tcPr>
            <w:tcW w:w="964" w:type="dxa"/>
            <w:tcBorders>
              <w:top w:val="single" w:sz="12" w:space="0" w:color="000000"/>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p>
        </w:tc>
        <w:tc>
          <w:tcPr>
            <w:tcW w:w="964" w:type="dxa"/>
            <w:tcBorders>
              <w:top w:val="single" w:sz="12" w:space="0" w:color="000000"/>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p>
        </w:tc>
        <w:tc>
          <w:tcPr>
            <w:tcW w:w="964" w:type="dxa"/>
            <w:tcBorders>
              <w:top w:val="single" w:sz="12" w:space="0" w:color="000000"/>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p>
        </w:tc>
        <w:tc>
          <w:tcPr>
            <w:tcW w:w="964" w:type="dxa"/>
            <w:tcBorders>
              <w:top w:val="single" w:sz="12" w:space="0" w:color="000000"/>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p>
        </w:tc>
      </w:tr>
      <w:tr w:rsidR="00965D85" w:rsidRPr="001E7FA9" w:rsidTr="008B46DF">
        <w:tc>
          <w:tcPr>
            <w:tcW w:w="2947" w:type="dxa"/>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b/>
                <w:bCs/>
                <w:color w:val="000000"/>
                <w:sz w:val="19"/>
                <w:lang w:eastAsia="en-AU"/>
              </w:rPr>
            </w:pPr>
            <w:r w:rsidRPr="001E7FA9">
              <w:rPr>
                <w:rFonts w:ascii="Calibri" w:eastAsiaTheme="minorEastAsia" w:hAnsi="Calibri" w:cs="Calibri"/>
                <w:b/>
                <w:bCs/>
                <w:color w:val="000000"/>
                <w:sz w:val="19"/>
                <w:lang w:eastAsia="en-AU"/>
              </w:rPr>
              <w:t>FISCAL AGGREGATES</w:t>
            </w: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r>
      <w:tr w:rsidR="00965D85" w:rsidRPr="001E7FA9" w:rsidTr="008B46DF">
        <w:tc>
          <w:tcPr>
            <w:tcW w:w="2947" w:type="dxa"/>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Net financial worth</w:t>
            </w: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(1 849.0)</w:t>
            </w: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(3 852.2)</w:t>
            </w: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(3 623.6)</w:t>
            </w: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(4 671.1)</w:t>
            </w: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(4 206.2)</w:t>
            </w:r>
          </w:p>
        </w:tc>
      </w:tr>
      <w:tr w:rsidR="00965D85" w:rsidRPr="001E7FA9" w:rsidTr="008B46DF">
        <w:tc>
          <w:tcPr>
            <w:tcW w:w="2947" w:type="dxa"/>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Net financial liabilities</w:t>
            </w: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1 849.0</w:t>
            </w: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3 852.2</w:t>
            </w: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3 623.6</w:t>
            </w: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4 671.1</w:t>
            </w: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4 206.2</w:t>
            </w:r>
          </w:p>
        </w:tc>
      </w:tr>
      <w:tr w:rsidR="00965D85" w:rsidRPr="001E7FA9" w:rsidTr="008B46DF">
        <w:tc>
          <w:tcPr>
            <w:tcW w:w="2947" w:type="dxa"/>
            <w:tcBorders>
              <w:top w:val="nil"/>
              <w:left w:val="nil"/>
              <w:bottom w:val="single" w:sz="12" w:space="0" w:color="auto"/>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Net debt</w:t>
            </w:r>
          </w:p>
        </w:tc>
        <w:tc>
          <w:tcPr>
            <w:tcW w:w="964" w:type="dxa"/>
            <w:tcBorders>
              <w:top w:val="nil"/>
              <w:left w:val="nil"/>
              <w:bottom w:val="single" w:sz="12" w:space="0" w:color="auto"/>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(24 865.0)</w:t>
            </w:r>
          </w:p>
        </w:tc>
        <w:tc>
          <w:tcPr>
            <w:tcW w:w="964" w:type="dxa"/>
            <w:tcBorders>
              <w:top w:val="nil"/>
              <w:left w:val="nil"/>
              <w:bottom w:val="single" w:sz="12" w:space="0" w:color="auto"/>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(23 529.9)</w:t>
            </w:r>
          </w:p>
        </w:tc>
        <w:tc>
          <w:tcPr>
            <w:tcW w:w="964" w:type="dxa"/>
            <w:tcBorders>
              <w:top w:val="nil"/>
              <w:left w:val="nil"/>
              <w:bottom w:val="single" w:sz="12" w:space="0" w:color="auto"/>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(25 193.1)</w:t>
            </w:r>
          </w:p>
        </w:tc>
        <w:tc>
          <w:tcPr>
            <w:tcW w:w="964" w:type="dxa"/>
            <w:tcBorders>
              <w:top w:val="nil"/>
              <w:left w:val="nil"/>
              <w:bottom w:val="single" w:sz="12" w:space="0" w:color="auto"/>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(25 547.8)</w:t>
            </w:r>
          </w:p>
        </w:tc>
        <w:tc>
          <w:tcPr>
            <w:tcW w:w="964" w:type="dxa"/>
            <w:tcBorders>
              <w:top w:val="nil"/>
              <w:left w:val="nil"/>
              <w:bottom w:val="single" w:sz="12" w:space="0" w:color="auto"/>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(27 484.5)</w:t>
            </w:r>
          </w:p>
        </w:tc>
      </w:tr>
      <w:tr w:rsidR="00965D85" w:rsidRPr="001E7FA9" w:rsidTr="008B46DF">
        <w:tc>
          <w:tcPr>
            <w:tcW w:w="7767" w:type="dxa"/>
            <w:gridSpan w:val="6"/>
            <w:tcBorders>
              <w:top w:val="single" w:sz="12" w:space="0" w:color="auto"/>
              <w:left w:val="nil"/>
              <w:bottom w:val="nil"/>
              <w:right w:val="nil"/>
            </w:tcBorders>
            <w:shd w:val="clear" w:color="auto" w:fill="auto"/>
          </w:tcPr>
          <w:p w:rsidR="00965D85" w:rsidRPr="001E7FA9" w:rsidRDefault="00965D85" w:rsidP="008B46DF">
            <w:pPr>
              <w:pStyle w:val="Source"/>
              <w:rPr>
                <w:rFonts w:eastAsiaTheme="minorEastAsia"/>
                <w:lang w:eastAsia="en-AU"/>
              </w:rPr>
            </w:pPr>
            <w:r w:rsidRPr="001E7FA9">
              <w:rPr>
                <w:rFonts w:eastAsiaTheme="minorEastAsia"/>
                <w:lang w:eastAsia="en-AU"/>
              </w:rPr>
              <w:t>Source: Department of Treasury and Finance</w:t>
            </w:r>
          </w:p>
        </w:tc>
      </w:tr>
    </w:tbl>
    <w:p w:rsidR="00965D85" w:rsidRPr="0027082E" w:rsidRDefault="00965D85" w:rsidP="008B46DF">
      <w:pPr>
        <w:pStyle w:val="Notes"/>
        <w:rPr>
          <w:lang w:eastAsia="en-AU"/>
        </w:rPr>
      </w:pPr>
      <w:r w:rsidRPr="0027082E">
        <w:rPr>
          <w:lang w:eastAsia="en-AU"/>
        </w:rPr>
        <w:t>Note</w:t>
      </w:r>
      <w:r>
        <w:rPr>
          <w:lang w:eastAsia="en-AU"/>
        </w:rPr>
        <w:t>s</w:t>
      </w:r>
      <w:r w:rsidRPr="0027082E">
        <w:rPr>
          <w:lang w:eastAsia="en-AU"/>
        </w:rPr>
        <w:t>:</w:t>
      </w:r>
    </w:p>
    <w:p w:rsidR="00965D85" w:rsidRDefault="00965D85" w:rsidP="008B46DF">
      <w:pPr>
        <w:pStyle w:val="Notes"/>
        <w:numPr>
          <w:ilvl w:val="0"/>
          <w:numId w:val="42"/>
        </w:numPr>
        <w:rPr>
          <w:lang w:eastAsia="en-AU"/>
        </w:rPr>
      </w:pPr>
      <w:r>
        <w:rPr>
          <w:lang w:eastAsia="en-AU"/>
        </w:rPr>
        <w:t>Balances represent actual opening balances at 1 July 2015 plus 2015</w:t>
      </w:r>
      <w:r>
        <w:rPr>
          <w:lang w:eastAsia="en-AU"/>
        </w:rPr>
        <w:noBreakHyphen/>
        <w:t>16 budgeted movements.</w:t>
      </w:r>
    </w:p>
    <w:p w:rsidR="00965D85" w:rsidRDefault="00965D85" w:rsidP="008B46DF">
      <w:pPr>
        <w:pStyle w:val="Notes"/>
        <w:numPr>
          <w:ilvl w:val="0"/>
          <w:numId w:val="42"/>
        </w:numPr>
        <w:rPr>
          <w:lang w:eastAsia="en-AU"/>
        </w:rPr>
      </w:pPr>
      <w:r>
        <w:rPr>
          <w:lang w:eastAsia="en-AU"/>
        </w:rPr>
        <w:t>Loans receivable from the non</w:t>
      </w:r>
      <w:r>
        <w:rPr>
          <w:lang w:eastAsia="en-AU"/>
        </w:rPr>
        <w:noBreakHyphen/>
        <w:t>financial public sector are measured at amortised cost.</w:t>
      </w:r>
    </w:p>
    <w:p w:rsidR="00965D85" w:rsidRDefault="00965D85" w:rsidP="008B46DF">
      <w:pPr>
        <w:pStyle w:val="Notes"/>
        <w:numPr>
          <w:ilvl w:val="0"/>
          <w:numId w:val="42"/>
        </w:numPr>
        <w:rPr>
          <w:lang w:eastAsia="en-AU"/>
        </w:rPr>
      </w:pPr>
      <w:r>
        <w:rPr>
          <w:lang w:eastAsia="en-AU"/>
        </w:rPr>
        <w:t>Borrowings with the private sector are reported at market value.</w:t>
      </w:r>
    </w:p>
    <w:p w:rsidR="00965D85" w:rsidRPr="00144F12" w:rsidRDefault="00965D85" w:rsidP="008B46DF">
      <w:pPr>
        <w:pStyle w:val="Notes"/>
        <w:numPr>
          <w:ilvl w:val="0"/>
          <w:numId w:val="42"/>
        </w:numPr>
        <w:rPr>
          <w:lang w:eastAsia="en-AU"/>
        </w:rPr>
      </w:pPr>
      <w:r>
        <w:rPr>
          <w:lang w:eastAsia="en-AU"/>
        </w:rPr>
        <w:t>Treasury Corporation of Victoria’s external loan liabilities are reported at mark</w:t>
      </w:r>
      <w:r>
        <w:rPr>
          <w:lang w:eastAsia="en-AU"/>
        </w:rPr>
        <w:noBreakHyphen/>
        <w:t>to</w:t>
      </w:r>
      <w:r>
        <w:rPr>
          <w:lang w:eastAsia="en-AU"/>
        </w:rPr>
        <w:noBreakHyphen/>
        <w:t>market while the corresponding assets that is lending to the non</w:t>
      </w:r>
      <w:r>
        <w:rPr>
          <w:lang w:eastAsia="en-AU"/>
        </w:rPr>
        <w:noBreakHyphen/>
        <w:t>financial public sector, are reported at historical value. This mismatch results in the negative net asset position of the sector.</w:t>
      </w:r>
    </w:p>
    <w:p w:rsidR="00965D85" w:rsidRDefault="00965D85" w:rsidP="008B46DF">
      <w:pPr>
        <w:rPr>
          <w:rFonts w:ascii="Tms Rmn" w:hAnsi="Tms Rmn" w:cs="Tms Rmn"/>
          <w:color w:val="000000"/>
          <w:sz w:val="18"/>
          <w:szCs w:val="18"/>
          <w:lang w:eastAsia="en-AU"/>
        </w:rPr>
      </w:pPr>
    </w:p>
    <w:p w:rsidR="00965D85" w:rsidRDefault="00965D85" w:rsidP="008B46DF">
      <w:pPr>
        <w:rPr>
          <w:rFonts w:ascii="Tms Rmn" w:hAnsi="Tms Rmn" w:cs="Tms Rmn"/>
          <w:color w:val="000000"/>
          <w:sz w:val="18"/>
          <w:szCs w:val="18"/>
          <w:lang w:eastAsia="en-AU"/>
        </w:rPr>
      </w:pPr>
    </w:p>
    <w:p w:rsidR="00965D85" w:rsidRDefault="00965D85">
      <w:pPr>
        <w:spacing w:after="0"/>
        <w:rPr>
          <w:rFonts w:ascii="Calibri" w:hAnsi="Calibri"/>
          <w:b/>
          <w:lang w:eastAsia="en-AU"/>
        </w:rPr>
      </w:pPr>
      <w:r>
        <w:rPr>
          <w:lang w:eastAsia="en-AU"/>
        </w:rPr>
        <w:br w:type="page"/>
      </w:r>
    </w:p>
    <w:p w:rsidR="00965D85" w:rsidRDefault="00965D85" w:rsidP="008B46DF">
      <w:pPr>
        <w:pStyle w:val="Tableheading"/>
        <w:rPr>
          <w:rFonts w:ascii="Times New Roman" w:hAnsi="Times New Roman"/>
          <w:i/>
          <w:sz w:val="20"/>
          <w:lang w:eastAsia="en-AU"/>
        </w:rPr>
      </w:pPr>
      <w:r w:rsidRPr="002A5552">
        <w:rPr>
          <w:lang w:eastAsia="en-AU"/>
        </w:rPr>
        <w:lastRenderedPageBreak/>
        <w:t>Table 5.15:</w:t>
      </w:r>
      <w:r w:rsidRPr="002A5552">
        <w:rPr>
          <w:lang w:eastAsia="en-AU"/>
        </w:rPr>
        <w:tab/>
        <w:t>Public financial corporations sector cash flow statement for the financial year ended 30 June</w:t>
      </w:r>
      <w:r w:rsidRPr="002A5552">
        <w:rPr>
          <w:vertAlign w:val="superscript"/>
          <w:lang w:eastAsia="en-AU"/>
        </w:rPr>
        <w:t>(a)</w:t>
      </w:r>
    </w:p>
    <w:tbl>
      <w:tblPr>
        <w:tblW w:w="7767" w:type="dxa"/>
        <w:tblInd w:w="28" w:type="dxa"/>
        <w:tblLayout w:type="fixed"/>
        <w:tblCellMar>
          <w:left w:w="28" w:type="dxa"/>
          <w:right w:w="28" w:type="dxa"/>
        </w:tblCellMar>
        <w:tblLook w:val="0000" w:firstRow="0" w:lastRow="0" w:firstColumn="0" w:lastColumn="0" w:noHBand="0" w:noVBand="0"/>
      </w:tblPr>
      <w:tblGrid>
        <w:gridCol w:w="2947"/>
        <w:gridCol w:w="728"/>
        <w:gridCol w:w="236"/>
        <w:gridCol w:w="964"/>
        <w:gridCol w:w="964"/>
        <w:gridCol w:w="964"/>
        <w:gridCol w:w="964"/>
      </w:tblGrid>
      <w:tr w:rsidR="00965D85" w:rsidRPr="001E7FA9" w:rsidTr="008B46DF">
        <w:trPr>
          <w:tblHeader/>
        </w:trPr>
        <w:tc>
          <w:tcPr>
            <w:tcW w:w="7767" w:type="dxa"/>
            <w:gridSpan w:val="7"/>
            <w:tcBorders>
              <w:top w:val="nil"/>
              <w:left w:val="nil"/>
              <w:bottom w:val="nil"/>
              <w:right w:val="nil"/>
            </w:tcBorders>
          </w:tcPr>
          <w:p w:rsidR="00965D85" w:rsidRPr="001E7FA9" w:rsidRDefault="00965D85" w:rsidP="008B46DF">
            <w:pPr>
              <w:pStyle w:val="million"/>
              <w:rPr>
                <w:rFonts w:eastAsiaTheme="minorEastAsia" w:cs="Calibri"/>
                <w:iCs/>
                <w:color w:val="000000"/>
                <w:sz w:val="20"/>
                <w:lang w:eastAsia="en-AU"/>
              </w:rPr>
            </w:pPr>
            <w:r w:rsidRPr="001E7FA9">
              <w:rPr>
                <w:rFonts w:eastAsiaTheme="minorEastAsia"/>
                <w:lang w:eastAsia="en-AU"/>
              </w:rPr>
              <w:t>($ million</w:t>
            </w:r>
            <w:r w:rsidRPr="001E7FA9">
              <w:rPr>
                <w:rFonts w:eastAsiaTheme="minorEastAsia" w:cs="Calibri"/>
                <w:iCs/>
                <w:color w:val="000000"/>
                <w:sz w:val="20"/>
                <w:lang w:eastAsia="en-AU"/>
              </w:rPr>
              <w:t>)</w:t>
            </w:r>
          </w:p>
        </w:tc>
      </w:tr>
      <w:tr w:rsidR="00965D85" w:rsidRPr="001E7FA9" w:rsidTr="008B46DF">
        <w:trPr>
          <w:trHeight w:val="464"/>
          <w:tblHeader/>
        </w:trPr>
        <w:tc>
          <w:tcPr>
            <w:tcW w:w="2947" w:type="dxa"/>
            <w:tcBorders>
              <w:top w:val="nil"/>
              <w:left w:val="nil"/>
              <w:right w:val="nil"/>
            </w:tcBorders>
            <w:shd w:val="solid" w:color="000000" w:fill="auto"/>
          </w:tcPr>
          <w:p w:rsidR="00965D85" w:rsidRPr="001E7FA9" w:rsidRDefault="00965D85" w:rsidP="008B46DF">
            <w:pPr>
              <w:autoSpaceDE w:val="0"/>
              <w:autoSpaceDN w:val="0"/>
              <w:adjustRightInd w:val="0"/>
              <w:spacing w:after="0"/>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 xml:space="preserve"> </w:t>
            </w:r>
          </w:p>
          <w:p w:rsidR="00965D85" w:rsidRPr="001E7FA9" w:rsidRDefault="00965D85" w:rsidP="008B46DF">
            <w:pPr>
              <w:autoSpaceDE w:val="0"/>
              <w:autoSpaceDN w:val="0"/>
              <w:adjustRightInd w:val="0"/>
              <w:spacing w:after="0"/>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 xml:space="preserve"> </w:t>
            </w:r>
          </w:p>
        </w:tc>
        <w:tc>
          <w:tcPr>
            <w:tcW w:w="964" w:type="dxa"/>
            <w:gridSpan w:val="2"/>
            <w:tcBorders>
              <w:top w:val="nil"/>
              <w:left w:val="nil"/>
              <w:right w:val="nil"/>
            </w:tcBorders>
            <w:shd w:val="solid" w:color="000000" w:fill="auto"/>
          </w:tcPr>
          <w:p w:rsidR="00965D85" w:rsidRPr="001E7FA9" w:rsidRDefault="00965D85" w:rsidP="008B46DF">
            <w:pPr>
              <w:autoSpaceDE w:val="0"/>
              <w:autoSpaceDN w:val="0"/>
              <w:adjustRightInd w:val="0"/>
              <w:spacing w:after="0"/>
              <w:jc w:val="right"/>
              <w:rPr>
                <w:rFonts w:ascii="Calibri" w:eastAsiaTheme="minorEastAsia" w:hAnsi="Calibri" w:cs="Calibri"/>
                <w:i/>
                <w:iCs/>
                <w:color w:val="FFFFFF"/>
                <w:sz w:val="19"/>
                <w:lang w:eastAsia="en-AU"/>
              </w:rPr>
            </w:pPr>
            <w:r w:rsidRPr="001E7FA9">
              <w:rPr>
                <w:rFonts w:ascii="Calibri" w:eastAsiaTheme="minorEastAsia" w:hAnsi="Calibri" w:cs="Calibri"/>
                <w:i/>
                <w:iCs/>
                <w:color w:val="FFFFFF"/>
                <w:sz w:val="19"/>
                <w:lang w:eastAsia="en-AU"/>
              </w:rPr>
              <w:t>2015</w:t>
            </w:r>
            <w:r>
              <w:rPr>
                <w:rFonts w:ascii="Calibri" w:eastAsiaTheme="minorEastAsia" w:hAnsi="Calibri" w:cs="Calibri"/>
                <w:i/>
                <w:iCs/>
                <w:color w:val="FFFFFF"/>
                <w:sz w:val="19"/>
                <w:lang w:eastAsia="en-AU"/>
              </w:rPr>
              <w:noBreakHyphen/>
            </w:r>
            <w:r w:rsidRPr="001E7FA9">
              <w:rPr>
                <w:rFonts w:ascii="Calibri" w:eastAsiaTheme="minorEastAsia" w:hAnsi="Calibri" w:cs="Calibri"/>
                <w:i/>
                <w:iCs/>
                <w:color w:val="FFFFFF"/>
                <w:sz w:val="19"/>
                <w:lang w:eastAsia="en-AU"/>
              </w:rPr>
              <w:t>16</w:t>
            </w:r>
          </w:p>
          <w:p w:rsidR="00965D85" w:rsidRPr="001E7FA9" w:rsidRDefault="00965D85" w:rsidP="008B46DF">
            <w:pPr>
              <w:autoSpaceDE w:val="0"/>
              <w:autoSpaceDN w:val="0"/>
              <w:adjustRightInd w:val="0"/>
              <w:spacing w:after="0"/>
              <w:jc w:val="right"/>
              <w:rPr>
                <w:rFonts w:ascii="Calibri" w:eastAsiaTheme="minorEastAsia" w:hAnsi="Calibri" w:cs="Calibri"/>
                <w:i/>
                <w:iCs/>
                <w:color w:val="FFFFFF"/>
                <w:sz w:val="19"/>
                <w:lang w:eastAsia="en-AU"/>
              </w:rPr>
            </w:pPr>
            <w:r w:rsidRPr="001E7FA9">
              <w:rPr>
                <w:rFonts w:ascii="Calibri" w:eastAsiaTheme="minorEastAsia" w:hAnsi="Calibri" w:cs="Calibri"/>
                <w:i/>
                <w:iCs/>
                <w:color w:val="FFFFFF"/>
                <w:sz w:val="19"/>
                <w:lang w:eastAsia="en-AU"/>
              </w:rPr>
              <w:t>budget</w:t>
            </w:r>
          </w:p>
        </w:tc>
        <w:tc>
          <w:tcPr>
            <w:tcW w:w="964" w:type="dxa"/>
            <w:tcBorders>
              <w:top w:val="nil"/>
              <w:left w:val="nil"/>
              <w:right w:val="nil"/>
            </w:tcBorders>
            <w:shd w:val="solid" w:color="000000" w:fill="auto"/>
          </w:tcPr>
          <w:p w:rsidR="00965D85" w:rsidRPr="001E7FA9" w:rsidRDefault="00965D85" w:rsidP="008B46DF">
            <w:pPr>
              <w:autoSpaceDE w:val="0"/>
              <w:autoSpaceDN w:val="0"/>
              <w:adjustRightInd w:val="0"/>
              <w:spacing w:after="0"/>
              <w:jc w:val="right"/>
              <w:rPr>
                <w:rFonts w:ascii="Calibri" w:eastAsiaTheme="minorEastAsia" w:hAnsi="Calibri" w:cs="Calibri"/>
                <w:i/>
                <w:iCs/>
                <w:color w:val="FFFFFF"/>
                <w:sz w:val="19"/>
                <w:lang w:eastAsia="en-AU"/>
              </w:rPr>
            </w:pPr>
            <w:r w:rsidRPr="001E7FA9">
              <w:rPr>
                <w:rFonts w:ascii="Calibri" w:eastAsiaTheme="minorEastAsia" w:hAnsi="Calibri" w:cs="Calibri"/>
                <w:i/>
                <w:iCs/>
                <w:color w:val="FFFFFF"/>
                <w:sz w:val="19"/>
                <w:lang w:eastAsia="en-AU"/>
              </w:rPr>
              <w:t>2015</w:t>
            </w:r>
            <w:r>
              <w:rPr>
                <w:rFonts w:ascii="Calibri" w:eastAsiaTheme="minorEastAsia" w:hAnsi="Calibri" w:cs="Calibri"/>
                <w:i/>
                <w:iCs/>
                <w:color w:val="FFFFFF"/>
                <w:sz w:val="19"/>
                <w:lang w:eastAsia="en-AU"/>
              </w:rPr>
              <w:noBreakHyphen/>
            </w:r>
            <w:r w:rsidRPr="001E7FA9">
              <w:rPr>
                <w:rFonts w:ascii="Calibri" w:eastAsiaTheme="minorEastAsia" w:hAnsi="Calibri" w:cs="Calibri"/>
                <w:i/>
                <w:iCs/>
                <w:color w:val="FFFFFF"/>
                <w:sz w:val="19"/>
                <w:lang w:eastAsia="en-AU"/>
              </w:rPr>
              <w:t>16</w:t>
            </w:r>
          </w:p>
          <w:p w:rsidR="00965D85" w:rsidRPr="001E7FA9" w:rsidRDefault="00965D85" w:rsidP="008B46DF">
            <w:pPr>
              <w:autoSpaceDE w:val="0"/>
              <w:autoSpaceDN w:val="0"/>
              <w:adjustRightInd w:val="0"/>
              <w:spacing w:after="0"/>
              <w:jc w:val="right"/>
              <w:rPr>
                <w:rFonts w:ascii="Calibri" w:eastAsiaTheme="minorEastAsia" w:hAnsi="Calibri" w:cs="Calibri"/>
                <w:i/>
                <w:iCs/>
                <w:color w:val="FFFFFF"/>
                <w:sz w:val="19"/>
                <w:lang w:eastAsia="en-AU"/>
              </w:rPr>
            </w:pPr>
            <w:r w:rsidRPr="001E7FA9">
              <w:rPr>
                <w:rFonts w:ascii="Calibri" w:eastAsiaTheme="minorEastAsia" w:hAnsi="Calibri" w:cs="Calibri"/>
                <w:i/>
                <w:iCs/>
                <w:color w:val="FFFFFF"/>
                <w:sz w:val="19"/>
                <w:lang w:eastAsia="en-AU"/>
              </w:rPr>
              <w:t>revised</w:t>
            </w:r>
          </w:p>
        </w:tc>
        <w:tc>
          <w:tcPr>
            <w:tcW w:w="964" w:type="dxa"/>
            <w:tcBorders>
              <w:top w:val="nil"/>
              <w:left w:val="nil"/>
              <w:right w:val="nil"/>
            </w:tcBorders>
            <w:shd w:val="solid" w:color="000000" w:fill="auto"/>
          </w:tcPr>
          <w:p w:rsidR="00965D85" w:rsidRPr="001E7FA9" w:rsidRDefault="00965D85" w:rsidP="008B46DF">
            <w:pPr>
              <w:autoSpaceDE w:val="0"/>
              <w:autoSpaceDN w:val="0"/>
              <w:adjustRightInd w:val="0"/>
              <w:spacing w:after="0"/>
              <w:jc w:val="right"/>
              <w:rPr>
                <w:rFonts w:ascii="Calibri" w:eastAsiaTheme="minorEastAsia" w:hAnsi="Calibri" w:cs="Calibri"/>
                <w:i/>
                <w:iCs/>
                <w:color w:val="FFFFFF"/>
                <w:sz w:val="19"/>
                <w:lang w:eastAsia="en-AU"/>
              </w:rPr>
            </w:pPr>
            <w:r w:rsidRPr="001E7FA9">
              <w:rPr>
                <w:rFonts w:ascii="Calibri" w:eastAsiaTheme="minorEastAsia" w:hAnsi="Calibri" w:cs="Calibri"/>
                <w:i/>
                <w:iCs/>
                <w:color w:val="FFFFFF"/>
                <w:sz w:val="19"/>
                <w:lang w:eastAsia="en-AU"/>
              </w:rPr>
              <w:t>2016</w:t>
            </w:r>
            <w:r>
              <w:rPr>
                <w:rFonts w:ascii="Calibri" w:eastAsiaTheme="minorEastAsia" w:hAnsi="Calibri" w:cs="Calibri"/>
                <w:i/>
                <w:iCs/>
                <w:color w:val="FFFFFF"/>
                <w:sz w:val="19"/>
                <w:lang w:eastAsia="en-AU"/>
              </w:rPr>
              <w:noBreakHyphen/>
            </w:r>
            <w:r w:rsidRPr="001E7FA9">
              <w:rPr>
                <w:rFonts w:ascii="Calibri" w:eastAsiaTheme="minorEastAsia" w:hAnsi="Calibri" w:cs="Calibri"/>
                <w:i/>
                <w:iCs/>
                <w:color w:val="FFFFFF"/>
                <w:sz w:val="19"/>
                <w:lang w:eastAsia="en-AU"/>
              </w:rPr>
              <w:t>17</w:t>
            </w:r>
          </w:p>
          <w:p w:rsidR="00965D85" w:rsidRPr="001E7FA9" w:rsidRDefault="00965D85" w:rsidP="008B46DF">
            <w:pPr>
              <w:autoSpaceDE w:val="0"/>
              <w:autoSpaceDN w:val="0"/>
              <w:adjustRightInd w:val="0"/>
              <w:spacing w:after="0"/>
              <w:jc w:val="right"/>
              <w:rPr>
                <w:rFonts w:ascii="Calibri" w:eastAsiaTheme="minorEastAsia" w:hAnsi="Calibri" w:cs="Calibri"/>
                <w:i/>
                <w:iCs/>
                <w:color w:val="FFFFFF"/>
                <w:sz w:val="19"/>
                <w:lang w:eastAsia="en-AU"/>
              </w:rPr>
            </w:pPr>
            <w:r w:rsidRPr="001E7FA9">
              <w:rPr>
                <w:rFonts w:ascii="Calibri" w:eastAsiaTheme="minorEastAsia" w:hAnsi="Calibri" w:cs="Calibri"/>
                <w:i/>
                <w:iCs/>
                <w:color w:val="FFFFFF"/>
                <w:sz w:val="19"/>
                <w:lang w:eastAsia="en-AU"/>
              </w:rPr>
              <w:t>estimate</w:t>
            </w:r>
          </w:p>
        </w:tc>
        <w:tc>
          <w:tcPr>
            <w:tcW w:w="964" w:type="dxa"/>
            <w:tcBorders>
              <w:top w:val="nil"/>
              <w:left w:val="nil"/>
              <w:right w:val="nil"/>
            </w:tcBorders>
            <w:shd w:val="solid" w:color="000000" w:fill="auto"/>
          </w:tcPr>
          <w:p w:rsidR="00965D85" w:rsidRPr="001E7FA9" w:rsidRDefault="00965D85" w:rsidP="008B46DF">
            <w:pPr>
              <w:autoSpaceDE w:val="0"/>
              <w:autoSpaceDN w:val="0"/>
              <w:adjustRightInd w:val="0"/>
              <w:spacing w:after="0"/>
              <w:jc w:val="right"/>
              <w:rPr>
                <w:rFonts w:ascii="Calibri" w:eastAsiaTheme="minorEastAsia" w:hAnsi="Calibri" w:cs="Calibri"/>
                <w:i/>
                <w:iCs/>
                <w:color w:val="FFFFFF"/>
                <w:sz w:val="19"/>
                <w:lang w:eastAsia="en-AU"/>
              </w:rPr>
            </w:pPr>
            <w:r w:rsidRPr="001E7FA9">
              <w:rPr>
                <w:rFonts w:ascii="Calibri" w:eastAsiaTheme="minorEastAsia" w:hAnsi="Calibri" w:cs="Calibri"/>
                <w:i/>
                <w:iCs/>
                <w:color w:val="FFFFFF"/>
                <w:sz w:val="19"/>
                <w:lang w:eastAsia="en-AU"/>
              </w:rPr>
              <w:t>2017</w:t>
            </w:r>
            <w:r>
              <w:rPr>
                <w:rFonts w:ascii="Calibri" w:eastAsiaTheme="minorEastAsia" w:hAnsi="Calibri" w:cs="Calibri"/>
                <w:i/>
                <w:iCs/>
                <w:color w:val="FFFFFF"/>
                <w:sz w:val="19"/>
                <w:lang w:eastAsia="en-AU"/>
              </w:rPr>
              <w:noBreakHyphen/>
            </w:r>
            <w:r w:rsidRPr="001E7FA9">
              <w:rPr>
                <w:rFonts w:ascii="Calibri" w:eastAsiaTheme="minorEastAsia" w:hAnsi="Calibri" w:cs="Calibri"/>
                <w:i/>
                <w:iCs/>
                <w:color w:val="FFFFFF"/>
                <w:sz w:val="19"/>
                <w:lang w:eastAsia="en-AU"/>
              </w:rPr>
              <w:t>18</w:t>
            </w:r>
          </w:p>
          <w:p w:rsidR="00965D85" w:rsidRPr="001E7FA9" w:rsidRDefault="00965D85" w:rsidP="008B46DF">
            <w:pPr>
              <w:autoSpaceDE w:val="0"/>
              <w:autoSpaceDN w:val="0"/>
              <w:adjustRightInd w:val="0"/>
              <w:spacing w:after="0"/>
              <w:jc w:val="right"/>
              <w:rPr>
                <w:rFonts w:ascii="Calibri" w:eastAsiaTheme="minorEastAsia" w:hAnsi="Calibri" w:cs="Calibri"/>
                <w:i/>
                <w:iCs/>
                <w:color w:val="FFFFFF"/>
                <w:sz w:val="19"/>
                <w:lang w:eastAsia="en-AU"/>
              </w:rPr>
            </w:pPr>
            <w:r w:rsidRPr="001E7FA9">
              <w:rPr>
                <w:rFonts w:ascii="Calibri" w:eastAsiaTheme="minorEastAsia" w:hAnsi="Calibri" w:cs="Calibri"/>
                <w:i/>
                <w:iCs/>
                <w:color w:val="FFFFFF"/>
                <w:sz w:val="19"/>
                <w:lang w:eastAsia="en-AU"/>
              </w:rPr>
              <w:t>estimate</w:t>
            </w:r>
          </w:p>
        </w:tc>
        <w:tc>
          <w:tcPr>
            <w:tcW w:w="964" w:type="dxa"/>
            <w:tcBorders>
              <w:top w:val="nil"/>
              <w:left w:val="nil"/>
              <w:right w:val="nil"/>
            </w:tcBorders>
            <w:shd w:val="solid" w:color="000000" w:fill="auto"/>
          </w:tcPr>
          <w:p w:rsidR="00965D85" w:rsidRPr="001E7FA9" w:rsidRDefault="00965D85" w:rsidP="008B46DF">
            <w:pPr>
              <w:autoSpaceDE w:val="0"/>
              <w:autoSpaceDN w:val="0"/>
              <w:adjustRightInd w:val="0"/>
              <w:spacing w:after="0"/>
              <w:jc w:val="right"/>
              <w:rPr>
                <w:rFonts w:ascii="Calibri" w:eastAsiaTheme="minorEastAsia" w:hAnsi="Calibri" w:cs="Calibri"/>
                <w:i/>
                <w:iCs/>
                <w:color w:val="FFFFFF"/>
                <w:sz w:val="19"/>
                <w:lang w:eastAsia="en-AU"/>
              </w:rPr>
            </w:pPr>
            <w:r w:rsidRPr="001E7FA9">
              <w:rPr>
                <w:rFonts w:ascii="Calibri" w:eastAsiaTheme="minorEastAsia" w:hAnsi="Calibri" w:cs="Calibri"/>
                <w:i/>
                <w:iCs/>
                <w:color w:val="FFFFFF"/>
                <w:sz w:val="19"/>
                <w:lang w:eastAsia="en-AU"/>
              </w:rPr>
              <w:t>2018</w:t>
            </w:r>
            <w:r>
              <w:rPr>
                <w:rFonts w:ascii="Calibri" w:eastAsiaTheme="minorEastAsia" w:hAnsi="Calibri" w:cs="Calibri"/>
                <w:i/>
                <w:iCs/>
                <w:color w:val="FFFFFF"/>
                <w:sz w:val="19"/>
                <w:lang w:eastAsia="en-AU"/>
              </w:rPr>
              <w:noBreakHyphen/>
            </w:r>
            <w:r w:rsidRPr="001E7FA9">
              <w:rPr>
                <w:rFonts w:ascii="Calibri" w:eastAsiaTheme="minorEastAsia" w:hAnsi="Calibri" w:cs="Calibri"/>
                <w:i/>
                <w:iCs/>
                <w:color w:val="FFFFFF"/>
                <w:sz w:val="19"/>
                <w:lang w:eastAsia="en-AU"/>
              </w:rPr>
              <w:t>19</w:t>
            </w:r>
          </w:p>
          <w:p w:rsidR="00965D85" w:rsidRPr="001E7FA9" w:rsidRDefault="00965D85" w:rsidP="008B46DF">
            <w:pPr>
              <w:autoSpaceDE w:val="0"/>
              <w:autoSpaceDN w:val="0"/>
              <w:adjustRightInd w:val="0"/>
              <w:spacing w:after="0"/>
              <w:jc w:val="right"/>
              <w:rPr>
                <w:rFonts w:ascii="Calibri" w:eastAsiaTheme="minorEastAsia" w:hAnsi="Calibri" w:cs="Calibri"/>
                <w:i/>
                <w:iCs/>
                <w:color w:val="FFFFFF"/>
                <w:sz w:val="19"/>
                <w:lang w:eastAsia="en-AU"/>
              </w:rPr>
            </w:pPr>
            <w:r w:rsidRPr="001E7FA9">
              <w:rPr>
                <w:rFonts w:ascii="Calibri" w:eastAsiaTheme="minorEastAsia" w:hAnsi="Calibri" w:cs="Calibri"/>
                <w:i/>
                <w:iCs/>
                <w:color w:val="FFFFFF"/>
                <w:sz w:val="19"/>
                <w:lang w:eastAsia="en-AU"/>
              </w:rPr>
              <w:t>estimate</w:t>
            </w:r>
          </w:p>
        </w:tc>
      </w:tr>
      <w:tr w:rsidR="00965D85" w:rsidRPr="001E7FA9" w:rsidTr="008B46DF">
        <w:tc>
          <w:tcPr>
            <w:tcW w:w="3675" w:type="dxa"/>
            <w:gridSpan w:val="2"/>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b/>
                <w:bCs/>
                <w:color w:val="000000"/>
                <w:sz w:val="19"/>
                <w:lang w:eastAsia="en-AU"/>
              </w:rPr>
            </w:pPr>
            <w:r w:rsidRPr="001E7FA9">
              <w:rPr>
                <w:rFonts w:ascii="Calibri" w:eastAsiaTheme="minorEastAsia" w:hAnsi="Calibri" w:cs="Calibri"/>
                <w:b/>
                <w:bCs/>
                <w:color w:val="000000"/>
                <w:sz w:val="19"/>
                <w:lang w:eastAsia="en-AU"/>
              </w:rPr>
              <w:t>Cash flows from operating activities</w:t>
            </w:r>
          </w:p>
        </w:tc>
        <w:tc>
          <w:tcPr>
            <w:tcW w:w="236"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r>
      <w:tr w:rsidR="00965D85" w:rsidRPr="001E7FA9" w:rsidTr="008B46DF">
        <w:tc>
          <w:tcPr>
            <w:tcW w:w="2947" w:type="dxa"/>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b/>
                <w:bCs/>
                <w:color w:val="000000"/>
                <w:sz w:val="19"/>
                <w:lang w:eastAsia="en-AU"/>
              </w:rPr>
            </w:pPr>
            <w:r w:rsidRPr="001E7FA9">
              <w:rPr>
                <w:rFonts w:ascii="Calibri" w:eastAsiaTheme="minorEastAsia" w:hAnsi="Calibri" w:cs="Calibri"/>
                <w:b/>
                <w:bCs/>
                <w:color w:val="000000"/>
                <w:sz w:val="19"/>
                <w:lang w:eastAsia="en-AU"/>
              </w:rPr>
              <w:t>Receipts</w:t>
            </w:r>
          </w:p>
        </w:tc>
        <w:tc>
          <w:tcPr>
            <w:tcW w:w="964" w:type="dxa"/>
            <w:gridSpan w:val="2"/>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r>
      <w:tr w:rsidR="00965D85" w:rsidRPr="001E7FA9" w:rsidTr="008B46DF">
        <w:tc>
          <w:tcPr>
            <w:tcW w:w="2947" w:type="dxa"/>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color w:val="000000"/>
                <w:sz w:val="20"/>
                <w:vertAlign w:val="superscript"/>
                <w:lang w:eastAsia="en-AU"/>
              </w:rPr>
            </w:pPr>
            <w:r w:rsidRPr="001E7FA9">
              <w:rPr>
                <w:rFonts w:ascii="Calibri" w:eastAsiaTheme="minorEastAsia" w:hAnsi="Calibri" w:cs="Calibri"/>
                <w:color w:val="000000"/>
                <w:sz w:val="19"/>
                <w:lang w:eastAsia="en-AU"/>
              </w:rPr>
              <w:t>Sales of goods and services</w:t>
            </w:r>
            <w:r w:rsidRPr="001E7FA9">
              <w:rPr>
                <w:rFonts w:ascii="Calibri" w:eastAsiaTheme="minorEastAsia" w:hAnsi="Calibri" w:cs="Calibri"/>
                <w:color w:val="000000"/>
                <w:sz w:val="19"/>
                <w:vertAlign w:val="superscript"/>
                <w:lang w:eastAsia="en-AU"/>
              </w:rPr>
              <w:t xml:space="preserve"> (b)</w:t>
            </w:r>
          </w:p>
        </w:tc>
        <w:tc>
          <w:tcPr>
            <w:tcW w:w="964" w:type="dxa"/>
            <w:gridSpan w:val="2"/>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4 595.5</w:t>
            </w: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4 521.0</w:t>
            </w: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4 768.8</w:t>
            </w: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5 004.9</w:t>
            </w: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5 255.2</w:t>
            </w:r>
          </w:p>
        </w:tc>
      </w:tr>
      <w:tr w:rsidR="00965D85" w:rsidRPr="001E7FA9" w:rsidTr="008B46DF">
        <w:tc>
          <w:tcPr>
            <w:tcW w:w="2947" w:type="dxa"/>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Interest received</w:t>
            </w:r>
          </w:p>
        </w:tc>
        <w:tc>
          <w:tcPr>
            <w:tcW w:w="964" w:type="dxa"/>
            <w:gridSpan w:val="2"/>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2 300.9</w:t>
            </w: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2 110.7</w:t>
            </w: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2 166.1</w:t>
            </w: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2 207.2</w:t>
            </w: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2 212.1</w:t>
            </w:r>
          </w:p>
        </w:tc>
      </w:tr>
      <w:tr w:rsidR="00965D85" w:rsidRPr="001E7FA9" w:rsidTr="008B46DF">
        <w:tc>
          <w:tcPr>
            <w:tcW w:w="2947" w:type="dxa"/>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Dividends and income tax equivalent and rate equivalent receipts</w:t>
            </w:r>
          </w:p>
        </w:tc>
        <w:tc>
          <w:tcPr>
            <w:tcW w:w="964" w:type="dxa"/>
            <w:gridSpan w:val="2"/>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991.6</w:t>
            </w: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481.8</w:t>
            </w: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1 173.9</w:t>
            </w: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1 122.0</w:t>
            </w: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1 081.8</w:t>
            </w:r>
          </w:p>
        </w:tc>
      </w:tr>
      <w:tr w:rsidR="00965D85" w:rsidRPr="001E7FA9" w:rsidTr="008B46DF">
        <w:tc>
          <w:tcPr>
            <w:tcW w:w="2947" w:type="dxa"/>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Other receipts</w:t>
            </w:r>
          </w:p>
        </w:tc>
        <w:tc>
          <w:tcPr>
            <w:tcW w:w="964" w:type="dxa"/>
            <w:gridSpan w:val="2"/>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33.0</w:t>
            </w:r>
          </w:p>
        </w:tc>
        <w:tc>
          <w:tcPr>
            <w:tcW w:w="964" w:type="dxa"/>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306.3</w:t>
            </w:r>
          </w:p>
        </w:tc>
        <w:tc>
          <w:tcPr>
            <w:tcW w:w="964" w:type="dxa"/>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42.9</w:t>
            </w:r>
          </w:p>
        </w:tc>
        <w:tc>
          <w:tcPr>
            <w:tcW w:w="964" w:type="dxa"/>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21.7</w:t>
            </w:r>
          </w:p>
        </w:tc>
        <w:tc>
          <w:tcPr>
            <w:tcW w:w="964" w:type="dxa"/>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10.8</w:t>
            </w:r>
          </w:p>
        </w:tc>
      </w:tr>
      <w:tr w:rsidR="00965D85" w:rsidRPr="001E7FA9" w:rsidTr="008B46DF">
        <w:tc>
          <w:tcPr>
            <w:tcW w:w="2947" w:type="dxa"/>
            <w:tcBorders>
              <w:top w:val="single" w:sz="6" w:space="0" w:color="000000"/>
              <w:left w:val="nil"/>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b/>
                <w:bCs/>
                <w:color w:val="000000"/>
                <w:sz w:val="19"/>
                <w:lang w:eastAsia="en-AU"/>
              </w:rPr>
            </w:pPr>
            <w:r w:rsidRPr="001E7FA9">
              <w:rPr>
                <w:rFonts w:ascii="Calibri" w:eastAsiaTheme="minorEastAsia" w:hAnsi="Calibri" w:cs="Calibri"/>
                <w:b/>
                <w:bCs/>
                <w:color w:val="000000"/>
                <w:sz w:val="19"/>
                <w:lang w:eastAsia="en-AU"/>
              </w:rPr>
              <w:t>Total receipts</w:t>
            </w:r>
          </w:p>
        </w:tc>
        <w:tc>
          <w:tcPr>
            <w:tcW w:w="964" w:type="dxa"/>
            <w:gridSpan w:val="2"/>
            <w:tcBorders>
              <w:top w:val="single" w:sz="6" w:space="0" w:color="000000"/>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19"/>
                <w:lang w:eastAsia="en-AU"/>
              </w:rPr>
            </w:pPr>
            <w:r w:rsidRPr="001E7FA9">
              <w:rPr>
                <w:rFonts w:ascii="Calibri" w:eastAsiaTheme="minorEastAsia" w:hAnsi="Calibri" w:cs="Calibri"/>
                <w:b/>
                <w:bCs/>
                <w:color w:val="000000"/>
                <w:sz w:val="19"/>
                <w:lang w:eastAsia="en-AU"/>
              </w:rPr>
              <w:t>7 921.0</w:t>
            </w:r>
          </w:p>
        </w:tc>
        <w:tc>
          <w:tcPr>
            <w:tcW w:w="964" w:type="dxa"/>
            <w:tcBorders>
              <w:top w:val="single" w:sz="6" w:space="0" w:color="000000"/>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19"/>
                <w:lang w:eastAsia="en-AU"/>
              </w:rPr>
            </w:pPr>
            <w:r w:rsidRPr="001E7FA9">
              <w:rPr>
                <w:rFonts w:ascii="Calibri" w:eastAsiaTheme="minorEastAsia" w:hAnsi="Calibri" w:cs="Calibri"/>
                <w:b/>
                <w:bCs/>
                <w:color w:val="000000"/>
                <w:sz w:val="19"/>
                <w:lang w:eastAsia="en-AU"/>
              </w:rPr>
              <w:t>7 419.7</w:t>
            </w:r>
          </w:p>
        </w:tc>
        <w:tc>
          <w:tcPr>
            <w:tcW w:w="964" w:type="dxa"/>
            <w:tcBorders>
              <w:top w:val="single" w:sz="6" w:space="0" w:color="000000"/>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19"/>
                <w:lang w:eastAsia="en-AU"/>
              </w:rPr>
            </w:pPr>
            <w:r w:rsidRPr="001E7FA9">
              <w:rPr>
                <w:rFonts w:ascii="Calibri" w:eastAsiaTheme="minorEastAsia" w:hAnsi="Calibri" w:cs="Calibri"/>
                <w:b/>
                <w:bCs/>
                <w:color w:val="000000"/>
                <w:sz w:val="19"/>
                <w:lang w:eastAsia="en-AU"/>
              </w:rPr>
              <w:t>8 151.6</w:t>
            </w:r>
          </w:p>
        </w:tc>
        <w:tc>
          <w:tcPr>
            <w:tcW w:w="964" w:type="dxa"/>
            <w:tcBorders>
              <w:top w:val="single" w:sz="6" w:space="0" w:color="000000"/>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19"/>
                <w:lang w:eastAsia="en-AU"/>
              </w:rPr>
            </w:pPr>
            <w:r w:rsidRPr="001E7FA9">
              <w:rPr>
                <w:rFonts w:ascii="Calibri" w:eastAsiaTheme="minorEastAsia" w:hAnsi="Calibri" w:cs="Calibri"/>
                <w:b/>
                <w:bCs/>
                <w:color w:val="000000"/>
                <w:sz w:val="19"/>
                <w:lang w:eastAsia="en-AU"/>
              </w:rPr>
              <w:t>8 355.8</w:t>
            </w:r>
          </w:p>
        </w:tc>
        <w:tc>
          <w:tcPr>
            <w:tcW w:w="964" w:type="dxa"/>
            <w:tcBorders>
              <w:top w:val="single" w:sz="6" w:space="0" w:color="000000"/>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19"/>
                <w:lang w:eastAsia="en-AU"/>
              </w:rPr>
            </w:pPr>
            <w:r w:rsidRPr="001E7FA9">
              <w:rPr>
                <w:rFonts w:ascii="Calibri" w:eastAsiaTheme="minorEastAsia" w:hAnsi="Calibri" w:cs="Calibri"/>
                <w:b/>
                <w:bCs/>
                <w:color w:val="000000"/>
                <w:sz w:val="19"/>
                <w:lang w:eastAsia="en-AU"/>
              </w:rPr>
              <w:t>8 559.9</w:t>
            </w:r>
          </w:p>
        </w:tc>
      </w:tr>
      <w:tr w:rsidR="00965D85" w:rsidRPr="001E7FA9" w:rsidTr="008B46DF">
        <w:tc>
          <w:tcPr>
            <w:tcW w:w="2947" w:type="dxa"/>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b/>
                <w:bCs/>
                <w:color w:val="000000"/>
                <w:sz w:val="19"/>
                <w:lang w:eastAsia="en-AU"/>
              </w:rPr>
            </w:pPr>
            <w:r w:rsidRPr="001E7FA9">
              <w:rPr>
                <w:rFonts w:ascii="Calibri" w:eastAsiaTheme="minorEastAsia" w:hAnsi="Calibri" w:cs="Calibri"/>
                <w:b/>
                <w:bCs/>
                <w:color w:val="000000"/>
                <w:sz w:val="19"/>
                <w:lang w:eastAsia="en-AU"/>
              </w:rPr>
              <w:t>Payments</w:t>
            </w:r>
          </w:p>
        </w:tc>
        <w:tc>
          <w:tcPr>
            <w:tcW w:w="964" w:type="dxa"/>
            <w:gridSpan w:val="2"/>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r>
      <w:tr w:rsidR="00965D85" w:rsidRPr="001E7FA9" w:rsidTr="008B46DF">
        <w:tc>
          <w:tcPr>
            <w:tcW w:w="2947" w:type="dxa"/>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Payments for employees</w:t>
            </w:r>
          </w:p>
        </w:tc>
        <w:tc>
          <w:tcPr>
            <w:tcW w:w="964" w:type="dxa"/>
            <w:gridSpan w:val="2"/>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(295.3)</w:t>
            </w: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(304.2)</w:t>
            </w: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(303.6)</w:t>
            </w: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(312.5)</w:t>
            </w: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(321.4)</w:t>
            </w:r>
          </w:p>
        </w:tc>
      </w:tr>
      <w:tr w:rsidR="00965D85" w:rsidRPr="001E7FA9" w:rsidTr="008B46DF">
        <w:tc>
          <w:tcPr>
            <w:tcW w:w="2947" w:type="dxa"/>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Superannuation</w:t>
            </w:r>
          </w:p>
        </w:tc>
        <w:tc>
          <w:tcPr>
            <w:tcW w:w="964" w:type="dxa"/>
            <w:gridSpan w:val="2"/>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(23.7)</w:t>
            </w: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(23.4)</w:t>
            </w: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(23.9)</w:t>
            </w: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(24.7)</w:t>
            </w: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(25.4)</w:t>
            </w:r>
          </w:p>
        </w:tc>
      </w:tr>
      <w:tr w:rsidR="00965D85" w:rsidRPr="001E7FA9" w:rsidTr="008B46DF">
        <w:tc>
          <w:tcPr>
            <w:tcW w:w="2947" w:type="dxa"/>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Interest paid</w:t>
            </w:r>
          </w:p>
        </w:tc>
        <w:tc>
          <w:tcPr>
            <w:tcW w:w="964" w:type="dxa"/>
            <w:gridSpan w:val="2"/>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(2 042.7)</w:t>
            </w: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(2 023.8)</w:t>
            </w: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(1 894.6)</w:t>
            </w: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(1 907.1)</w:t>
            </w: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(1 908.9)</w:t>
            </w:r>
          </w:p>
        </w:tc>
      </w:tr>
      <w:tr w:rsidR="00965D85" w:rsidRPr="001E7FA9" w:rsidTr="008B46DF">
        <w:tc>
          <w:tcPr>
            <w:tcW w:w="2947" w:type="dxa"/>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color w:val="000000"/>
                <w:sz w:val="20"/>
                <w:vertAlign w:val="superscript"/>
                <w:lang w:eastAsia="en-AU"/>
              </w:rPr>
            </w:pPr>
            <w:r w:rsidRPr="001E7FA9">
              <w:rPr>
                <w:rFonts w:ascii="Calibri" w:eastAsiaTheme="minorEastAsia" w:hAnsi="Calibri" w:cs="Calibri"/>
                <w:color w:val="000000"/>
                <w:sz w:val="19"/>
                <w:lang w:eastAsia="en-AU"/>
              </w:rPr>
              <w:t>Goods and services</w:t>
            </w:r>
            <w:r w:rsidRPr="001E7FA9">
              <w:rPr>
                <w:rFonts w:ascii="Calibri" w:eastAsiaTheme="minorEastAsia" w:hAnsi="Calibri" w:cs="Calibri"/>
                <w:color w:val="000000"/>
                <w:sz w:val="19"/>
                <w:vertAlign w:val="superscript"/>
                <w:lang w:eastAsia="en-AU"/>
              </w:rPr>
              <w:t xml:space="preserve"> (b)</w:t>
            </w:r>
          </w:p>
        </w:tc>
        <w:tc>
          <w:tcPr>
            <w:tcW w:w="964" w:type="dxa"/>
            <w:gridSpan w:val="2"/>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(4 288.0)</w:t>
            </w: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(4 374.3)</w:t>
            </w: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(4 497.2)</w:t>
            </w: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(4 750.2)</w:t>
            </w: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(4 904.6)</w:t>
            </w:r>
          </w:p>
        </w:tc>
      </w:tr>
      <w:tr w:rsidR="00965D85" w:rsidRPr="001E7FA9" w:rsidTr="008B46DF">
        <w:tc>
          <w:tcPr>
            <w:tcW w:w="2947" w:type="dxa"/>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Other payments</w:t>
            </w:r>
          </w:p>
        </w:tc>
        <w:tc>
          <w:tcPr>
            <w:tcW w:w="964" w:type="dxa"/>
            <w:gridSpan w:val="2"/>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(124.3)</w:t>
            </w:r>
          </w:p>
        </w:tc>
        <w:tc>
          <w:tcPr>
            <w:tcW w:w="964" w:type="dxa"/>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(156.4)</w:t>
            </w:r>
          </w:p>
        </w:tc>
        <w:tc>
          <w:tcPr>
            <w:tcW w:w="964" w:type="dxa"/>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(13.3)</w:t>
            </w:r>
          </w:p>
        </w:tc>
        <w:tc>
          <w:tcPr>
            <w:tcW w:w="964" w:type="dxa"/>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(91.6)</w:t>
            </w:r>
          </w:p>
        </w:tc>
        <w:tc>
          <w:tcPr>
            <w:tcW w:w="964" w:type="dxa"/>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(126.9)</w:t>
            </w:r>
          </w:p>
        </w:tc>
      </w:tr>
      <w:tr w:rsidR="00965D85" w:rsidRPr="001E7FA9" w:rsidTr="008B46DF">
        <w:tc>
          <w:tcPr>
            <w:tcW w:w="2947" w:type="dxa"/>
            <w:tcBorders>
              <w:top w:val="single" w:sz="6" w:space="0" w:color="000000"/>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b/>
                <w:bCs/>
                <w:color w:val="000000"/>
                <w:sz w:val="19"/>
                <w:lang w:eastAsia="en-AU"/>
              </w:rPr>
            </w:pPr>
            <w:r w:rsidRPr="001E7FA9">
              <w:rPr>
                <w:rFonts w:ascii="Calibri" w:eastAsiaTheme="minorEastAsia" w:hAnsi="Calibri" w:cs="Calibri"/>
                <w:b/>
                <w:bCs/>
                <w:color w:val="000000"/>
                <w:sz w:val="19"/>
                <w:lang w:eastAsia="en-AU"/>
              </w:rPr>
              <w:t>Total payments</w:t>
            </w:r>
          </w:p>
        </w:tc>
        <w:tc>
          <w:tcPr>
            <w:tcW w:w="964" w:type="dxa"/>
            <w:gridSpan w:val="2"/>
            <w:tcBorders>
              <w:top w:val="single" w:sz="6" w:space="0" w:color="000000"/>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19"/>
                <w:lang w:eastAsia="en-AU"/>
              </w:rPr>
              <w:t>(6 774.1)</w:t>
            </w:r>
          </w:p>
        </w:tc>
        <w:tc>
          <w:tcPr>
            <w:tcW w:w="964" w:type="dxa"/>
            <w:tcBorders>
              <w:top w:val="single" w:sz="6" w:space="0" w:color="000000"/>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19"/>
                <w:lang w:eastAsia="en-AU"/>
              </w:rPr>
              <w:t>(6 882.1)</w:t>
            </w:r>
          </w:p>
        </w:tc>
        <w:tc>
          <w:tcPr>
            <w:tcW w:w="964" w:type="dxa"/>
            <w:tcBorders>
              <w:top w:val="single" w:sz="6" w:space="0" w:color="000000"/>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19"/>
                <w:lang w:eastAsia="en-AU"/>
              </w:rPr>
              <w:t>(6 732.5)</w:t>
            </w:r>
          </w:p>
        </w:tc>
        <w:tc>
          <w:tcPr>
            <w:tcW w:w="964" w:type="dxa"/>
            <w:tcBorders>
              <w:top w:val="single" w:sz="6" w:space="0" w:color="000000"/>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19"/>
                <w:lang w:eastAsia="en-AU"/>
              </w:rPr>
              <w:t>(7 086.1)</w:t>
            </w:r>
          </w:p>
        </w:tc>
        <w:tc>
          <w:tcPr>
            <w:tcW w:w="964" w:type="dxa"/>
            <w:tcBorders>
              <w:top w:val="single" w:sz="6" w:space="0" w:color="000000"/>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19"/>
                <w:lang w:eastAsia="en-AU"/>
              </w:rPr>
              <w:t>(7 287.2)</w:t>
            </w:r>
          </w:p>
        </w:tc>
      </w:tr>
      <w:tr w:rsidR="00965D85" w:rsidRPr="001E7FA9" w:rsidTr="008B46DF">
        <w:tc>
          <w:tcPr>
            <w:tcW w:w="2947" w:type="dxa"/>
            <w:tcBorders>
              <w:top w:val="single" w:sz="6" w:space="0" w:color="000000"/>
              <w:left w:val="nil"/>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b/>
                <w:bCs/>
                <w:color w:val="000000"/>
                <w:sz w:val="19"/>
                <w:lang w:eastAsia="en-AU"/>
              </w:rPr>
            </w:pPr>
            <w:r w:rsidRPr="001E7FA9">
              <w:rPr>
                <w:rFonts w:ascii="Calibri" w:eastAsiaTheme="minorEastAsia" w:hAnsi="Calibri" w:cs="Calibri"/>
                <w:b/>
                <w:bCs/>
                <w:color w:val="000000"/>
                <w:sz w:val="19"/>
                <w:lang w:eastAsia="en-AU"/>
              </w:rPr>
              <w:t>Net cash flows from operating activities</w:t>
            </w:r>
          </w:p>
        </w:tc>
        <w:tc>
          <w:tcPr>
            <w:tcW w:w="964" w:type="dxa"/>
            <w:gridSpan w:val="2"/>
            <w:tcBorders>
              <w:top w:val="single" w:sz="6" w:space="0" w:color="000000"/>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19"/>
                <w:lang w:eastAsia="en-AU"/>
              </w:rPr>
            </w:pPr>
            <w:r w:rsidRPr="001E7FA9">
              <w:rPr>
                <w:rFonts w:ascii="Calibri" w:eastAsiaTheme="minorEastAsia" w:hAnsi="Calibri" w:cs="Calibri"/>
                <w:b/>
                <w:bCs/>
                <w:color w:val="000000"/>
                <w:sz w:val="19"/>
                <w:lang w:eastAsia="en-AU"/>
              </w:rPr>
              <w:t>1 146.9</w:t>
            </w:r>
          </w:p>
        </w:tc>
        <w:tc>
          <w:tcPr>
            <w:tcW w:w="964" w:type="dxa"/>
            <w:tcBorders>
              <w:top w:val="single" w:sz="6" w:space="0" w:color="000000"/>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19"/>
                <w:lang w:eastAsia="en-AU"/>
              </w:rPr>
              <w:t>537.6</w:t>
            </w:r>
          </w:p>
        </w:tc>
        <w:tc>
          <w:tcPr>
            <w:tcW w:w="964" w:type="dxa"/>
            <w:tcBorders>
              <w:top w:val="single" w:sz="6" w:space="0" w:color="000000"/>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19"/>
                <w:lang w:eastAsia="en-AU"/>
              </w:rPr>
            </w:pPr>
            <w:r w:rsidRPr="001E7FA9">
              <w:rPr>
                <w:rFonts w:ascii="Calibri" w:eastAsiaTheme="minorEastAsia" w:hAnsi="Calibri" w:cs="Calibri"/>
                <w:b/>
                <w:bCs/>
                <w:color w:val="000000"/>
                <w:sz w:val="19"/>
                <w:lang w:eastAsia="en-AU"/>
              </w:rPr>
              <w:t>1 419.1</w:t>
            </w:r>
          </w:p>
        </w:tc>
        <w:tc>
          <w:tcPr>
            <w:tcW w:w="964" w:type="dxa"/>
            <w:tcBorders>
              <w:top w:val="single" w:sz="6" w:space="0" w:color="000000"/>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19"/>
                <w:lang w:eastAsia="en-AU"/>
              </w:rPr>
            </w:pPr>
            <w:r w:rsidRPr="001E7FA9">
              <w:rPr>
                <w:rFonts w:ascii="Calibri" w:eastAsiaTheme="minorEastAsia" w:hAnsi="Calibri" w:cs="Calibri"/>
                <w:b/>
                <w:bCs/>
                <w:color w:val="000000"/>
                <w:sz w:val="19"/>
                <w:lang w:eastAsia="en-AU"/>
              </w:rPr>
              <w:t>1 269.7</w:t>
            </w:r>
          </w:p>
        </w:tc>
        <w:tc>
          <w:tcPr>
            <w:tcW w:w="964" w:type="dxa"/>
            <w:tcBorders>
              <w:top w:val="single" w:sz="6" w:space="0" w:color="000000"/>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19"/>
                <w:lang w:eastAsia="en-AU"/>
              </w:rPr>
            </w:pPr>
            <w:r w:rsidRPr="001E7FA9">
              <w:rPr>
                <w:rFonts w:ascii="Calibri" w:eastAsiaTheme="minorEastAsia" w:hAnsi="Calibri" w:cs="Calibri"/>
                <w:b/>
                <w:bCs/>
                <w:color w:val="000000"/>
                <w:sz w:val="19"/>
                <w:lang w:eastAsia="en-AU"/>
              </w:rPr>
              <w:t>1 272.7</w:t>
            </w:r>
          </w:p>
        </w:tc>
      </w:tr>
      <w:tr w:rsidR="00965D85" w:rsidRPr="001E7FA9" w:rsidTr="008B46DF">
        <w:tc>
          <w:tcPr>
            <w:tcW w:w="3675" w:type="dxa"/>
            <w:gridSpan w:val="2"/>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b/>
                <w:bCs/>
                <w:color w:val="000000"/>
                <w:sz w:val="19"/>
                <w:lang w:eastAsia="en-AU"/>
              </w:rPr>
            </w:pPr>
            <w:r w:rsidRPr="001E7FA9">
              <w:rPr>
                <w:rFonts w:ascii="Calibri" w:eastAsiaTheme="minorEastAsia" w:hAnsi="Calibri" w:cs="Calibri"/>
                <w:b/>
                <w:bCs/>
                <w:color w:val="000000"/>
                <w:sz w:val="19"/>
                <w:lang w:eastAsia="en-AU"/>
              </w:rPr>
              <w:t>Cash flows from investing activities</w:t>
            </w:r>
          </w:p>
        </w:tc>
        <w:tc>
          <w:tcPr>
            <w:tcW w:w="236"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r>
      <w:tr w:rsidR="00965D85" w:rsidRPr="001E7FA9" w:rsidTr="008B46DF">
        <w:tc>
          <w:tcPr>
            <w:tcW w:w="2947" w:type="dxa"/>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Purchases of non</w:t>
            </w:r>
            <w:r>
              <w:rPr>
                <w:rFonts w:ascii="Calibri" w:eastAsiaTheme="minorEastAsia" w:hAnsi="Calibri" w:cs="Calibri"/>
                <w:color w:val="000000"/>
                <w:sz w:val="19"/>
                <w:lang w:eastAsia="en-AU"/>
              </w:rPr>
              <w:noBreakHyphen/>
            </w:r>
            <w:r w:rsidRPr="001E7FA9">
              <w:rPr>
                <w:rFonts w:ascii="Calibri" w:eastAsiaTheme="minorEastAsia" w:hAnsi="Calibri" w:cs="Calibri"/>
                <w:color w:val="000000"/>
                <w:sz w:val="19"/>
                <w:lang w:eastAsia="en-AU"/>
              </w:rPr>
              <w:t>financial assets</w:t>
            </w:r>
          </w:p>
        </w:tc>
        <w:tc>
          <w:tcPr>
            <w:tcW w:w="964" w:type="dxa"/>
            <w:gridSpan w:val="2"/>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(47.5)</w:t>
            </w: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(45.8)</w:t>
            </w: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(50.3)</w:t>
            </w: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(51.0)</w:t>
            </w: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(35.3)</w:t>
            </w:r>
          </w:p>
        </w:tc>
      </w:tr>
      <w:tr w:rsidR="00965D85" w:rsidRPr="001E7FA9" w:rsidTr="008B46DF">
        <w:tc>
          <w:tcPr>
            <w:tcW w:w="2947" w:type="dxa"/>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Sales of non</w:t>
            </w:r>
            <w:r>
              <w:rPr>
                <w:rFonts w:ascii="Calibri" w:eastAsiaTheme="minorEastAsia" w:hAnsi="Calibri" w:cs="Calibri"/>
                <w:color w:val="000000"/>
                <w:sz w:val="19"/>
                <w:lang w:eastAsia="en-AU"/>
              </w:rPr>
              <w:noBreakHyphen/>
            </w:r>
            <w:r w:rsidRPr="001E7FA9">
              <w:rPr>
                <w:rFonts w:ascii="Calibri" w:eastAsiaTheme="minorEastAsia" w:hAnsi="Calibri" w:cs="Calibri"/>
                <w:color w:val="000000"/>
                <w:sz w:val="19"/>
                <w:lang w:eastAsia="en-AU"/>
              </w:rPr>
              <w:t>financial assets</w:t>
            </w:r>
          </w:p>
        </w:tc>
        <w:tc>
          <w:tcPr>
            <w:tcW w:w="964" w:type="dxa"/>
            <w:gridSpan w:val="2"/>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1.0</w:t>
            </w:r>
          </w:p>
        </w:tc>
        <w:tc>
          <w:tcPr>
            <w:tcW w:w="964" w:type="dxa"/>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0.8</w:t>
            </w:r>
          </w:p>
        </w:tc>
        <w:tc>
          <w:tcPr>
            <w:tcW w:w="964" w:type="dxa"/>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0.7</w:t>
            </w:r>
          </w:p>
        </w:tc>
        <w:tc>
          <w:tcPr>
            <w:tcW w:w="964" w:type="dxa"/>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0.7</w:t>
            </w:r>
          </w:p>
        </w:tc>
        <w:tc>
          <w:tcPr>
            <w:tcW w:w="964" w:type="dxa"/>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0.7</w:t>
            </w:r>
          </w:p>
        </w:tc>
      </w:tr>
      <w:tr w:rsidR="00965D85" w:rsidRPr="001E7FA9" w:rsidTr="008B46DF">
        <w:tc>
          <w:tcPr>
            <w:tcW w:w="2947" w:type="dxa"/>
            <w:tcBorders>
              <w:top w:val="single" w:sz="6" w:space="0" w:color="000000"/>
              <w:left w:val="nil"/>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Cash flows from investments in non</w:t>
            </w:r>
            <w:r>
              <w:rPr>
                <w:rFonts w:ascii="Calibri" w:eastAsiaTheme="minorEastAsia" w:hAnsi="Calibri" w:cs="Calibri"/>
                <w:color w:val="000000"/>
                <w:sz w:val="19"/>
                <w:lang w:eastAsia="en-AU"/>
              </w:rPr>
              <w:noBreakHyphen/>
            </w:r>
            <w:r w:rsidRPr="001E7FA9">
              <w:rPr>
                <w:rFonts w:ascii="Calibri" w:eastAsiaTheme="minorEastAsia" w:hAnsi="Calibri" w:cs="Calibri"/>
                <w:color w:val="000000"/>
                <w:sz w:val="19"/>
                <w:lang w:eastAsia="en-AU"/>
              </w:rPr>
              <w:t>financial assets</w:t>
            </w:r>
          </w:p>
        </w:tc>
        <w:tc>
          <w:tcPr>
            <w:tcW w:w="964" w:type="dxa"/>
            <w:gridSpan w:val="2"/>
            <w:tcBorders>
              <w:top w:val="single" w:sz="6" w:space="0" w:color="000000"/>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(46.6)</w:t>
            </w:r>
          </w:p>
        </w:tc>
        <w:tc>
          <w:tcPr>
            <w:tcW w:w="964" w:type="dxa"/>
            <w:tcBorders>
              <w:top w:val="single" w:sz="6" w:space="0" w:color="000000"/>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(45.0)</w:t>
            </w:r>
          </w:p>
        </w:tc>
        <w:tc>
          <w:tcPr>
            <w:tcW w:w="964" w:type="dxa"/>
            <w:tcBorders>
              <w:top w:val="single" w:sz="6" w:space="0" w:color="000000"/>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(49.5)</w:t>
            </w:r>
          </w:p>
        </w:tc>
        <w:tc>
          <w:tcPr>
            <w:tcW w:w="964" w:type="dxa"/>
            <w:tcBorders>
              <w:top w:val="single" w:sz="6" w:space="0" w:color="000000"/>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(50.2)</w:t>
            </w:r>
          </w:p>
        </w:tc>
        <w:tc>
          <w:tcPr>
            <w:tcW w:w="964" w:type="dxa"/>
            <w:tcBorders>
              <w:top w:val="single" w:sz="6" w:space="0" w:color="000000"/>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(34.6)</w:t>
            </w:r>
          </w:p>
        </w:tc>
      </w:tr>
      <w:tr w:rsidR="00965D85" w:rsidRPr="001E7FA9" w:rsidTr="008B46DF">
        <w:tc>
          <w:tcPr>
            <w:tcW w:w="2947" w:type="dxa"/>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Net cash flows from other investing activities for policy and liquidity purposes</w:t>
            </w:r>
          </w:p>
        </w:tc>
        <w:tc>
          <w:tcPr>
            <w:tcW w:w="964" w:type="dxa"/>
            <w:gridSpan w:val="2"/>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3 607.2</w:t>
            </w:r>
          </w:p>
        </w:tc>
        <w:tc>
          <w:tcPr>
            <w:tcW w:w="964" w:type="dxa"/>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4 698.5</w:t>
            </w:r>
          </w:p>
        </w:tc>
        <w:tc>
          <w:tcPr>
            <w:tcW w:w="964" w:type="dxa"/>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(2 864.2)</w:t>
            </w:r>
          </w:p>
        </w:tc>
        <w:tc>
          <w:tcPr>
            <w:tcW w:w="964" w:type="dxa"/>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81.6</w:t>
            </w:r>
          </w:p>
        </w:tc>
        <w:tc>
          <w:tcPr>
            <w:tcW w:w="964" w:type="dxa"/>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(2 778.1)</w:t>
            </w:r>
          </w:p>
        </w:tc>
      </w:tr>
      <w:tr w:rsidR="00965D85" w:rsidRPr="001E7FA9" w:rsidTr="008B46DF">
        <w:tc>
          <w:tcPr>
            <w:tcW w:w="2947" w:type="dxa"/>
            <w:tcBorders>
              <w:top w:val="single" w:sz="6" w:space="0" w:color="000000"/>
              <w:left w:val="nil"/>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b/>
                <w:bCs/>
                <w:color w:val="000000"/>
                <w:sz w:val="19"/>
                <w:lang w:eastAsia="en-AU"/>
              </w:rPr>
            </w:pPr>
            <w:r w:rsidRPr="001E7FA9">
              <w:rPr>
                <w:rFonts w:ascii="Calibri" w:eastAsiaTheme="minorEastAsia" w:hAnsi="Calibri" w:cs="Calibri"/>
                <w:b/>
                <w:bCs/>
                <w:color w:val="000000"/>
                <w:sz w:val="19"/>
                <w:lang w:eastAsia="en-AU"/>
              </w:rPr>
              <w:t>Net cash flows from investing activities</w:t>
            </w:r>
          </w:p>
        </w:tc>
        <w:tc>
          <w:tcPr>
            <w:tcW w:w="964" w:type="dxa"/>
            <w:gridSpan w:val="2"/>
            <w:tcBorders>
              <w:top w:val="single" w:sz="6" w:space="0" w:color="000000"/>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19"/>
                <w:lang w:eastAsia="en-AU"/>
              </w:rPr>
            </w:pPr>
            <w:r w:rsidRPr="001E7FA9">
              <w:rPr>
                <w:rFonts w:ascii="Calibri" w:eastAsiaTheme="minorEastAsia" w:hAnsi="Calibri" w:cs="Calibri"/>
                <w:b/>
                <w:bCs/>
                <w:color w:val="000000"/>
                <w:sz w:val="19"/>
                <w:lang w:eastAsia="en-AU"/>
              </w:rPr>
              <w:t>3 560.6</w:t>
            </w:r>
          </w:p>
        </w:tc>
        <w:tc>
          <w:tcPr>
            <w:tcW w:w="964" w:type="dxa"/>
            <w:tcBorders>
              <w:top w:val="single" w:sz="6" w:space="0" w:color="000000"/>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19"/>
                <w:lang w:eastAsia="en-AU"/>
              </w:rPr>
            </w:pPr>
            <w:r w:rsidRPr="001E7FA9">
              <w:rPr>
                <w:rFonts w:ascii="Calibri" w:eastAsiaTheme="minorEastAsia" w:hAnsi="Calibri" w:cs="Calibri"/>
                <w:b/>
                <w:bCs/>
                <w:color w:val="000000"/>
                <w:sz w:val="19"/>
                <w:lang w:eastAsia="en-AU"/>
              </w:rPr>
              <w:t>4 653.5</w:t>
            </w:r>
          </w:p>
        </w:tc>
        <w:tc>
          <w:tcPr>
            <w:tcW w:w="964" w:type="dxa"/>
            <w:tcBorders>
              <w:top w:val="single" w:sz="6" w:space="0" w:color="000000"/>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19"/>
                <w:lang w:eastAsia="en-AU"/>
              </w:rPr>
              <w:t>(2 913.7)</w:t>
            </w:r>
          </w:p>
        </w:tc>
        <w:tc>
          <w:tcPr>
            <w:tcW w:w="964" w:type="dxa"/>
            <w:tcBorders>
              <w:top w:val="single" w:sz="6" w:space="0" w:color="000000"/>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19"/>
                <w:lang w:eastAsia="en-AU"/>
              </w:rPr>
              <w:t>31.3</w:t>
            </w:r>
          </w:p>
        </w:tc>
        <w:tc>
          <w:tcPr>
            <w:tcW w:w="964" w:type="dxa"/>
            <w:tcBorders>
              <w:top w:val="single" w:sz="6" w:space="0" w:color="000000"/>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19"/>
                <w:lang w:eastAsia="en-AU"/>
              </w:rPr>
              <w:t>(2 812.7)</w:t>
            </w:r>
          </w:p>
        </w:tc>
      </w:tr>
      <w:tr w:rsidR="00965D85" w:rsidRPr="001E7FA9" w:rsidTr="008B46DF">
        <w:tc>
          <w:tcPr>
            <w:tcW w:w="3675" w:type="dxa"/>
            <w:gridSpan w:val="2"/>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b/>
                <w:bCs/>
                <w:color w:val="000000"/>
                <w:sz w:val="19"/>
                <w:lang w:eastAsia="en-AU"/>
              </w:rPr>
            </w:pPr>
            <w:r w:rsidRPr="001E7FA9">
              <w:rPr>
                <w:rFonts w:ascii="Calibri" w:eastAsiaTheme="minorEastAsia" w:hAnsi="Calibri" w:cs="Calibri"/>
                <w:b/>
                <w:bCs/>
                <w:color w:val="000000"/>
                <w:sz w:val="19"/>
                <w:lang w:eastAsia="en-AU"/>
              </w:rPr>
              <w:t>Cash flows from financing activities</w:t>
            </w:r>
          </w:p>
        </w:tc>
        <w:tc>
          <w:tcPr>
            <w:tcW w:w="236"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r>
      <w:tr w:rsidR="00965D85" w:rsidRPr="001E7FA9" w:rsidTr="008B46DF">
        <w:tc>
          <w:tcPr>
            <w:tcW w:w="2947" w:type="dxa"/>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Advances received (net)</w:t>
            </w:r>
          </w:p>
        </w:tc>
        <w:tc>
          <w:tcPr>
            <w:tcW w:w="964" w:type="dxa"/>
            <w:gridSpan w:val="2"/>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2.8</w:t>
            </w: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(80.2)</w:t>
            </w: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1.4</w:t>
            </w: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1.5</w:t>
            </w: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1.7</w:t>
            </w:r>
          </w:p>
        </w:tc>
      </w:tr>
      <w:tr w:rsidR="00965D85" w:rsidRPr="001E7FA9" w:rsidTr="008B46DF">
        <w:tc>
          <w:tcPr>
            <w:tcW w:w="2947" w:type="dxa"/>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Net borrowings</w:t>
            </w:r>
          </w:p>
        </w:tc>
        <w:tc>
          <w:tcPr>
            <w:tcW w:w="964" w:type="dxa"/>
            <w:gridSpan w:val="2"/>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(4 036.8)</w:t>
            </w: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(5 663.1)</w:t>
            </w: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2 341.1</w:t>
            </w: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498.9</w:t>
            </w: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1 897.9</w:t>
            </w:r>
          </w:p>
        </w:tc>
      </w:tr>
      <w:tr w:rsidR="00965D85" w:rsidRPr="001E7FA9" w:rsidTr="008B46DF">
        <w:tc>
          <w:tcPr>
            <w:tcW w:w="2947" w:type="dxa"/>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Deposits received (net)</w:t>
            </w:r>
          </w:p>
        </w:tc>
        <w:tc>
          <w:tcPr>
            <w:tcW w:w="964" w:type="dxa"/>
            <w:gridSpan w:val="2"/>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(23.0)</w:t>
            </w: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(392.2)</w:t>
            </w: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(168.3)</w:t>
            </w: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(2.0)</w:t>
            </w: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166.6</w:t>
            </w:r>
          </w:p>
        </w:tc>
      </w:tr>
      <w:tr w:rsidR="00965D85" w:rsidRPr="001E7FA9" w:rsidTr="008B46DF">
        <w:tc>
          <w:tcPr>
            <w:tcW w:w="2947" w:type="dxa"/>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Other financing (net)</w:t>
            </w:r>
          </w:p>
        </w:tc>
        <w:tc>
          <w:tcPr>
            <w:tcW w:w="964" w:type="dxa"/>
            <w:gridSpan w:val="2"/>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(602.9)</w:t>
            </w:r>
          </w:p>
        </w:tc>
        <w:tc>
          <w:tcPr>
            <w:tcW w:w="964" w:type="dxa"/>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(597.0)</w:t>
            </w:r>
          </w:p>
        </w:tc>
        <w:tc>
          <w:tcPr>
            <w:tcW w:w="964" w:type="dxa"/>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(498.1)</w:t>
            </w:r>
          </w:p>
        </w:tc>
        <w:tc>
          <w:tcPr>
            <w:tcW w:w="964" w:type="dxa"/>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(1 744.9)</w:t>
            </w:r>
          </w:p>
        </w:tc>
        <w:tc>
          <w:tcPr>
            <w:tcW w:w="964" w:type="dxa"/>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(319.4)</w:t>
            </w:r>
          </w:p>
        </w:tc>
      </w:tr>
      <w:tr w:rsidR="00965D85" w:rsidRPr="001E7FA9" w:rsidTr="008B46DF">
        <w:tc>
          <w:tcPr>
            <w:tcW w:w="2947" w:type="dxa"/>
            <w:tcBorders>
              <w:top w:val="single" w:sz="6" w:space="0" w:color="000000"/>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b/>
                <w:bCs/>
                <w:color w:val="000000"/>
                <w:sz w:val="19"/>
                <w:lang w:eastAsia="en-AU"/>
              </w:rPr>
            </w:pPr>
            <w:r w:rsidRPr="001E7FA9">
              <w:rPr>
                <w:rFonts w:ascii="Calibri" w:eastAsiaTheme="minorEastAsia" w:hAnsi="Calibri" w:cs="Calibri"/>
                <w:b/>
                <w:bCs/>
                <w:color w:val="000000"/>
                <w:sz w:val="19"/>
                <w:lang w:eastAsia="en-AU"/>
              </w:rPr>
              <w:t>Net cash flows from financing activities</w:t>
            </w:r>
          </w:p>
        </w:tc>
        <w:tc>
          <w:tcPr>
            <w:tcW w:w="964" w:type="dxa"/>
            <w:gridSpan w:val="2"/>
            <w:tcBorders>
              <w:top w:val="single" w:sz="6" w:space="0" w:color="000000"/>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19"/>
                <w:lang w:eastAsia="en-AU"/>
              </w:rPr>
              <w:t>(4 659.9)</w:t>
            </w:r>
          </w:p>
        </w:tc>
        <w:tc>
          <w:tcPr>
            <w:tcW w:w="964" w:type="dxa"/>
            <w:tcBorders>
              <w:top w:val="single" w:sz="6" w:space="0" w:color="000000"/>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19"/>
                <w:lang w:eastAsia="en-AU"/>
              </w:rPr>
              <w:t>(6 732.4)</w:t>
            </w:r>
          </w:p>
        </w:tc>
        <w:tc>
          <w:tcPr>
            <w:tcW w:w="964" w:type="dxa"/>
            <w:tcBorders>
              <w:top w:val="single" w:sz="6" w:space="0" w:color="000000"/>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19"/>
                <w:lang w:eastAsia="en-AU"/>
              </w:rPr>
            </w:pPr>
            <w:r w:rsidRPr="001E7FA9">
              <w:rPr>
                <w:rFonts w:ascii="Calibri" w:eastAsiaTheme="minorEastAsia" w:hAnsi="Calibri" w:cs="Calibri"/>
                <w:b/>
                <w:bCs/>
                <w:color w:val="000000"/>
                <w:sz w:val="19"/>
                <w:lang w:eastAsia="en-AU"/>
              </w:rPr>
              <w:t>1 676.1</w:t>
            </w:r>
          </w:p>
        </w:tc>
        <w:tc>
          <w:tcPr>
            <w:tcW w:w="964" w:type="dxa"/>
            <w:tcBorders>
              <w:top w:val="single" w:sz="6" w:space="0" w:color="000000"/>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19"/>
                <w:lang w:eastAsia="en-AU"/>
              </w:rPr>
              <w:t>(1 246.4)</w:t>
            </w:r>
          </w:p>
        </w:tc>
        <w:tc>
          <w:tcPr>
            <w:tcW w:w="964" w:type="dxa"/>
            <w:tcBorders>
              <w:top w:val="single" w:sz="6" w:space="0" w:color="000000"/>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19"/>
                <w:lang w:eastAsia="en-AU"/>
              </w:rPr>
            </w:pPr>
            <w:r w:rsidRPr="001E7FA9">
              <w:rPr>
                <w:rFonts w:ascii="Calibri" w:eastAsiaTheme="minorEastAsia" w:hAnsi="Calibri" w:cs="Calibri"/>
                <w:b/>
                <w:bCs/>
                <w:color w:val="000000"/>
                <w:sz w:val="19"/>
                <w:lang w:eastAsia="en-AU"/>
              </w:rPr>
              <w:t>1 746.8</w:t>
            </w:r>
          </w:p>
        </w:tc>
      </w:tr>
      <w:tr w:rsidR="00965D85" w:rsidRPr="001E7FA9" w:rsidTr="008B46DF">
        <w:tc>
          <w:tcPr>
            <w:tcW w:w="2947" w:type="dxa"/>
            <w:tcBorders>
              <w:top w:val="single" w:sz="6" w:space="0" w:color="000000"/>
              <w:left w:val="nil"/>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b/>
                <w:bCs/>
                <w:color w:val="000000"/>
                <w:sz w:val="19"/>
                <w:lang w:eastAsia="en-AU"/>
              </w:rPr>
            </w:pPr>
            <w:r w:rsidRPr="001E7FA9">
              <w:rPr>
                <w:rFonts w:ascii="Calibri" w:eastAsiaTheme="minorEastAsia" w:hAnsi="Calibri" w:cs="Calibri"/>
                <w:b/>
                <w:bCs/>
                <w:color w:val="000000"/>
                <w:sz w:val="19"/>
                <w:lang w:eastAsia="en-AU"/>
              </w:rPr>
              <w:t>Net increase/(decrease) in cash and cash equivalents</w:t>
            </w:r>
          </w:p>
        </w:tc>
        <w:tc>
          <w:tcPr>
            <w:tcW w:w="964" w:type="dxa"/>
            <w:gridSpan w:val="2"/>
            <w:tcBorders>
              <w:top w:val="single" w:sz="6" w:space="0" w:color="000000"/>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19"/>
                <w:lang w:eastAsia="en-AU"/>
              </w:rPr>
              <w:t>47.6</w:t>
            </w:r>
          </w:p>
        </w:tc>
        <w:tc>
          <w:tcPr>
            <w:tcW w:w="964" w:type="dxa"/>
            <w:tcBorders>
              <w:top w:val="single" w:sz="6" w:space="0" w:color="000000"/>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19"/>
                <w:lang w:eastAsia="en-AU"/>
              </w:rPr>
              <w:t>(1 541.3)</w:t>
            </w:r>
          </w:p>
        </w:tc>
        <w:tc>
          <w:tcPr>
            <w:tcW w:w="964" w:type="dxa"/>
            <w:tcBorders>
              <w:top w:val="single" w:sz="6" w:space="0" w:color="000000"/>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19"/>
                <w:lang w:eastAsia="en-AU"/>
              </w:rPr>
              <w:t>181.4</w:t>
            </w:r>
          </w:p>
        </w:tc>
        <w:tc>
          <w:tcPr>
            <w:tcW w:w="964" w:type="dxa"/>
            <w:tcBorders>
              <w:top w:val="single" w:sz="6" w:space="0" w:color="000000"/>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19"/>
                <w:lang w:eastAsia="en-AU"/>
              </w:rPr>
              <w:t>54.6</w:t>
            </w:r>
          </w:p>
        </w:tc>
        <w:tc>
          <w:tcPr>
            <w:tcW w:w="964" w:type="dxa"/>
            <w:tcBorders>
              <w:top w:val="single" w:sz="6" w:space="0" w:color="000000"/>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19"/>
                <w:lang w:eastAsia="en-AU"/>
              </w:rPr>
              <w:t>206.8</w:t>
            </w:r>
          </w:p>
        </w:tc>
      </w:tr>
      <w:tr w:rsidR="00965D85" w:rsidRPr="001E7FA9" w:rsidTr="008B46DF">
        <w:tc>
          <w:tcPr>
            <w:tcW w:w="2947" w:type="dxa"/>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color w:val="000000"/>
                <w:sz w:val="20"/>
                <w:vertAlign w:val="superscript"/>
                <w:lang w:eastAsia="en-AU"/>
              </w:rPr>
            </w:pPr>
            <w:r w:rsidRPr="001E7FA9">
              <w:rPr>
                <w:rFonts w:ascii="Calibri" w:eastAsiaTheme="minorEastAsia" w:hAnsi="Calibri" w:cs="Calibri"/>
                <w:color w:val="000000"/>
                <w:sz w:val="19"/>
                <w:lang w:eastAsia="en-AU"/>
              </w:rPr>
              <w:t>Cash and cash equivalents at beginning of reporting period</w:t>
            </w:r>
            <w:r w:rsidRPr="001E7FA9">
              <w:rPr>
                <w:rFonts w:ascii="Calibri" w:eastAsiaTheme="minorEastAsia" w:hAnsi="Calibri" w:cs="Calibri"/>
                <w:color w:val="000000"/>
                <w:sz w:val="19"/>
                <w:vertAlign w:val="superscript"/>
                <w:lang w:eastAsia="en-AU"/>
              </w:rPr>
              <w:t xml:space="preserve"> </w:t>
            </w:r>
            <w:r w:rsidRPr="001E7FA9">
              <w:rPr>
                <w:rFonts w:ascii="Calibri" w:eastAsiaTheme="minorEastAsia" w:hAnsi="Calibri" w:cs="Calibri"/>
                <w:color w:val="000000"/>
                <w:sz w:val="20"/>
                <w:vertAlign w:val="superscript"/>
                <w:lang w:eastAsia="en-AU"/>
              </w:rPr>
              <w:t>(c)</w:t>
            </w:r>
          </w:p>
        </w:tc>
        <w:tc>
          <w:tcPr>
            <w:tcW w:w="964" w:type="dxa"/>
            <w:gridSpan w:val="2"/>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4 708.2</w:t>
            </w:r>
          </w:p>
        </w:tc>
        <w:tc>
          <w:tcPr>
            <w:tcW w:w="964" w:type="dxa"/>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4 708.2</w:t>
            </w:r>
          </w:p>
        </w:tc>
        <w:tc>
          <w:tcPr>
            <w:tcW w:w="964" w:type="dxa"/>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3 166.9</w:t>
            </w:r>
          </w:p>
        </w:tc>
        <w:tc>
          <w:tcPr>
            <w:tcW w:w="964" w:type="dxa"/>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3 348.3</w:t>
            </w:r>
          </w:p>
        </w:tc>
        <w:tc>
          <w:tcPr>
            <w:tcW w:w="964" w:type="dxa"/>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3 402.9</w:t>
            </w:r>
          </w:p>
        </w:tc>
      </w:tr>
      <w:tr w:rsidR="00965D85" w:rsidRPr="001E7FA9" w:rsidTr="008B46DF">
        <w:tc>
          <w:tcPr>
            <w:tcW w:w="2947" w:type="dxa"/>
            <w:tcBorders>
              <w:top w:val="single" w:sz="6" w:space="0" w:color="000000"/>
              <w:left w:val="nil"/>
              <w:bottom w:val="single" w:sz="12" w:space="0" w:color="000000"/>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b/>
                <w:bCs/>
                <w:color w:val="000000"/>
                <w:sz w:val="20"/>
                <w:vertAlign w:val="superscript"/>
                <w:lang w:eastAsia="en-AU"/>
              </w:rPr>
            </w:pPr>
            <w:r w:rsidRPr="001E7FA9">
              <w:rPr>
                <w:rFonts w:ascii="Calibri" w:eastAsiaTheme="minorEastAsia" w:hAnsi="Calibri" w:cs="Calibri"/>
                <w:b/>
                <w:bCs/>
                <w:color w:val="000000"/>
                <w:sz w:val="19"/>
                <w:lang w:eastAsia="en-AU"/>
              </w:rPr>
              <w:t>Cash and cash equivalents at end of reporting period</w:t>
            </w:r>
            <w:r w:rsidRPr="001E7FA9">
              <w:rPr>
                <w:rFonts w:ascii="Calibri" w:eastAsiaTheme="minorEastAsia" w:hAnsi="Calibri" w:cs="Calibri"/>
                <w:b/>
                <w:bCs/>
                <w:color w:val="000000"/>
                <w:sz w:val="19"/>
                <w:vertAlign w:val="superscript"/>
                <w:lang w:eastAsia="en-AU"/>
              </w:rPr>
              <w:t xml:space="preserve"> (c)(d)</w:t>
            </w:r>
          </w:p>
        </w:tc>
        <w:tc>
          <w:tcPr>
            <w:tcW w:w="964" w:type="dxa"/>
            <w:gridSpan w:val="2"/>
            <w:tcBorders>
              <w:top w:val="single" w:sz="6" w:space="0" w:color="000000"/>
              <w:left w:val="nil"/>
              <w:bottom w:val="single" w:sz="12"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19"/>
                <w:lang w:eastAsia="en-AU"/>
              </w:rPr>
            </w:pPr>
            <w:r w:rsidRPr="001E7FA9">
              <w:rPr>
                <w:rFonts w:ascii="Calibri" w:eastAsiaTheme="minorEastAsia" w:hAnsi="Calibri" w:cs="Calibri"/>
                <w:b/>
                <w:bCs/>
                <w:color w:val="000000"/>
                <w:sz w:val="19"/>
                <w:lang w:eastAsia="en-AU"/>
              </w:rPr>
              <w:t>4 755.8</w:t>
            </w:r>
          </w:p>
        </w:tc>
        <w:tc>
          <w:tcPr>
            <w:tcW w:w="964" w:type="dxa"/>
            <w:tcBorders>
              <w:top w:val="single" w:sz="6" w:space="0" w:color="000000"/>
              <w:left w:val="nil"/>
              <w:bottom w:val="single" w:sz="12"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19"/>
                <w:lang w:eastAsia="en-AU"/>
              </w:rPr>
            </w:pPr>
            <w:r w:rsidRPr="001E7FA9">
              <w:rPr>
                <w:rFonts w:ascii="Calibri" w:eastAsiaTheme="minorEastAsia" w:hAnsi="Calibri" w:cs="Calibri"/>
                <w:b/>
                <w:bCs/>
                <w:color w:val="000000"/>
                <w:sz w:val="19"/>
                <w:lang w:eastAsia="en-AU"/>
              </w:rPr>
              <w:t>3 166.9</w:t>
            </w:r>
          </w:p>
        </w:tc>
        <w:tc>
          <w:tcPr>
            <w:tcW w:w="964" w:type="dxa"/>
            <w:tcBorders>
              <w:top w:val="single" w:sz="6" w:space="0" w:color="000000"/>
              <w:left w:val="nil"/>
              <w:bottom w:val="single" w:sz="12"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19"/>
                <w:lang w:eastAsia="en-AU"/>
              </w:rPr>
            </w:pPr>
            <w:r w:rsidRPr="001E7FA9">
              <w:rPr>
                <w:rFonts w:ascii="Calibri" w:eastAsiaTheme="minorEastAsia" w:hAnsi="Calibri" w:cs="Calibri"/>
                <w:b/>
                <w:bCs/>
                <w:color w:val="000000"/>
                <w:sz w:val="19"/>
                <w:lang w:eastAsia="en-AU"/>
              </w:rPr>
              <w:t>3 348.3</w:t>
            </w:r>
          </w:p>
        </w:tc>
        <w:tc>
          <w:tcPr>
            <w:tcW w:w="964" w:type="dxa"/>
            <w:tcBorders>
              <w:top w:val="single" w:sz="6" w:space="0" w:color="000000"/>
              <w:left w:val="nil"/>
              <w:bottom w:val="single" w:sz="12"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19"/>
                <w:lang w:eastAsia="en-AU"/>
              </w:rPr>
            </w:pPr>
            <w:r w:rsidRPr="001E7FA9">
              <w:rPr>
                <w:rFonts w:ascii="Calibri" w:eastAsiaTheme="minorEastAsia" w:hAnsi="Calibri" w:cs="Calibri"/>
                <w:b/>
                <w:bCs/>
                <w:color w:val="000000"/>
                <w:sz w:val="19"/>
                <w:lang w:eastAsia="en-AU"/>
              </w:rPr>
              <w:t>3 402.9</w:t>
            </w:r>
          </w:p>
        </w:tc>
        <w:tc>
          <w:tcPr>
            <w:tcW w:w="964" w:type="dxa"/>
            <w:tcBorders>
              <w:top w:val="single" w:sz="6" w:space="0" w:color="000000"/>
              <w:left w:val="nil"/>
              <w:bottom w:val="single" w:sz="12"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19"/>
                <w:lang w:eastAsia="en-AU"/>
              </w:rPr>
            </w:pPr>
            <w:r w:rsidRPr="001E7FA9">
              <w:rPr>
                <w:rFonts w:ascii="Calibri" w:eastAsiaTheme="minorEastAsia" w:hAnsi="Calibri" w:cs="Calibri"/>
                <w:b/>
                <w:bCs/>
                <w:color w:val="000000"/>
                <w:sz w:val="19"/>
                <w:lang w:eastAsia="en-AU"/>
              </w:rPr>
              <w:t>3 609.7</w:t>
            </w:r>
          </w:p>
        </w:tc>
      </w:tr>
      <w:tr w:rsidR="00965D85" w:rsidRPr="001E7FA9" w:rsidTr="008B46DF">
        <w:trPr>
          <w:trHeight w:hRule="exact" w:val="120"/>
        </w:trPr>
        <w:tc>
          <w:tcPr>
            <w:tcW w:w="2947" w:type="dxa"/>
            <w:tcBorders>
              <w:top w:val="single" w:sz="12" w:space="0" w:color="000000"/>
              <w:left w:val="nil"/>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 xml:space="preserve"> </w:t>
            </w:r>
          </w:p>
        </w:tc>
        <w:tc>
          <w:tcPr>
            <w:tcW w:w="964" w:type="dxa"/>
            <w:gridSpan w:val="2"/>
            <w:tcBorders>
              <w:top w:val="single" w:sz="12" w:space="0" w:color="000000"/>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p>
        </w:tc>
        <w:tc>
          <w:tcPr>
            <w:tcW w:w="964" w:type="dxa"/>
            <w:tcBorders>
              <w:top w:val="single" w:sz="12" w:space="0" w:color="000000"/>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p>
        </w:tc>
        <w:tc>
          <w:tcPr>
            <w:tcW w:w="964" w:type="dxa"/>
            <w:tcBorders>
              <w:top w:val="single" w:sz="12" w:space="0" w:color="000000"/>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p>
        </w:tc>
        <w:tc>
          <w:tcPr>
            <w:tcW w:w="964" w:type="dxa"/>
            <w:tcBorders>
              <w:top w:val="single" w:sz="12" w:space="0" w:color="000000"/>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p>
        </w:tc>
        <w:tc>
          <w:tcPr>
            <w:tcW w:w="964" w:type="dxa"/>
            <w:tcBorders>
              <w:top w:val="single" w:sz="12" w:space="0" w:color="000000"/>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p>
        </w:tc>
      </w:tr>
    </w:tbl>
    <w:p w:rsidR="00965D85" w:rsidRDefault="00965D85"/>
    <w:p w:rsidR="00965D85" w:rsidRDefault="00965D85" w:rsidP="008B46DF">
      <w:pPr>
        <w:pStyle w:val="Tableheading"/>
        <w:rPr>
          <w:rFonts w:ascii="Times New Roman" w:hAnsi="Times New Roman"/>
          <w:i/>
          <w:sz w:val="20"/>
          <w:lang w:eastAsia="en-AU"/>
        </w:rPr>
      </w:pPr>
      <w:r w:rsidRPr="002A5552">
        <w:rPr>
          <w:lang w:eastAsia="en-AU"/>
        </w:rPr>
        <w:lastRenderedPageBreak/>
        <w:t>Table 5.15:</w:t>
      </w:r>
      <w:r w:rsidRPr="002A5552">
        <w:rPr>
          <w:lang w:eastAsia="en-AU"/>
        </w:rPr>
        <w:tab/>
        <w:t>Public financial corporations sector cash flow statement for the financial year ended 30 June</w:t>
      </w:r>
      <w:r w:rsidRPr="002A5552">
        <w:rPr>
          <w:vertAlign w:val="superscript"/>
          <w:lang w:eastAsia="en-AU"/>
        </w:rPr>
        <w:t>(a)</w:t>
      </w:r>
      <w:r>
        <w:rPr>
          <w:vertAlign w:val="superscript"/>
          <w:lang w:eastAsia="en-AU"/>
        </w:rPr>
        <w:t xml:space="preserve"> </w:t>
      </w:r>
      <w:r w:rsidRPr="00B941BF">
        <w:rPr>
          <w:i/>
          <w:lang w:eastAsia="en-AU"/>
        </w:rPr>
        <w:t>(continued)</w:t>
      </w:r>
    </w:p>
    <w:tbl>
      <w:tblPr>
        <w:tblW w:w="7767" w:type="dxa"/>
        <w:tblInd w:w="28" w:type="dxa"/>
        <w:tblLayout w:type="fixed"/>
        <w:tblCellMar>
          <w:left w:w="28" w:type="dxa"/>
          <w:right w:w="28" w:type="dxa"/>
        </w:tblCellMar>
        <w:tblLook w:val="0000" w:firstRow="0" w:lastRow="0" w:firstColumn="0" w:lastColumn="0" w:noHBand="0" w:noVBand="0"/>
      </w:tblPr>
      <w:tblGrid>
        <w:gridCol w:w="2947"/>
        <w:gridCol w:w="964"/>
        <w:gridCol w:w="964"/>
        <w:gridCol w:w="964"/>
        <w:gridCol w:w="964"/>
        <w:gridCol w:w="964"/>
      </w:tblGrid>
      <w:tr w:rsidR="00965D85" w:rsidRPr="001E7FA9" w:rsidTr="008B46DF">
        <w:trPr>
          <w:tblHeader/>
        </w:trPr>
        <w:tc>
          <w:tcPr>
            <w:tcW w:w="7767" w:type="dxa"/>
            <w:gridSpan w:val="6"/>
            <w:tcBorders>
              <w:top w:val="nil"/>
              <w:left w:val="nil"/>
              <w:bottom w:val="nil"/>
              <w:right w:val="nil"/>
            </w:tcBorders>
          </w:tcPr>
          <w:p w:rsidR="00965D85" w:rsidRPr="001E7FA9" w:rsidRDefault="00965D85" w:rsidP="008B46DF">
            <w:pPr>
              <w:pStyle w:val="million"/>
              <w:rPr>
                <w:rFonts w:eastAsiaTheme="minorEastAsia" w:cs="Calibri"/>
                <w:iCs/>
                <w:color w:val="000000"/>
                <w:sz w:val="20"/>
                <w:lang w:eastAsia="en-AU"/>
              </w:rPr>
            </w:pPr>
            <w:r w:rsidRPr="001E7FA9">
              <w:rPr>
                <w:rFonts w:eastAsiaTheme="minorEastAsia"/>
                <w:lang w:eastAsia="en-AU"/>
              </w:rPr>
              <w:t>($ million</w:t>
            </w:r>
            <w:r w:rsidRPr="001E7FA9">
              <w:rPr>
                <w:rFonts w:eastAsiaTheme="minorEastAsia" w:cs="Calibri"/>
                <w:iCs/>
                <w:color w:val="000000"/>
                <w:sz w:val="20"/>
                <w:lang w:eastAsia="en-AU"/>
              </w:rPr>
              <w:t>)</w:t>
            </w:r>
          </w:p>
        </w:tc>
      </w:tr>
      <w:tr w:rsidR="00965D85" w:rsidRPr="001E7FA9" w:rsidTr="008B46DF">
        <w:trPr>
          <w:trHeight w:val="464"/>
          <w:tblHeader/>
        </w:trPr>
        <w:tc>
          <w:tcPr>
            <w:tcW w:w="2947" w:type="dxa"/>
            <w:tcBorders>
              <w:top w:val="nil"/>
              <w:left w:val="nil"/>
              <w:right w:val="nil"/>
            </w:tcBorders>
            <w:shd w:val="solid" w:color="000000" w:fill="auto"/>
          </w:tcPr>
          <w:p w:rsidR="00965D85" w:rsidRPr="001E7FA9" w:rsidRDefault="00965D85" w:rsidP="008B46DF">
            <w:pPr>
              <w:autoSpaceDE w:val="0"/>
              <w:autoSpaceDN w:val="0"/>
              <w:adjustRightInd w:val="0"/>
              <w:spacing w:after="0"/>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 xml:space="preserve"> </w:t>
            </w:r>
          </w:p>
          <w:p w:rsidR="00965D85" w:rsidRPr="001E7FA9" w:rsidRDefault="00965D85" w:rsidP="008B46DF">
            <w:pPr>
              <w:autoSpaceDE w:val="0"/>
              <w:autoSpaceDN w:val="0"/>
              <w:adjustRightInd w:val="0"/>
              <w:spacing w:after="0"/>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 xml:space="preserve"> </w:t>
            </w:r>
          </w:p>
        </w:tc>
        <w:tc>
          <w:tcPr>
            <w:tcW w:w="964" w:type="dxa"/>
            <w:tcBorders>
              <w:top w:val="nil"/>
              <w:left w:val="nil"/>
              <w:right w:val="nil"/>
            </w:tcBorders>
            <w:shd w:val="solid" w:color="000000" w:fill="auto"/>
          </w:tcPr>
          <w:p w:rsidR="00965D85" w:rsidRPr="001E7FA9" w:rsidRDefault="00965D85" w:rsidP="008B46DF">
            <w:pPr>
              <w:autoSpaceDE w:val="0"/>
              <w:autoSpaceDN w:val="0"/>
              <w:adjustRightInd w:val="0"/>
              <w:spacing w:after="0"/>
              <w:jc w:val="right"/>
              <w:rPr>
                <w:rFonts w:ascii="Calibri" w:eastAsiaTheme="minorEastAsia" w:hAnsi="Calibri" w:cs="Calibri"/>
                <w:i/>
                <w:iCs/>
                <w:color w:val="FFFFFF"/>
                <w:sz w:val="19"/>
                <w:lang w:eastAsia="en-AU"/>
              </w:rPr>
            </w:pPr>
            <w:r w:rsidRPr="001E7FA9">
              <w:rPr>
                <w:rFonts w:ascii="Calibri" w:eastAsiaTheme="minorEastAsia" w:hAnsi="Calibri" w:cs="Calibri"/>
                <w:i/>
                <w:iCs/>
                <w:color w:val="FFFFFF"/>
                <w:sz w:val="19"/>
                <w:lang w:eastAsia="en-AU"/>
              </w:rPr>
              <w:t>2015</w:t>
            </w:r>
            <w:r>
              <w:rPr>
                <w:rFonts w:ascii="Calibri" w:eastAsiaTheme="minorEastAsia" w:hAnsi="Calibri" w:cs="Calibri"/>
                <w:i/>
                <w:iCs/>
                <w:color w:val="FFFFFF"/>
                <w:sz w:val="19"/>
                <w:lang w:eastAsia="en-AU"/>
              </w:rPr>
              <w:noBreakHyphen/>
            </w:r>
            <w:r w:rsidRPr="001E7FA9">
              <w:rPr>
                <w:rFonts w:ascii="Calibri" w:eastAsiaTheme="minorEastAsia" w:hAnsi="Calibri" w:cs="Calibri"/>
                <w:i/>
                <w:iCs/>
                <w:color w:val="FFFFFF"/>
                <w:sz w:val="19"/>
                <w:lang w:eastAsia="en-AU"/>
              </w:rPr>
              <w:t>16</w:t>
            </w:r>
          </w:p>
          <w:p w:rsidR="00965D85" w:rsidRPr="001E7FA9" w:rsidRDefault="00965D85" w:rsidP="008B46DF">
            <w:pPr>
              <w:autoSpaceDE w:val="0"/>
              <w:autoSpaceDN w:val="0"/>
              <w:adjustRightInd w:val="0"/>
              <w:spacing w:after="0"/>
              <w:jc w:val="right"/>
              <w:rPr>
                <w:rFonts w:ascii="Calibri" w:eastAsiaTheme="minorEastAsia" w:hAnsi="Calibri" w:cs="Calibri"/>
                <w:i/>
                <w:iCs/>
                <w:color w:val="FFFFFF"/>
                <w:sz w:val="19"/>
                <w:lang w:eastAsia="en-AU"/>
              </w:rPr>
            </w:pPr>
            <w:r w:rsidRPr="001E7FA9">
              <w:rPr>
                <w:rFonts w:ascii="Calibri" w:eastAsiaTheme="minorEastAsia" w:hAnsi="Calibri" w:cs="Calibri"/>
                <w:i/>
                <w:iCs/>
                <w:color w:val="FFFFFF"/>
                <w:sz w:val="19"/>
                <w:lang w:eastAsia="en-AU"/>
              </w:rPr>
              <w:t>budget</w:t>
            </w:r>
          </w:p>
        </w:tc>
        <w:tc>
          <w:tcPr>
            <w:tcW w:w="964" w:type="dxa"/>
            <w:tcBorders>
              <w:top w:val="nil"/>
              <w:left w:val="nil"/>
              <w:right w:val="nil"/>
            </w:tcBorders>
            <w:shd w:val="solid" w:color="000000" w:fill="auto"/>
          </w:tcPr>
          <w:p w:rsidR="00965D85" w:rsidRPr="001E7FA9" w:rsidRDefault="00965D85" w:rsidP="008B46DF">
            <w:pPr>
              <w:autoSpaceDE w:val="0"/>
              <w:autoSpaceDN w:val="0"/>
              <w:adjustRightInd w:val="0"/>
              <w:spacing w:after="0"/>
              <w:jc w:val="right"/>
              <w:rPr>
                <w:rFonts w:ascii="Calibri" w:eastAsiaTheme="minorEastAsia" w:hAnsi="Calibri" w:cs="Calibri"/>
                <w:i/>
                <w:iCs/>
                <w:color w:val="FFFFFF"/>
                <w:sz w:val="19"/>
                <w:lang w:eastAsia="en-AU"/>
              </w:rPr>
            </w:pPr>
            <w:r w:rsidRPr="001E7FA9">
              <w:rPr>
                <w:rFonts w:ascii="Calibri" w:eastAsiaTheme="minorEastAsia" w:hAnsi="Calibri" w:cs="Calibri"/>
                <w:i/>
                <w:iCs/>
                <w:color w:val="FFFFFF"/>
                <w:sz w:val="19"/>
                <w:lang w:eastAsia="en-AU"/>
              </w:rPr>
              <w:t>2015</w:t>
            </w:r>
            <w:r>
              <w:rPr>
                <w:rFonts w:ascii="Calibri" w:eastAsiaTheme="minorEastAsia" w:hAnsi="Calibri" w:cs="Calibri"/>
                <w:i/>
                <w:iCs/>
                <w:color w:val="FFFFFF"/>
                <w:sz w:val="19"/>
                <w:lang w:eastAsia="en-AU"/>
              </w:rPr>
              <w:noBreakHyphen/>
            </w:r>
            <w:r w:rsidRPr="001E7FA9">
              <w:rPr>
                <w:rFonts w:ascii="Calibri" w:eastAsiaTheme="minorEastAsia" w:hAnsi="Calibri" w:cs="Calibri"/>
                <w:i/>
                <w:iCs/>
                <w:color w:val="FFFFFF"/>
                <w:sz w:val="19"/>
                <w:lang w:eastAsia="en-AU"/>
              </w:rPr>
              <w:t>16</w:t>
            </w:r>
          </w:p>
          <w:p w:rsidR="00965D85" w:rsidRPr="001E7FA9" w:rsidRDefault="00965D85" w:rsidP="008B46DF">
            <w:pPr>
              <w:autoSpaceDE w:val="0"/>
              <w:autoSpaceDN w:val="0"/>
              <w:adjustRightInd w:val="0"/>
              <w:spacing w:after="0"/>
              <w:jc w:val="right"/>
              <w:rPr>
                <w:rFonts w:ascii="Calibri" w:eastAsiaTheme="minorEastAsia" w:hAnsi="Calibri" w:cs="Calibri"/>
                <w:i/>
                <w:iCs/>
                <w:color w:val="FFFFFF"/>
                <w:sz w:val="19"/>
                <w:lang w:eastAsia="en-AU"/>
              </w:rPr>
            </w:pPr>
            <w:r w:rsidRPr="001E7FA9">
              <w:rPr>
                <w:rFonts w:ascii="Calibri" w:eastAsiaTheme="minorEastAsia" w:hAnsi="Calibri" w:cs="Calibri"/>
                <w:i/>
                <w:iCs/>
                <w:color w:val="FFFFFF"/>
                <w:sz w:val="19"/>
                <w:lang w:eastAsia="en-AU"/>
              </w:rPr>
              <w:t>revised</w:t>
            </w:r>
          </w:p>
        </w:tc>
        <w:tc>
          <w:tcPr>
            <w:tcW w:w="964" w:type="dxa"/>
            <w:tcBorders>
              <w:top w:val="nil"/>
              <w:left w:val="nil"/>
              <w:right w:val="nil"/>
            </w:tcBorders>
            <w:shd w:val="solid" w:color="000000" w:fill="auto"/>
          </w:tcPr>
          <w:p w:rsidR="00965D85" w:rsidRPr="001E7FA9" w:rsidRDefault="00965D85" w:rsidP="008B46DF">
            <w:pPr>
              <w:autoSpaceDE w:val="0"/>
              <w:autoSpaceDN w:val="0"/>
              <w:adjustRightInd w:val="0"/>
              <w:spacing w:after="0"/>
              <w:jc w:val="right"/>
              <w:rPr>
                <w:rFonts w:ascii="Calibri" w:eastAsiaTheme="minorEastAsia" w:hAnsi="Calibri" w:cs="Calibri"/>
                <w:i/>
                <w:iCs/>
                <w:color w:val="FFFFFF"/>
                <w:sz w:val="19"/>
                <w:lang w:eastAsia="en-AU"/>
              </w:rPr>
            </w:pPr>
            <w:r w:rsidRPr="001E7FA9">
              <w:rPr>
                <w:rFonts w:ascii="Calibri" w:eastAsiaTheme="minorEastAsia" w:hAnsi="Calibri" w:cs="Calibri"/>
                <w:i/>
                <w:iCs/>
                <w:color w:val="FFFFFF"/>
                <w:sz w:val="19"/>
                <w:lang w:eastAsia="en-AU"/>
              </w:rPr>
              <w:t>2016</w:t>
            </w:r>
            <w:r>
              <w:rPr>
                <w:rFonts w:ascii="Calibri" w:eastAsiaTheme="minorEastAsia" w:hAnsi="Calibri" w:cs="Calibri"/>
                <w:i/>
                <w:iCs/>
                <w:color w:val="FFFFFF"/>
                <w:sz w:val="19"/>
                <w:lang w:eastAsia="en-AU"/>
              </w:rPr>
              <w:noBreakHyphen/>
            </w:r>
            <w:r w:rsidRPr="001E7FA9">
              <w:rPr>
                <w:rFonts w:ascii="Calibri" w:eastAsiaTheme="minorEastAsia" w:hAnsi="Calibri" w:cs="Calibri"/>
                <w:i/>
                <w:iCs/>
                <w:color w:val="FFFFFF"/>
                <w:sz w:val="19"/>
                <w:lang w:eastAsia="en-AU"/>
              </w:rPr>
              <w:t>17</w:t>
            </w:r>
          </w:p>
          <w:p w:rsidR="00965D85" w:rsidRPr="001E7FA9" w:rsidRDefault="00965D85" w:rsidP="008B46DF">
            <w:pPr>
              <w:autoSpaceDE w:val="0"/>
              <w:autoSpaceDN w:val="0"/>
              <w:adjustRightInd w:val="0"/>
              <w:spacing w:after="0"/>
              <w:jc w:val="right"/>
              <w:rPr>
                <w:rFonts w:ascii="Calibri" w:eastAsiaTheme="minorEastAsia" w:hAnsi="Calibri" w:cs="Calibri"/>
                <w:i/>
                <w:iCs/>
                <w:color w:val="FFFFFF"/>
                <w:sz w:val="19"/>
                <w:lang w:eastAsia="en-AU"/>
              </w:rPr>
            </w:pPr>
            <w:r w:rsidRPr="001E7FA9">
              <w:rPr>
                <w:rFonts w:ascii="Calibri" w:eastAsiaTheme="minorEastAsia" w:hAnsi="Calibri" w:cs="Calibri"/>
                <w:i/>
                <w:iCs/>
                <w:color w:val="FFFFFF"/>
                <w:sz w:val="19"/>
                <w:lang w:eastAsia="en-AU"/>
              </w:rPr>
              <w:t>estimate</w:t>
            </w:r>
          </w:p>
        </w:tc>
        <w:tc>
          <w:tcPr>
            <w:tcW w:w="964" w:type="dxa"/>
            <w:tcBorders>
              <w:top w:val="nil"/>
              <w:left w:val="nil"/>
              <w:right w:val="nil"/>
            </w:tcBorders>
            <w:shd w:val="solid" w:color="000000" w:fill="auto"/>
          </w:tcPr>
          <w:p w:rsidR="00965D85" w:rsidRPr="001E7FA9" w:rsidRDefault="00965D85" w:rsidP="008B46DF">
            <w:pPr>
              <w:autoSpaceDE w:val="0"/>
              <w:autoSpaceDN w:val="0"/>
              <w:adjustRightInd w:val="0"/>
              <w:spacing w:after="0"/>
              <w:jc w:val="right"/>
              <w:rPr>
                <w:rFonts w:ascii="Calibri" w:eastAsiaTheme="minorEastAsia" w:hAnsi="Calibri" w:cs="Calibri"/>
                <w:i/>
                <w:iCs/>
                <w:color w:val="FFFFFF"/>
                <w:sz w:val="19"/>
                <w:lang w:eastAsia="en-AU"/>
              </w:rPr>
            </w:pPr>
            <w:r w:rsidRPr="001E7FA9">
              <w:rPr>
                <w:rFonts w:ascii="Calibri" w:eastAsiaTheme="minorEastAsia" w:hAnsi="Calibri" w:cs="Calibri"/>
                <w:i/>
                <w:iCs/>
                <w:color w:val="FFFFFF"/>
                <w:sz w:val="19"/>
                <w:lang w:eastAsia="en-AU"/>
              </w:rPr>
              <w:t>2017</w:t>
            </w:r>
            <w:r>
              <w:rPr>
                <w:rFonts w:ascii="Calibri" w:eastAsiaTheme="minorEastAsia" w:hAnsi="Calibri" w:cs="Calibri"/>
                <w:i/>
                <w:iCs/>
                <w:color w:val="FFFFFF"/>
                <w:sz w:val="19"/>
                <w:lang w:eastAsia="en-AU"/>
              </w:rPr>
              <w:noBreakHyphen/>
            </w:r>
            <w:r w:rsidRPr="001E7FA9">
              <w:rPr>
                <w:rFonts w:ascii="Calibri" w:eastAsiaTheme="minorEastAsia" w:hAnsi="Calibri" w:cs="Calibri"/>
                <w:i/>
                <w:iCs/>
                <w:color w:val="FFFFFF"/>
                <w:sz w:val="19"/>
                <w:lang w:eastAsia="en-AU"/>
              </w:rPr>
              <w:t>18</w:t>
            </w:r>
          </w:p>
          <w:p w:rsidR="00965D85" w:rsidRPr="001E7FA9" w:rsidRDefault="00965D85" w:rsidP="008B46DF">
            <w:pPr>
              <w:autoSpaceDE w:val="0"/>
              <w:autoSpaceDN w:val="0"/>
              <w:adjustRightInd w:val="0"/>
              <w:spacing w:after="0"/>
              <w:jc w:val="right"/>
              <w:rPr>
                <w:rFonts w:ascii="Calibri" w:eastAsiaTheme="minorEastAsia" w:hAnsi="Calibri" w:cs="Calibri"/>
                <w:i/>
                <w:iCs/>
                <w:color w:val="FFFFFF"/>
                <w:sz w:val="19"/>
                <w:lang w:eastAsia="en-AU"/>
              </w:rPr>
            </w:pPr>
            <w:r w:rsidRPr="001E7FA9">
              <w:rPr>
                <w:rFonts w:ascii="Calibri" w:eastAsiaTheme="minorEastAsia" w:hAnsi="Calibri" w:cs="Calibri"/>
                <w:i/>
                <w:iCs/>
                <w:color w:val="FFFFFF"/>
                <w:sz w:val="19"/>
                <w:lang w:eastAsia="en-AU"/>
              </w:rPr>
              <w:t>estimate</w:t>
            </w:r>
          </w:p>
        </w:tc>
        <w:tc>
          <w:tcPr>
            <w:tcW w:w="964" w:type="dxa"/>
            <w:tcBorders>
              <w:top w:val="nil"/>
              <w:left w:val="nil"/>
              <w:right w:val="nil"/>
            </w:tcBorders>
            <w:shd w:val="solid" w:color="000000" w:fill="auto"/>
          </w:tcPr>
          <w:p w:rsidR="00965D85" w:rsidRPr="001E7FA9" w:rsidRDefault="00965D85" w:rsidP="008B46DF">
            <w:pPr>
              <w:autoSpaceDE w:val="0"/>
              <w:autoSpaceDN w:val="0"/>
              <w:adjustRightInd w:val="0"/>
              <w:spacing w:after="0"/>
              <w:jc w:val="right"/>
              <w:rPr>
                <w:rFonts w:ascii="Calibri" w:eastAsiaTheme="minorEastAsia" w:hAnsi="Calibri" w:cs="Calibri"/>
                <w:i/>
                <w:iCs/>
                <w:color w:val="FFFFFF"/>
                <w:sz w:val="19"/>
                <w:lang w:eastAsia="en-AU"/>
              </w:rPr>
            </w:pPr>
            <w:r w:rsidRPr="001E7FA9">
              <w:rPr>
                <w:rFonts w:ascii="Calibri" w:eastAsiaTheme="minorEastAsia" w:hAnsi="Calibri" w:cs="Calibri"/>
                <w:i/>
                <w:iCs/>
                <w:color w:val="FFFFFF"/>
                <w:sz w:val="19"/>
                <w:lang w:eastAsia="en-AU"/>
              </w:rPr>
              <w:t>2018</w:t>
            </w:r>
            <w:r>
              <w:rPr>
                <w:rFonts w:ascii="Calibri" w:eastAsiaTheme="minorEastAsia" w:hAnsi="Calibri" w:cs="Calibri"/>
                <w:i/>
                <w:iCs/>
                <w:color w:val="FFFFFF"/>
                <w:sz w:val="19"/>
                <w:lang w:eastAsia="en-AU"/>
              </w:rPr>
              <w:noBreakHyphen/>
            </w:r>
            <w:r w:rsidRPr="001E7FA9">
              <w:rPr>
                <w:rFonts w:ascii="Calibri" w:eastAsiaTheme="minorEastAsia" w:hAnsi="Calibri" w:cs="Calibri"/>
                <w:i/>
                <w:iCs/>
                <w:color w:val="FFFFFF"/>
                <w:sz w:val="19"/>
                <w:lang w:eastAsia="en-AU"/>
              </w:rPr>
              <w:t>19</w:t>
            </w:r>
          </w:p>
          <w:p w:rsidR="00965D85" w:rsidRPr="001E7FA9" w:rsidRDefault="00965D85" w:rsidP="008B46DF">
            <w:pPr>
              <w:autoSpaceDE w:val="0"/>
              <w:autoSpaceDN w:val="0"/>
              <w:adjustRightInd w:val="0"/>
              <w:spacing w:after="0"/>
              <w:jc w:val="right"/>
              <w:rPr>
                <w:rFonts w:ascii="Calibri" w:eastAsiaTheme="minorEastAsia" w:hAnsi="Calibri" w:cs="Calibri"/>
                <w:i/>
                <w:iCs/>
                <w:color w:val="FFFFFF"/>
                <w:sz w:val="19"/>
                <w:lang w:eastAsia="en-AU"/>
              </w:rPr>
            </w:pPr>
            <w:r w:rsidRPr="001E7FA9">
              <w:rPr>
                <w:rFonts w:ascii="Calibri" w:eastAsiaTheme="minorEastAsia" w:hAnsi="Calibri" w:cs="Calibri"/>
                <w:i/>
                <w:iCs/>
                <w:color w:val="FFFFFF"/>
                <w:sz w:val="19"/>
                <w:lang w:eastAsia="en-AU"/>
              </w:rPr>
              <w:t>estimate</w:t>
            </w:r>
          </w:p>
        </w:tc>
      </w:tr>
      <w:tr w:rsidR="00965D85" w:rsidRPr="001E7FA9" w:rsidTr="008B46DF">
        <w:tc>
          <w:tcPr>
            <w:tcW w:w="2947" w:type="dxa"/>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b/>
                <w:bCs/>
                <w:color w:val="000000"/>
                <w:sz w:val="19"/>
                <w:lang w:eastAsia="en-AU"/>
              </w:rPr>
            </w:pPr>
            <w:r w:rsidRPr="001E7FA9">
              <w:rPr>
                <w:rFonts w:ascii="Calibri" w:eastAsiaTheme="minorEastAsia" w:hAnsi="Calibri" w:cs="Calibri"/>
                <w:b/>
                <w:bCs/>
                <w:color w:val="000000"/>
                <w:sz w:val="19"/>
                <w:lang w:eastAsia="en-AU"/>
              </w:rPr>
              <w:t>FISCAL AGGREGATES</w:t>
            </w: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r>
      <w:tr w:rsidR="00965D85" w:rsidRPr="001E7FA9" w:rsidTr="008B46DF">
        <w:tc>
          <w:tcPr>
            <w:tcW w:w="2947" w:type="dxa"/>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Net cash flows from operating activities</w:t>
            </w: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1 146.9</w:t>
            </w: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537.6</w:t>
            </w: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1 419.1</w:t>
            </w: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1 269.7</w:t>
            </w: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1 272.7</w:t>
            </w:r>
          </w:p>
        </w:tc>
      </w:tr>
      <w:tr w:rsidR="00965D85" w:rsidRPr="001E7FA9" w:rsidTr="008B46DF">
        <w:tc>
          <w:tcPr>
            <w:tcW w:w="2947" w:type="dxa"/>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Dividends paid</w:t>
            </w: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(619.5)</w:t>
            </w: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(613.6)</w:t>
            </w: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(514.7)</w:t>
            </w: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(526.5)</w:t>
            </w: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(336.0)</w:t>
            </w:r>
          </w:p>
        </w:tc>
      </w:tr>
      <w:tr w:rsidR="00965D85" w:rsidRPr="001E7FA9" w:rsidTr="008B46DF">
        <w:tc>
          <w:tcPr>
            <w:tcW w:w="2947" w:type="dxa"/>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Net cash flows from investments in non</w:t>
            </w:r>
            <w:r>
              <w:rPr>
                <w:rFonts w:ascii="Calibri" w:eastAsiaTheme="minorEastAsia" w:hAnsi="Calibri" w:cs="Calibri"/>
                <w:color w:val="000000"/>
                <w:sz w:val="19"/>
                <w:lang w:eastAsia="en-AU"/>
              </w:rPr>
              <w:noBreakHyphen/>
            </w:r>
            <w:r w:rsidRPr="001E7FA9">
              <w:rPr>
                <w:rFonts w:ascii="Calibri" w:eastAsiaTheme="minorEastAsia" w:hAnsi="Calibri" w:cs="Calibri"/>
                <w:color w:val="000000"/>
                <w:sz w:val="19"/>
                <w:lang w:eastAsia="en-AU"/>
              </w:rPr>
              <w:t>financial assets</w:t>
            </w:r>
          </w:p>
        </w:tc>
        <w:tc>
          <w:tcPr>
            <w:tcW w:w="964" w:type="dxa"/>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(46.6)</w:t>
            </w:r>
          </w:p>
        </w:tc>
        <w:tc>
          <w:tcPr>
            <w:tcW w:w="964" w:type="dxa"/>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(45.0)</w:t>
            </w:r>
          </w:p>
        </w:tc>
        <w:tc>
          <w:tcPr>
            <w:tcW w:w="964" w:type="dxa"/>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(49.5)</w:t>
            </w:r>
          </w:p>
        </w:tc>
        <w:tc>
          <w:tcPr>
            <w:tcW w:w="964" w:type="dxa"/>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(50.2)</w:t>
            </w:r>
          </w:p>
        </w:tc>
        <w:tc>
          <w:tcPr>
            <w:tcW w:w="964" w:type="dxa"/>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(34.6)</w:t>
            </w:r>
          </w:p>
        </w:tc>
      </w:tr>
      <w:tr w:rsidR="00965D85" w:rsidRPr="001E7FA9" w:rsidTr="008B46DF">
        <w:tc>
          <w:tcPr>
            <w:tcW w:w="2947" w:type="dxa"/>
            <w:tcBorders>
              <w:top w:val="single" w:sz="6" w:space="0" w:color="000000"/>
              <w:left w:val="nil"/>
              <w:bottom w:val="single" w:sz="12" w:space="0" w:color="auto"/>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b/>
                <w:bCs/>
                <w:color w:val="000000"/>
                <w:sz w:val="19"/>
                <w:lang w:eastAsia="en-AU"/>
              </w:rPr>
            </w:pPr>
            <w:r w:rsidRPr="001E7FA9">
              <w:rPr>
                <w:rFonts w:ascii="Calibri" w:eastAsiaTheme="minorEastAsia" w:hAnsi="Calibri" w:cs="Calibri"/>
                <w:b/>
                <w:bCs/>
                <w:color w:val="000000"/>
                <w:sz w:val="19"/>
                <w:lang w:eastAsia="en-AU"/>
              </w:rPr>
              <w:t>Cash surplus/(deficit)</w:t>
            </w:r>
          </w:p>
        </w:tc>
        <w:tc>
          <w:tcPr>
            <w:tcW w:w="964" w:type="dxa"/>
            <w:tcBorders>
              <w:top w:val="single" w:sz="6" w:space="0" w:color="000000"/>
              <w:left w:val="nil"/>
              <w:bottom w:val="single" w:sz="12" w:space="0" w:color="auto"/>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19"/>
                <w:lang w:eastAsia="en-AU"/>
              </w:rPr>
              <w:t>480.8</w:t>
            </w:r>
          </w:p>
        </w:tc>
        <w:tc>
          <w:tcPr>
            <w:tcW w:w="964" w:type="dxa"/>
            <w:tcBorders>
              <w:top w:val="single" w:sz="6" w:space="0" w:color="000000"/>
              <w:left w:val="nil"/>
              <w:bottom w:val="single" w:sz="12" w:space="0" w:color="auto"/>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19"/>
                <w:lang w:eastAsia="en-AU"/>
              </w:rPr>
              <w:t>(120.9)</w:t>
            </w:r>
          </w:p>
        </w:tc>
        <w:tc>
          <w:tcPr>
            <w:tcW w:w="964" w:type="dxa"/>
            <w:tcBorders>
              <w:top w:val="single" w:sz="6" w:space="0" w:color="000000"/>
              <w:left w:val="nil"/>
              <w:bottom w:val="single" w:sz="12" w:space="0" w:color="auto"/>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19"/>
                <w:lang w:eastAsia="en-AU"/>
              </w:rPr>
              <w:t>854.9</w:t>
            </w:r>
          </w:p>
        </w:tc>
        <w:tc>
          <w:tcPr>
            <w:tcW w:w="964" w:type="dxa"/>
            <w:tcBorders>
              <w:top w:val="single" w:sz="6" w:space="0" w:color="000000"/>
              <w:left w:val="nil"/>
              <w:bottom w:val="single" w:sz="12" w:space="0" w:color="auto"/>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19"/>
                <w:lang w:eastAsia="en-AU"/>
              </w:rPr>
              <w:t>693.0</w:t>
            </w:r>
          </w:p>
        </w:tc>
        <w:tc>
          <w:tcPr>
            <w:tcW w:w="964" w:type="dxa"/>
            <w:tcBorders>
              <w:top w:val="single" w:sz="6" w:space="0" w:color="000000"/>
              <w:left w:val="nil"/>
              <w:bottom w:val="single" w:sz="12" w:space="0" w:color="auto"/>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19"/>
                <w:lang w:eastAsia="en-AU"/>
              </w:rPr>
              <w:t>902.1</w:t>
            </w:r>
          </w:p>
        </w:tc>
      </w:tr>
      <w:tr w:rsidR="00965D85" w:rsidRPr="001E7FA9" w:rsidTr="008B46DF">
        <w:tc>
          <w:tcPr>
            <w:tcW w:w="7767" w:type="dxa"/>
            <w:gridSpan w:val="6"/>
            <w:tcBorders>
              <w:top w:val="single" w:sz="12" w:space="0" w:color="auto"/>
              <w:left w:val="nil"/>
              <w:bottom w:val="nil"/>
              <w:right w:val="nil"/>
            </w:tcBorders>
            <w:shd w:val="clear" w:color="auto" w:fill="auto"/>
          </w:tcPr>
          <w:p w:rsidR="00965D85" w:rsidRPr="001E7FA9" w:rsidRDefault="00965D85" w:rsidP="008B46DF">
            <w:pPr>
              <w:pStyle w:val="Source"/>
              <w:rPr>
                <w:rFonts w:eastAsiaTheme="minorEastAsia"/>
                <w:lang w:eastAsia="en-AU"/>
              </w:rPr>
            </w:pPr>
            <w:r w:rsidRPr="001E7FA9">
              <w:rPr>
                <w:rFonts w:eastAsiaTheme="minorEastAsia"/>
                <w:lang w:eastAsia="en-AU"/>
              </w:rPr>
              <w:t>Source: Department of Treasury and Finance</w:t>
            </w:r>
          </w:p>
        </w:tc>
      </w:tr>
    </w:tbl>
    <w:p w:rsidR="00965D85" w:rsidRPr="0027082E" w:rsidRDefault="00965D85" w:rsidP="008B46DF">
      <w:pPr>
        <w:pStyle w:val="Notes"/>
        <w:rPr>
          <w:lang w:eastAsia="en-AU"/>
        </w:rPr>
      </w:pPr>
      <w:r w:rsidRPr="0027082E">
        <w:rPr>
          <w:lang w:eastAsia="en-AU"/>
        </w:rPr>
        <w:t>Note</w:t>
      </w:r>
      <w:r>
        <w:rPr>
          <w:lang w:eastAsia="en-AU"/>
        </w:rPr>
        <w:t>s</w:t>
      </w:r>
      <w:r w:rsidRPr="0027082E">
        <w:rPr>
          <w:lang w:eastAsia="en-AU"/>
        </w:rPr>
        <w:t>:</w:t>
      </w:r>
    </w:p>
    <w:p w:rsidR="00965D85" w:rsidRDefault="00965D85" w:rsidP="008B46DF">
      <w:pPr>
        <w:pStyle w:val="Notes"/>
        <w:numPr>
          <w:ilvl w:val="0"/>
          <w:numId w:val="43"/>
        </w:numPr>
        <w:rPr>
          <w:lang w:eastAsia="en-AU"/>
        </w:rPr>
      </w:pPr>
      <w:r>
        <w:rPr>
          <w:lang w:eastAsia="en-AU"/>
        </w:rPr>
        <w:t>Certain line items have been aggregated in the table above due to commercial sensitivities of balances.</w:t>
      </w:r>
    </w:p>
    <w:p w:rsidR="00965D85" w:rsidRDefault="00965D85" w:rsidP="008B46DF">
      <w:pPr>
        <w:pStyle w:val="Notes"/>
        <w:numPr>
          <w:ilvl w:val="0"/>
          <w:numId w:val="43"/>
        </w:numPr>
        <w:rPr>
          <w:lang w:eastAsia="en-AU"/>
        </w:rPr>
      </w:pPr>
      <w:r>
        <w:rPr>
          <w:lang w:eastAsia="en-AU"/>
        </w:rPr>
        <w:t>Inclusive of goods and services tax.</w:t>
      </w:r>
    </w:p>
    <w:p w:rsidR="00965D85" w:rsidRDefault="00965D85" w:rsidP="008B46DF">
      <w:pPr>
        <w:pStyle w:val="Notes"/>
        <w:numPr>
          <w:ilvl w:val="0"/>
          <w:numId w:val="43"/>
        </w:numPr>
        <w:rPr>
          <w:lang w:eastAsia="en-AU"/>
        </w:rPr>
      </w:pPr>
      <w:r w:rsidRPr="004D3C1E">
        <w:rPr>
          <w:i w:val="0"/>
        </w:rPr>
        <w:t>2015</w:t>
      </w:r>
      <w:r>
        <w:rPr>
          <w:i w:val="0"/>
        </w:rPr>
        <w:noBreakHyphen/>
      </w:r>
      <w:r w:rsidRPr="004D3C1E">
        <w:rPr>
          <w:i w:val="0"/>
        </w:rPr>
        <w:t>16 Budget</w:t>
      </w:r>
      <w:r w:rsidRPr="000E2577">
        <w:t xml:space="preserve"> figures have been restated to represent actual opening balances at 1 July 2015.</w:t>
      </w:r>
    </w:p>
    <w:p w:rsidR="00965D85" w:rsidRDefault="00965D85" w:rsidP="008B46DF">
      <w:pPr>
        <w:pStyle w:val="Notes"/>
        <w:numPr>
          <w:ilvl w:val="0"/>
          <w:numId w:val="43"/>
        </w:numPr>
        <w:rPr>
          <w:lang w:eastAsia="en-AU"/>
        </w:rPr>
      </w:pPr>
      <w:r>
        <w:rPr>
          <w:lang w:eastAsia="en-AU"/>
        </w:rPr>
        <w:t>Cash and cash equivalents at the end of the reporting period in the 2015</w:t>
      </w:r>
      <w:r>
        <w:rPr>
          <w:lang w:eastAsia="en-AU"/>
        </w:rPr>
        <w:noBreakHyphen/>
        <w:t>16 budget year does not equal cash and deposits on the balance sheet. This is due to the overdraft being included on the cash flow statement.</w:t>
      </w:r>
    </w:p>
    <w:p w:rsidR="00965D85" w:rsidRDefault="00965D85" w:rsidP="008B46DF">
      <w:pPr>
        <w:pStyle w:val="Notes"/>
        <w:rPr>
          <w:lang w:eastAsia="en-AU"/>
        </w:rPr>
      </w:pPr>
    </w:p>
    <w:p w:rsidR="00965D85" w:rsidRDefault="00965D85">
      <w:pPr>
        <w:spacing w:after="0"/>
        <w:rPr>
          <w:rFonts w:ascii="Calibri" w:hAnsi="Calibri"/>
          <w:b/>
          <w:lang w:eastAsia="en-AU"/>
        </w:rPr>
      </w:pPr>
      <w:r>
        <w:rPr>
          <w:lang w:eastAsia="en-AU"/>
        </w:rPr>
        <w:br w:type="page"/>
      </w:r>
    </w:p>
    <w:p w:rsidR="00965D85" w:rsidRPr="001E7FA9" w:rsidRDefault="00965D85" w:rsidP="008B46DF">
      <w:pPr>
        <w:pStyle w:val="Tableheading"/>
        <w:rPr>
          <w:rFonts w:ascii="Times New Roman" w:hAnsi="Times New Roman"/>
          <w:b w:val="0"/>
          <w:sz w:val="20"/>
          <w:lang w:eastAsia="en-AU"/>
        </w:rPr>
      </w:pPr>
      <w:r w:rsidRPr="00807E7D">
        <w:rPr>
          <w:lang w:eastAsia="en-AU"/>
        </w:rPr>
        <w:lastRenderedPageBreak/>
        <w:t>Table 5.16:</w:t>
      </w:r>
      <w:r w:rsidRPr="00807E7D">
        <w:rPr>
          <w:lang w:eastAsia="en-AU"/>
        </w:rPr>
        <w:tab/>
        <w:t>Public financial corporations sector statement of changes in equity</w:t>
      </w:r>
    </w:p>
    <w:tbl>
      <w:tblPr>
        <w:tblW w:w="7767" w:type="dxa"/>
        <w:tblInd w:w="28" w:type="dxa"/>
        <w:tblLayout w:type="fixed"/>
        <w:tblCellMar>
          <w:left w:w="28" w:type="dxa"/>
          <w:right w:w="28" w:type="dxa"/>
        </w:tblCellMar>
        <w:tblLook w:val="0000" w:firstRow="0" w:lastRow="0" w:firstColumn="0" w:lastColumn="0" w:noHBand="0" w:noVBand="0"/>
      </w:tblPr>
      <w:tblGrid>
        <w:gridCol w:w="4536"/>
        <w:gridCol w:w="1843"/>
        <w:gridCol w:w="1388"/>
      </w:tblGrid>
      <w:tr w:rsidR="00965D85" w:rsidRPr="001E7FA9" w:rsidTr="008B46DF">
        <w:trPr>
          <w:tblHeader/>
        </w:trPr>
        <w:tc>
          <w:tcPr>
            <w:tcW w:w="7767" w:type="dxa"/>
            <w:gridSpan w:val="3"/>
            <w:tcBorders>
              <w:top w:val="nil"/>
              <w:left w:val="nil"/>
              <w:bottom w:val="nil"/>
              <w:right w:val="nil"/>
            </w:tcBorders>
          </w:tcPr>
          <w:p w:rsidR="00965D85" w:rsidRPr="001E7FA9" w:rsidRDefault="00965D85" w:rsidP="008B46DF">
            <w:pPr>
              <w:pStyle w:val="million"/>
              <w:rPr>
                <w:rFonts w:eastAsiaTheme="minorEastAsia" w:cs="Calibri"/>
                <w:iCs/>
                <w:color w:val="000000"/>
                <w:sz w:val="20"/>
                <w:lang w:eastAsia="en-AU"/>
              </w:rPr>
            </w:pPr>
            <w:r w:rsidRPr="001E7FA9">
              <w:rPr>
                <w:rFonts w:eastAsiaTheme="minorEastAsia"/>
                <w:lang w:eastAsia="en-AU"/>
              </w:rPr>
              <w:t>($ million)</w:t>
            </w:r>
          </w:p>
        </w:tc>
      </w:tr>
      <w:tr w:rsidR="00965D85" w:rsidRPr="001E7FA9" w:rsidTr="008B46DF">
        <w:trPr>
          <w:tblHeader/>
        </w:trPr>
        <w:tc>
          <w:tcPr>
            <w:tcW w:w="4536" w:type="dxa"/>
            <w:tcBorders>
              <w:top w:val="single" w:sz="6" w:space="0" w:color="auto"/>
              <w:left w:val="single" w:sz="6" w:space="0" w:color="auto"/>
              <w:bottom w:val="single" w:sz="6" w:space="0" w:color="auto"/>
              <w:right w:val="nil"/>
            </w:tcBorders>
            <w:shd w:val="solid" w:color="000000" w:fill="auto"/>
          </w:tcPr>
          <w:p w:rsidR="00965D85" w:rsidRPr="001E7FA9" w:rsidRDefault="00965D85" w:rsidP="008B46DF">
            <w:pPr>
              <w:autoSpaceDE w:val="0"/>
              <w:autoSpaceDN w:val="0"/>
              <w:adjustRightInd w:val="0"/>
              <w:spacing w:after="0"/>
              <w:rPr>
                <w:rFonts w:ascii="Calibri" w:eastAsiaTheme="minorEastAsia" w:hAnsi="Calibri" w:cs="Calibri"/>
                <w:i/>
                <w:iCs/>
                <w:color w:val="FFFFFF"/>
                <w:sz w:val="20"/>
                <w:lang w:eastAsia="en-AU"/>
              </w:rPr>
            </w:pPr>
            <w:r w:rsidRPr="001E7FA9">
              <w:rPr>
                <w:rFonts w:ascii="Calibri" w:eastAsiaTheme="minorEastAsia" w:hAnsi="Calibri" w:cs="Calibri"/>
                <w:i/>
                <w:iCs/>
                <w:color w:val="FFFFFF"/>
                <w:sz w:val="20"/>
                <w:lang w:eastAsia="en-AU"/>
              </w:rPr>
              <w:t xml:space="preserve"> </w:t>
            </w:r>
          </w:p>
        </w:tc>
        <w:tc>
          <w:tcPr>
            <w:tcW w:w="1843" w:type="dxa"/>
            <w:tcBorders>
              <w:top w:val="single" w:sz="6" w:space="0" w:color="auto"/>
              <w:left w:val="nil"/>
              <w:bottom w:val="single" w:sz="6" w:space="0" w:color="auto"/>
              <w:right w:val="nil"/>
            </w:tcBorders>
            <w:shd w:val="solid" w:color="000000" w:fill="auto"/>
          </w:tcPr>
          <w:p w:rsidR="00965D85" w:rsidRPr="001E7FA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p>
          <w:p w:rsidR="00965D85" w:rsidRPr="001E7FA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1E7FA9">
              <w:rPr>
                <w:rFonts w:ascii="Calibri" w:eastAsiaTheme="minorEastAsia" w:hAnsi="Calibri" w:cs="Calibri"/>
                <w:i/>
                <w:iCs/>
                <w:color w:val="FFFFFF"/>
                <w:sz w:val="20"/>
                <w:lang w:eastAsia="en-AU"/>
              </w:rPr>
              <w:t>Accumulated surplus/(deficit)</w:t>
            </w:r>
          </w:p>
        </w:tc>
        <w:tc>
          <w:tcPr>
            <w:tcW w:w="1388" w:type="dxa"/>
            <w:tcBorders>
              <w:top w:val="single" w:sz="6" w:space="0" w:color="auto"/>
              <w:left w:val="nil"/>
              <w:bottom w:val="single" w:sz="6" w:space="0" w:color="auto"/>
              <w:right w:val="nil"/>
            </w:tcBorders>
            <w:shd w:val="solid" w:color="000000" w:fill="auto"/>
          </w:tcPr>
          <w:p w:rsidR="00965D85" w:rsidRPr="001E7FA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p>
          <w:p w:rsidR="00965D85" w:rsidRPr="001E7FA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1E7FA9">
              <w:rPr>
                <w:rFonts w:ascii="Calibri" w:eastAsiaTheme="minorEastAsia" w:hAnsi="Calibri" w:cs="Calibri"/>
                <w:i/>
                <w:iCs/>
                <w:color w:val="FFFFFF"/>
                <w:sz w:val="20"/>
                <w:lang w:eastAsia="en-AU"/>
              </w:rPr>
              <w:t>Contribution</w:t>
            </w:r>
          </w:p>
          <w:p w:rsidR="00965D85" w:rsidRPr="001E7FA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1E7FA9">
              <w:rPr>
                <w:rFonts w:ascii="Calibri" w:eastAsiaTheme="minorEastAsia" w:hAnsi="Calibri" w:cs="Calibri"/>
                <w:i/>
                <w:iCs/>
                <w:color w:val="FFFFFF"/>
                <w:sz w:val="20"/>
                <w:lang w:eastAsia="en-AU"/>
              </w:rPr>
              <w:t>by owners</w:t>
            </w:r>
          </w:p>
        </w:tc>
      </w:tr>
      <w:tr w:rsidR="00965D85" w:rsidRPr="001E7FA9" w:rsidTr="008B46DF">
        <w:tc>
          <w:tcPr>
            <w:tcW w:w="4536" w:type="dxa"/>
            <w:tcBorders>
              <w:top w:val="single" w:sz="6" w:space="0" w:color="auto"/>
              <w:left w:val="nil"/>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b/>
                <w:bCs/>
                <w:color w:val="000000"/>
                <w:sz w:val="20"/>
                <w:vertAlign w:val="superscript"/>
                <w:lang w:eastAsia="en-AU"/>
              </w:rPr>
            </w:pPr>
            <w:r w:rsidRPr="001E7FA9">
              <w:rPr>
                <w:rFonts w:ascii="Calibri" w:eastAsiaTheme="minorEastAsia" w:hAnsi="Calibri" w:cs="Calibri"/>
                <w:b/>
                <w:bCs/>
                <w:color w:val="000000"/>
                <w:sz w:val="20"/>
                <w:lang w:eastAsia="en-AU"/>
              </w:rPr>
              <w:t>2015</w:t>
            </w:r>
            <w:r>
              <w:rPr>
                <w:rFonts w:ascii="Calibri" w:eastAsiaTheme="minorEastAsia" w:hAnsi="Calibri" w:cs="Calibri"/>
                <w:b/>
                <w:bCs/>
                <w:color w:val="000000"/>
                <w:sz w:val="20"/>
                <w:lang w:eastAsia="en-AU"/>
              </w:rPr>
              <w:noBreakHyphen/>
            </w:r>
            <w:r w:rsidRPr="001E7FA9">
              <w:rPr>
                <w:rFonts w:ascii="Calibri" w:eastAsiaTheme="minorEastAsia" w:hAnsi="Calibri" w:cs="Calibri"/>
                <w:b/>
                <w:bCs/>
                <w:color w:val="000000"/>
                <w:sz w:val="20"/>
                <w:lang w:eastAsia="en-AU"/>
              </w:rPr>
              <w:t>16 budget</w:t>
            </w:r>
            <w:r w:rsidRPr="001E7FA9">
              <w:rPr>
                <w:rFonts w:ascii="Calibri" w:eastAsiaTheme="minorEastAsia" w:hAnsi="Calibri" w:cs="Calibri"/>
                <w:b/>
                <w:bCs/>
                <w:color w:val="000000"/>
                <w:sz w:val="20"/>
                <w:vertAlign w:val="superscript"/>
                <w:lang w:eastAsia="en-AU"/>
              </w:rPr>
              <w:t>(a)</w:t>
            </w:r>
          </w:p>
        </w:tc>
        <w:tc>
          <w:tcPr>
            <w:tcW w:w="1843" w:type="dxa"/>
            <w:tcBorders>
              <w:top w:val="single" w:sz="6" w:space="0" w:color="auto"/>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FF"/>
                <w:sz w:val="20"/>
                <w:lang w:eastAsia="en-AU"/>
              </w:rPr>
            </w:pPr>
          </w:p>
        </w:tc>
        <w:tc>
          <w:tcPr>
            <w:tcW w:w="1388" w:type="dxa"/>
            <w:tcBorders>
              <w:top w:val="single" w:sz="6" w:space="0" w:color="auto"/>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FF"/>
                <w:sz w:val="20"/>
                <w:lang w:eastAsia="en-AU"/>
              </w:rPr>
            </w:pPr>
          </w:p>
        </w:tc>
      </w:tr>
      <w:tr w:rsidR="00965D85" w:rsidRPr="001E7FA9" w:rsidTr="008B46DF">
        <w:tc>
          <w:tcPr>
            <w:tcW w:w="4536" w:type="dxa"/>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Balance at 1 July 2015</w:t>
            </w:r>
          </w:p>
        </w:tc>
        <w:tc>
          <w:tcPr>
            <w:tcW w:w="1843"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(1 008.6)</w:t>
            </w:r>
          </w:p>
        </w:tc>
        <w:tc>
          <w:tcPr>
            <w:tcW w:w="1388"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177.1</w:t>
            </w:r>
          </w:p>
        </w:tc>
      </w:tr>
      <w:tr w:rsidR="00965D85" w:rsidRPr="001E7FA9" w:rsidTr="008B46DF">
        <w:tc>
          <w:tcPr>
            <w:tcW w:w="4536" w:type="dxa"/>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Net result</w:t>
            </w:r>
          </w:p>
        </w:tc>
        <w:tc>
          <w:tcPr>
            <w:tcW w:w="1843"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586.9</w:t>
            </w:r>
          </w:p>
        </w:tc>
        <w:tc>
          <w:tcPr>
            <w:tcW w:w="1388"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w:t>
            </w:r>
          </w:p>
        </w:tc>
      </w:tr>
      <w:tr w:rsidR="00965D85" w:rsidRPr="001E7FA9" w:rsidTr="008B46DF">
        <w:tc>
          <w:tcPr>
            <w:tcW w:w="4536" w:type="dxa"/>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Other comprehensive income for the year</w:t>
            </w:r>
          </w:p>
        </w:tc>
        <w:tc>
          <w:tcPr>
            <w:tcW w:w="1843"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(4.2)</w:t>
            </w:r>
          </w:p>
        </w:tc>
        <w:tc>
          <w:tcPr>
            <w:tcW w:w="1388"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w:t>
            </w:r>
          </w:p>
        </w:tc>
      </w:tr>
      <w:tr w:rsidR="00965D85" w:rsidRPr="001E7FA9" w:rsidTr="008B46DF">
        <w:tc>
          <w:tcPr>
            <w:tcW w:w="4536" w:type="dxa"/>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Dividends paid</w:t>
            </w:r>
          </w:p>
        </w:tc>
        <w:tc>
          <w:tcPr>
            <w:tcW w:w="1843"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(619.5)</w:t>
            </w:r>
          </w:p>
        </w:tc>
        <w:tc>
          <w:tcPr>
            <w:tcW w:w="1388"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w:t>
            </w:r>
          </w:p>
        </w:tc>
      </w:tr>
      <w:tr w:rsidR="00965D85" w:rsidRPr="001E7FA9" w:rsidTr="008B46DF">
        <w:tc>
          <w:tcPr>
            <w:tcW w:w="4536" w:type="dxa"/>
            <w:tcBorders>
              <w:top w:val="nil"/>
              <w:left w:val="nil"/>
              <w:bottom w:val="single" w:sz="6" w:space="0" w:color="auto"/>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Transactions with owners in their capacity as owners</w:t>
            </w:r>
          </w:p>
        </w:tc>
        <w:tc>
          <w:tcPr>
            <w:tcW w:w="1843" w:type="dxa"/>
            <w:tcBorders>
              <w:top w:val="nil"/>
              <w:left w:val="nil"/>
              <w:bottom w:val="single" w:sz="6" w:space="0" w:color="auto"/>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w:t>
            </w:r>
          </w:p>
        </w:tc>
        <w:tc>
          <w:tcPr>
            <w:tcW w:w="1388" w:type="dxa"/>
            <w:tcBorders>
              <w:top w:val="nil"/>
              <w:left w:val="nil"/>
              <w:bottom w:val="single" w:sz="6" w:space="0" w:color="auto"/>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16.6</w:t>
            </w:r>
          </w:p>
        </w:tc>
      </w:tr>
      <w:tr w:rsidR="00965D85" w:rsidRPr="001E7FA9" w:rsidTr="008B46DF">
        <w:tc>
          <w:tcPr>
            <w:tcW w:w="4536" w:type="dxa"/>
            <w:tcBorders>
              <w:top w:val="single" w:sz="6" w:space="0" w:color="auto"/>
              <w:left w:val="nil"/>
              <w:bottom w:val="single" w:sz="12" w:space="0" w:color="auto"/>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b/>
                <w:bCs/>
                <w:color w:val="000000"/>
                <w:sz w:val="20"/>
                <w:lang w:eastAsia="en-AU"/>
              </w:rPr>
            </w:pPr>
            <w:r w:rsidRPr="001E7FA9">
              <w:rPr>
                <w:rFonts w:ascii="Calibri" w:eastAsiaTheme="minorEastAsia" w:hAnsi="Calibri" w:cs="Calibri"/>
                <w:b/>
                <w:bCs/>
                <w:color w:val="000000"/>
                <w:sz w:val="20"/>
                <w:lang w:eastAsia="en-AU"/>
              </w:rPr>
              <w:t>Total equity at end of period</w:t>
            </w:r>
          </w:p>
        </w:tc>
        <w:tc>
          <w:tcPr>
            <w:tcW w:w="1843" w:type="dxa"/>
            <w:tcBorders>
              <w:top w:val="single" w:sz="6" w:space="0" w:color="auto"/>
              <w:left w:val="nil"/>
              <w:bottom w:val="single" w:sz="12" w:space="0" w:color="auto"/>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1E7FA9">
              <w:rPr>
                <w:rFonts w:ascii="Calibri" w:eastAsiaTheme="minorEastAsia" w:hAnsi="Calibri" w:cs="Calibri"/>
                <w:b/>
                <w:bCs/>
                <w:color w:val="000000"/>
                <w:sz w:val="20"/>
                <w:lang w:eastAsia="en-AU"/>
              </w:rPr>
              <w:t>(1 045.4)</w:t>
            </w:r>
          </w:p>
        </w:tc>
        <w:tc>
          <w:tcPr>
            <w:tcW w:w="1388" w:type="dxa"/>
            <w:tcBorders>
              <w:top w:val="single" w:sz="6" w:space="0" w:color="auto"/>
              <w:left w:val="nil"/>
              <w:bottom w:val="single" w:sz="12" w:space="0" w:color="auto"/>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20"/>
                <w:lang w:eastAsia="en-AU"/>
              </w:rPr>
              <w:t>193.7</w:t>
            </w:r>
          </w:p>
        </w:tc>
      </w:tr>
      <w:tr w:rsidR="00965D85" w:rsidRPr="001E7FA9" w:rsidTr="008B46DF">
        <w:tc>
          <w:tcPr>
            <w:tcW w:w="4536" w:type="dxa"/>
            <w:tcBorders>
              <w:top w:val="single" w:sz="12" w:space="0" w:color="auto"/>
              <w:left w:val="nil"/>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b/>
                <w:bCs/>
                <w:color w:val="000000"/>
                <w:sz w:val="20"/>
                <w:lang w:eastAsia="en-AU"/>
              </w:rPr>
            </w:pPr>
            <w:r w:rsidRPr="001E7FA9">
              <w:rPr>
                <w:rFonts w:ascii="Calibri" w:eastAsiaTheme="minorEastAsia" w:hAnsi="Calibri" w:cs="Calibri"/>
                <w:b/>
                <w:bCs/>
                <w:color w:val="000000"/>
                <w:sz w:val="20"/>
                <w:lang w:eastAsia="en-AU"/>
              </w:rPr>
              <w:t>2015</w:t>
            </w:r>
            <w:r>
              <w:rPr>
                <w:rFonts w:ascii="Calibri" w:eastAsiaTheme="minorEastAsia" w:hAnsi="Calibri" w:cs="Calibri"/>
                <w:b/>
                <w:bCs/>
                <w:color w:val="000000"/>
                <w:sz w:val="20"/>
                <w:lang w:eastAsia="en-AU"/>
              </w:rPr>
              <w:noBreakHyphen/>
            </w:r>
            <w:r w:rsidRPr="001E7FA9">
              <w:rPr>
                <w:rFonts w:ascii="Calibri" w:eastAsiaTheme="minorEastAsia" w:hAnsi="Calibri" w:cs="Calibri"/>
                <w:b/>
                <w:bCs/>
                <w:color w:val="000000"/>
                <w:sz w:val="20"/>
                <w:lang w:eastAsia="en-AU"/>
              </w:rPr>
              <w:t>16 revised</w:t>
            </w:r>
          </w:p>
        </w:tc>
        <w:tc>
          <w:tcPr>
            <w:tcW w:w="1843" w:type="dxa"/>
            <w:tcBorders>
              <w:top w:val="single" w:sz="12" w:space="0" w:color="auto"/>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FF"/>
                <w:sz w:val="20"/>
                <w:lang w:eastAsia="en-AU"/>
              </w:rPr>
            </w:pPr>
          </w:p>
        </w:tc>
        <w:tc>
          <w:tcPr>
            <w:tcW w:w="1388" w:type="dxa"/>
            <w:tcBorders>
              <w:top w:val="single" w:sz="12" w:space="0" w:color="auto"/>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FF"/>
                <w:sz w:val="20"/>
                <w:lang w:eastAsia="en-AU"/>
              </w:rPr>
            </w:pPr>
          </w:p>
        </w:tc>
      </w:tr>
      <w:tr w:rsidR="00965D85" w:rsidRPr="001E7FA9" w:rsidTr="008B46DF">
        <w:tc>
          <w:tcPr>
            <w:tcW w:w="4536" w:type="dxa"/>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Balance at 1 July 2015</w:t>
            </w:r>
          </w:p>
        </w:tc>
        <w:tc>
          <w:tcPr>
            <w:tcW w:w="1843"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(1 008.6)</w:t>
            </w:r>
          </w:p>
        </w:tc>
        <w:tc>
          <w:tcPr>
            <w:tcW w:w="1388"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177.1</w:t>
            </w:r>
          </w:p>
        </w:tc>
      </w:tr>
      <w:tr w:rsidR="00965D85" w:rsidRPr="001E7FA9" w:rsidTr="008B46DF">
        <w:tc>
          <w:tcPr>
            <w:tcW w:w="4536" w:type="dxa"/>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Net result</w:t>
            </w:r>
          </w:p>
        </w:tc>
        <w:tc>
          <w:tcPr>
            <w:tcW w:w="1843"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(1 086.1)</w:t>
            </w:r>
          </w:p>
        </w:tc>
        <w:tc>
          <w:tcPr>
            <w:tcW w:w="1388"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w:t>
            </w:r>
          </w:p>
        </w:tc>
      </w:tr>
      <w:tr w:rsidR="00965D85" w:rsidRPr="001E7FA9" w:rsidTr="008B46DF">
        <w:tc>
          <w:tcPr>
            <w:tcW w:w="4536" w:type="dxa"/>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Other comprehensive income for the year</w:t>
            </w:r>
          </w:p>
        </w:tc>
        <w:tc>
          <w:tcPr>
            <w:tcW w:w="1843"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0.3</w:t>
            </w:r>
          </w:p>
        </w:tc>
        <w:tc>
          <w:tcPr>
            <w:tcW w:w="1388"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w:t>
            </w:r>
          </w:p>
        </w:tc>
      </w:tr>
      <w:tr w:rsidR="00965D85" w:rsidRPr="001E7FA9" w:rsidTr="008B46DF">
        <w:tc>
          <w:tcPr>
            <w:tcW w:w="4536" w:type="dxa"/>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Dividends paid</w:t>
            </w:r>
          </w:p>
        </w:tc>
        <w:tc>
          <w:tcPr>
            <w:tcW w:w="1843"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(613.6)</w:t>
            </w:r>
          </w:p>
        </w:tc>
        <w:tc>
          <w:tcPr>
            <w:tcW w:w="1388"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w:t>
            </w:r>
          </w:p>
        </w:tc>
      </w:tr>
      <w:tr w:rsidR="00965D85" w:rsidRPr="001E7FA9" w:rsidTr="008B46DF">
        <w:tc>
          <w:tcPr>
            <w:tcW w:w="4536" w:type="dxa"/>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Transfer to accumulated surplus</w:t>
            </w:r>
          </w:p>
        </w:tc>
        <w:tc>
          <w:tcPr>
            <w:tcW w:w="1843"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(11.6)</w:t>
            </w:r>
          </w:p>
        </w:tc>
        <w:tc>
          <w:tcPr>
            <w:tcW w:w="1388"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w:t>
            </w:r>
          </w:p>
        </w:tc>
      </w:tr>
      <w:tr w:rsidR="00965D85" w:rsidRPr="001E7FA9" w:rsidTr="008B46DF">
        <w:tc>
          <w:tcPr>
            <w:tcW w:w="4536" w:type="dxa"/>
            <w:tcBorders>
              <w:top w:val="nil"/>
              <w:left w:val="nil"/>
              <w:bottom w:val="single" w:sz="6" w:space="0" w:color="auto"/>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Transactions with owners in their capacity as owners</w:t>
            </w:r>
          </w:p>
        </w:tc>
        <w:tc>
          <w:tcPr>
            <w:tcW w:w="1843" w:type="dxa"/>
            <w:tcBorders>
              <w:top w:val="nil"/>
              <w:left w:val="nil"/>
              <w:bottom w:val="single" w:sz="6" w:space="0" w:color="auto"/>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w:t>
            </w:r>
          </w:p>
        </w:tc>
        <w:tc>
          <w:tcPr>
            <w:tcW w:w="1388" w:type="dxa"/>
            <w:tcBorders>
              <w:top w:val="nil"/>
              <w:left w:val="nil"/>
              <w:bottom w:val="single" w:sz="6" w:space="0" w:color="auto"/>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28.2</w:t>
            </w:r>
          </w:p>
        </w:tc>
      </w:tr>
      <w:tr w:rsidR="00965D85" w:rsidRPr="001E7FA9" w:rsidTr="008B46DF">
        <w:tc>
          <w:tcPr>
            <w:tcW w:w="4536" w:type="dxa"/>
            <w:tcBorders>
              <w:top w:val="single" w:sz="6" w:space="0" w:color="auto"/>
              <w:left w:val="nil"/>
              <w:bottom w:val="single" w:sz="12" w:space="0" w:color="auto"/>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b/>
                <w:bCs/>
                <w:color w:val="000000"/>
                <w:sz w:val="20"/>
                <w:lang w:eastAsia="en-AU"/>
              </w:rPr>
            </w:pPr>
            <w:r w:rsidRPr="001E7FA9">
              <w:rPr>
                <w:rFonts w:ascii="Calibri" w:eastAsiaTheme="minorEastAsia" w:hAnsi="Calibri" w:cs="Calibri"/>
                <w:b/>
                <w:bCs/>
                <w:color w:val="000000"/>
                <w:sz w:val="20"/>
                <w:lang w:eastAsia="en-AU"/>
              </w:rPr>
              <w:t>Total equity at end of period</w:t>
            </w:r>
          </w:p>
        </w:tc>
        <w:tc>
          <w:tcPr>
            <w:tcW w:w="1843" w:type="dxa"/>
            <w:tcBorders>
              <w:top w:val="single" w:sz="6" w:space="0" w:color="auto"/>
              <w:left w:val="nil"/>
              <w:bottom w:val="single" w:sz="12" w:space="0" w:color="auto"/>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1E7FA9">
              <w:rPr>
                <w:rFonts w:ascii="Calibri" w:eastAsiaTheme="minorEastAsia" w:hAnsi="Calibri" w:cs="Calibri"/>
                <w:b/>
                <w:bCs/>
                <w:color w:val="000000"/>
                <w:sz w:val="20"/>
                <w:lang w:eastAsia="en-AU"/>
              </w:rPr>
              <w:t>(2 719.5)</w:t>
            </w:r>
          </w:p>
        </w:tc>
        <w:tc>
          <w:tcPr>
            <w:tcW w:w="1388" w:type="dxa"/>
            <w:tcBorders>
              <w:top w:val="single" w:sz="6" w:space="0" w:color="auto"/>
              <w:left w:val="nil"/>
              <w:bottom w:val="single" w:sz="12" w:space="0" w:color="auto"/>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20"/>
                <w:lang w:eastAsia="en-AU"/>
              </w:rPr>
              <w:t>205.3</w:t>
            </w:r>
          </w:p>
        </w:tc>
      </w:tr>
      <w:tr w:rsidR="00965D85" w:rsidRPr="001E7FA9" w:rsidTr="008B46DF">
        <w:tc>
          <w:tcPr>
            <w:tcW w:w="4536" w:type="dxa"/>
            <w:tcBorders>
              <w:top w:val="single" w:sz="12" w:space="0" w:color="auto"/>
              <w:left w:val="nil"/>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b/>
                <w:bCs/>
                <w:color w:val="000000"/>
                <w:sz w:val="20"/>
                <w:lang w:eastAsia="en-AU"/>
              </w:rPr>
            </w:pPr>
            <w:r w:rsidRPr="001E7FA9">
              <w:rPr>
                <w:rFonts w:ascii="Calibri" w:eastAsiaTheme="minorEastAsia" w:hAnsi="Calibri" w:cs="Calibri"/>
                <w:b/>
                <w:bCs/>
                <w:color w:val="000000"/>
                <w:sz w:val="20"/>
                <w:lang w:eastAsia="en-AU"/>
              </w:rPr>
              <w:t>2016</w:t>
            </w:r>
            <w:r>
              <w:rPr>
                <w:rFonts w:ascii="Calibri" w:eastAsiaTheme="minorEastAsia" w:hAnsi="Calibri" w:cs="Calibri"/>
                <w:b/>
                <w:bCs/>
                <w:color w:val="000000"/>
                <w:sz w:val="20"/>
                <w:lang w:eastAsia="en-AU"/>
              </w:rPr>
              <w:noBreakHyphen/>
            </w:r>
            <w:r w:rsidRPr="001E7FA9">
              <w:rPr>
                <w:rFonts w:ascii="Calibri" w:eastAsiaTheme="minorEastAsia" w:hAnsi="Calibri" w:cs="Calibri"/>
                <w:b/>
                <w:bCs/>
                <w:color w:val="000000"/>
                <w:sz w:val="20"/>
                <w:lang w:eastAsia="en-AU"/>
              </w:rPr>
              <w:t>17 estimate</w:t>
            </w:r>
          </w:p>
        </w:tc>
        <w:tc>
          <w:tcPr>
            <w:tcW w:w="1843" w:type="dxa"/>
            <w:tcBorders>
              <w:top w:val="single" w:sz="12" w:space="0" w:color="auto"/>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FF"/>
                <w:sz w:val="20"/>
                <w:lang w:eastAsia="en-AU"/>
              </w:rPr>
            </w:pPr>
          </w:p>
        </w:tc>
        <w:tc>
          <w:tcPr>
            <w:tcW w:w="1388" w:type="dxa"/>
            <w:tcBorders>
              <w:top w:val="single" w:sz="12" w:space="0" w:color="auto"/>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FF"/>
                <w:sz w:val="20"/>
                <w:lang w:eastAsia="en-AU"/>
              </w:rPr>
            </w:pPr>
          </w:p>
        </w:tc>
      </w:tr>
      <w:tr w:rsidR="00965D85" w:rsidRPr="001E7FA9" w:rsidTr="008B46DF">
        <w:tc>
          <w:tcPr>
            <w:tcW w:w="4536" w:type="dxa"/>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Balance at 1 July 2016</w:t>
            </w:r>
          </w:p>
        </w:tc>
        <w:tc>
          <w:tcPr>
            <w:tcW w:w="1843"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(2 719.5)</w:t>
            </w:r>
          </w:p>
        </w:tc>
        <w:tc>
          <w:tcPr>
            <w:tcW w:w="1388"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205.3</w:t>
            </w:r>
          </w:p>
        </w:tc>
      </w:tr>
      <w:tr w:rsidR="00965D85" w:rsidRPr="001E7FA9" w:rsidTr="008B46DF">
        <w:tc>
          <w:tcPr>
            <w:tcW w:w="4536" w:type="dxa"/>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Net result</w:t>
            </w:r>
          </w:p>
        </w:tc>
        <w:tc>
          <w:tcPr>
            <w:tcW w:w="1843"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591.4</w:t>
            </w:r>
          </w:p>
        </w:tc>
        <w:tc>
          <w:tcPr>
            <w:tcW w:w="1388"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w:t>
            </w:r>
          </w:p>
        </w:tc>
      </w:tr>
      <w:tr w:rsidR="00965D85" w:rsidRPr="001E7FA9" w:rsidTr="008B46DF">
        <w:tc>
          <w:tcPr>
            <w:tcW w:w="4536" w:type="dxa"/>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Other comprehensive income for the year</w:t>
            </w:r>
          </w:p>
        </w:tc>
        <w:tc>
          <w:tcPr>
            <w:tcW w:w="1843"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(1.2)</w:t>
            </w:r>
          </w:p>
        </w:tc>
        <w:tc>
          <w:tcPr>
            <w:tcW w:w="1388"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w:t>
            </w:r>
          </w:p>
        </w:tc>
      </w:tr>
      <w:tr w:rsidR="00965D85" w:rsidRPr="001E7FA9" w:rsidTr="008B46DF">
        <w:tc>
          <w:tcPr>
            <w:tcW w:w="4536" w:type="dxa"/>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Dividends paid</w:t>
            </w:r>
          </w:p>
        </w:tc>
        <w:tc>
          <w:tcPr>
            <w:tcW w:w="1843"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(514.7)</w:t>
            </w:r>
          </w:p>
        </w:tc>
        <w:tc>
          <w:tcPr>
            <w:tcW w:w="1388"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w:t>
            </w:r>
          </w:p>
        </w:tc>
      </w:tr>
      <w:tr w:rsidR="00965D85" w:rsidRPr="001E7FA9" w:rsidTr="008B46DF">
        <w:tc>
          <w:tcPr>
            <w:tcW w:w="4536" w:type="dxa"/>
            <w:tcBorders>
              <w:top w:val="nil"/>
              <w:left w:val="nil"/>
              <w:bottom w:val="single" w:sz="6" w:space="0" w:color="auto"/>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Transactions with owners in their capacity as owners</w:t>
            </w:r>
          </w:p>
        </w:tc>
        <w:tc>
          <w:tcPr>
            <w:tcW w:w="1843" w:type="dxa"/>
            <w:tcBorders>
              <w:top w:val="nil"/>
              <w:left w:val="nil"/>
              <w:bottom w:val="single" w:sz="6" w:space="0" w:color="auto"/>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w:t>
            </w:r>
          </w:p>
        </w:tc>
        <w:tc>
          <w:tcPr>
            <w:tcW w:w="1388" w:type="dxa"/>
            <w:tcBorders>
              <w:top w:val="nil"/>
              <w:left w:val="nil"/>
              <w:bottom w:val="single" w:sz="6" w:space="0" w:color="auto"/>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16.6</w:t>
            </w:r>
          </w:p>
        </w:tc>
      </w:tr>
      <w:tr w:rsidR="00965D85" w:rsidRPr="001E7FA9" w:rsidTr="008B46DF">
        <w:tc>
          <w:tcPr>
            <w:tcW w:w="4536" w:type="dxa"/>
            <w:tcBorders>
              <w:top w:val="single" w:sz="6" w:space="0" w:color="auto"/>
              <w:left w:val="nil"/>
              <w:bottom w:val="single" w:sz="12" w:space="0" w:color="auto"/>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b/>
                <w:bCs/>
                <w:color w:val="000000"/>
                <w:sz w:val="20"/>
                <w:lang w:eastAsia="en-AU"/>
              </w:rPr>
            </w:pPr>
            <w:r w:rsidRPr="001E7FA9">
              <w:rPr>
                <w:rFonts w:ascii="Calibri" w:eastAsiaTheme="minorEastAsia" w:hAnsi="Calibri" w:cs="Calibri"/>
                <w:b/>
                <w:bCs/>
                <w:color w:val="000000"/>
                <w:sz w:val="20"/>
                <w:lang w:eastAsia="en-AU"/>
              </w:rPr>
              <w:t>Total equity at end of period</w:t>
            </w:r>
          </w:p>
        </w:tc>
        <w:tc>
          <w:tcPr>
            <w:tcW w:w="1843" w:type="dxa"/>
            <w:tcBorders>
              <w:top w:val="single" w:sz="6" w:space="0" w:color="auto"/>
              <w:left w:val="nil"/>
              <w:bottom w:val="single" w:sz="12" w:space="0" w:color="auto"/>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1E7FA9">
              <w:rPr>
                <w:rFonts w:ascii="Calibri" w:eastAsiaTheme="minorEastAsia" w:hAnsi="Calibri" w:cs="Calibri"/>
                <w:b/>
                <w:bCs/>
                <w:color w:val="000000"/>
                <w:sz w:val="20"/>
                <w:lang w:eastAsia="en-AU"/>
              </w:rPr>
              <w:t>(2 644.0)</w:t>
            </w:r>
          </w:p>
        </w:tc>
        <w:tc>
          <w:tcPr>
            <w:tcW w:w="1388" w:type="dxa"/>
            <w:tcBorders>
              <w:top w:val="single" w:sz="6" w:space="0" w:color="auto"/>
              <w:left w:val="nil"/>
              <w:bottom w:val="single" w:sz="12" w:space="0" w:color="auto"/>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20"/>
                <w:lang w:eastAsia="en-AU"/>
              </w:rPr>
              <w:t>221.9</w:t>
            </w:r>
          </w:p>
        </w:tc>
      </w:tr>
      <w:tr w:rsidR="00965D85" w:rsidRPr="001E7FA9" w:rsidTr="008B46DF">
        <w:tc>
          <w:tcPr>
            <w:tcW w:w="4536" w:type="dxa"/>
            <w:tcBorders>
              <w:top w:val="single" w:sz="12" w:space="0" w:color="auto"/>
              <w:left w:val="nil"/>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b/>
                <w:bCs/>
                <w:color w:val="000000"/>
                <w:sz w:val="20"/>
                <w:lang w:eastAsia="en-AU"/>
              </w:rPr>
            </w:pPr>
            <w:r w:rsidRPr="001E7FA9">
              <w:rPr>
                <w:rFonts w:ascii="Calibri" w:eastAsiaTheme="minorEastAsia" w:hAnsi="Calibri" w:cs="Calibri"/>
                <w:b/>
                <w:bCs/>
                <w:color w:val="000000"/>
                <w:sz w:val="20"/>
                <w:lang w:eastAsia="en-AU"/>
              </w:rPr>
              <w:t>2017</w:t>
            </w:r>
            <w:r>
              <w:rPr>
                <w:rFonts w:ascii="Calibri" w:eastAsiaTheme="minorEastAsia" w:hAnsi="Calibri" w:cs="Calibri"/>
                <w:b/>
                <w:bCs/>
                <w:color w:val="000000"/>
                <w:sz w:val="20"/>
                <w:lang w:eastAsia="en-AU"/>
              </w:rPr>
              <w:noBreakHyphen/>
            </w:r>
            <w:r w:rsidRPr="001E7FA9">
              <w:rPr>
                <w:rFonts w:ascii="Calibri" w:eastAsiaTheme="minorEastAsia" w:hAnsi="Calibri" w:cs="Calibri"/>
                <w:b/>
                <w:bCs/>
                <w:color w:val="000000"/>
                <w:sz w:val="20"/>
                <w:lang w:eastAsia="en-AU"/>
              </w:rPr>
              <w:t>18 estimate</w:t>
            </w:r>
          </w:p>
        </w:tc>
        <w:tc>
          <w:tcPr>
            <w:tcW w:w="1843" w:type="dxa"/>
            <w:tcBorders>
              <w:top w:val="single" w:sz="12" w:space="0" w:color="auto"/>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FF"/>
                <w:sz w:val="20"/>
                <w:lang w:eastAsia="en-AU"/>
              </w:rPr>
            </w:pPr>
          </w:p>
        </w:tc>
        <w:tc>
          <w:tcPr>
            <w:tcW w:w="1388" w:type="dxa"/>
            <w:tcBorders>
              <w:top w:val="single" w:sz="12" w:space="0" w:color="auto"/>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FF"/>
                <w:sz w:val="20"/>
                <w:lang w:eastAsia="en-AU"/>
              </w:rPr>
            </w:pPr>
          </w:p>
        </w:tc>
      </w:tr>
      <w:tr w:rsidR="00965D85" w:rsidRPr="001E7FA9" w:rsidTr="008B46DF">
        <w:tc>
          <w:tcPr>
            <w:tcW w:w="4536" w:type="dxa"/>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Balance at 1 July 2017</w:t>
            </w:r>
          </w:p>
        </w:tc>
        <w:tc>
          <w:tcPr>
            <w:tcW w:w="1843"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(2 644.0)</w:t>
            </w:r>
          </w:p>
        </w:tc>
        <w:tc>
          <w:tcPr>
            <w:tcW w:w="1388"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221.9</w:t>
            </w:r>
          </w:p>
        </w:tc>
      </w:tr>
      <w:tr w:rsidR="00965D85" w:rsidRPr="001E7FA9" w:rsidTr="008B46DF">
        <w:tc>
          <w:tcPr>
            <w:tcW w:w="4536" w:type="dxa"/>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Net result</w:t>
            </w:r>
          </w:p>
        </w:tc>
        <w:tc>
          <w:tcPr>
            <w:tcW w:w="1843"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582.4</w:t>
            </w:r>
          </w:p>
        </w:tc>
        <w:tc>
          <w:tcPr>
            <w:tcW w:w="1388"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w:t>
            </w:r>
          </w:p>
        </w:tc>
      </w:tr>
      <w:tr w:rsidR="00965D85" w:rsidRPr="001E7FA9" w:rsidTr="008B46DF">
        <w:tc>
          <w:tcPr>
            <w:tcW w:w="4536" w:type="dxa"/>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Other comprehensive income for the year</w:t>
            </w:r>
          </w:p>
        </w:tc>
        <w:tc>
          <w:tcPr>
            <w:tcW w:w="1843"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(1.5)</w:t>
            </w:r>
          </w:p>
        </w:tc>
        <w:tc>
          <w:tcPr>
            <w:tcW w:w="1388"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w:t>
            </w:r>
          </w:p>
        </w:tc>
      </w:tr>
      <w:tr w:rsidR="00965D85" w:rsidRPr="001E7FA9" w:rsidTr="008B46DF">
        <w:tc>
          <w:tcPr>
            <w:tcW w:w="4536" w:type="dxa"/>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Dividends paid</w:t>
            </w:r>
          </w:p>
        </w:tc>
        <w:tc>
          <w:tcPr>
            <w:tcW w:w="1843"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(526.5)</w:t>
            </w:r>
          </w:p>
        </w:tc>
        <w:tc>
          <w:tcPr>
            <w:tcW w:w="1388"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w:t>
            </w:r>
          </w:p>
        </w:tc>
      </w:tr>
      <w:tr w:rsidR="00965D85" w:rsidRPr="001E7FA9" w:rsidTr="008B46DF">
        <w:tc>
          <w:tcPr>
            <w:tcW w:w="4536" w:type="dxa"/>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Transfer to accumulated surplus</w:t>
            </w:r>
          </w:p>
        </w:tc>
        <w:tc>
          <w:tcPr>
            <w:tcW w:w="1843"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(1 235.0)</w:t>
            </w:r>
          </w:p>
        </w:tc>
        <w:tc>
          <w:tcPr>
            <w:tcW w:w="1388"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w:t>
            </w:r>
          </w:p>
        </w:tc>
      </w:tr>
      <w:tr w:rsidR="00965D85" w:rsidRPr="001E7FA9" w:rsidTr="008B46DF">
        <w:tc>
          <w:tcPr>
            <w:tcW w:w="4536" w:type="dxa"/>
            <w:tcBorders>
              <w:top w:val="nil"/>
              <w:left w:val="nil"/>
              <w:bottom w:val="single" w:sz="6" w:space="0" w:color="auto"/>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Transactions with owners in their capacity as owners</w:t>
            </w:r>
          </w:p>
        </w:tc>
        <w:tc>
          <w:tcPr>
            <w:tcW w:w="1843" w:type="dxa"/>
            <w:tcBorders>
              <w:top w:val="nil"/>
              <w:left w:val="nil"/>
              <w:bottom w:val="single" w:sz="6" w:space="0" w:color="auto"/>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w:t>
            </w:r>
          </w:p>
        </w:tc>
        <w:tc>
          <w:tcPr>
            <w:tcW w:w="1388" w:type="dxa"/>
            <w:tcBorders>
              <w:top w:val="nil"/>
              <w:left w:val="nil"/>
              <w:bottom w:val="single" w:sz="6" w:space="0" w:color="auto"/>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16.6</w:t>
            </w:r>
          </w:p>
        </w:tc>
      </w:tr>
      <w:tr w:rsidR="00965D85" w:rsidRPr="001E7FA9" w:rsidTr="008B46DF">
        <w:tc>
          <w:tcPr>
            <w:tcW w:w="4536" w:type="dxa"/>
            <w:tcBorders>
              <w:top w:val="single" w:sz="6" w:space="0" w:color="auto"/>
              <w:left w:val="nil"/>
              <w:bottom w:val="single" w:sz="12" w:space="0" w:color="auto"/>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b/>
                <w:bCs/>
                <w:color w:val="000000"/>
                <w:sz w:val="20"/>
                <w:lang w:eastAsia="en-AU"/>
              </w:rPr>
            </w:pPr>
            <w:r w:rsidRPr="001E7FA9">
              <w:rPr>
                <w:rFonts w:ascii="Calibri" w:eastAsiaTheme="minorEastAsia" w:hAnsi="Calibri" w:cs="Calibri"/>
                <w:b/>
                <w:bCs/>
                <w:color w:val="000000"/>
                <w:sz w:val="20"/>
                <w:lang w:eastAsia="en-AU"/>
              </w:rPr>
              <w:t>Total equity at end of period</w:t>
            </w:r>
          </w:p>
        </w:tc>
        <w:tc>
          <w:tcPr>
            <w:tcW w:w="1843" w:type="dxa"/>
            <w:tcBorders>
              <w:top w:val="single" w:sz="6" w:space="0" w:color="auto"/>
              <w:left w:val="nil"/>
              <w:bottom w:val="single" w:sz="12" w:space="0" w:color="auto"/>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1E7FA9">
              <w:rPr>
                <w:rFonts w:ascii="Calibri" w:eastAsiaTheme="minorEastAsia" w:hAnsi="Calibri" w:cs="Calibri"/>
                <w:b/>
                <w:bCs/>
                <w:color w:val="000000"/>
                <w:sz w:val="20"/>
                <w:lang w:eastAsia="en-AU"/>
              </w:rPr>
              <w:t>(3 824.6)</w:t>
            </w:r>
          </w:p>
        </w:tc>
        <w:tc>
          <w:tcPr>
            <w:tcW w:w="1388" w:type="dxa"/>
            <w:tcBorders>
              <w:top w:val="single" w:sz="6" w:space="0" w:color="auto"/>
              <w:left w:val="nil"/>
              <w:bottom w:val="single" w:sz="12" w:space="0" w:color="auto"/>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20"/>
                <w:lang w:eastAsia="en-AU"/>
              </w:rPr>
              <w:t>238.5</w:t>
            </w:r>
          </w:p>
        </w:tc>
      </w:tr>
      <w:tr w:rsidR="00965D85" w:rsidRPr="001E7FA9" w:rsidTr="008B46DF">
        <w:tc>
          <w:tcPr>
            <w:tcW w:w="4536" w:type="dxa"/>
            <w:tcBorders>
              <w:top w:val="single" w:sz="12" w:space="0" w:color="auto"/>
              <w:left w:val="nil"/>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b/>
                <w:bCs/>
                <w:color w:val="000000"/>
                <w:sz w:val="20"/>
                <w:lang w:eastAsia="en-AU"/>
              </w:rPr>
            </w:pPr>
            <w:r w:rsidRPr="001E7FA9">
              <w:rPr>
                <w:rFonts w:ascii="Calibri" w:eastAsiaTheme="minorEastAsia" w:hAnsi="Calibri" w:cs="Calibri"/>
                <w:b/>
                <w:bCs/>
                <w:color w:val="000000"/>
                <w:sz w:val="20"/>
                <w:lang w:eastAsia="en-AU"/>
              </w:rPr>
              <w:t>2018</w:t>
            </w:r>
            <w:r>
              <w:rPr>
                <w:rFonts w:ascii="Calibri" w:eastAsiaTheme="minorEastAsia" w:hAnsi="Calibri" w:cs="Calibri"/>
                <w:b/>
                <w:bCs/>
                <w:color w:val="000000"/>
                <w:sz w:val="20"/>
                <w:lang w:eastAsia="en-AU"/>
              </w:rPr>
              <w:noBreakHyphen/>
            </w:r>
            <w:r w:rsidRPr="001E7FA9">
              <w:rPr>
                <w:rFonts w:ascii="Calibri" w:eastAsiaTheme="minorEastAsia" w:hAnsi="Calibri" w:cs="Calibri"/>
                <w:b/>
                <w:bCs/>
                <w:color w:val="000000"/>
                <w:sz w:val="20"/>
                <w:lang w:eastAsia="en-AU"/>
              </w:rPr>
              <w:t>19 estimate</w:t>
            </w:r>
          </w:p>
        </w:tc>
        <w:tc>
          <w:tcPr>
            <w:tcW w:w="1843" w:type="dxa"/>
            <w:tcBorders>
              <w:top w:val="single" w:sz="12" w:space="0" w:color="auto"/>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FF"/>
                <w:sz w:val="20"/>
                <w:lang w:eastAsia="en-AU"/>
              </w:rPr>
            </w:pPr>
          </w:p>
        </w:tc>
        <w:tc>
          <w:tcPr>
            <w:tcW w:w="1388" w:type="dxa"/>
            <w:tcBorders>
              <w:top w:val="single" w:sz="12" w:space="0" w:color="auto"/>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FF"/>
                <w:sz w:val="20"/>
                <w:lang w:eastAsia="en-AU"/>
              </w:rPr>
            </w:pPr>
          </w:p>
        </w:tc>
      </w:tr>
      <w:tr w:rsidR="00965D85" w:rsidRPr="001E7FA9" w:rsidTr="008B46DF">
        <w:tc>
          <w:tcPr>
            <w:tcW w:w="4536" w:type="dxa"/>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Balance at 1 July 2018</w:t>
            </w:r>
          </w:p>
        </w:tc>
        <w:tc>
          <w:tcPr>
            <w:tcW w:w="1843"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(3 824.6)</w:t>
            </w:r>
          </w:p>
        </w:tc>
        <w:tc>
          <w:tcPr>
            <w:tcW w:w="1388"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238.5</w:t>
            </w:r>
          </w:p>
        </w:tc>
      </w:tr>
      <w:tr w:rsidR="00965D85" w:rsidRPr="001E7FA9" w:rsidTr="008B46DF">
        <w:tc>
          <w:tcPr>
            <w:tcW w:w="4536" w:type="dxa"/>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Net result</w:t>
            </w:r>
          </w:p>
        </w:tc>
        <w:tc>
          <w:tcPr>
            <w:tcW w:w="1843"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666.3</w:t>
            </w:r>
          </w:p>
        </w:tc>
        <w:tc>
          <w:tcPr>
            <w:tcW w:w="1388"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w:t>
            </w:r>
          </w:p>
        </w:tc>
      </w:tr>
      <w:tr w:rsidR="00965D85" w:rsidRPr="001E7FA9" w:rsidTr="008B46DF">
        <w:tc>
          <w:tcPr>
            <w:tcW w:w="4536" w:type="dxa"/>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Other comprehensive income for the year</w:t>
            </w:r>
          </w:p>
        </w:tc>
        <w:tc>
          <w:tcPr>
            <w:tcW w:w="1843"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(1.4)</w:t>
            </w:r>
          </w:p>
        </w:tc>
        <w:tc>
          <w:tcPr>
            <w:tcW w:w="1388"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w:t>
            </w:r>
          </w:p>
        </w:tc>
      </w:tr>
      <w:tr w:rsidR="00965D85" w:rsidRPr="001E7FA9" w:rsidTr="008B46DF">
        <w:tc>
          <w:tcPr>
            <w:tcW w:w="4536" w:type="dxa"/>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Dividends paid</w:t>
            </w:r>
          </w:p>
        </w:tc>
        <w:tc>
          <w:tcPr>
            <w:tcW w:w="1843"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(336.0)</w:t>
            </w:r>
          </w:p>
        </w:tc>
        <w:tc>
          <w:tcPr>
            <w:tcW w:w="1388"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w:t>
            </w:r>
          </w:p>
        </w:tc>
      </w:tr>
      <w:tr w:rsidR="00965D85" w:rsidRPr="001E7FA9" w:rsidTr="008B46DF">
        <w:tc>
          <w:tcPr>
            <w:tcW w:w="4536" w:type="dxa"/>
            <w:tcBorders>
              <w:top w:val="nil"/>
              <w:left w:val="nil"/>
              <w:bottom w:val="single" w:sz="6" w:space="0" w:color="auto"/>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Transactions with owners in their capacity as owners</w:t>
            </w:r>
          </w:p>
        </w:tc>
        <w:tc>
          <w:tcPr>
            <w:tcW w:w="1843" w:type="dxa"/>
            <w:tcBorders>
              <w:top w:val="nil"/>
              <w:left w:val="nil"/>
              <w:bottom w:val="single" w:sz="6" w:space="0" w:color="auto"/>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w:t>
            </w:r>
          </w:p>
        </w:tc>
        <w:tc>
          <w:tcPr>
            <w:tcW w:w="1388" w:type="dxa"/>
            <w:tcBorders>
              <w:top w:val="nil"/>
              <w:left w:val="nil"/>
              <w:bottom w:val="single" w:sz="6" w:space="0" w:color="auto"/>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16.6</w:t>
            </w:r>
          </w:p>
        </w:tc>
      </w:tr>
      <w:tr w:rsidR="00965D85" w:rsidRPr="001E7FA9" w:rsidTr="008B46DF">
        <w:tc>
          <w:tcPr>
            <w:tcW w:w="4536" w:type="dxa"/>
            <w:tcBorders>
              <w:top w:val="single" w:sz="6" w:space="0" w:color="auto"/>
              <w:left w:val="nil"/>
              <w:bottom w:val="single" w:sz="12" w:space="0" w:color="auto"/>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b/>
                <w:bCs/>
                <w:color w:val="000000"/>
                <w:sz w:val="20"/>
                <w:lang w:eastAsia="en-AU"/>
              </w:rPr>
            </w:pPr>
            <w:r w:rsidRPr="001E7FA9">
              <w:rPr>
                <w:rFonts w:ascii="Calibri" w:eastAsiaTheme="minorEastAsia" w:hAnsi="Calibri" w:cs="Calibri"/>
                <w:b/>
                <w:bCs/>
                <w:color w:val="000000"/>
                <w:sz w:val="20"/>
                <w:lang w:eastAsia="en-AU"/>
              </w:rPr>
              <w:t>Total equity at end of period</w:t>
            </w:r>
          </w:p>
        </w:tc>
        <w:tc>
          <w:tcPr>
            <w:tcW w:w="1843" w:type="dxa"/>
            <w:tcBorders>
              <w:top w:val="single" w:sz="6" w:space="0" w:color="auto"/>
              <w:left w:val="nil"/>
              <w:bottom w:val="single" w:sz="12" w:space="0" w:color="auto"/>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1E7FA9">
              <w:rPr>
                <w:rFonts w:ascii="Calibri" w:eastAsiaTheme="minorEastAsia" w:hAnsi="Calibri" w:cs="Calibri"/>
                <w:b/>
                <w:bCs/>
                <w:color w:val="000000"/>
                <w:sz w:val="20"/>
                <w:lang w:eastAsia="en-AU"/>
              </w:rPr>
              <w:t>(3 495.7)</w:t>
            </w:r>
          </w:p>
        </w:tc>
        <w:tc>
          <w:tcPr>
            <w:tcW w:w="1388" w:type="dxa"/>
            <w:tcBorders>
              <w:top w:val="single" w:sz="6" w:space="0" w:color="auto"/>
              <w:left w:val="nil"/>
              <w:bottom w:val="single" w:sz="12" w:space="0" w:color="auto"/>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20"/>
                <w:lang w:eastAsia="en-AU"/>
              </w:rPr>
              <w:t>255.1</w:t>
            </w:r>
          </w:p>
        </w:tc>
      </w:tr>
      <w:tr w:rsidR="00965D85" w:rsidRPr="001E7FA9" w:rsidTr="008B46DF">
        <w:tc>
          <w:tcPr>
            <w:tcW w:w="7767" w:type="dxa"/>
            <w:gridSpan w:val="3"/>
            <w:tcBorders>
              <w:top w:val="single" w:sz="12" w:space="0" w:color="auto"/>
              <w:left w:val="nil"/>
              <w:bottom w:val="nil"/>
              <w:right w:val="nil"/>
            </w:tcBorders>
            <w:shd w:val="clear" w:color="auto" w:fill="auto"/>
          </w:tcPr>
          <w:p w:rsidR="00965D85" w:rsidRPr="001E7FA9" w:rsidRDefault="00965D85" w:rsidP="008B46DF">
            <w:pPr>
              <w:pStyle w:val="Source"/>
              <w:rPr>
                <w:rFonts w:eastAsiaTheme="minorEastAsia"/>
                <w:lang w:eastAsia="en-AU"/>
              </w:rPr>
            </w:pPr>
            <w:r w:rsidRPr="001E7FA9">
              <w:rPr>
                <w:rFonts w:eastAsiaTheme="minorEastAsia"/>
                <w:lang w:eastAsia="en-AU"/>
              </w:rPr>
              <w:t>Source: Department of Treasury and Finance</w:t>
            </w:r>
          </w:p>
        </w:tc>
      </w:tr>
    </w:tbl>
    <w:p w:rsidR="00965D85" w:rsidRPr="0027082E" w:rsidRDefault="00965D85" w:rsidP="008B46DF">
      <w:pPr>
        <w:pStyle w:val="Notes"/>
        <w:rPr>
          <w:lang w:eastAsia="en-AU"/>
        </w:rPr>
      </w:pPr>
      <w:r w:rsidRPr="0027082E">
        <w:rPr>
          <w:lang w:eastAsia="en-AU"/>
        </w:rPr>
        <w:t>Note:</w:t>
      </w:r>
    </w:p>
    <w:p w:rsidR="00965D85" w:rsidRDefault="00965D85" w:rsidP="008B46DF">
      <w:pPr>
        <w:pStyle w:val="Notes"/>
        <w:rPr>
          <w:lang w:eastAsia="en-AU"/>
        </w:rPr>
      </w:pPr>
      <w:r>
        <w:rPr>
          <w:lang w:eastAsia="en-AU"/>
        </w:rPr>
        <w:t>(a)</w:t>
      </w:r>
      <w:r>
        <w:rPr>
          <w:lang w:eastAsia="en-AU"/>
        </w:rPr>
        <w:tab/>
        <w:t>Balances represent actual opening balances at 1 July 2015 plus 2015</w:t>
      </w:r>
      <w:r>
        <w:rPr>
          <w:lang w:eastAsia="en-AU"/>
        </w:rPr>
        <w:noBreakHyphen/>
        <w:t>16 budgeted movements.</w:t>
      </w:r>
    </w:p>
    <w:p w:rsidR="00965D85" w:rsidRDefault="00965D85">
      <w:pPr>
        <w:spacing w:after="0"/>
        <w:rPr>
          <w:lang w:eastAsia="en-AU"/>
        </w:rPr>
      </w:pPr>
      <w:r>
        <w:rPr>
          <w:lang w:eastAsia="en-AU"/>
        </w:rPr>
        <w:br w:type="page"/>
      </w:r>
    </w:p>
    <w:p w:rsidR="00965D85" w:rsidRDefault="00965D85" w:rsidP="008B46DF">
      <w:pPr>
        <w:pStyle w:val="Tableheading"/>
        <w:rPr>
          <w:rFonts w:ascii="Times New Roman" w:hAnsi="Times New Roman"/>
          <w:sz w:val="20"/>
          <w:lang w:eastAsia="en-AU"/>
        </w:rPr>
      </w:pPr>
    </w:p>
    <w:tbl>
      <w:tblPr>
        <w:tblW w:w="7767" w:type="dxa"/>
        <w:tblInd w:w="28" w:type="dxa"/>
        <w:tblLayout w:type="fixed"/>
        <w:tblCellMar>
          <w:left w:w="28" w:type="dxa"/>
          <w:right w:w="28" w:type="dxa"/>
        </w:tblCellMar>
        <w:tblLook w:val="0000" w:firstRow="0" w:lastRow="0" w:firstColumn="0" w:lastColumn="0" w:noHBand="0" w:noVBand="0"/>
      </w:tblPr>
      <w:tblGrid>
        <w:gridCol w:w="2835"/>
        <w:gridCol w:w="2343"/>
        <w:gridCol w:w="2589"/>
      </w:tblGrid>
      <w:tr w:rsidR="00965D85" w:rsidRPr="001E7FA9" w:rsidTr="008B46DF">
        <w:trPr>
          <w:tblHeader/>
        </w:trPr>
        <w:tc>
          <w:tcPr>
            <w:tcW w:w="7767" w:type="dxa"/>
            <w:gridSpan w:val="3"/>
            <w:tcBorders>
              <w:top w:val="nil"/>
              <w:left w:val="nil"/>
              <w:bottom w:val="nil"/>
              <w:right w:val="nil"/>
            </w:tcBorders>
          </w:tcPr>
          <w:p w:rsidR="00965D85" w:rsidRPr="001E7FA9" w:rsidRDefault="00965D85" w:rsidP="008B46DF">
            <w:pPr>
              <w:pStyle w:val="million"/>
              <w:rPr>
                <w:rFonts w:eastAsiaTheme="minorEastAsia"/>
                <w:lang w:eastAsia="en-AU"/>
              </w:rPr>
            </w:pPr>
            <w:r w:rsidRPr="001E7FA9">
              <w:rPr>
                <w:rFonts w:eastAsiaTheme="minorEastAsia"/>
                <w:lang w:eastAsia="en-AU"/>
              </w:rPr>
              <w:t xml:space="preserve"> </w:t>
            </w:r>
          </w:p>
        </w:tc>
      </w:tr>
      <w:tr w:rsidR="00965D85" w:rsidRPr="001E7FA9" w:rsidTr="008B46DF">
        <w:trPr>
          <w:tblHeader/>
        </w:trPr>
        <w:tc>
          <w:tcPr>
            <w:tcW w:w="2835" w:type="dxa"/>
            <w:tcBorders>
              <w:top w:val="single" w:sz="6" w:space="0" w:color="auto"/>
              <w:left w:val="nil"/>
              <w:bottom w:val="single" w:sz="6" w:space="0" w:color="auto"/>
              <w:right w:val="nil"/>
            </w:tcBorders>
            <w:shd w:val="solid" w:color="000000" w:fill="auto"/>
          </w:tcPr>
          <w:p w:rsidR="00965D85" w:rsidRPr="001E7FA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1E7FA9">
              <w:rPr>
                <w:rFonts w:ascii="Calibri" w:eastAsiaTheme="minorEastAsia" w:hAnsi="Calibri" w:cs="Calibri"/>
                <w:i/>
                <w:iCs/>
                <w:color w:val="FFFFFF"/>
                <w:sz w:val="20"/>
                <w:lang w:eastAsia="en-AU"/>
              </w:rPr>
              <w:t>Land, buildings, infrastructure,</w:t>
            </w:r>
          </w:p>
          <w:p w:rsidR="00965D85" w:rsidRPr="001E7FA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1E7FA9">
              <w:rPr>
                <w:rFonts w:ascii="Calibri" w:eastAsiaTheme="minorEastAsia" w:hAnsi="Calibri" w:cs="Calibri"/>
                <w:i/>
                <w:iCs/>
                <w:color w:val="FFFFFF"/>
                <w:sz w:val="20"/>
                <w:lang w:eastAsia="en-AU"/>
              </w:rPr>
              <w:t xml:space="preserve"> plant and equipment</w:t>
            </w:r>
          </w:p>
          <w:p w:rsidR="00965D85" w:rsidRPr="001E7FA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1E7FA9">
              <w:rPr>
                <w:rFonts w:ascii="Calibri" w:eastAsiaTheme="minorEastAsia" w:hAnsi="Calibri" w:cs="Calibri"/>
                <w:i/>
                <w:iCs/>
                <w:color w:val="FFFFFF"/>
                <w:sz w:val="20"/>
                <w:lang w:eastAsia="en-AU"/>
              </w:rPr>
              <w:t xml:space="preserve"> revaluation surplus</w:t>
            </w:r>
          </w:p>
        </w:tc>
        <w:tc>
          <w:tcPr>
            <w:tcW w:w="2343" w:type="dxa"/>
            <w:tcBorders>
              <w:top w:val="single" w:sz="6" w:space="0" w:color="auto"/>
              <w:left w:val="nil"/>
              <w:bottom w:val="single" w:sz="6" w:space="0" w:color="auto"/>
              <w:right w:val="nil"/>
            </w:tcBorders>
            <w:shd w:val="solid" w:color="000000" w:fill="auto"/>
          </w:tcPr>
          <w:p w:rsidR="00965D85" w:rsidRPr="001E7FA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p>
          <w:p w:rsidR="00965D85" w:rsidRPr="001E7FA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1E7FA9">
              <w:rPr>
                <w:rFonts w:ascii="Calibri" w:eastAsiaTheme="minorEastAsia" w:hAnsi="Calibri" w:cs="Calibri"/>
                <w:i/>
                <w:iCs/>
                <w:color w:val="FFFFFF"/>
                <w:sz w:val="20"/>
                <w:lang w:eastAsia="en-AU"/>
              </w:rPr>
              <w:t>Other</w:t>
            </w:r>
          </w:p>
          <w:p w:rsidR="00965D85" w:rsidRPr="001E7FA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1E7FA9">
              <w:rPr>
                <w:rFonts w:ascii="Calibri" w:eastAsiaTheme="minorEastAsia" w:hAnsi="Calibri" w:cs="Calibri"/>
                <w:i/>
                <w:iCs/>
                <w:color w:val="FFFFFF"/>
                <w:sz w:val="20"/>
                <w:lang w:eastAsia="en-AU"/>
              </w:rPr>
              <w:t xml:space="preserve"> reserves</w:t>
            </w:r>
          </w:p>
        </w:tc>
        <w:tc>
          <w:tcPr>
            <w:tcW w:w="2589" w:type="dxa"/>
            <w:tcBorders>
              <w:top w:val="single" w:sz="6" w:space="0" w:color="auto"/>
              <w:left w:val="nil"/>
              <w:bottom w:val="single" w:sz="6" w:space="0" w:color="auto"/>
              <w:right w:val="single" w:sz="6" w:space="0" w:color="auto"/>
            </w:tcBorders>
            <w:shd w:val="solid" w:color="000000" w:fill="auto"/>
          </w:tcPr>
          <w:p w:rsidR="00965D85" w:rsidRPr="001E7FA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p>
          <w:p w:rsidR="00965D85" w:rsidRPr="001E7FA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p>
          <w:p w:rsidR="00965D85" w:rsidRPr="001E7FA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1E7FA9">
              <w:rPr>
                <w:rFonts w:ascii="Calibri" w:eastAsiaTheme="minorEastAsia" w:hAnsi="Calibri" w:cs="Calibri"/>
                <w:i/>
                <w:iCs/>
                <w:color w:val="FFFFFF"/>
                <w:sz w:val="20"/>
                <w:lang w:eastAsia="en-AU"/>
              </w:rPr>
              <w:t>Total</w:t>
            </w:r>
          </w:p>
        </w:tc>
      </w:tr>
      <w:tr w:rsidR="00965D85" w:rsidRPr="001E7FA9" w:rsidTr="008B46DF">
        <w:tc>
          <w:tcPr>
            <w:tcW w:w="2835" w:type="dxa"/>
            <w:tcBorders>
              <w:top w:val="single" w:sz="6" w:space="0" w:color="auto"/>
              <w:left w:val="nil"/>
              <w:right w:val="nil"/>
            </w:tcBorders>
            <w:shd w:val="clear" w:color="auto" w:fill="FFFFFF"/>
          </w:tcPr>
          <w:p w:rsidR="00965D85" w:rsidRPr="001E7FA9" w:rsidRDefault="00965D85" w:rsidP="008B46DF">
            <w:pPr>
              <w:autoSpaceDE w:val="0"/>
              <w:autoSpaceDN w:val="0"/>
              <w:adjustRightInd w:val="0"/>
              <w:spacing w:after="0"/>
              <w:ind w:left="227" w:hanging="227"/>
              <w:jc w:val="right"/>
              <w:rPr>
                <w:rFonts w:ascii="Calibri" w:eastAsiaTheme="minorEastAsia" w:hAnsi="Calibri" w:cs="Calibri"/>
                <w:b/>
                <w:bCs/>
                <w:color w:val="000000"/>
                <w:sz w:val="20"/>
                <w:lang w:eastAsia="en-AU"/>
              </w:rPr>
            </w:pPr>
            <w:r w:rsidRPr="001E7FA9">
              <w:rPr>
                <w:rFonts w:ascii="Calibri" w:eastAsiaTheme="minorEastAsia" w:hAnsi="Calibri" w:cs="Calibri"/>
                <w:b/>
                <w:bCs/>
                <w:color w:val="000000"/>
                <w:sz w:val="20"/>
                <w:lang w:eastAsia="en-AU"/>
              </w:rPr>
              <w:t xml:space="preserve"> </w:t>
            </w:r>
          </w:p>
        </w:tc>
        <w:tc>
          <w:tcPr>
            <w:tcW w:w="2343" w:type="dxa"/>
            <w:tcBorders>
              <w:top w:val="single" w:sz="6" w:space="0" w:color="auto"/>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FF"/>
                <w:sz w:val="20"/>
                <w:lang w:eastAsia="en-AU"/>
              </w:rPr>
            </w:pPr>
          </w:p>
        </w:tc>
        <w:tc>
          <w:tcPr>
            <w:tcW w:w="2589" w:type="dxa"/>
            <w:tcBorders>
              <w:top w:val="single" w:sz="6" w:space="0" w:color="auto"/>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FF"/>
                <w:sz w:val="20"/>
                <w:lang w:eastAsia="en-AU"/>
              </w:rPr>
            </w:pPr>
          </w:p>
        </w:tc>
      </w:tr>
      <w:tr w:rsidR="00965D85" w:rsidRPr="001E7FA9" w:rsidTr="008B46DF">
        <w:tc>
          <w:tcPr>
            <w:tcW w:w="2835" w:type="dxa"/>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 xml:space="preserve"> 2.1</w:t>
            </w:r>
          </w:p>
        </w:tc>
        <w:tc>
          <w:tcPr>
            <w:tcW w:w="2343"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35.3</w:t>
            </w:r>
          </w:p>
        </w:tc>
        <w:tc>
          <w:tcPr>
            <w:tcW w:w="2589"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(794.0)</w:t>
            </w:r>
          </w:p>
        </w:tc>
      </w:tr>
      <w:tr w:rsidR="00965D85" w:rsidRPr="001E7FA9" w:rsidTr="008B46DF">
        <w:tc>
          <w:tcPr>
            <w:tcW w:w="2835" w:type="dxa"/>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w:t>
            </w:r>
          </w:p>
        </w:tc>
        <w:tc>
          <w:tcPr>
            <w:tcW w:w="2343"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w:t>
            </w:r>
          </w:p>
        </w:tc>
        <w:tc>
          <w:tcPr>
            <w:tcW w:w="2589"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586.9</w:t>
            </w:r>
          </w:p>
        </w:tc>
      </w:tr>
      <w:tr w:rsidR="00965D85" w:rsidRPr="001E7FA9" w:rsidTr="008B46DF">
        <w:tc>
          <w:tcPr>
            <w:tcW w:w="2835" w:type="dxa"/>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w:t>
            </w:r>
          </w:p>
        </w:tc>
        <w:tc>
          <w:tcPr>
            <w:tcW w:w="2343"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0.9</w:t>
            </w:r>
          </w:p>
        </w:tc>
        <w:tc>
          <w:tcPr>
            <w:tcW w:w="2589"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(3.3)</w:t>
            </w:r>
          </w:p>
        </w:tc>
      </w:tr>
      <w:tr w:rsidR="00965D85" w:rsidRPr="001E7FA9" w:rsidTr="008B46DF">
        <w:tc>
          <w:tcPr>
            <w:tcW w:w="2835" w:type="dxa"/>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w:t>
            </w:r>
          </w:p>
        </w:tc>
        <w:tc>
          <w:tcPr>
            <w:tcW w:w="2343"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w:t>
            </w:r>
          </w:p>
        </w:tc>
        <w:tc>
          <w:tcPr>
            <w:tcW w:w="2589"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(619.5)</w:t>
            </w:r>
          </w:p>
        </w:tc>
      </w:tr>
      <w:tr w:rsidR="00965D85" w:rsidRPr="001E7FA9" w:rsidTr="008B46DF">
        <w:tc>
          <w:tcPr>
            <w:tcW w:w="2835" w:type="dxa"/>
            <w:tcBorders>
              <w:top w:val="nil"/>
              <w:left w:val="nil"/>
              <w:bottom w:val="single" w:sz="6" w:space="0" w:color="auto"/>
              <w:right w:val="nil"/>
            </w:tcBorders>
            <w:shd w:val="clear" w:color="auto" w:fill="FFFFFF"/>
          </w:tcPr>
          <w:p w:rsidR="00965D85" w:rsidRPr="001E7FA9" w:rsidRDefault="00965D85" w:rsidP="008B46DF">
            <w:pPr>
              <w:autoSpaceDE w:val="0"/>
              <w:autoSpaceDN w:val="0"/>
              <w:adjustRightInd w:val="0"/>
              <w:spacing w:after="0"/>
              <w:ind w:left="227" w:hanging="227"/>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w:t>
            </w:r>
          </w:p>
        </w:tc>
        <w:tc>
          <w:tcPr>
            <w:tcW w:w="2343" w:type="dxa"/>
            <w:tcBorders>
              <w:top w:val="nil"/>
              <w:left w:val="nil"/>
              <w:bottom w:val="single" w:sz="6" w:space="0" w:color="auto"/>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w:t>
            </w:r>
          </w:p>
        </w:tc>
        <w:tc>
          <w:tcPr>
            <w:tcW w:w="2589" w:type="dxa"/>
            <w:tcBorders>
              <w:top w:val="nil"/>
              <w:left w:val="nil"/>
              <w:bottom w:val="single" w:sz="6" w:space="0" w:color="auto"/>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16.6</w:t>
            </w:r>
          </w:p>
        </w:tc>
      </w:tr>
      <w:tr w:rsidR="00965D85" w:rsidRPr="001E7FA9" w:rsidTr="008B46DF">
        <w:tc>
          <w:tcPr>
            <w:tcW w:w="2835" w:type="dxa"/>
            <w:tcBorders>
              <w:top w:val="single" w:sz="6" w:space="0" w:color="auto"/>
              <w:left w:val="nil"/>
              <w:bottom w:val="single" w:sz="12" w:space="0" w:color="auto"/>
              <w:right w:val="nil"/>
            </w:tcBorders>
            <w:shd w:val="clear" w:color="auto" w:fill="FFFFFF"/>
          </w:tcPr>
          <w:p w:rsidR="00965D85" w:rsidRPr="001E7FA9" w:rsidRDefault="00965D85" w:rsidP="008B46DF">
            <w:pPr>
              <w:autoSpaceDE w:val="0"/>
              <w:autoSpaceDN w:val="0"/>
              <w:adjustRightInd w:val="0"/>
              <w:spacing w:after="0"/>
              <w:ind w:left="227" w:hanging="227"/>
              <w:jc w:val="right"/>
              <w:rPr>
                <w:rFonts w:ascii="Calibri" w:eastAsiaTheme="minorEastAsia" w:hAnsi="Calibri" w:cs="Calibri"/>
                <w:b/>
                <w:bCs/>
                <w:color w:val="000000"/>
                <w:sz w:val="20"/>
                <w:lang w:eastAsia="en-AU"/>
              </w:rPr>
            </w:pPr>
            <w:r w:rsidRPr="001E7FA9">
              <w:rPr>
                <w:rFonts w:ascii="Calibri" w:eastAsiaTheme="minorEastAsia" w:hAnsi="Calibri" w:cs="Calibri"/>
                <w:b/>
                <w:bCs/>
                <w:color w:val="000000"/>
                <w:sz w:val="20"/>
                <w:lang w:eastAsia="en-AU"/>
              </w:rPr>
              <w:t xml:space="preserve"> 2.1</w:t>
            </w:r>
          </w:p>
        </w:tc>
        <w:tc>
          <w:tcPr>
            <w:tcW w:w="2343" w:type="dxa"/>
            <w:tcBorders>
              <w:top w:val="single" w:sz="6" w:space="0" w:color="auto"/>
              <w:left w:val="nil"/>
              <w:bottom w:val="single" w:sz="12" w:space="0" w:color="auto"/>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20"/>
                <w:lang w:eastAsia="en-AU"/>
              </w:rPr>
              <w:t>36.2</w:t>
            </w:r>
          </w:p>
        </w:tc>
        <w:tc>
          <w:tcPr>
            <w:tcW w:w="2589" w:type="dxa"/>
            <w:tcBorders>
              <w:top w:val="single" w:sz="6" w:space="0" w:color="auto"/>
              <w:left w:val="nil"/>
              <w:bottom w:val="single" w:sz="12" w:space="0" w:color="auto"/>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20"/>
                <w:lang w:eastAsia="en-AU"/>
              </w:rPr>
              <w:t>(813.4)</w:t>
            </w:r>
          </w:p>
        </w:tc>
      </w:tr>
      <w:tr w:rsidR="00965D85" w:rsidRPr="001E7FA9" w:rsidTr="008B46DF">
        <w:tc>
          <w:tcPr>
            <w:tcW w:w="2835" w:type="dxa"/>
            <w:tcBorders>
              <w:top w:val="single" w:sz="12" w:space="0" w:color="auto"/>
              <w:left w:val="nil"/>
              <w:right w:val="nil"/>
            </w:tcBorders>
            <w:shd w:val="clear" w:color="auto" w:fill="FFFFFF"/>
          </w:tcPr>
          <w:p w:rsidR="00965D85" w:rsidRPr="001E7FA9" w:rsidRDefault="00965D85" w:rsidP="008B46DF">
            <w:pPr>
              <w:autoSpaceDE w:val="0"/>
              <w:autoSpaceDN w:val="0"/>
              <w:adjustRightInd w:val="0"/>
              <w:spacing w:after="0"/>
              <w:ind w:left="227" w:hanging="227"/>
              <w:jc w:val="right"/>
              <w:rPr>
                <w:rFonts w:ascii="Calibri" w:eastAsiaTheme="minorEastAsia" w:hAnsi="Calibri" w:cs="Calibri"/>
                <w:b/>
                <w:bCs/>
                <w:color w:val="000000"/>
                <w:sz w:val="20"/>
                <w:lang w:eastAsia="en-AU"/>
              </w:rPr>
            </w:pPr>
            <w:r w:rsidRPr="001E7FA9">
              <w:rPr>
                <w:rFonts w:ascii="Calibri" w:eastAsiaTheme="minorEastAsia" w:hAnsi="Calibri" w:cs="Calibri"/>
                <w:b/>
                <w:bCs/>
                <w:color w:val="000000"/>
                <w:sz w:val="20"/>
                <w:lang w:eastAsia="en-AU"/>
              </w:rPr>
              <w:t xml:space="preserve"> </w:t>
            </w:r>
          </w:p>
        </w:tc>
        <w:tc>
          <w:tcPr>
            <w:tcW w:w="2343" w:type="dxa"/>
            <w:tcBorders>
              <w:top w:val="single" w:sz="12" w:space="0" w:color="auto"/>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FF"/>
                <w:sz w:val="20"/>
                <w:lang w:eastAsia="en-AU"/>
              </w:rPr>
            </w:pPr>
          </w:p>
        </w:tc>
        <w:tc>
          <w:tcPr>
            <w:tcW w:w="2589" w:type="dxa"/>
            <w:tcBorders>
              <w:top w:val="single" w:sz="12" w:space="0" w:color="auto"/>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FF"/>
                <w:sz w:val="20"/>
                <w:lang w:eastAsia="en-AU"/>
              </w:rPr>
            </w:pPr>
          </w:p>
        </w:tc>
      </w:tr>
      <w:tr w:rsidR="00965D85" w:rsidRPr="001E7FA9" w:rsidTr="008B46DF">
        <w:tc>
          <w:tcPr>
            <w:tcW w:w="2835" w:type="dxa"/>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 xml:space="preserve"> 2.1</w:t>
            </w:r>
          </w:p>
        </w:tc>
        <w:tc>
          <w:tcPr>
            <w:tcW w:w="2343"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35.3</w:t>
            </w:r>
          </w:p>
        </w:tc>
        <w:tc>
          <w:tcPr>
            <w:tcW w:w="2589"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(794.0)</w:t>
            </w:r>
          </w:p>
        </w:tc>
      </w:tr>
      <w:tr w:rsidR="00965D85" w:rsidRPr="001E7FA9" w:rsidTr="008B46DF">
        <w:tc>
          <w:tcPr>
            <w:tcW w:w="2835" w:type="dxa"/>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w:t>
            </w:r>
          </w:p>
        </w:tc>
        <w:tc>
          <w:tcPr>
            <w:tcW w:w="2343"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w:t>
            </w:r>
          </w:p>
        </w:tc>
        <w:tc>
          <w:tcPr>
            <w:tcW w:w="2589"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(1 086.1)</w:t>
            </w:r>
          </w:p>
        </w:tc>
      </w:tr>
      <w:tr w:rsidR="00965D85" w:rsidRPr="001E7FA9" w:rsidTr="008B46DF">
        <w:tc>
          <w:tcPr>
            <w:tcW w:w="2835" w:type="dxa"/>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w:t>
            </w:r>
          </w:p>
        </w:tc>
        <w:tc>
          <w:tcPr>
            <w:tcW w:w="2343"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0.2</w:t>
            </w:r>
          </w:p>
        </w:tc>
        <w:tc>
          <w:tcPr>
            <w:tcW w:w="2589"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0.5</w:t>
            </w:r>
          </w:p>
        </w:tc>
      </w:tr>
      <w:tr w:rsidR="00965D85" w:rsidRPr="001E7FA9" w:rsidTr="008B46DF">
        <w:tc>
          <w:tcPr>
            <w:tcW w:w="2835" w:type="dxa"/>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w:t>
            </w:r>
          </w:p>
        </w:tc>
        <w:tc>
          <w:tcPr>
            <w:tcW w:w="2343"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w:t>
            </w:r>
          </w:p>
        </w:tc>
        <w:tc>
          <w:tcPr>
            <w:tcW w:w="2589"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(613.6)</w:t>
            </w:r>
          </w:p>
        </w:tc>
      </w:tr>
      <w:tr w:rsidR="00965D85" w:rsidRPr="001E7FA9" w:rsidTr="008B46DF">
        <w:tc>
          <w:tcPr>
            <w:tcW w:w="2835" w:type="dxa"/>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w:t>
            </w:r>
          </w:p>
        </w:tc>
        <w:tc>
          <w:tcPr>
            <w:tcW w:w="2343"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w:t>
            </w:r>
          </w:p>
        </w:tc>
        <w:tc>
          <w:tcPr>
            <w:tcW w:w="2589"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(11.6)</w:t>
            </w:r>
          </w:p>
        </w:tc>
      </w:tr>
      <w:tr w:rsidR="00965D85" w:rsidRPr="001E7FA9" w:rsidTr="008B46DF">
        <w:tc>
          <w:tcPr>
            <w:tcW w:w="2835" w:type="dxa"/>
            <w:tcBorders>
              <w:top w:val="nil"/>
              <w:left w:val="nil"/>
              <w:bottom w:val="single" w:sz="6" w:space="0" w:color="auto"/>
              <w:right w:val="nil"/>
            </w:tcBorders>
            <w:shd w:val="clear" w:color="auto" w:fill="FFFFFF"/>
          </w:tcPr>
          <w:p w:rsidR="00965D85" w:rsidRPr="001E7FA9" w:rsidRDefault="00965D85" w:rsidP="008B46DF">
            <w:pPr>
              <w:autoSpaceDE w:val="0"/>
              <w:autoSpaceDN w:val="0"/>
              <w:adjustRightInd w:val="0"/>
              <w:spacing w:after="0"/>
              <w:ind w:left="227" w:hanging="227"/>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w:t>
            </w:r>
          </w:p>
        </w:tc>
        <w:tc>
          <w:tcPr>
            <w:tcW w:w="2343" w:type="dxa"/>
            <w:tcBorders>
              <w:top w:val="nil"/>
              <w:left w:val="nil"/>
              <w:bottom w:val="single" w:sz="6" w:space="0" w:color="auto"/>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w:t>
            </w:r>
          </w:p>
        </w:tc>
        <w:tc>
          <w:tcPr>
            <w:tcW w:w="2589" w:type="dxa"/>
            <w:tcBorders>
              <w:top w:val="nil"/>
              <w:left w:val="nil"/>
              <w:bottom w:val="single" w:sz="6" w:space="0" w:color="auto"/>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28.2</w:t>
            </w:r>
          </w:p>
        </w:tc>
      </w:tr>
      <w:tr w:rsidR="00965D85" w:rsidRPr="001E7FA9" w:rsidTr="008B46DF">
        <w:tc>
          <w:tcPr>
            <w:tcW w:w="2835" w:type="dxa"/>
            <w:tcBorders>
              <w:top w:val="single" w:sz="6" w:space="0" w:color="auto"/>
              <w:left w:val="nil"/>
              <w:bottom w:val="single" w:sz="12" w:space="0" w:color="auto"/>
              <w:right w:val="nil"/>
            </w:tcBorders>
            <w:shd w:val="clear" w:color="auto" w:fill="FFFFFF"/>
          </w:tcPr>
          <w:p w:rsidR="00965D85" w:rsidRPr="001E7FA9" w:rsidRDefault="00965D85" w:rsidP="008B46DF">
            <w:pPr>
              <w:autoSpaceDE w:val="0"/>
              <w:autoSpaceDN w:val="0"/>
              <w:adjustRightInd w:val="0"/>
              <w:spacing w:after="0"/>
              <w:ind w:left="227" w:hanging="227"/>
              <w:jc w:val="right"/>
              <w:rPr>
                <w:rFonts w:ascii="Calibri" w:eastAsiaTheme="minorEastAsia" w:hAnsi="Calibri" w:cs="Calibri"/>
                <w:b/>
                <w:bCs/>
                <w:color w:val="000000"/>
                <w:sz w:val="20"/>
                <w:lang w:eastAsia="en-AU"/>
              </w:rPr>
            </w:pPr>
            <w:r w:rsidRPr="001E7FA9">
              <w:rPr>
                <w:rFonts w:ascii="Calibri" w:eastAsiaTheme="minorEastAsia" w:hAnsi="Calibri" w:cs="Calibri"/>
                <w:b/>
                <w:bCs/>
                <w:color w:val="000000"/>
                <w:sz w:val="20"/>
                <w:lang w:eastAsia="en-AU"/>
              </w:rPr>
              <w:t xml:space="preserve"> 2.1</w:t>
            </w:r>
          </w:p>
        </w:tc>
        <w:tc>
          <w:tcPr>
            <w:tcW w:w="2343" w:type="dxa"/>
            <w:tcBorders>
              <w:top w:val="single" w:sz="6" w:space="0" w:color="auto"/>
              <w:left w:val="nil"/>
              <w:bottom w:val="single" w:sz="12" w:space="0" w:color="auto"/>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20"/>
                <w:lang w:eastAsia="en-AU"/>
              </w:rPr>
              <w:t>35.5</w:t>
            </w:r>
          </w:p>
        </w:tc>
        <w:tc>
          <w:tcPr>
            <w:tcW w:w="2589" w:type="dxa"/>
            <w:tcBorders>
              <w:top w:val="single" w:sz="6" w:space="0" w:color="auto"/>
              <w:left w:val="nil"/>
              <w:bottom w:val="single" w:sz="12" w:space="0" w:color="auto"/>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1E7FA9">
              <w:rPr>
                <w:rFonts w:ascii="Calibri" w:eastAsiaTheme="minorEastAsia" w:hAnsi="Calibri" w:cs="Calibri"/>
                <w:b/>
                <w:bCs/>
                <w:color w:val="000000"/>
                <w:sz w:val="20"/>
                <w:lang w:eastAsia="en-AU"/>
              </w:rPr>
              <w:t>(2 476.6)</w:t>
            </w:r>
          </w:p>
        </w:tc>
      </w:tr>
      <w:tr w:rsidR="00965D85" w:rsidRPr="001E7FA9" w:rsidTr="008B46DF">
        <w:tc>
          <w:tcPr>
            <w:tcW w:w="2835" w:type="dxa"/>
            <w:tcBorders>
              <w:top w:val="single" w:sz="12" w:space="0" w:color="auto"/>
              <w:left w:val="nil"/>
              <w:right w:val="nil"/>
            </w:tcBorders>
            <w:shd w:val="clear" w:color="auto" w:fill="FFFFFF"/>
          </w:tcPr>
          <w:p w:rsidR="00965D85" w:rsidRPr="001E7FA9" w:rsidRDefault="00965D85" w:rsidP="008B46DF">
            <w:pPr>
              <w:autoSpaceDE w:val="0"/>
              <w:autoSpaceDN w:val="0"/>
              <w:adjustRightInd w:val="0"/>
              <w:spacing w:after="0"/>
              <w:ind w:left="227" w:hanging="227"/>
              <w:jc w:val="right"/>
              <w:rPr>
                <w:rFonts w:ascii="Calibri" w:eastAsiaTheme="minorEastAsia" w:hAnsi="Calibri" w:cs="Calibri"/>
                <w:b/>
                <w:bCs/>
                <w:color w:val="000000"/>
                <w:sz w:val="20"/>
                <w:lang w:eastAsia="en-AU"/>
              </w:rPr>
            </w:pPr>
            <w:r w:rsidRPr="001E7FA9">
              <w:rPr>
                <w:rFonts w:ascii="Calibri" w:eastAsiaTheme="minorEastAsia" w:hAnsi="Calibri" w:cs="Calibri"/>
                <w:b/>
                <w:bCs/>
                <w:color w:val="000000"/>
                <w:sz w:val="20"/>
                <w:lang w:eastAsia="en-AU"/>
              </w:rPr>
              <w:t xml:space="preserve"> </w:t>
            </w:r>
          </w:p>
        </w:tc>
        <w:tc>
          <w:tcPr>
            <w:tcW w:w="2343" w:type="dxa"/>
            <w:tcBorders>
              <w:top w:val="single" w:sz="12" w:space="0" w:color="auto"/>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FF"/>
                <w:sz w:val="20"/>
                <w:lang w:eastAsia="en-AU"/>
              </w:rPr>
            </w:pPr>
          </w:p>
        </w:tc>
        <w:tc>
          <w:tcPr>
            <w:tcW w:w="2589" w:type="dxa"/>
            <w:tcBorders>
              <w:top w:val="single" w:sz="12" w:space="0" w:color="auto"/>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FF"/>
                <w:sz w:val="20"/>
                <w:lang w:eastAsia="en-AU"/>
              </w:rPr>
            </w:pPr>
          </w:p>
        </w:tc>
      </w:tr>
      <w:tr w:rsidR="00965D85" w:rsidRPr="001E7FA9" w:rsidTr="008B46DF">
        <w:tc>
          <w:tcPr>
            <w:tcW w:w="2835" w:type="dxa"/>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 xml:space="preserve"> 2.1</w:t>
            </w:r>
          </w:p>
        </w:tc>
        <w:tc>
          <w:tcPr>
            <w:tcW w:w="2343"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35.5</w:t>
            </w:r>
          </w:p>
        </w:tc>
        <w:tc>
          <w:tcPr>
            <w:tcW w:w="2589"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(2 476.6)</w:t>
            </w:r>
          </w:p>
        </w:tc>
      </w:tr>
      <w:tr w:rsidR="00965D85" w:rsidRPr="001E7FA9" w:rsidTr="008B46DF">
        <w:tc>
          <w:tcPr>
            <w:tcW w:w="2835" w:type="dxa"/>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w:t>
            </w:r>
          </w:p>
        </w:tc>
        <w:tc>
          <w:tcPr>
            <w:tcW w:w="2343"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w:t>
            </w:r>
          </w:p>
        </w:tc>
        <w:tc>
          <w:tcPr>
            <w:tcW w:w="2589"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591.4</w:t>
            </w:r>
          </w:p>
        </w:tc>
      </w:tr>
      <w:tr w:rsidR="00965D85" w:rsidRPr="001E7FA9" w:rsidTr="008B46DF">
        <w:tc>
          <w:tcPr>
            <w:tcW w:w="2835" w:type="dxa"/>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w:t>
            </w:r>
          </w:p>
        </w:tc>
        <w:tc>
          <w:tcPr>
            <w:tcW w:w="2343"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0.2</w:t>
            </w:r>
          </w:p>
        </w:tc>
        <w:tc>
          <w:tcPr>
            <w:tcW w:w="2589"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(1.0)</w:t>
            </w:r>
          </w:p>
        </w:tc>
      </w:tr>
      <w:tr w:rsidR="00965D85" w:rsidRPr="001E7FA9" w:rsidTr="008B46DF">
        <w:tc>
          <w:tcPr>
            <w:tcW w:w="2835" w:type="dxa"/>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w:t>
            </w:r>
          </w:p>
        </w:tc>
        <w:tc>
          <w:tcPr>
            <w:tcW w:w="2343"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w:t>
            </w:r>
          </w:p>
        </w:tc>
        <w:tc>
          <w:tcPr>
            <w:tcW w:w="2589"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(514.7)</w:t>
            </w:r>
          </w:p>
        </w:tc>
      </w:tr>
      <w:tr w:rsidR="00965D85" w:rsidRPr="001E7FA9" w:rsidTr="008B46DF">
        <w:tc>
          <w:tcPr>
            <w:tcW w:w="2835" w:type="dxa"/>
            <w:tcBorders>
              <w:top w:val="nil"/>
              <w:left w:val="nil"/>
              <w:bottom w:val="single" w:sz="6" w:space="0" w:color="auto"/>
              <w:right w:val="nil"/>
            </w:tcBorders>
            <w:shd w:val="clear" w:color="auto" w:fill="FFFFFF"/>
          </w:tcPr>
          <w:p w:rsidR="00965D85" w:rsidRPr="001E7FA9" w:rsidRDefault="00965D85" w:rsidP="008B46DF">
            <w:pPr>
              <w:autoSpaceDE w:val="0"/>
              <w:autoSpaceDN w:val="0"/>
              <w:adjustRightInd w:val="0"/>
              <w:spacing w:after="0"/>
              <w:ind w:left="227" w:hanging="227"/>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w:t>
            </w:r>
          </w:p>
        </w:tc>
        <w:tc>
          <w:tcPr>
            <w:tcW w:w="2343" w:type="dxa"/>
            <w:tcBorders>
              <w:top w:val="nil"/>
              <w:left w:val="nil"/>
              <w:bottom w:val="single" w:sz="6" w:space="0" w:color="auto"/>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w:t>
            </w:r>
          </w:p>
        </w:tc>
        <w:tc>
          <w:tcPr>
            <w:tcW w:w="2589" w:type="dxa"/>
            <w:tcBorders>
              <w:top w:val="nil"/>
              <w:left w:val="nil"/>
              <w:bottom w:val="single" w:sz="6" w:space="0" w:color="auto"/>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16.6</w:t>
            </w:r>
          </w:p>
        </w:tc>
      </w:tr>
      <w:tr w:rsidR="00965D85" w:rsidRPr="001E7FA9" w:rsidTr="008B46DF">
        <w:tc>
          <w:tcPr>
            <w:tcW w:w="2835" w:type="dxa"/>
            <w:tcBorders>
              <w:top w:val="single" w:sz="6" w:space="0" w:color="auto"/>
              <w:left w:val="nil"/>
              <w:bottom w:val="single" w:sz="12" w:space="0" w:color="auto"/>
              <w:right w:val="nil"/>
            </w:tcBorders>
            <w:shd w:val="clear" w:color="auto" w:fill="FFFFFF"/>
          </w:tcPr>
          <w:p w:rsidR="00965D85" w:rsidRPr="001E7FA9" w:rsidRDefault="00965D85" w:rsidP="008B46DF">
            <w:pPr>
              <w:autoSpaceDE w:val="0"/>
              <w:autoSpaceDN w:val="0"/>
              <w:adjustRightInd w:val="0"/>
              <w:spacing w:after="0"/>
              <w:ind w:left="227" w:hanging="227"/>
              <w:jc w:val="right"/>
              <w:rPr>
                <w:rFonts w:ascii="Calibri" w:eastAsiaTheme="minorEastAsia" w:hAnsi="Calibri" w:cs="Calibri"/>
                <w:b/>
                <w:bCs/>
                <w:color w:val="000000"/>
                <w:sz w:val="20"/>
                <w:lang w:eastAsia="en-AU"/>
              </w:rPr>
            </w:pPr>
            <w:r w:rsidRPr="001E7FA9">
              <w:rPr>
                <w:rFonts w:ascii="Calibri" w:eastAsiaTheme="minorEastAsia" w:hAnsi="Calibri" w:cs="Calibri"/>
                <w:b/>
                <w:bCs/>
                <w:color w:val="000000"/>
                <w:sz w:val="20"/>
                <w:lang w:eastAsia="en-AU"/>
              </w:rPr>
              <w:t xml:space="preserve"> 2.1</w:t>
            </w:r>
          </w:p>
        </w:tc>
        <w:tc>
          <w:tcPr>
            <w:tcW w:w="2343" w:type="dxa"/>
            <w:tcBorders>
              <w:top w:val="single" w:sz="6" w:space="0" w:color="auto"/>
              <w:left w:val="nil"/>
              <w:bottom w:val="single" w:sz="12" w:space="0" w:color="auto"/>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20"/>
                <w:lang w:eastAsia="en-AU"/>
              </w:rPr>
              <w:t>35.7</w:t>
            </w:r>
          </w:p>
        </w:tc>
        <w:tc>
          <w:tcPr>
            <w:tcW w:w="2589" w:type="dxa"/>
            <w:tcBorders>
              <w:top w:val="single" w:sz="6" w:space="0" w:color="auto"/>
              <w:left w:val="nil"/>
              <w:bottom w:val="single" w:sz="12" w:space="0" w:color="auto"/>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1E7FA9">
              <w:rPr>
                <w:rFonts w:ascii="Calibri" w:eastAsiaTheme="minorEastAsia" w:hAnsi="Calibri" w:cs="Calibri"/>
                <w:b/>
                <w:bCs/>
                <w:color w:val="000000"/>
                <w:sz w:val="20"/>
                <w:lang w:eastAsia="en-AU"/>
              </w:rPr>
              <w:t>(2 384.3)</w:t>
            </w:r>
          </w:p>
        </w:tc>
      </w:tr>
      <w:tr w:rsidR="00965D85" w:rsidRPr="001E7FA9" w:rsidTr="008B46DF">
        <w:tc>
          <w:tcPr>
            <w:tcW w:w="2835" w:type="dxa"/>
            <w:tcBorders>
              <w:top w:val="single" w:sz="12" w:space="0" w:color="auto"/>
              <w:left w:val="nil"/>
              <w:right w:val="nil"/>
            </w:tcBorders>
            <w:shd w:val="clear" w:color="auto" w:fill="FFFFFF"/>
          </w:tcPr>
          <w:p w:rsidR="00965D85" w:rsidRPr="001E7FA9" w:rsidRDefault="00965D85" w:rsidP="008B46DF">
            <w:pPr>
              <w:autoSpaceDE w:val="0"/>
              <w:autoSpaceDN w:val="0"/>
              <w:adjustRightInd w:val="0"/>
              <w:spacing w:after="0"/>
              <w:ind w:left="227" w:hanging="227"/>
              <w:jc w:val="right"/>
              <w:rPr>
                <w:rFonts w:ascii="Calibri" w:eastAsiaTheme="minorEastAsia" w:hAnsi="Calibri" w:cs="Calibri"/>
                <w:b/>
                <w:bCs/>
                <w:color w:val="000000"/>
                <w:sz w:val="20"/>
                <w:lang w:eastAsia="en-AU"/>
              </w:rPr>
            </w:pPr>
            <w:r w:rsidRPr="001E7FA9">
              <w:rPr>
                <w:rFonts w:ascii="Calibri" w:eastAsiaTheme="minorEastAsia" w:hAnsi="Calibri" w:cs="Calibri"/>
                <w:b/>
                <w:bCs/>
                <w:color w:val="000000"/>
                <w:sz w:val="20"/>
                <w:lang w:eastAsia="en-AU"/>
              </w:rPr>
              <w:t xml:space="preserve"> </w:t>
            </w:r>
          </w:p>
        </w:tc>
        <w:tc>
          <w:tcPr>
            <w:tcW w:w="2343" w:type="dxa"/>
            <w:tcBorders>
              <w:top w:val="single" w:sz="12" w:space="0" w:color="auto"/>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FF"/>
                <w:sz w:val="20"/>
                <w:lang w:eastAsia="en-AU"/>
              </w:rPr>
            </w:pPr>
          </w:p>
        </w:tc>
        <w:tc>
          <w:tcPr>
            <w:tcW w:w="2589" w:type="dxa"/>
            <w:tcBorders>
              <w:top w:val="single" w:sz="12" w:space="0" w:color="auto"/>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FF"/>
                <w:sz w:val="20"/>
                <w:lang w:eastAsia="en-AU"/>
              </w:rPr>
            </w:pPr>
          </w:p>
        </w:tc>
      </w:tr>
      <w:tr w:rsidR="00965D85" w:rsidRPr="001E7FA9" w:rsidTr="008B46DF">
        <w:tc>
          <w:tcPr>
            <w:tcW w:w="2835" w:type="dxa"/>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 xml:space="preserve"> 2.1</w:t>
            </w:r>
          </w:p>
        </w:tc>
        <w:tc>
          <w:tcPr>
            <w:tcW w:w="2343"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35.7</w:t>
            </w:r>
          </w:p>
        </w:tc>
        <w:tc>
          <w:tcPr>
            <w:tcW w:w="2589"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(2 384.3)</w:t>
            </w:r>
          </w:p>
        </w:tc>
      </w:tr>
      <w:tr w:rsidR="00965D85" w:rsidRPr="001E7FA9" w:rsidTr="008B46DF">
        <w:tc>
          <w:tcPr>
            <w:tcW w:w="2835" w:type="dxa"/>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w:t>
            </w:r>
          </w:p>
        </w:tc>
        <w:tc>
          <w:tcPr>
            <w:tcW w:w="2343"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w:t>
            </w:r>
          </w:p>
        </w:tc>
        <w:tc>
          <w:tcPr>
            <w:tcW w:w="2589"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582.4</w:t>
            </w:r>
          </w:p>
        </w:tc>
      </w:tr>
      <w:tr w:rsidR="00965D85" w:rsidRPr="001E7FA9" w:rsidTr="008B46DF">
        <w:tc>
          <w:tcPr>
            <w:tcW w:w="2835" w:type="dxa"/>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w:t>
            </w:r>
          </w:p>
        </w:tc>
        <w:tc>
          <w:tcPr>
            <w:tcW w:w="2343"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w:t>
            </w:r>
          </w:p>
        </w:tc>
        <w:tc>
          <w:tcPr>
            <w:tcW w:w="2589"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(1.5)</w:t>
            </w:r>
          </w:p>
        </w:tc>
      </w:tr>
      <w:tr w:rsidR="00965D85" w:rsidRPr="001E7FA9" w:rsidTr="008B46DF">
        <w:tc>
          <w:tcPr>
            <w:tcW w:w="2835" w:type="dxa"/>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w:t>
            </w:r>
          </w:p>
        </w:tc>
        <w:tc>
          <w:tcPr>
            <w:tcW w:w="2343"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w:t>
            </w:r>
          </w:p>
        </w:tc>
        <w:tc>
          <w:tcPr>
            <w:tcW w:w="2589"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(526.5)</w:t>
            </w:r>
          </w:p>
        </w:tc>
      </w:tr>
      <w:tr w:rsidR="00965D85" w:rsidRPr="001E7FA9" w:rsidTr="008B46DF">
        <w:tc>
          <w:tcPr>
            <w:tcW w:w="2835" w:type="dxa"/>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w:t>
            </w:r>
          </w:p>
        </w:tc>
        <w:tc>
          <w:tcPr>
            <w:tcW w:w="2343"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w:t>
            </w:r>
          </w:p>
        </w:tc>
        <w:tc>
          <w:tcPr>
            <w:tcW w:w="2589"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(1 235.0)</w:t>
            </w:r>
          </w:p>
        </w:tc>
      </w:tr>
      <w:tr w:rsidR="00965D85" w:rsidRPr="001E7FA9" w:rsidTr="008B46DF">
        <w:tc>
          <w:tcPr>
            <w:tcW w:w="2835" w:type="dxa"/>
            <w:tcBorders>
              <w:top w:val="nil"/>
              <w:left w:val="nil"/>
              <w:bottom w:val="single" w:sz="6" w:space="0" w:color="auto"/>
              <w:right w:val="nil"/>
            </w:tcBorders>
            <w:shd w:val="clear" w:color="auto" w:fill="FFFFFF"/>
          </w:tcPr>
          <w:p w:rsidR="00965D85" w:rsidRPr="001E7FA9" w:rsidRDefault="00965D85" w:rsidP="008B46DF">
            <w:pPr>
              <w:autoSpaceDE w:val="0"/>
              <w:autoSpaceDN w:val="0"/>
              <w:adjustRightInd w:val="0"/>
              <w:spacing w:after="0"/>
              <w:ind w:left="227" w:hanging="227"/>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w:t>
            </w:r>
          </w:p>
        </w:tc>
        <w:tc>
          <w:tcPr>
            <w:tcW w:w="2343" w:type="dxa"/>
            <w:tcBorders>
              <w:top w:val="nil"/>
              <w:left w:val="nil"/>
              <w:bottom w:val="single" w:sz="6" w:space="0" w:color="auto"/>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w:t>
            </w:r>
          </w:p>
        </w:tc>
        <w:tc>
          <w:tcPr>
            <w:tcW w:w="2589" w:type="dxa"/>
            <w:tcBorders>
              <w:top w:val="nil"/>
              <w:left w:val="nil"/>
              <w:bottom w:val="single" w:sz="6" w:space="0" w:color="auto"/>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16.6</w:t>
            </w:r>
          </w:p>
        </w:tc>
      </w:tr>
      <w:tr w:rsidR="00965D85" w:rsidRPr="001E7FA9" w:rsidTr="008B46DF">
        <w:tc>
          <w:tcPr>
            <w:tcW w:w="2835" w:type="dxa"/>
            <w:tcBorders>
              <w:top w:val="single" w:sz="6" w:space="0" w:color="auto"/>
              <w:left w:val="nil"/>
              <w:bottom w:val="single" w:sz="12" w:space="0" w:color="auto"/>
              <w:right w:val="nil"/>
            </w:tcBorders>
            <w:shd w:val="clear" w:color="auto" w:fill="FFFFFF"/>
          </w:tcPr>
          <w:p w:rsidR="00965D85" w:rsidRPr="001E7FA9" w:rsidRDefault="00965D85" w:rsidP="008B46DF">
            <w:pPr>
              <w:autoSpaceDE w:val="0"/>
              <w:autoSpaceDN w:val="0"/>
              <w:adjustRightInd w:val="0"/>
              <w:spacing w:after="0"/>
              <w:ind w:left="227" w:hanging="227"/>
              <w:jc w:val="right"/>
              <w:rPr>
                <w:rFonts w:ascii="Calibri" w:eastAsiaTheme="minorEastAsia" w:hAnsi="Calibri" w:cs="Calibri"/>
                <w:b/>
                <w:bCs/>
                <w:color w:val="000000"/>
                <w:sz w:val="20"/>
                <w:lang w:eastAsia="en-AU"/>
              </w:rPr>
            </w:pPr>
            <w:r w:rsidRPr="001E7FA9">
              <w:rPr>
                <w:rFonts w:ascii="Calibri" w:eastAsiaTheme="minorEastAsia" w:hAnsi="Calibri" w:cs="Calibri"/>
                <w:b/>
                <w:bCs/>
                <w:color w:val="000000"/>
                <w:sz w:val="20"/>
                <w:lang w:eastAsia="en-AU"/>
              </w:rPr>
              <w:t xml:space="preserve"> 2.1</w:t>
            </w:r>
          </w:p>
        </w:tc>
        <w:tc>
          <w:tcPr>
            <w:tcW w:w="2343" w:type="dxa"/>
            <w:tcBorders>
              <w:top w:val="single" w:sz="6" w:space="0" w:color="auto"/>
              <w:left w:val="nil"/>
              <w:bottom w:val="single" w:sz="12" w:space="0" w:color="auto"/>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20"/>
                <w:lang w:eastAsia="en-AU"/>
              </w:rPr>
              <w:t>35.7</w:t>
            </w:r>
          </w:p>
        </w:tc>
        <w:tc>
          <w:tcPr>
            <w:tcW w:w="2589" w:type="dxa"/>
            <w:tcBorders>
              <w:top w:val="single" w:sz="6" w:space="0" w:color="auto"/>
              <w:left w:val="nil"/>
              <w:bottom w:val="single" w:sz="12" w:space="0" w:color="auto"/>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1E7FA9">
              <w:rPr>
                <w:rFonts w:ascii="Calibri" w:eastAsiaTheme="minorEastAsia" w:hAnsi="Calibri" w:cs="Calibri"/>
                <w:b/>
                <w:bCs/>
                <w:color w:val="000000"/>
                <w:sz w:val="20"/>
                <w:lang w:eastAsia="en-AU"/>
              </w:rPr>
              <w:t>(3 548.3)</w:t>
            </w:r>
          </w:p>
        </w:tc>
      </w:tr>
      <w:tr w:rsidR="00965D85" w:rsidRPr="001E7FA9" w:rsidTr="008B46DF">
        <w:tc>
          <w:tcPr>
            <w:tcW w:w="2835" w:type="dxa"/>
            <w:tcBorders>
              <w:top w:val="single" w:sz="12" w:space="0" w:color="auto"/>
              <w:left w:val="nil"/>
              <w:right w:val="nil"/>
            </w:tcBorders>
            <w:shd w:val="clear" w:color="auto" w:fill="FFFFFF"/>
          </w:tcPr>
          <w:p w:rsidR="00965D85" w:rsidRPr="001E7FA9" w:rsidRDefault="00965D85" w:rsidP="008B46DF">
            <w:pPr>
              <w:autoSpaceDE w:val="0"/>
              <w:autoSpaceDN w:val="0"/>
              <w:adjustRightInd w:val="0"/>
              <w:spacing w:after="0"/>
              <w:ind w:left="227" w:hanging="227"/>
              <w:jc w:val="right"/>
              <w:rPr>
                <w:rFonts w:ascii="Calibri" w:eastAsiaTheme="minorEastAsia" w:hAnsi="Calibri" w:cs="Calibri"/>
                <w:b/>
                <w:bCs/>
                <w:color w:val="000000"/>
                <w:sz w:val="20"/>
                <w:lang w:eastAsia="en-AU"/>
              </w:rPr>
            </w:pPr>
            <w:r w:rsidRPr="001E7FA9">
              <w:rPr>
                <w:rFonts w:ascii="Calibri" w:eastAsiaTheme="minorEastAsia" w:hAnsi="Calibri" w:cs="Calibri"/>
                <w:b/>
                <w:bCs/>
                <w:color w:val="000000"/>
                <w:sz w:val="20"/>
                <w:lang w:eastAsia="en-AU"/>
              </w:rPr>
              <w:t xml:space="preserve"> </w:t>
            </w:r>
          </w:p>
        </w:tc>
        <w:tc>
          <w:tcPr>
            <w:tcW w:w="2343" w:type="dxa"/>
            <w:tcBorders>
              <w:top w:val="single" w:sz="12" w:space="0" w:color="auto"/>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FF"/>
                <w:sz w:val="20"/>
                <w:lang w:eastAsia="en-AU"/>
              </w:rPr>
            </w:pPr>
          </w:p>
        </w:tc>
        <w:tc>
          <w:tcPr>
            <w:tcW w:w="2589" w:type="dxa"/>
            <w:tcBorders>
              <w:top w:val="single" w:sz="12" w:space="0" w:color="auto"/>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FF"/>
                <w:sz w:val="20"/>
                <w:lang w:eastAsia="en-AU"/>
              </w:rPr>
            </w:pPr>
          </w:p>
        </w:tc>
      </w:tr>
      <w:tr w:rsidR="00965D85" w:rsidRPr="001E7FA9" w:rsidTr="008B46DF">
        <w:tc>
          <w:tcPr>
            <w:tcW w:w="2835" w:type="dxa"/>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 xml:space="preserve"> 2.1</w:t>
            </w:r>
          </w:p>
        </w:tc>
        <w:tc>
          <w:tcPr>
            <w:tcW w:w="2343"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35.7</w:t>
            </w:r>
          </w:p>
        </w:tc>
        <w:tc>
          <w:tcPr>
            <w:tcW w:w="2589"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(3 548.3)</w:t>
            </w:r>
          </w:p>
        </w:tc>
      </w:tr>
      <w:tr w:rsidR="00965D85" w:rsidRPr="001E7FA9" w:rsidTr="008B46DF">
        <w:tc>
          <w:tcPr>
            <w:tcW w:w="2835" w:type="dxa"/>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w:t>
            </w:r>
          </w:p>
        </w:tc>
        <w:tc>
          <w:tcPr>
            <w:tcW w:w="2343"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w:t>
            </w:r>
          </w:p>
        </w:tc>
        <w:tc>
          <w:tcPr>
            <w:tcW w:w="2589"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666.3</w:t>
            </w:r>
          </w:p>
        </w:tc>
      </w:tr>
      <w:tr w:rsidR="00965D85" w:rsidRPr="001E7FA9" w:rsidTr="008B46DF">
        <w:tc>
          <w:tcPr>
            <w:tcW w:w="2835" w:type="dxa"/>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w:t>
            </w:r>
          </w:p>
        </w:tc>
        <w:tc>
          <w:tcPr>
            <w:tcW w:w="2343"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w:t>
            </w:r>
          </w:p>
        </w:tc>
        <w:tc>
          <w:tcPr>
            <w:tcW w:w="2589"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(1.4)</w:t>
            </w:r>
          </w:p>
        </w:tc>
      </w:tr>
      <w:tr w:rsidR="00965D85" w:rsidRPr="001E7FA9" w:rsidTr="008B46DF">
        <w:tc>
          <w:tcPr>
            <w:tcW w:w="2835" w:type="dxa"/>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w:t>
            </w:r>
          </w:p>
        </w:tc>
        <w:tc>
          <w:tcPr>
            <w:tcW w:w="2343"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w:t>
            </w:r>
          </w:p>
        </w:tc>
        <w:tc>
          <w:tcPr>
            <w:tcW w:w="2589"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(336.0)</w:t>
            </w:r>
          </w:p>
        </w:tc>
      </w:tr>
      <w:tr w:rsidR="00965D85" w:rsidRPr="001E7FA9" w:rsidTr="008B46DF">
        <w:tc>
          <w:tcPr>
            <w:tcW w:w="2835" w:type="dxa"/>
            <w:tcBorders>
              <w:top w:val="nil"/>
              <w:left w:val="nil"/>
              <w:bottom w:val="single" w:sz="6" w:space="0" w:color="auto"/>
              <w:right w:val="nil"/>
            </w:tcBorders>
            <w:shd w:val="clear" w:color="auto" w:fill="FFFFFF"/>
          </w:tcPr>
          <w:p w:rsidR="00965D85" w:rsidRPr="001E7FA9" w:rsidRDefault="00965D85" w:rsidP="008B46DF">
            <w:pPr>
              <w:autoSpaceDE w:val="0"/>
              <w:autoSpaceDN w:val="0"/>
              <w:adjustRightInd w:val="0"/>
              <w:spacing w:after="0"/>
              <w:ind w:left="227" w:hanging="227"/>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w:t>
            </w:r>
          </w:p>
        </w:tc>
        <w:tc>
          <w:tcPr>
            <w:tcW w:w="2343" w:type="dxa"/>
            <w:tcBorders>
              <w:top w:val="nil"/>
              <w:left w:val="nil"/>
              <w:bottom w:val="single" w:sz="6" w:space="0" w:color="auto"/>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w:t>
            </w:r>
          </w:p>
        </w:tc>
        <w:tc>
          <w:tcPr>
            <w:tcW w:w="2589" w:type="dxa"/>
            <w:tcBorders>
              <w:top w:val="nil"/>
              <w:left w:val="nil"/>
              <w:bottom w:val="single" w:sz="6" w:space="0" w:color="auto"/>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16.6</w:t>
            </w:r>
          </w:p>
        </w:tc>
      </w:tr>
      <w:tr w:rsidR="00965D85" w:rsidRPr="001E7FA9" w:rsidTr="008B46DF">
        <w:tc>
          <w:tcPr>
            <w:tcW w:w="2835" w:type="dxa"/>
            <w:tcBorders>
              <w:top w:val="single" w:sz="6" w:space="0" w:color="auto"/>
              <w:left w:val="nil"/>
              <w:bottom w:val="single" w:sz="12" w:space="0" w:color="auto"/>
              <w:right w:val="nil"/>
            </w:tcBorders>
            <w:shd w:val="clear" w:color="auto" w:fill="FFFFFF"/>
          </w:tcPr>
          <w:p w:rsidR="00965D85" w:rsidRPr="001E7FA9" w:rsidRDefault="00965D85" w:rsidP="008B46DF">
            <w:pPr>
              <w:autoSpaceDE w:val="0"/>
              <w:autoSpaceDN w:val="0"/>
              <w:adjustRightInd w:val="0"/>
              <w:spacing w:after="0"/>
              <w:ind w:left="227" w:hanging="227"/>
              <w:jc w:val="right"/>
              <w:rPr>
                <w:rFonts w:ascii="Calibri" w:eastAsiaTheme="minorEastAsia" w:hAnsi="Calibri" w:cs="Calibri"/>
                <w:b/>
                <w:bCs/>
                <w:color w:val="000000"/>
                <w:sz w:val="20"/>
                <w:lang w:eastAsia="en-AU"/>
              </w:rPr>
            </w:pPr>
            <w:r w:rsidRPr="001E7FA9">
              <w:rPr>
                <w:rFonts w:ascii="Calibri" w:eastAsiaTheme="minorEastAsia" w:hAnsi="Calibri" w:cs="Calibri"/>
                <w:b/>
                <w:bCs/>
                <w:color w:val="000000"/>
                <w:sz w:val="20"/>
                <w:lang w:eastAsia="en-AU"/>
              </w:rPr>
              <w:t xml:space="preserve"> 2.1</w:t>
            </w:r>
          </w:p>
        </w:tc>
        <w:tc>
          <w:tcPr>
            <w:tcW w:w="2343" w:type="dxa"/>
            <w:tcBorders>
              <w:top w:val="single" w:sz="6" w:space="0" w:color="auto"/>
              <w:left w:val="nil"/>
              <w:bottom w:val="single" w:sz="12" w:space="0" w:color="auto"/>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20"/>
                <w:lang w:eastAsia="en-AU"/>
              </w:rPr>
              <w:t>35.7</w:t>
            </w:r>
          </w:p>
        </w:tc>
        <w:tc>
          <w:tcPr>
            <w:tcW w:w="2589" w:type="dxa"/>
            <w:tcBorders>
              <w:top w:val="single" w:sz="6" w:space="0" w:color="auto"/>
              <w:left w:val="nil"/>
              <w:bottom w:val="single" w:sz="12" w:space="0" w:color="auto"/>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1E7FA9">
              <w:rPr>
                <w:rFonts w:ascii="Calibri" w:eastAsiaTheme="minorEastAsia" w:hAnsi="Calibri" w:cs="Calibri"/>
                <w:b/>
                <w:bCs/>
                <w:color w:val="000000"/>
                <w:sz w:val="20"/>
                <w:lang w:eastAsia="en-AU"/>
              </w:rPr>
              <w:t>(3 202.8)</w:t>
            </w:r>
          </w:p>
        </w:tc>
      </w:tr>
      <w:tr w:rsidR="00965D85" w:rsidRPr="001E7FA9" w:rsidTr="008B46DF">
        <w:tc>
          <w:tcPr>
            <w:tcW w:w="7767" w:type="dxa"/>
            <w:gridSpan w:val="3"/>
            <w:tcBorders>
              <w:top w:val="single" w:sz="12" w:space="0" w:color="auto"/>
              <w:left w:val="nil"/>
              <w:bottom w:val="nil"/>
              <w:right w:val="nil"/>
            </w:tcBorders>
            <w:shd w:val="clear" w:color="auto" w:fill="auto"/>
          </w:tcPr>
          <w:p w:rsidR="00965D85" w:rsidRPr="001E7FA9" w:rsidRDefault="00965D85" w:rsidP="008B46DF">
            <w:pPr>
              <w:tabs>
                <w:tab w:val="left" w:pos="454"/>
              </w:tabs>
              <w:autoSpaceDE w:val="0"/>
              <w:autoSpaceDN w:val="0"/>
              <w:adjustRightInd w:val="0"/>
              <w:spacing w:after="0"/>
              <w:jc w:val="right"/>
              <w:rPr>
                <w:rFonts w:ascii="Calibri" w:eastAsiaTheme="minorEastAsia" w:hAnsi="Calibri" w:cs="Calibri"/>
                <w:bCs/>
                <w:color w:val="000000"/>
                <w:sz w:val="16"/>
                <w:lang w:eastAsia="en-AU"/>
              </w:rPr>
            </w:pPr>
            <w:r w:rsidRPr="001E7FA9">
              <w:rPr>
                <w:rFonts w:ascii="Calibri" w:eastAsiaTheme="minorEastAsia" w:hAnsi="Calibri" w:cs="Calibri"/>
                <w:bCs/>
                <w:color w:val="000000"/>
                <w:sz w:val="16"/>
                <w:lang w:eastAsia="en-AU"/>
              </w:rPr>
              <w:t xml:space="preserve"> </w:t>
            </w:r>
          </w:p>
        </w:tc>
      </w:tr>
    </w:tbl>
    <w:p w:rsidR="00965D85" w:rsidRDefault="00965D85" w:rsidP="008B46DF">
      <w:pPr>
        <w:rPr>
          <w:rFonts w:ascii="Tms Rmn" w:hAnsi="Tms Rmn" w:cs="Tms Rmn"/>
          <w:color w:val="000000"/>
          <w:sz w:val="18"/>
          <w:szCs w:val="18"/>
          <w:lang w:eastAsia="en-AU"/>
        </w:rPr>
      </w:pPr>
    </w:p>
    <w:p w:rsidR="00965D85" w:rsidRDefault="00965D85" w:rsidP="008B46DF">
      <w:pPr>
        <w:pStyle w:val="Tableheading"/>
        <w:rPr>
          <w:rFonts w:ascii="Times New Roman" w:hAnsi="Times New Roman"/>
          <w:i/>
          <w:sz w:val="20"/>
          <w:lang w:eastAsia="en-AU"/>
        </w:rPr>
      </w:pPr>
      <w:r w:rsidRPr="0081068E">
        <w:rPr>
          <w:lang w:eastAsia="en-AU"/>
        </w:rPr>
        <w:lastRenderedPageBreak/>
        <w:t>Table 5.17:</w:t>
      </w:r>
      <w:r w:rsidRPr="0081068E">
        <w:rPr>
          <w:lang w:eastAsia="en-AU"/>
        </w:rPr>
        <w:tab/>
        <w:t>Derivation of public financial corporations sector GFS cash surplus/(deficit)</w:t>
      </w:r>
    </w:p>
    <w:tbl>
      <w:tblPr>
        <w:tblW w:w="7767" w:type="dxa"/>
        <w:tblInd w:w="28" w:type="dxa"/>
        <w:tblLayout w:type="fixed"/>
        <w:tblCellMar>
          <w:left w:w="28" w:type="dxa"/>
          <w:right w:w="28" w:type="dxa"/>
        </w:tblCellMar>
        <w:tblLook w:val="0000" w:firstRow="0" w:lastRow="0" w:firstColumn="0" w:lastColumn="0" w:noHBand="0" w:noVBand="0"/>
      </w:tblPr>
      <w:tblGrid>
        <w:gridCol w:w="2947"/>
        <w:gridCol w:w="964"/>
        <w:gridCol w:w="964"/>
        <w:gridCol w:w="964"/>
        <w:gridCol w:w="964"/>
        <w:gridCol w:w="964"/>
      </w:tblGrid>
      <w:tr w:rsidR="00965D85" w:rsidRPr="001E7FA9" w:rsidTr="008B46DF">
        <w:trPr>
          <w:tblHeader/>
        </w:trPr>
        <w:tc>
          <w:tcPr>
            <w:tcW w:w="7767" w:type="dxa"/>
            <w:gridSpan w:val="6"/>
            <w:tcBorders>
              <w:top w:val="nil"/>
              <w:left w:val="nil"/>
              <w:bottom w:val="nil"/>
              <w:right w:val="nil"/>
            </w:tcBorders>
          </w:tcPr>
          <w:p w:rsidR="00965D85" w:rsidRPr="001E7FA9" w:rsidRDefault="00965D85" w:rsidP="008B46DF">
            <w:pPr>
              <w:pStyle w:val="million"/>
              <w:rPr>
                <w:rFonts w:eastAsiaTheme="minorEastAsia" w:cs="Calibri"/>
                <w:iCs/>
                <w:color w:val="000000"/>
                <w:sz w:val="20"/>
                <w:lang w:eastAsia="en-AU"/>
              </w:rPr>
            </w:pPr>
            <w:r w:rsidRPr="001E7FA9">
              <w:rPr>
                <w:rFonts w:eastAsiaTheme="minorEastAsia"/>
                <w:lang w:eastAsia="en-AU"/>
              </w:rPr>
              <w:t>($ million</w:t>
            </w:r>
            <w:r w:rsidRPr="001E7FA9">
              <w:rPr>
                <w:rFonts w:eastAsiaTheme="minorEastAsia" w:cs="Calibri"/>
                <w:iCs/>
                <w:color w:val="000000"/>
                <w:sz w:val="20"/>
                <w:lang w:eastAsia="en-AU"/>
              </w:rPr>
              <w:t>)</w:t>
            </w:r>
          </w:p>
        </w:tc>
      </w:tr>
      <w:tr w:rsidR="00965D85" w:rsidRPr="001E7FA9" w:rsidTr="008B46DF">
        <w:trPr>
          <w:trHeight w:val="488"/>
          <w:tblHeader/>
        </w:trPr>
        <w:tc>
          <w:tcPr>
            <w:tcW w:w="2947" w:type="dxa"/>
            <w:tcBorders>
              <w:top w:val="nil"/>
              <w:left w:val="nil"/>
              <w:right w:val="nil"/>
            </w:tcBorders>
            <w:shd w:val="solid" w:color="000000" w:fill="auto"/>
          </w:tcPr>
          <w:p w:rsidR="00965D85" w:rsidRPr="001E7FA9" w:rsidRDefault="00965D85" w:rsidP="008B46DF">
            <w:pPr>
              <w:autoSpaceDE w:val="0"/>
              <w:autoSpaceDN w:val="0"/>
              <w:adjustRightInd w:val="0"/>
              <w:spacing w:after="0"/>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 xml:space="preserve"> </w:t>
            </w:r>
          </w:p>
          <w:p w:rsidR="00965D85" w:rsidRPr="001E7FA9" w:rsidRDefault="00965D85" w:rsidP="008B46DF">
            <w:pPr>
              <w:autoSpaceDE w:val="0"/>
              <w:autoSpaceDN w:val="0"/>
              <w:adjustRightInd w:val="0"/>
              <w:spacing w:after="0"/>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 xml:space="preserve"> </w:t>
            </w:r>
          </w:p>
        </w:tc>
        <w:tc>
          <w:tcPr>
            <w:tcW w:w="964" w:type="dxa"/>
            <w:tcBorders>
              <w:top w:val="nil"/>
              <w:left w:val="nil"/>
              <w:right w:val="nil"/>
            </w:tcBorders>
            <w:shd w:val="solid" w:color="000000" w:fill="auto"/>
          </w:tcPr>
          <w:p w:rsidR="00965D85" w:rsidRPr="001E7FA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1E7FA9">
              <w:rPr>
                <w:rFonts w:ascii="Calibri" w:eastAsiaTheme="minorEastAsia" w:hAnsi="Calibri" w:cs="Calibri"/>
                <w:i/>
                <w:iCs/>
                <w:color w:val="FFFFFF"/>
                <w:sz w:val="20"/>
                <w:lang w:eastAsia="en-AU"/>
              </w:rPr>
              <w:t>2015</w:t>
            </w:r>
            <w:r>
              <w:rPr>
                <w:rFonts w:ascii="Calibri" w:eastAsiaTheme="minorEastAsia" w:hAnsi="Calibri" w:cs="Calibri"/>
                <w:i/>
                <w:iCs/>
                <w:color w:val="FFFFFF"/>
                <w:sz w:val="20"/>
                <w:lang w:eastAsia="en-AU"/>
              </w:rPr>
              <w:noBreakHyphen/>
            </w:r>
            <w:r w:rsidRPr="001E7FA9">
              <w:rPr>
                <w:rFonts w:ascii="Calibri" w:eastAsiaTheme="minorEastAsia" w:hAnsi="Calibri" w:cs="Calibri"/>
                <w:i/>
                <w:iCs/>
                <w:color w:val="FFFFFF"/>
                <w:sz w:val="20"/>
                <w:lang w:eastAsia="en-AU"/>
              </w:rPr>
              <w:t>16</w:t>
            </w:r>
          </w:p>
          <w:p w:rsidR="00965D85" w:rsidRPr="001E7FA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1E7FA9">
              <w:rPr>
                <w:rFonts w:ascii="Calibri" w:eastAsiaTheme="minorEastAsia" w:hAnsi="Calibri" w:cs="Calibri"/>
                <w:i/>
                <w:iCs/>
                <w:color w:val="FFFFFF"/>
                <w:sz w:val="20"/>
                <w:lang w:eastAsia="en-AU"/>
              </w:rPr>
              <w:t>budget</w:t>
            </w:r>
          </w:p>
        </w:tc>
        <w:tc>
          <w:tcPr>
            <w:tcW w:w="964" w:type="dxa"/>
            <w:tcBorders>
              <w:top w:val="nil"/>
              <w:left w:val="nil"/>
              <w:right w:val="nil"/>
            </w:tcBorders>
            <w:shd w:val="solid" w:color="000000" w:fill="auto"/>
          </w:tcPr>
          <w:p w:rsidR="00965D85" w:rsidRPr="001E7FA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1E7FA9">
              <w:rPr>
                <w:rFonts w:ascii="Calibri" w:eastAsiaTheme="minorEastAsia" w:hAnsi="Calibri" w:cs="Calibri"/>
                <w:i/>
                <w:iCs/>
                <w:color w:val="FFFFFF"/>
                <w:sz w:val="20"/>
                <w:lang w:eastAsia="en-AU"/>
              </w:rPr>
              <w:t>2015</w:t>
            </w:r>
            <w:r>
              <w:rPr>
                <w:rFonts w:ascii="Calibri" w:eastAsiaTheme="minorEastAsia" w:hAnsi="Calibri" w:cs="Calibri"/>
                <w:i/>
                <w:iCs/>
                <w:color w:val="FFFFFF"/>
                <w:sz w:val="20"/>
                <w:lang w:eastAsia="en-AU"/>
              </w:rPr>
              <w:noBreakHyphen/>
            </w:r>
            <w:r w:rsidRPr="001E7FA9">
              <w:rPr>
                <w:rFonts w:ascii="Calibri" w:eastAsiaTheme="minorEastAsia" w:hAnsi="Calibri" w:cs="Calibri"/>
                <w:i/>
                <w:iCs/>
                <w:color w:val="FFFFFF"/>
                <w:sz w:val="20"/>
                <w:lang w:eastAsia="en-AU"/>
              </w:rPr>
              <w:t>16</w:t>
            </w:r>
          </w:p>
          <w:p w:rsidR="00965D85" w:rsidRPr="001E7FA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1E7FA9">
              <w:rPr>
                <w:rFonts w:ascii="Calibri" w:eastAsiaTheme="minorEastAsia" w:hAnsi="Calibri" w:cs="Calibri"/>
                <w:i/>
                <w:iCs/>
                <w:color w:val="FFFFFF"/>
                <w:sz w:val="20"/>
                <w:lang w:eastAsia="en-AU"/>
              </w:rPr>
              <w:t>revised</w:t>
            </w:r>
          </w:p>
        </w:tc>
        <w:tc>
          <w:tcPr>
            <w:tcW w:w="964" w:type="dxa"/>
            <w:tcBorders>
              <w:top w:val="nil"/>
              <w:left w:val="nil"/>
              <w:right w:val="nil"/>
            </w:tcBorders>
            <w:shd w:val="solid" w:color="000000" w:fill="auto"/>
          </w:tcPr>
          <w:p w:rsidR="00965D85" w:rsidRPr="001E7FA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1E7FA9">
              <w:rPr>
                <w:rFonts w:ascii="Calibri" w:eastAsiaTheme="minorEastAsia" w:hAnsi="Calibri" w:cs="Calibri"/>
                <w:i/>
                <w:iCs/>
                <w:color w:val="FFFFFF"/>
                <w:sz w:val="20"/>
                <w:lang w:eastAsia="en-AU"/>
              </w:rPr>
              <w:t>2016</w:t>
            </w:r>
            <w:r>
              <w:rPr>
                <w:rFonts w:ascii="Calibri" w:eastAsiaTheme="minorEastAsia" w:hAnsi="Calibri" w:cs="Calibri"/>
                <w:i/>
                <w:iCs/>
                <w:color w:val="FFFFFF"/>
                <w:sz w:val="20"/>
                <w:lang w:eastAsia="en-AU"/>
              </w:rPr>
              <w:noBreakHyphen/>
            </w:r>
            <w:r w:rsidRPr="001E7FA9">
              <w:rPr>
                <w:rFonts w:ascii="Calibri" w:eastAsiaTheme="minorEastAsia" w:hAnsi="Calibri" w:cs="Calibri"/>
                <w:i/>
                <w:iCs/>
                <w:color w:val="FFFFFF"/>
                <w:sz w:val="20"/>
                <w:lang w:eastAsia="en-AU"/>
              </w:rPr>
              <w:t>17</w:t>
            </w:r>
          </w:p>
          <w:p w:rsidR="00965D85" w:rsidRPr="001E7FA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1E7FA9">
              <w:rPr>
                <w:rFonts w:ascii="Calibri" w:eastAsiaTheme="minorEastAsia" w:hAnsi="Calibri" w:cs="Calibri"/>
                <w:i/>
                <w:iCs/>
                <w:color w:val="FFFFFF"/>
                <w:sz w:val="20"/>
                <w:lang w:eastAsia="en-AU"/>
              </w:rPr>
              <w:t>estimate</w:t>
            </w:r>
          </w:p>
        </w:tc>
        <w:tc>
          <w:tcPr>
            <w:tcW w:w="964" w:type="dxa"/>
            <w:tcBorders>
              <w:top w:val="nil"/>
              <w:left w:val="nil"/>
              <w:right w:val="nil"/>
            </w:tcBorders>
            <w:shd w:val="solid" w:color="000000" w:fill="auto"/>
          </w:tcPr>
          <w:p w:rsidR="00965D85" w:rsidRPr="001E7FA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1E7FA9">
              <w:rPr>
                <w:rFonts w:ascii="Calibri" w:eastAsiaTheme="minorEastAsia" w:hAnsi="Calibri" w:cs="Calibri"/>
                <w:i/>
                <w:iCs/>
                <w:color w:val="FFFFFF"/>
                <w:sz w:val="20"/>
                <w:lang w:eastAsia="en-AU"/>
              </w:rPr>
              <w:t>2017</w:t>
            </w:r>
            <w:r>
              <w:rPr>
                <w:rFonts w:ascii="Calibri" w:eastAsiaTheme="minorEastAsia" w:hAnsi="Calibri" w:cs="Calibri"/>
                <w:i/>
                <w:iCs/>
                <w:color w:val="FFFFFF"/>
                <w:sz w:val="20"/>
                <w:lang w:eastAsia="en-AU"/>
              </w:rPr>
              <w:noBreakHyphen/>
            </w:r>
            <w:r w:rsidRPr="001E7FA9">
              <w:rPr>
                <w:rFonts w:ascii="Calibri" w:eastAsiaTheme="minorEastAsia" w:hAnsi="Calibri" w:cs="Calibri"/>
                <w:i/>
                <w:iCs/>
                <w:color w:val="FFFFFF"/>
                <w:sz w:val="20"/>
                <w:lang w:eastAsia="en-AU"/>
              </w:rPr>
              <w:t>18</w:t>
            </w:r>
          </w:p>
          <w:p w:rsidR="00965D85" w:rsidRPr="001E7FA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1E7FA9">
              <w:rPr>
                <w:rFonts w:ascii="Calibri" w:eastAsiaTheme="minorEastAsia" w:hAnsi="Calibri" w:cs="Calibri"/>
                <w:i/>
                <w:iCs/>
                <w:color w:val="FFFFFF"/>
                <w:sz w:val="20"/>
                <w:lang w:eastAsia="en-AU"/>
              </w:rPr>
              <w:t>estimate</w:t>
            </w:r>
          </w:p>
        </w:tc>
        <w:tc>
          <w:tcPr>
            <w:tcW w:w="964" w:type="dxa"/>
            <w:tcBorders>
              <w:top w:val="nil"/>
              <w:left w:val="nil"/>
              <w:right w:val="nil"/>
            </w:tcBorders>
            <w:shd w:val="solid" w:color="000000" w:fill="auto"/>
          </w:tcPr>
          <w:p w:rsidR="00965D85" w:rsidRPr="001E7FA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1E7FA9">
              <w:rPr>
                <w:rFonts w:ascii="Calibri" w:eastAsiaTheme="minorEastAsia" w:hAnsi="Calibri" w:cs="Calibri"/>
                <w:i/>
                <w:iCs/>
                <w:color w:val="FFFFFF"/>
                <w:sz w:val="20"/>
                <w:lang w:eastAsia="en-AU"/>
              </w:rPr>
              <w:t>2018</w:t>
            </w:r>
            <w:r>
              <w:rPr>
                <w:rFonts w:ascii="Calibri" w:eastAsiaTheme="minorEastAsia" w:hAnsi="Calibri" w:cs="Calibri"/>
                <w:i/>
                <w:iCs/>
                <w:color w:val="FFFFFF"/>
                <w:sz w:val="20"/>
                <w:lang w:eastAsia="en-AU"/>
              </w:rPr>
              <w:noBreakHyphen/>
            </w:r>
            <w:r w:rsidRPr="001E7FA9">
              <w:rPr>
                <w:rFonts w:ascii="Calibri" w:eastAsiaTheme="minorEastAsia" w:hAnsi="Calibri" w:cs="Calibri"/>
                <w:i/>
                <w:iCs/>
                <w:color w:val="FFFFFF"/>
                <w:sz w:val="20"/>
                <w:lang w:eastAsia="en-AU"/>
              </w:rPr>
              <w:t>19</w:t>
            </w:r>
          </w:p>
          <w:p w:rsidR="00965D85" w:rsidRPr="001E7FA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1E7FA9">
              <w:rPr>
                <w:rFonts w:ascii="Calibri" w:eastAsiaTheme="minorEastAsia" w:hAnsi="Calibri" w:cs="Calibri"/>
                <w:i/>
                <w:iCs/>
                <w:color w:val="FFFFFF"/>
                <w:sz w:val="20"/>
                <w:lang w:eastAsia="en-AU"/>
              </w:rPr>
              <w:t>estimate</w:t>
            </w:r>
          </w:p>
        </w:tc>
      </w:tr>
      <w:tr w:rsidR="00965D85" w:rsidRPr="001E7FA9" w:rsidTr="008B46DF">
        <w:tc>
          <w:tcPr>
            <w:tcW w:w="2947" w:type="dxa"/>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b/>
                <w:bCs/>
                <w:color w:val="000000"/>
                <w:sz w:val="20"/>
                <w:lang w:eastAsia="en-AU"/>
              </w:rPr>
            </w:pPr>
            <w:r w:rsidRPr="001E7FA9">
              <w:rPr>
                <w:rFonts w:ascii="Calibri" w:eastAsiaTheme="minorEastAsia" w:hAnsi="Calibri" w:cs="Calibri"/>
                <w:b/>
                <w:bCs/>
                <w:color w:val="000000"/>
                <w:sz w:val="20"/>
                <w:lang w:eastAsia="en-AU"/>
              </w:rPr>
              <w:t>Cash surplus/(deficit)</w:t>
            </w: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20"/>
                <w:lang w:eastAsia="en-AU"/>
              </w:rPr>
              <w:t>480.8</w:t>
            </w: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20"/>
                <w:lang w:eastAsia="en-AU"/>
              </w:rPr>
              <w:t>(120.9)</w:t>
            </w: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20"/>
                <w:lang w:eastAsia="en-AU"/>
              </w:rPr>
              <w:t>854.9</w:t>
            </w: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20"/>
                <w:lang w:eastAsia="en-AU"/>
              </w:rPr>
              <w:t>693.0</w:t>
            </w: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20"/>
                <w:lang w:eastAsia="en-AU"/>
              </w:rPr>
              <w:t>902.1</w:t>
            </w:r>
          </w:p>
        </w:tc>
      </w:tr>
      <w:tr w:rsidR="00965D85" w:rsidRPr="001E7FA9" w:rsidTr="008B46DF">
        <w:tc>
          <w:tcPr>
            <w:tcW w:w="2947" w:type="dxa"/>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Convergence differences:</w:t>
            </w: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p>
        </w:tc>
      </w:tr>
      <w:tr w:rsidR="00965D85" w:rsidRPr="001E7FA9" w:rsidTr="008B46DF">
        <w:tc>
          <w:tcPr>
            <w:tcW w:w="2947" w:type="dxa"/>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Acquisitions under finance leases and similar arrangements</w:t>
            </w:r>
          </w:p>
        </w:tc>
        <w:tc>
          <w:tcPr>
            <w:tcW w:w="964" w:type="dxa"/>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w:t>
            </w:r>
          </w:p>
        </w:tc>
        <w:tc>
          <w:tcPr>
            <w:tcW w:w="964" w:type="dxa"/>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w:t>
            </w:r>
          </w:p>
        </w:tc>
        <w:tc>
          <w:tcPr>
            <w:tcW w:w="964" w:type="dxa"/>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w:t>
            </w:r>
          </w:p>
        </w:tc>
        <w:tc>
          <w:tcPr>
            <w:tcW w:w="964" w:type="dxa"/>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w:t>
            </w:r>
          </w:p>
        </w:tc>
        <w:tc>
          <w:tcPr>
            <w:tcW w:w="964" w:type="dxa"/>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w:t>
            </w:r>
          </w:p>
        </w:tc>
      </w:tr>
      <w:tr w:rsidR="00965D85" w:rsidRPr="001E7FA9" w:rsidTr="008B46DF">
        <w:tc>
          <w:tcPr>
            <w:tcW w:w="2947" w:type="dxa"/>
            <w:tcBorders>
              <w:top w:val="single" w:sz="6" w:space="0" w:color="000000"/>
              <w:left w:val="nil"/>
              <w:bottom w:val="single" w:sz="12" w:space="0" w:color="auto"/>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b/>
                <w:bCs/>
                <w:color w:val="000000"/>
                <w:sz w:val="20"/>
                <w:vertAlign w:val="superscript"/>
                <w:lang w:eastAsia="en-AU"/>
              </w:rPr>
            </w:pPr>
            <w:r w:rsidRPr="001E7FA9">
              <w:rPr>
                <w:rFonts w:ascii="Calibri" w:eastAsiaTheme="minorEastAsia" w:hAnsi="Calibri" w:cs="Calibri"/>
                <w:b/>
                <w:bCs/>
                <w:color w:val="000000"/>
                <w:sz w:val="20"/>
                <w:lang w:eastAsia="en-AU"/>
              </w:rPr>
              <w:t>GFS cash surplus/(deficit)</w:t>
            </w:r>
            <w:r w:rsidRPr="001E7FA9">
              <w:rPr>
                <w:rFonts w:ascii="Calibri" w:eastAsiaTheme="minorEastAsia" w:hAnsi="Calibri" w:cs="Calibri"/>
                <w:b/>
                <w:bCs/>
                <w:color w:val="000000"/>
                <w:sz w:val="20"/>
                <w:vertAlign w:val="superscript"/>
                <w:lang w:eastAsia="en-AU"/>
              </w:rPr>
              <w:t xml:space="preserve"> (a)</w:t>
            </w:r>
          </w:p>
        </w:tc>
        <w:tc>
          <w:tcPr>
            <w:tcW w:w="964" w:type="dxa"/>
            <w:tcBorders>
              <w:top w:val="single" w:sz="6" w:space="0" w:color="000000"/>
              <w:left w:val="nil"/>
              <w:bottom w:val="single" w:sz="12" w:space="0" w:color="auto"/>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20"/>
                <w:lang w:eastAsia="en-AU"/>
              </w:rPr>
              <w:t>480.8</w:t>
            </w:r>
          </w:p>
        </w:tc>
        <w:tc>
          <w:tcPr>
            <w:tcW w:w="964" w:type="dxa"/>
            <w:tcBorders>
              <w:top w:val="single" w:sz="6" w:space="0" w:color="000000"/>
              <w:left w:val="nil"/>
              <w:bottom w:val="single" w:sz="12" w:space="0" w:color="auto"/>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20"/>
                <w:lang w:eastAsia="en-AU"/>
              </w:rPr>
              <w:t>(120.9)</w:t>
            </w:r>
          </w:p>
        </w:tc>
        <w:tc>
          <w:tcPr>
            <w:tcW w:w="964" w:type="dxa"/>
            <w:tcBorders>
              <w:top w:val="single" w:sz="6" w:space="0" w:color="000000"/>
              <w:left w:val="nil"/>
              <w:bottom w:val="single" w:sz="12" w:space="0" w:color="auto"/>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20"/>
                <w:lang w:eastAsia="en-AU"/>
              </w:rPr>
              <w:t>854.9</w:t>
            </w:r>
          </w:p>
        </w:tc>
        <w:tc>
          <w:tcPr>
            <w:tcW w:w="964" w:type="dxa"/>
            <w:tcBorders>
              <w:top w:val="single" w:sz="6" w:space="0" w:color="000000"/>
              <w:left w:val="nil"/>
              <w:bottom w:val="single" w:sz="12" w:space="0" w:color="auto"/>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20"/>
                <w:lang w:eastAsia="en-AU"/>
              </w:rPr>
              <w:t>693.0</w:t>
            </w:r>
          </w:p>
        </w:tc>
        <w:tc>
          <w:tcPr>
            <w:tcW w:w="964" w:type="dxa"/>
            <w:tcBorders>
              <w:top w:val="single" w:sz="6" w:space="0" w:color="000000"/>
              <w:left w:val="nil"/>
              <w:bottom w:val="single" w:sz="12" w:space="0" w:color="auto"/>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20"/>
                <w:lang w:eastAsia="en-AU"/>
              </w:rPr>
              <w:t>902.1</w:t>
            </w:r>
          </w:p>
        </w:tc>
      </w:tr>
      <w:tr w:rsidR="00965D85" w:rsidRPr="001E7FA9" w:rsidTr="008B46DF">
        <w:tc>
          <w:tcPr>
            <w:tcW w:w="7767" w:type="dxa"/>
            <w:gridSpan w:val="6"/>
            <w:tcBorders>
              <w:top w:val="single" w:sz="12" w:space="0" w:color="auto"/>
              <w:left w:val="nil"/>
              <w:bottom w:val="nil"/>
              <w:right w:val="nil"/>
            </w:tcBorders>
            <w:shd w:val="clear" w:color="auto" w:fill="auto"/>
          </w:tcPr>
          <w:p w:rsidR="00965D85" w:rsidRPr="001E7FA9" w:rsidRDefault="00965D85" w:rsidP="008B46DF">
            <w:pPr>
              <w:pStyle w:val="Source"/>
              <w:rPr>
                <w:rFonts w:eastAsiaTheme="minorEastAsia"/>
                <w:lang w:eastAsia="en-AU"/>
              </w:rPr>
            </w:pPr>
            <w:r w:rsidRPr="001E7FA9">
              <w:rPr>
                <w:rFonts w:eastAsiaTheme="minorEastAsia"/>
                <w:lang w:eastAsia="en-AU"/>
              </w:rPr>
              <w:t>Source: Department of Treasury and Finance</w:t>
            </w:r>
          </w:p>
        </w:tc>
      </w:tr>
    </w:tbl>
    <w:p w:rsidR="00965D85" w:rsidRPr="0027082E" w:rsidRDefault="00965D85" w:rsidP="008B46DF">
      <w:pPr>
        <w:pStyle w:val="Notes"/>
        <w:rPr>
          <w:lang w:eastAsia="en-AU"/>
        </w:rPr>
      </w:pPr>
      <w:r w:rsidRPr="0027082E">
        <w:rPr>
          <w:lang w:eastAsia="en-AU"/>
        </w:rPr>
        <w:t>Note:</w:t>
      </w:r>
    </w:p>
    <w:p w:rsidR="00965D85" w:rsidRDefault="00965D85" w:rsidP="008B46DF">
      <w:pPr>
        <w:pStyle w:val="Notes"/>
        <w:numPr>
          <w:ilvl w:val="0"/>
          <w:numId w:val="44"/>
        </w:numPr>
        <w:rPr>
          <w:lang w:eastAsia="en-AU"/>
        </w:rPr>
      </w:pPr>
      <w:r>
        <w:rPr>
          <w:lang w:eastAsia="en-AU"/>
        </w:rPr>
        <w:t>Determined in accordance with the ABS GFS manual.</w:t>
      </w:r>
    </w:p>
    <w:p w:rsidR="00965D85" w:rsidRDefault="00965D85" w:rsidP="008B46DF">
      <w:pPr>
        <w:rPr>
          <w:lang w:eastAsia="en-AU"/>
        </w:rPr>
      </w:pPr>
    </w:p>
    <w:p w:rsidR="00965D85" w:rsidRDefault="00965D85" w:rsidP="008B46DF">
      <w:pPr>
        <w:rPr>
          <w:lang w:eastAsia="en-AU"/>
        </w:rPr>
      </w:pPr>
    </w:p>
    <w:p w:rsidR="00965D85" w:rsidRDefault="00965D85" w:rsidP="008B46DF">
      <w:pPr>
        <w:pStyle w:val="Tableheading"/>
        <w:rPr>
          <w:rFonts w:ascii="Times New Roman" w:hAnsi="Times New Roman"/>
          <w:sz w:val="20"/>
          <w:lang w:eastAsia="en-AU"/>
        </w:rPr>
      </w:pPr>
      <w:r w:rsidRPr="0081068E">
        <w:rPr>
          <w:lang w:eastAsia="en-AU"/>
        </w:rPr>
        <w:t>Table 5.18:</w:t>
      </w:r>
      <w:r w:rsidRPr="0081068E">
        <w:rPr>
          <w:lang w:eastAsia="en-AU"/>
        </w:rPr>
        <w:tab/>
        <w:t>Net acquisition of non</w:t>
      </w:r>
      <w:r>
        <w:rPr>
          <w:lang w:eastAsia="en-AU"/>
        </w:rPr>
        <w:noBreakHyphen/>
      </w:r>
      <w:r w:rsidRPr="0081068E">
        <w:rPr>
          <w:lang w:eastAsia="en-AU"/>
        </w:rPr>
        <w:t>financial assets</w:t>
      </w:r>
      <w:r>
        <w:rPr>
          <w:lang w:eastAsia="en-AU"/>
        </w:rPr>
        <w:t xml:space="preserve"> – </w:t>
      </w:r>
      <w:r w:rsidRPr="0081068E">
        <w:rPr>
          <w:lang w:eastAsia="en-AU"/>
        </w:rPr>
        <w:t>public financial corporations sector</w:t>
      </w:r>
    </w:p>
    <w:tbl>
      <w:tblPr>
        <w:tblW w:w="7767" w:type="dxa"/>
        <w:tblInd w:w="28" w:type="dxa"/>
        <w:tblLayout w:type="fixed"/>
        <w:tblCellMar>
          <w:left w:w="28" w:type="dxa"/>
          <w:right w:w="28" w:type="dxa"/>
        </w:tblCellMar>
        <w:tblLook w:val="0000" w:firstRow="0" w:lastRow="0" w:firstColumn="0" w:lastColumn="0" w:noHBand="0" w:noVBand="0"/>
      </w:tblPr>
      <w:tblGrid>
        <w:gridCol w:w="2947"/>
        <w:gridCol w:w="964"/>
        <w:gridCol w:w="964"/>
        <w:gridCol w:w="964"/>
        <w:gridCol w:w="964"/>
        <w:gridCol w:w="964"/>
      </w:tblGrid>
      <w:tr w:rsidR="00965D85" w:rsidRPr="001E7FA9" w:rsidTr="008B46DF">
        <w:trPr>
          <w:tblHeader/>
        </w:trPr>
        <w:tc>
          <w:tcPr>
            <w:tcW w:w="7767" w:type="dxa"/>
            <w:gridSpan w:val="6"/>
            <w:tcBorders>
              <w:top w:val="nil"/>
              <w:left w:val="nil"/>
              <w:bottom w:val="nil"/>
              <w:right w:val="nil"/>
            </w:tcBorders>
          </w:tcPr>
          <w:p w:rsidR="00965D85" w:rsidRPr="001E7FA9" w:rsidRDefault="00965D85" w:rsidP="008B46DF">
            <w:pPr>
              <w:pStyle w:val="million"/>
              <w:rPr>
                <w:rFonts w:eastAsiaTheme="minorEastAsia" w:cs="Calibri"/>
                <w:iCs/>
                <w:color w:val="000000"/>
                <w:sz w:val="20"/>
                <w:lang w:eastAsia="en-AU"/>
              </w:rPr>
            </w:pPr>
            <w:r w:rsidRPr="001E7FA9">
              <w:rPr>
                <w:rFonts w:eastAsiaTheme="minorEastAsia"/>
                <w:lang w:eastAsia="en-AU"/>
              </w:rPr>
              <w:t>($ million</w:t>
            </w:r>
            <w:r w:rsidRPr="001E7FA9">
              <w:rPr>
                <w:rFonts w:eastAsiaTheme="minorEastAsia" w:cs="Calibri"/>
                <w:iCs/>
                <w:color w:val="000000"/>
                <w:sz w:val="20"/>
                <w:lang w:eastAsia="en-AU"/>
              </w:rPr>
              <w:t>)</w:t>
            </w:r>
          </w:p>
        </w:tc>
      </w:tr>
      <w:tr w:rsidR="00965D85" w:rsidRPr="001E7FA9" w:rsidTr="008B46DF">
        <w:trPr>
          <w:trHeight w:val="488"/>
          <w:tblHeader/>
        </w:trPr>
        <w:tc>
          <w:tcPr>
            <w:tcW w:w="2947" w:type="dxa"/>
            <w:tcBorders>
              <w:top w:val="nil"/>
              <w:left w:val="nil"/>
              <w:right w:val="nil"/>
            </w:tcBorders>
            <w:shd w:val="solid" w:color="000000" w:fill="auto"/>
          </w:tcPr>
          <w:p w:rsidR="00965D85" w:rsidRPr="001E7FA9" w:rsidRDefault="00965D85" w:rsidP="008B46DF">
            <w:pPr>
              <w:autoSpaceDE w:val="0"/>
              <w:autoSpaceDN w:val="0"/>
              <w:adjustRightInd w:val="0"/>
              <w:spacing w:after="0"/>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 xml:space="preserve"> </w:t>
            </w:r>
          </w:p>
          <w:p w:rsidR="00965D85" w:rsidRPr="001E7FA9" w:rsidRDefault="00965D85" w:rsidP="008B46DF">
            <w:pPr>
              <w:autoSpaceDE w:val="0"/>
              <w:autoSpaceDN w:val="0"/>
              <w:adjustRightInd w:val="0"/>
              <w:spacing w:after="0"/>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 xml:space="preserve"> </w:t>
            </w:r>
          </w:p>
        </w:tc>
        <w:tc>
          <w:tcPr>
            <w:tcW w:w="964" w:type="dxa"/>
            <w:tcBorders>
              <w:top w:val="nil"/>
              <w:left w:val="nil"/>
              <w:right w:val="nil"/>
            </w:tcBorders>
            <w:shd w:val="solid" w:color="000000" w:fill="auto"/>
          </w:tcPr>
          <w:p w:rsidR="00965D85" w:rsidRPr="001E7FA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1E7FA9">
              <w:rPr>
                <w:rFonts w:ascii="Calibri" w:eastAsiaTheme="minorEastAsia" w:hAnsi="Calibri" w:cs="Calibri"/>
                <w:i/>
                <w:iCs/>
                <w:color w:val="FFFFFF"/>
                <w:sz w:val="20"/>
                <w:lang w:eastAsia="en-AU"/>
              </w:rPr>
              <w:t>2015</w:t>
            </w:r>
            <w:r>
              <w:rPr>
                <w:rFonts w:ascii="Calibri" w:eastAsiaTheme="minorEastAsia" w:hAnsi="Calibri" w:cs="Calibri"/>
                <w:i/>
                <w:iCs/>
                <w:color w:val="FFFFFF"/>
                <w:sz w:val="20"/>
                <w:lang w:eastAsia="en-AU"/>
              </w:rPr>
              <w:noBreakHyphen/>
            </w:r>
            <w:r w:rsidRPr="001E7FA9">
              <w:rPr>
                <w:rFonts w:ascii="Calibri" w:eastAsiaTheme="minorEastAsia" w:hAnsi="Calibri" w:cs="Calibri"/>
                <w:i/>
                <w:iCs/>
                <w:color w:val="FFFFFF"/>
                <w:sz w:val="20"/>
                <w:lang w:eastAsia="en-AU"/>
              </w:rPr>
              <w:t>16</w:t>
            </w:r>
          </w:p>
          <w:p w:rsidR="00965D85" w:rsidRPr="001E7FA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1E7FA9">
              <w:rPr>
                <w:rFonts w:ascii="Calibri" w:eastAsiaTheme="minorEastAsia" w:hAnsi="Calibri" w:cs="Calibri"/>
                <w:i/>
                <w:iCs/>
                <w:color w:val="FFFFFF"/>
                <w:sz w:val="20"/>
                <w:lang w:eastAsia="en-AU"/>
              </w:rPr>
              <w:t>budget</w:t>
            </w:r>
          </w:p>
        </w:tc>
        <w:tc>
          <w:tcPr>
            <w:tcW w:w="964" w:type="dxa"/>
            <w:tcBorders>
              <w:top w:val="nil"/>
              <w:left w:val="nil"/>
              <w:right w:val="nil"/>
            </w:tcBorders>
            <w:shd w:val="solid" w:color="000000" w:fill="auto"/>
          </w:tcPr>
          <w:p w:rsidR="00965D85" w:rsidRPr="001E7FA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1E7FA9">
              <w:rPr>
                <w:rFonts w:ascii="Calibri" w:eastAsiaTheme="minorEastAsia" w:hAnsi="Calibri" w:cs="Calibri"/>
                <w:i/>
                <w:iCs/>
                <w:color w:val="FFFFFF"/>
                <w:sz w:val="20"/>
                <w:lang w:eastAsia="en-AU"/>
              </w:rPr>
              <w:t>2015</w:t>
            </w:r>
            <w:r>
              <w:rPr>
                <w:rFonts w:ascii="Calibri" w:eastAsiaTheme="minorEastAsia" w:hAnsi="Calibri" w:cs="Calibri"/>
                <w:i/>
                <w:iCs/>
                <w:color w:val="FFFFFF"/>
                <w:sz w:val="20"/>
                <w:lang w:eastAsia="en-AU"/>
              </w:rPr>
              <w:noBreakHyphen/>
            </w:r>
            <w:r w:rsidRPr="001E7FA9">
              <w:rPr>
                <w:rFonts w:ascii="Calibri" w:eastAsiaTheme="minorEastAsia" w:hAnsi="Calibri" w:cs="Calibri"/>
                <w:i/>
                <w:iCs/>
                <w:color w:val="FFFFFF"/>
                <w:sz w:val="20"/>
                <w:lang w:eastAsia="en-AU"/>
              </w:rPr>
              <w:t>16</w:t>
            </w:r>
          </w:p>
          <w:p w:rsidR="00965D85" w:rsidRPr="001E7FA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1E7FA9">
              <w:rPr>
                <w:rFonts w:ascii="Calibri" w:eastAsiaTheme="minorEastAsia" w:hAnsi="Calibri" w:cs="Calibri"/>
                <w:i/>
                <w:iCs/>
                <w:color w:val="FFFFFF"/>
                <w:sz w:val="20"/>
                <w:lang w:eastAsia="en-AU"/>
              </w:rPr>
              <w:t>revised</w:t>
            </w:r>
          </w:p>
        </w:tc>
        <w:tc>
          <w:tcPr>
            <w:tcW w:w="964" w:type="dxa"/>
            <w:tcBorders>
              <w:top w:val="nil"/>
              <w:left w:val="nil"/>
              <w:right w:val="nil"/>
            </w:tcBorders>
            <w:shd w:val="solid" w:color="000000" w:fill="auto"/>
          </w:tcPr>
          <w:p w:rsidR="00965D85" w:rsidRPr="001E7FA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1E7FA9">
              <w:rPr>
                <w:rFonts w:ascii="Calibri" w:eastAsiaTheme="minorEastAsia" w:hAnsi="Calibri" w:cs="Calibri"/>
                <w:i/>
                <w:iCs/>
                <w:color w:val="FFFFFF"/>
                <w:sz w:val="20"/>
                <w:lang w:eastAsia="en-AU"/>
              </w:rPr>
              <w:t>2016</w:t>
            </w:r>
            <w:r>
              <w:rPr>
                <w:rFonts w:ascii="Calibri" w:eastAsiaTheme="minorEastAsia" w:hAnsi="Calibri" w:cs="Calibri"/>
                <w:i/>
                <w:iCs/>
                <w:color w:val="FFFFFF"/>
                <w:sz w:val="20"/>
                <w:lang w:eastAsia="en-AU"/>
              </w:rPr>
              <w:noBreakHyphen/>
            </w:r>
            <w:r w:rsidRPr="001E7FA9">
              <w:rPr>
                <w:rFonts w:ascii="Calibri" w:eastAsiaTheme="minorEastAsia" w:hAnsi="Calibri" w:cs="Calibri"/>
                <w:i/>
                <w:iCs/>
                <w:color w:val="FFFFFF"/>
                <w:sz w:val="20"/>
                <w:lang w:eastAsia="en-AU"/>
              </w:rPr>
              <w:t>17</w:t>
            </w:r>
          </w:p>
          <w:p w:rsidR="00965D85" w:rsidRPr="001E7FA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1E7FA9">
              <w:rPr>
                <w:rFonts w:ascii="Calibri" w:eastAsiaTheme="minorEastAsia" w:hAnsi="Calibri" w:cs="Calibri"/>
                <w:i/>
                <w:iCs/>
                <w:color w:val="FFFFFF"/>
                <w:sz w:val="20"/>
                <w:lang w:eastAsia="en-AU"/>
              </w:rPr>
              <w:t>estimate</w:t>
            </w:r>
          </w:p>
        </w:tc>
        <w:tc>
          <w:tcPr>
            <w:tcW w:w="964" w:type="dxa"/>
            <w:tcBorders>
              <w:top w:val="nil"/>
              <w:left w:val="nil"/>
              <w:right w:val="nil"/>
            </w:tcBorders>
            <w:shd w:val="solid" w:color="000000" w:fill="auto"/>
          </w:tcPr>
          <w:p w:rsidR="00965D85" w:rsidRPr="001E7FA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1E7FA9">
              <w:rPr>
                <w:rFonts w:ascii="Calibri" w:eastAsiaTheme="minorEastAsia" w:hAnsi="Calibri" w:cs="Calibri"/>
                <w:i/>
                <w:iCs/>
                <w:color w:val="FFFFFF"/>
                <w:sz w:val="20"/>
                <w:lang w:eastAsia="en-AU"/>
              </w:rPr>
              <w:t>2017</w:t>
            </w:r>
            <w:r>
              <w:rPr>
                <w:rFonts w:ascii="Calibri" w:eastAsiaTheme="minorEastAsia" w:hAnsi="Calibri" w:cs="Calibri"/>
                <w:i/>
                <w:iCs/>
                <w:color w:val="FFFFFF"/>
                <w:sz w:val="20"/>
                <w:lang w:eastAsia="en-AU"/>
              </w:rPr>
              <w:noBreakHyphen/>
            </w:r>
            <w:r w:rsidRPr="001E7FA9">
              <w:rPr>
                <w:rFonts w:ascii="Calibri" w:eastAsiaTheme="minorEastAsia" w:hAnsi="Calibri" w:cs="Calibri"/>
                <w:i/>
                <w:iCs/>
                <w:color w:val="FFFFFF"/>
                <w:sz w:val="20"/>
                <w:lang w:eastAsia="en-AU"/>
              </w:rPr>
              <w:t>18</w:t>
            </w:r>
          </w:p>
          <w:p w:rsidR="00965D85" w:rsidRPr="001E7FA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1E7FA9">
              <w:rPr>
                <w:rFonts w:ascii="Calibri" w:eastAsiaTheme="minorEastAsia" w:hAnsi="Calibri" w:cs="Calibri"/>
                <w:i/>
                <w:iCs/>
                <w:color w:val="FFFFFF"/>
                <w:sz w:val="20"/>
                <w:lang w:eastAsia="en-AU"/>
              </w:rPr>
              <w:t>estimate</w:t>
            </w:r>
          </w:p>
        </w:tc>
        <w:tc>
          <w:tcPr>
            <w:tcW w:w="964" w:type="dxa"/>
            <w:tcBorders>
              <w:top w:val="nil"/>
              <w:left w:val="nil"/>
              <w:right w:val="nil"/>
            </w:tcBorders>
            <w:shd w:val="solid" w:color="000000" w:fill="auto"/>
          </w:tcPr>
          <w:p w:rsidR="00965D85" w:rsidRPr="001E7FA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1E7FA9">
              <w:rPr>
                <w:rFonts w:ascii="Calibri" w:eastAsiaTheme="minorEastAsia" w:hAnsi="Calibri" w:cs="Calibri"/>
                <w:i/>
                <w:iCs/>
                <w:color w:val="FFFFFF"/>
                <w:sz w:val="20"/>
                <w:lang w:eastAsia="en-AU"/>
              </w:rPr>
              <w:t>2018</w:t>
            </w:r>
            <w:r>
              <w:rPr>
                <w:rFonts w:ascii="Calibri" w:eastAsiaTheme="minorEastAsia" w:hAnsi="Calibri" w:cs="Calibri"/>
                <w:i/>
                <w:iCs/>
                <w:color w:val="FFFFFF"/>
                <w:sz w:val="20"/>
                <w:lang w:eastAsia="en-AU"/>
              </w:rPr>
              <w:noBreakHyphen/>
            </w:r>
            <w:r w:rsidRPr="001E7FA9">
              <w:rPr>
                <w:rFonts w:ascii="Calibri" w:eastAsiaTheme="minorEastAsia" w:hAnsi="Calibri" w:cs="Calibri"/>
                <w:i/>
                <w:iCs/>
                <w:color w:val="FFFFFF"/>
                <w:sz w:val="20"/>
                <w:lang w:eastAsia="en-AU"/>
              </w:rPr>
              <w:t>19</w:t>
            </w:r>
          </w:p>
          <w:p w:rsidR="00965D85" w:rsidRPr="001E7FA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1E7FA9">
              <w:rPr>
                <w:rFonts w:ascii="Calibri" w:eastAsiaTheme="minorEastAsia" w:hAnsi="Calibri" w:cs="Calibri"/>
                <w:i/>
                <w:iCs/>
                <w:color w:val="FFFFFF"/>
                <w:sz w:val="20"/>
                <w:lang w:eastAsia="en-AU"/>
              </w:rPr>
              <w:t>estimate</w:t>
            </w:r>
          </w:p>
        </w:tc>
      </w:tr>
      <w:tr w:rsidR="00965D85" w:rsidRPr="001E7FA9" w:rsidTr="008B46DF">
        <w:tc>
          <w:tcPr>
            <w:tcW w:w="2947" w:type="dxa"/>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Purchases of non</w:t>
            </w:r>
            <w:r>
              <w:rPr>
                <w:rFonts w:ascii="Calibri" w:eastAsiaTheme="minorEastAsia" w:hAnsi="Calibri" w:cs="Calibri"/>
                <w:color w:val="000000"/>
                <w:sz w:val="20"/>
                <w:lang w:eastAsia="en-AU"/>
              </w:rPr>
              <w:noBreakHyphen/>
            </w:r>
            <w:r w:rsidRPr="001E7FA9">
              <w:rPr>
                <w:rFonts w:ascii="Calibri" w:eastAsiaTheme="minorEastAsia" w:hAnsi="Calibri" w:cs="Calibri"/>
                <w:color w:val="000000"/>
                <w:sz w:val="20"/>
                <w:lang w:eastAsia="en-AU"/>
              </w:rPr>
              <w:t>financial assets less sales of non</w:t>
            </w:r>
            <w:r>
              <w:rPr>
                <w:rFonts w:ascii="Calibri" w:eastAsiaTheme="minorEastAsia" w:hAnsi="Calibri" w:cs="Calibri"/>
                <w:color w:val="000000"/>
                <w:sz w:val="20"/>
                <w:lang w:eastAsia="en-AU"/>
              </w:rPr>
              <w:noBreakHyphen/>
            </w:r>
            <w:r w:rsidRPr="001E7FA9">
              <w:rPr>
                <w:rFonts w:ascii="Calibri" w:eastAsiaTheme="minorEastAsia" w:hAnsi="Calibri" w:cs="Calibri"/>
                <w:color w:val="000000"/>
                <w:sz w:val="20"/>
                <w:lang w:eastAsia="en-AU"/>
              </w:rPr>
              <w:t>financial assets</w:t>
            </w: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46.6</w:t>
            </w: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45.0</w:t>
            </w: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49.5</w:t>
            </w: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50.2</w:t>
            </w: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34.6</w:t>
            </w:r>
          </w:p>
        </w:tc>
      </w:tr>
      <w:tr w:rsidR="00965D85" w:rsidRPr="001E7FA9" w:rsidTr="008B46DF">
        <w:tc>
          <w:tcPr>
            <w:tcW w:w="2947" w:type="dxa"/>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Less: Depreciation</w:t>
            </w: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(54.8)</w:t>
            </w: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(48.1)</w:t>
            </w: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(50.2)</w:t>
            </w: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(50.8)</w:t>
            </w: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(44.5)</w:t>
            </w:r>
          </w:p>
        </w:tc>
      </w:tr>
      <w:tr w:rsidR="00965D85" w:rsidRPr="001E7FA9" w:rsidTr="008B46DF">
        <w:tc>
          <w:tcPr>
            <w:tcW w:w="2947" w:type="dxa"/>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Plus: Other movements in non</w:t>
            </w:r>
            <w:r>
              <w:rPr>
                <w:rFonts w:ascii="Calibri" w:eastAsiaTheme="minorEastAsia" w:hAnsi="Calibri" w:cs="Calibri"/>
                <w:color w:val="000000"/>
                <w:sz w:val="20"/>
                <w:lang w:eastAsia="en-AU"/>
              </w:rPr>
              <w:noBreakHyphen/>
            </w:r>
            <w:r w:rsidRPr="001E7FA9">
              <w:rPr>
                <w:rFonts w:ascii="Calibri" w:eastAsiaTheme="minorEastAsia" w:hAnsi="Calibri" w:cs="Calibri"/>
                <w:color w:val="000000"/>
                <w:sz w:val="20"/>
                <w:lang w:eastAsia="en-AU"/>
              </w:rPr>
              <w:t>financial assets</w:t>
            </w:r>
          </w:p>
        </w:tc>
        <w:tc>
          <w:tcPr>
            <w:tcW w:w="964" w:type="dxa"/>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w:t>
            </w:r>
          </w:p>
        </w:tc>
        <w:tc>
          <w:tcPr>
            <w:tcW w:w="964" w:type="dxa"/>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w:t>
            </w:r>
          </w:p>
        </w:tc>
        <w:tc>
          <w:tcPr>
            <w:tcW w:w="964" w:type="dxa"/>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w:t>
            </w:r>
          </w:p>
        </w:tc>
        <w:tc>
          <w:tcPr>
            <w:tcW w:w="964" w:type="dxa"/>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w:t>
            </w:r>
          </w:p>
        </w:tc>
        <w:tc>
          <w:tcPr>
            <w:tcW w:w="964" w:type="dxa"/>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w:t>
            </w:r>
          </w:p>
        </w:tc>
      </w:tr>
      <w:tr w:rsidR="00965D85" w:rsidRPr="001E7FA9" w:rsidTr="008B46DF">
        <w:tc>
          <w:tcPr>
            <w:tcW w:w="2947" w:type="dxa"/>
            <w:tcBorders>
              <w:top w:val="single" w:sz="6" w:space="0" w:color="000000"/>
              <w:left w:val="nil"/>
              <w:bottom w:val="single" w:sz="12" w:space="0" w:color="auto"/>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b/>
                <w:bCs/>
                <w:color w:val="000000"/>
                <w:sz w:val="20"/>
                <w:lang w:eastAsia="en-AU"/>
              </w:rPr>
            </w:pPr>
            <w:r w:rsidRPr="001E7FA9">
              <w:rPr>
                <w:rFonts w:ascii="Calibri" w:eastAsiaTheme="minorEastAsia" w:hAnsi="Calibri" w:cs="Calibri"/>
                <w:b/>
                <w:bCs/>
                <w:color w:val="000000"/>
                <w:sz w:val="20"/>
                <w:lang w:eastAsia="en-AU"/>
              </w:rPr>
              <w:t>Total net acquisition of non</w:t>
            </w:r>
            <w:r>
              <w:rPr>
                <w:rFonts w:ascii="Calibri" w:eastAsiaTheme="minorEastAsia" w:hAnsi="Calibri" w:cs="Calibri"/>
                <w:b/>
                <w:bCs/>
                <w:color w:val="000000"/>
                <w:sz w:val="20"/>
                <w:lang w:eastAsia="en-AU"/>
              </w:rPr>
              <w:noBreakHyphen/>
            </w:r>
            <w:r w:rsidRPr="001E7FA9">
              <w:rPr>
                <w:rFonts w:ascii="Calibri" w:eastAsiaTheme="minorEastAsia" w:hAnsi="Calibri" w:cs="Calibri"/>
                <w:b/>
                <w:bCs/>
                <w:color w:val="000000"/>
                <w:sz w:val="20"/>
                <w:lang w:eastAsia="en-AU"/>
              </w:rPr>
              <w:t>financial assets</w:t>
            </w:r>
          </w:p>
        </w:tc>
        <w:tc>
          <w:tcPr>
            <w:tcW w:w="964" w:type="dxa"/>
            <w:tcBorders>
              <w:top w:val="single" w:sz="6" w:space="0" w:color="000000"/>
              <w:left w:val="nil"/>
              <w:bottom w:val="single" w:sz="12" w:space="0" w:color="auto"/>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20"/>
                <w:lang w:eastAsia="en-AU"/>
              </w:rPr>
              <w:t>(8.3)</w:t>
            </w:r>
          </w:p>
        </w:tc>
        <w:tc>
          <w:tcPr>
            <w:tcW w:w="964" w:type="dxa"/>
            <w:tcBorders>
              <w:top w:val="single" w:sz="6" w:space="0" w:color="000000"/>
              <w:left w:val="nil"/>
              <w:bottom w:val="single" w:sz="12" w:space="0" w:color="auto"/>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20"/>
                <w:lang w:eastAsia="en-AU"/>
              </w:rPr>
              <w:t>(3.1)</w:t>
            </w:r>
          </w:p>
        </w:tc>
        <w:tc>
          <w:tcPr>
            <w:tcW w:w="964" w:type="dxa"/>
            <w:tcBorders>
              <w:top w:val="single" w:sz="6" w:space="0" w:color="000000"/>
              <w:left w:val="nil"/>
              <w:bottom w:val="single" w:sz="12" w:space="0" w:color="auto"/>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20"/>
                <w:lang w:eastAsia="en-AU"/>
              </w:rPr>
              <w:t>(0.7)</w:t>
            </w:r>
          </w:p>
        </w:tc>
        <w:tc>
          <w:tcPr>
            <w:tcW w:w="964" w:type="dxa"/>
            <w:tcBorders>
              <w:top w:val="single" w:sz="6" w:space="0" w:color="000000"/>
              <w:left w:val="nil"/>
              <w:bottom w:val="single" w:sz="12" w:space="0" w:color="auto"/>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20"/>
                <w:lang w:eastAsia="en-AU"/>
              </w:rPr>
              <w:t>(0.6)</w:t>
            </w:r>
          </w:p>
        </w:tc>
        <w:tc>
          <w:tcPr>
            <w:tcW w:w="964" w:type="dxa"/>
            <w:tcBorders>
              <w:top w:val="single" w:sz="6" w:space="0" w:color="000000"/>
              <w:left w:val="nil"/>
              <w:bottom w:val="single" w:sz="12" w:space="0" w:color="auto"/>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20"/>
                <w:lang w:eastAsia="en-AU"/>
              </w:rPr>
              <w:t>(9.9)</w:t>
            </w:r>
          </w:p>
        </w:tc>
      </w:tr>
      <w:tr w:rsidR="00965D85" w:rsidRPr="001E7FA9" w:rsidTr="008B46DF">
        <w:tc>
          <w:tcPr>
            <w:tcW w:w="7767" w:type="dxa"/>
            <w:gridSpan w:val="6"/>
            <w:tcBorders>
              <w:top w:val="single" w:sz="12" w:space="0" w:color="auto"/>
              <w:left w:val="nil"/>
              <w:bottom w:val="nil"/>
              <w:right w:val="nil"/>
            </w:tcBorders>
            <w:shd w:val="clear" w:color="auto" w:fill="auto"/>
          </w:tcPr>
          <w:p w:rsidR="00965D85" w:rsidRPr="001E7FA9" w:rsidRDefault="00965D85" w:rsidP="008B46DF">
            <w:pPr>
              <w:pStyle w:val="Source"/>
              <w:rPr>
                <w:rFonts w:eastAsiaTheme="minorEastAsia"/>
                <w:lang w:eastAsia="en-AU"/>
              </w:rPr>
            </w:pPr>
            <w:r w:rsidRPr="001E7FA9">
              <w:rPr>
                <w:rFonts w:eastAsiaTheme="minorEastAsia"/>
                <w:lang w:eastAsia="en-AU"/>
              </w:rPr>
              <w:t>Source: Department of Treasury and Finance</w:t>
            </w:r>
          </w:p>
        </w:tc>
      </w:tr>
    </w:tbl>
    <w:p w:rsidR="00965D85" w:rsidRDefault="00965D85" w:rsidP="008B46DF">
      <w:pPr>
        <w:rPr>
          <w:lang w:eastAsia="en-AU"/>
        </w:rPr>
      </w:pPr>
    </w:p>
    <w:p w:rsidR="00965D85" w:rsidRDefault="00965D85">
      <w:pPr>
        <w:spacing w:after="0"/>
        <w:rPr>
          <w:lang w:eastAsia="en-AU"/>
        </w:rPr>
      </w:pPr>
      <w:r>
        <w:rPr>
          <w:lang w:eastAsia="en-AU"/>
        </w:rPr>
        <w:br w:type="page"/>
      </w:r>
    </w:p>
    <w:p w:rsidR="00965D85" w:rsidRPr="001E7FA9" w:rsidRDefault="00965D85" w:rsidP="008B46DF">
      <w:pPr>
        <w:pStyle w:val="Tableheading"/>
        <w:rPr>
          <w:rFonts w:ascii="Times New Roman" w:hAnsi="Times New Roman"/>
          <w:b w:val="0"/>
          <w:sz w:val="20"/>
          <w:lang w:eastAsia="en-AU"/>
        </w:rPr>
      </w:pPr>
      <w:r w:rsidRPr="0081068E">
        <w:rPr>
          <w:lang w:eastAsia="en-AU"/>
        </w:rPr>
        <w:lastRenderedPageBreak/>
        <w:t>Table 5.19:</w:t>
      </w:r>
      <w:r w:rsidRPr="0081068E">
        <w:rPr>
          <w:lang w:eastAsia="en-AU"/>
        </w:rPr>
        <w:tab/>
        <w:t xml:space="preserve">State of Victoria operating statement </w:t>
      </w:r>
      <w:r>
        <w:rPr>
          <w:lang w:eastAsia="en-AU"/>
        </w:rPr>
        <w:t>for the financial year ended 30 </w:t>
      </w:r>
      <w:r w:rsidRPr="0081068E">
        <w:rPr>
          <w:lang w:eastAsia="en-AU"/>
        </w:rPr>
        <w:t>June</w:t>
      </w:r>
      <w:r w:rsidRPr="0081068E">
        <w:rPr>
          <w:vertAlign w:val="superscript"/>
          <w:lang w:eastAsia="en-AU"/>
        </w:rPr>
        <w:t>(a)</w:t>
      </w:r>
    </w:p>
    <w:tbl>
      <w:tblPr>
        <w:tblW w:w="7767" w:type="dxa"/>
        <w:tblInd w:w="28" w:type="dxa"/>
        <w:tblLayout w:type="fixed"/>
        <w:tblCellMar>
          <w:left w:w="28" w:type="dxa"/>
          <w:right w:w="28" w:type="dxa"/>
        </w:tblCellMar>
        <w:tblLook w:val="0000" w:firstRow="0" w:lastRow="0" w:firstColumn="0" w:lastColumn="0" w:noHBand="0" w:noVBand="0"/>
      </w:tblPr>
      <w:tblGrid>
        <w:gridCol w:w="3402"/>
        <w:gridCol w:w="873"/>
        <w:gridCol w:w="687"/>
        <w:gridCol w:w="186"/>
        <w:gridCol w:w="97"/>
        <w:gridCol w:w="284"/>
        <w:gridCol w:w="310"/>
        <w:gridCol w:w="182"/>
        <w:gridCol w:w="782"/>
        <w:gridCol w:w="91"/>
        <w:gridCol w:w="873"/>
      </w:tblGrid>
      <w:tr w:rsidR="00965D85" w:rsidRPr="001E7FA9" w:rsidTr="008B46DF">
        <w:trPr>
          <w:tblHeader/>
        </w:trPr>
        <w:tc>
          <w:tcPr>
            <w:tcW w:w="7767" w:type="dxa"/>
            <w:gridSpan w:val="11"/>
            <w:tcBorders>
              <w:top w:val="nil"/>
              <w:left w:val="nil"/>
              <w:bottom w:val="nil"/>
              <w:right w:val="nil"/>
            </w:tcBorders>
          </w:tcPr>
          <w:p w:rsidR="00965D85" w:rsidRPr="001E7FA9" w:rsidRDefault="00965D85" w:rsidP="008B46DF">
            <w:pPr>
              <w:pStyle w:val="million"/>
              <w:rPr>
                <w:rFonts w:eastAsiaTheme="minorEastAsia" w:cs="Calibri"/>
                <w:iCs/>
                <w:color w:val="000000"/>
                <w:sz w:val="20"/>
                <w:lang w:eastAsia="en-AU"/>
              </w:rPr>
            </w:pPr>
            <w:r w:rsidRPr="001E7FA9">
              <w:rPr>
                <w:rFonts w:eastAsiaTheme="minorEastAsia"/>
                <w:lang w:eastAsia="en-AU"/>
              </w:rPr>
              <w:t>($ million)</w:t>
            </w:r>
          </w:p>
        </w:tc>
      </w:tr>
      <w:tr w:rsidR="00965D85" w:rsidRPr="00FD5F4E" w:rsidTr="008B46DF">
        <w:trPr>
          <w:trHeight w:val="488"/>
          <w:tblHeader/>
        </w:trPr>
        <w:tc>
          <w:tcPr>
            <w:tcW w:w="3402" w:type="dxa"/>
            <w:tcBorders>
              <w:top w:val="nil"/>
              <w:left w:val="nil"/>
              <w:right w:val="nil"/>
            </w:tcBorders>
            <w:shd w:val="solid" w:color="000000" w:fill="auto"/>
          </w:tcPr>
          <w:p w:rsidR="00965D85" w:rsidRPr="00FD5F4E" w:rsidRDefault="00965D85" w:rsidP="008B46DF">
            <w:pPr>
              <w:autoSpaceDE w:val="0"/>
              <w:autoSpaceDN w:val="0"/>
              <w:adjustRightInd w:val="0"/>
              <w:spacing w:after="0"/>
              <w:rPr>
                <w:rFonts w:ascii="Calibri" w:eastAsiaTheme="minorEastAsia" w:hAnsi="Calibri" w:cs="Calibri"/>
                <w:color w:val="000000"/>
                <w:sz w:val="19"/>
                <w:szCs w:val="19"/>
                <w:lang w:eastAsia="en-AU"/>
              </w:rPr>
            </w:pPr>
            <w:r w:rsidRPr="00FD5F4E">
              <w:rPr>
                <w:rFonts w:ascii="Calibri" w:eastAsiaTheme="minorEastAsia" w:hAnsi="Calibri" w:cs="Calibri"/>
                <w:color w:val="000000"/>
                <w:sz w:val="19"/>
                <w:szCs w:val="19"/>
                <w:lang w:eastAsia="en-AU"/>
              </w:rPr>
              <w:t xml:space="preserve"> </w:t>
            </w:r>
          </w:p>
          <w:p w:rsidR="00965D85" w:rsidRPr="00FD5F4E" w:rsidRDefault="00965D85" w:rsidP="008B46DF">
            <w:pPr>
              <w:autoSpaceDE w:val="0"/>
              <w:autoSpaceDN w:val="0"/>
              <w:adjustRightInd w:val="0"/>
              <w:spacing w:after="0"/>
              <w:rPr>
                <w:rFonts w:ascii="Calibri" w:eastAsiaTheme="minorEastAsia" w:hAnsi="Calibri" w:cs="Calibri"/>
                <w:color w:val="000000"/>
                <w:sz w:val="19"/>
                <w:szCs w:val="19"/>
                <w:lang w:eastAsia="en-AU"/>
              </w:rPr>
            </w:pPr>
            <w:r w:rsidRPr="00FD5F4E">
              <w:rPr>
                <w:rFonts w:ascii="Calibri" w:eastAsiaTheme="minorEastAsia" w:hAnsi="Calibri" w:cs="Calibri"/>
                <w:color w:val="000000"/>
                <w:sz w:val="19"/>
                <w:szCs w:val="19"/>
                <w:lang w:eastAsia="en-AU"/>
              </w:rPr>
              <w:t xml:space="preserve"> </w:t>
            </w:r>
          </w:p>
        </w:tc>
        <w:tc>
          <w:tcPr>
            <w:tcW w:w="873" w:type="dxa"/>
            <w:tcBorders>
              <w:top w:val="nil"/>
              <w:left w:val="nil"/>
              <w:right w:val="nil"/>
            </w:tcBorders>
            <w:shd w:val="solid" w:color="000000" w:fill="auto"/>
          </w:tcPr>
          <w:p w:rsidR="00965D85" w:rsidRPr="00FD5F4E" w:rsidRDefault="00965D85" w:rsidP="008B46DF">
            <w:pPr>
              <w:autoSpaceDE w:val="0"/>
              <w:autoSpaceDN w:val="0"/>
              <w:adjustRightInd w:val="0"/>
              <w:spacing w:after="0"/>
              <w:jc w:val="right"/>
              <w:rPr>
                <w:rFonts w:ascii="Calibri" w:eastAsiaTheme="minorEastAsia" w:hAnsi="Calibri" w:cs="Calibri"/>
                <w:i/>
                <w:iCs/>
                <w:color w:val="FFFFFF"/>
                <w:sz w:val="19"/>
                <w:szCs w:val="19"/>
                <w:lang w:eastAsia="en-AU"/>
              </w:rPr>
            </w:pPr>
            <w:r w:rsidRPr="00FD5F4E">
              <w:rPr>
                <w:rFonts w:ascii="Calibri" w:eastAsiaTheme="minorEastAsia" w:hAnsi="Calibri" w:cs="Calibri"/>
                <w:i/>
                <w:iCs/>
                <w:color w:val="FFFFFF"/>
                <w:sz w:val="19"/>
                <w:szCs w:val="19"/>
                <w:lang w:eastAsia="en-AU"/>
              </w:rPr>
              <w:t>2015</w:t>
            </w:r>
            <w:r w:rsidRPr="00FD5F4E">
              <w:rPr>
                <w:rFonts w:ascii="Calibri" w:eastAsiaTheme="minorEastAsia" w:hAnsi="Calibri" w:cs="Calibri"/>
                <w:i/>
                <w:iCs/>
                <w:color w:val="FFFFFF"/>
                <w:sz w:val="19"/>
                <w:szCs w:val="19"/>
                <w:lang w:eastAsia="en-AU"/>
              </w:rPr>
              <w:noBreakHyphen/>
              <w:t>16</w:t>
            </w:r>
          </w:p>
          <w:p w:rsidR="00965D85" w:rsidRPr="00FD5F4E" w:rsidRDefault="00965D85" w:rsidP="008B46DF">
            <w:pPr>
              <w:autoSpaceDE w:val="0"/>
              <w:autoSpaceDN w:val="0"/>
              <w:adjustRightInd w:val="0"/>
              <w:spacing w:after="0"/>
              <w:jc w:val="right"/>
              <w:rPr>
                <w:rFonts w:ascii="Calibri" w:eastAsiaTheme="minorEastAsia" w:hAnsi="Calibri" w:cs="Calibri"/>
                <w:i/>
                <w:iCs/>
                <w:color w:val="FFFFFF"/>
                <w:sz w:val="19"/>
                <w:szCs w:val="19"/>
                <w:lang w:eastAsia="en-AU"/>
              </w:rPr>
            </w:pPr>
            <w:r w:rsidRPr="00FD5F4E">
              <w:rPr>
                <w:rFonts w:ascii="Calibri" w:eastAsiaTheme="minorEastAsia" w:hAnsi="Calibri" w:cs="Calibri"/>
                <w:i/>
                <w:iCs/>
                <w:color w:val="FFFFFF"/>
                <w:sz w:val="19"/>
                <w:szCs w:val="19"/>
                <w:lang w:eastAsia="en-AU"/>
              </w:rPr>
              <w:t>budget</w:t>
            </w:r>
          </w:p>
        </w:tc>
        <w:tc>
          <w:tcPr>
            <w:tcW w:w="873" w:type="dxa"/>
            <w:gridSpan w:val="2"/>
            <w:tcBorders>
              <w:top w:val="nil"/>
              <w:left w:val="nil"/>
              <w:right w:val="nil"/>
            </w:tcBorders>
            <w:shd w:val="solid" w:color="000000" w:fill="auto"/>
          </w:tcPr>
          <w:p w:rsidR="00965D85" w:rsidRPr="00FD5F4E" w:rsidRDefault="00965D85" w:rsidP="008B46DF">
            <w:pPr>
              <w:autoSpaceDE w:val="0"/>
              <w:autoSpaceDN w:val="0"/>
              <w:adjustRightInd w:val="0"/>
              <w:spacing w:after="0"/>
              <w:jc w:val="right"/>
              <w:rPr>
                <w:rFonts w:ascii="Calibri" w:eastAsiaTheme="minorEastAsia" w:hAnsi="Calibri" w:cs="Calibri"/>
                <w:i/>
                <w:iCs/>
                <w:color w:val="FFFFFF"/>
                <w:sz w:val="19"/>
                <w:szCs w:val="19"/>
                <w:lang w:eastAsia="en-AU"/>
              </w:rPr>
            </w:pPr>
            <w:r w:rsidRPr="00FD5F4E">
              <w:rPr>
                <w:rFonts w:ascii="Calibri" w:eastAsiaTheme="minorEastAsia" w:hAnsi="Calibri" w:cs="Calibri"/>
                <w:i/>
                <w:iCs/>
                <w:color w:val="FFFFFF"/>
                <w:sz w:val="19"/>
                <w:szCs w:val="19"/>
                <w:lang w:eastAsia="en-AU"/>
              </w:rPr>
              <w:t>2015</w:t>
            </w:r>
            <w:r w:rsidRPr="00FD5F4E">
              <w:rPr>
                <w:rFonts w:ascii="Calibri" w:eastAsiaTheme="minorEastAsia" w:hAnsi="Calibri" w:cs="Calibri"/>
                <w:i/>
                <w:iCs/>
                <w:color w:val="FFFFFF"/>
                <w:sz w:val="19"/>
                <w:szCs w:val="19"/>
                <w:lang w:eastAsia="en-AU"/>
              </w:rPr>
              <w:noBreakHyphen/>
              <w:t>16</w:t>
            </w:r>
          </w:p>
          <w:p w:rsidR="00965D85" w:rsidRPr="00FD5F4E" w:rsidRDefault="00965D85" w:rsidP="008B46DF">
            <w:pPr>
              <w:autoSpaceDE w:val="0"/>
              <w:autoSpaceDN w:val="0"/>
              <w:adjustRightInd w:val="0"/>
              <w:spacing w:after="0"/>
              <w:jc w:val="right"/>
              <w:rPr>
                <w:rFonts w:ascii="Calibri" w:eastAsiaTheme="minorEastAsia" w:hAnsi="Calibri" w:cs="Calibri"/>
                <w:i/>
                <w:iCs/>
                <w:color w:val="FFFFFF"/>
                <w:sz w:val="19"/>
                <w:szCs w:val="19"/>
                <w:lang w:eastAsia="en-AU"/>
              </w:rPr>
            </w:pPr>
            <w:r w:rsidRPr="00FD5F4E">
              <w:rPr>
                <w:rFonts w:ascii="Calibri" w:eastAsiaTheme="minorEastAsia" w:hAnsi="Calibri" w:cs="Calibri"/>
                <w:i/>
                <w:iCs/>
                <w:color w:val="FFFFFF"/>
                <w:sz w:val="19"/>
                <w:szCs w:val="19"/>
                <w:lang w:eastAsia="en-AU"/>
              </w:rPr>
              <w:t>revised</w:t>
            </w:r>
          </w:p>
        </w:tc>
        <w:tc>
          <w:tcPr>
            <w:tcW w:w="873" w:type="dxa"/>
            <w:gridSpan w:val="4"/>
            <w:tcBorders>
              <w:top w:val="nil"/>
              <w:left w:val="nil"/>
              <w:right w:val="nil"/>
            </w:tcBorders>
            <w:shd w:val="solid" w:color="000000" w:fill="auto"/>
          </w:tcPr>
          <w:p w:rsidR="00965D85" w:rsidRPr="00FD5F4E" w:rsidRDefault="00965D85" w:rsidP="008B46DF">
            <w:pPr>
              <w:autoSpaceDE w:val="0"/>
              <w:autoSpaceDN w:val="0"/>
              <w:adjustRightInd w:val="0"/>
              <w:spacing w:after="0"/>
              <w:jc w:val="right"/>
              <w:rPr>
                <w:rFonts w:ascii="Calibri" w:eastAsiaTheme="minorEastAsia" w:hAnsi="Calibri" w:cs="Calibri"/>
                <w:i/>
                <w:iCs/>
                <w:color w:val="FFFFFF"/>
                <w:sz w:val="19"/>
                <w:szCs w:val="19"/>
                <w:lang w:eastAsia="en-AU"/>
              </w:rPr>
            </w:pPr>
            <w:r w:rsidRPr="00FD5F4E">
              <w:rPr>
                <w:rFonts w:ascii="Calibri" w:eastAsiaTheme="minorEastAsia" w:hAnsi="Calibri" w:cs="Calibri"/>
                <w:i/>
                <w:iCs/>
                <w:color w:val="FFFFFF"/>
                <w:sz w:val="19"/>
                <w:szCs w:val="19"/>
                <w:lang w:eastAsia="en-AU"/>
              </w:rPr>
              <w:t>2016</w:t>
            </w:r>
            <w:r w:rsidRPr="00FD5F4E">
              <w:rPr>
                <w:rFonts w:ascii="Calibri" w:eastAsiaTheme="minorEastAsia" w:hAnsi="Calibri" w:cs="Calibri"/>
                <w:i/>
                <w:iCs/>
                <w:color w:val="FFFFFF"/>
                <w:sz w:val="19"/>
                <w:szCs w:val="19"/>
                <w:lang w:eastAsia="en-AU"/>
              </w:rPr>
              <w:noBreakHyphen/>
              <w:t>17</w:t>
            </w:r>
          </w:p>
          <w:p w:rsidR="00965D85" w:rsidRPr="00FD5F4E" w:rsidRDefault="00965D85" w:rsidP="008B46DF">
            <w:pPr>
              <w:autoSpaceDE w:val="0"/>
              <w:autoSpaceDN w:val="0"/>
              <w:adjustRightInd w:val="0"/>
              <w:spacing w:after="0"/>
              <w:jc w:val="right"/>
              <w:rPr>
                <w:rFonts w:ascii="Calibri" w:eastAsiaTheme="minorEastAsia" w:hAnsi="Calibri" w:cs="Calibri"/>
                <w:i/>
                <w:iCs/>
                <w:color w:val="FFFFFF"/>
                <w:sz w:val="19"/>
                <w:szCs w:val="19"/>
                <w:lang w:eastAsia="en-AU"/>
              </w:rPr>
            </w:pPr>
            <w:r w:rsidRPr="00FD5F4E">
              <w:rPr>
                <w:rFonts w:ascii="Calibri" w:eastAsiaTheme="minorEastAsia" w:hAnsi="Calibri" w:cs="Calibri"/>
                <w:i/>
                <w:iCs/>
                <w:color w:val="FFFFFF"/>
                <w:sz w:val="19"/>
                <w:szCs w:val="19"/>
                <w:lang w:eastAsia="en-AU"/>
              </w:rPr>
              <w:t>estimate</w:t>
            </w:r>
          </w:p>
        </w:tc>
        <w:tc>
          <w:tcPr>
            <w:tcW w:w="873" w:type="dxa"/>
            <w:gridSpan w:val="2"/>
            <w:tcBorders>
              <w:top w:val="nil"/>
              <w:left w:val="nil"/>
              <w:right w:val="nil"/>
            </w:tcBorders>
            <w:shd w:val="solid" w:color="000000" w:fill="auto"/>
          </w:tcPr>
          <w:p w:rsidR="00965D85" w:rsidRPr="00FD5F4E" w:rsidRDefault="00965D85" w:rsidP="008B46DF">
            <w:pPr>
              <w:autoSpaceDE w:val="0"/>
              <w:autoSpaceDN w:val="0"/>
              <w:adjustRightInd w:val="0"/>
              <w:spacing w:after="0"/>
              <w:jc w:val="right"/>
              <w:rPr>
                <w:rFonts w:ascii="Calibri" w:eastAsiaTheme="minorEastAsia" w:hAnsi="Calibri" w:cs="Calibri"/>
                <w:i/>
                <w:iCs/>
                <w:color w:val="FFFFFF"/>
                <w:sz w:val="19"/>
                <w:szCs w:val="19"/>
                <w:lang w:eastAsia="en-AU"/>
              </w:rPr>
            </w:pPr>
            <w:r w:rsidRPr="00FD5F4E">
              <w:rPr>
                <w:rFonts w:ascii="Calibri" w:eastAsiaTheme="minorEastAsia" w:hAnsi="Calibri" w:cs="Calibri"/>
                <w:i/>
                <w:iCs/>
                <w:color w:val="FFFFFF"/>
                <w:sz w:val="19"/>
                <w:szCs w:val="19"/>
                <w:lang w:eastAsia="en-AU"/>
              </w:rPr>
              <w:t>2017</w:t>
            </w:r>
            <w:r w:rsidRPr="00FD5F4E">
              <w:rPr>
                <w:rFonts w:ascii="Calibri" w:eastAsiaTheme="minorEastAsia" w:hAnsi="Calibri" w:cs="Calibri"/>
                <w:i/>
                <w:iCs/>
                <w:color w:val="FFFFFF"/>
                <w:sz w:val="19"/>
                <w:szCs w:val="19"/>
                <w:lang w:eastAsia="en-AU"/>
              </w:rPr>
              <w:noBreakHyphen/>
              <w:t>18</w:t>
            </w:r>
          </w:p>
          <w:p w:rsidR="00965D85" w:rsidRPr="00FD5F4E" w:rsidRDefault="00965D85" w:rsidP="008B46DF">
            <w:pPr>
              <w:autoSpaceDE w:val="0"/>
              <w:autoSpaceDN w:val="0"/>
              <w:adjustRightInd w:val="0"/>
              <w:spacing w:after="0"/>
              <w:jc w:val="right"/>
              <w:rPr>
                <w:rFonts w:ascii="Calibri" w:eastAsiaTheme="minorEastAsia" w:hAnsi="Calibri" w:cs="Calibri"/>
                <w:i/>
                <w:iCs/>
                <w:color w:val="FFFFFF"/>
                <w:sz w:val="19"/>
                <w:szCs w:val="19"/>
                <w:lang w:eastAsia="en-AU"/>
              </w:rPr>
            </w:pPr>
            <w:r w:rsidRPr="00FD5F4E">
              <w:rPr>
                <w:rFonts w:ascii="Calibri" w:eastAsiaTheme="minorEastAsia" w:hAnsi="Calibri" w:cs="Calibri"/>
                <w:i/>
                <w:iCs/>
                <w:color w:val="FFFFFF"/>
                <w:sz w:val="19"/>
                <w:szCs w:val="19"/>
                <w:lang w:eastAsia="en-AU"/>
              </w:rPr>
              <w:t>estimate</w:t>
            </w:r>
          </w:p>
        </w:tc>
        <w:tc>
          <w:tcPr>
            <w:tcW w:w="873" w:type="dxa"/>
            <w:tcBorders>
              <w:top w:val="nil"/>
              <w:left w:val="nil"/>
              <w:right w:val="nil"/>
            </w:tcBorders>
            <w:shd w:val="solid" w:color="000000" w:fill="auto"/>
          </w:tcPr>
          <w:p w:rsidR="00965D85" w:rsidRPr="00FD5F4E" w:rsidRDefault="00965D85" w:rsidP="008B46DF">
            <w:pPr>
              <w:autoSpaceDE w:val="0"/>
              <w:autoSpaceDN w:val="0"/>
              <w:adjustRightInd w:val="0"/>
              <w:spacing w:after="0"/>
              <w:jc w:val="right"/>
              <w:rPr>
                <w:rFonts w:ascii="Calibri" w:eastAsiaTheme="minorEastAsia" w:hAnsi="Calibri" w:cs="Calibri"/>
                <w:i/>
                <w:iCs/>
                <w:color w:val="FFFFFF"/>
                <w:sz w:val="19"/>
                <w:szCs w:val="19"/>
                <w:lang w:eastAsia="en-AU"/>
              </w:rPr>
            </w:pPr>
            <w:r w:rsidRPr="00FD5F4E">
              <w:rPr>
                <w:rFonts w:ascii="Calibri" w:eastAsiaTheme="minorEastAsia" w:hAnsi="Calibri" w:cs="Calibri"/>
                <w:i/>
                <w:iCs/>
                <w:color w:val="FFFFFF"/>
                <w:sz w:val="19"/>
                <w:szCs w:val="19"/>
                <w:lang w:eastAsia="en-AU"/>
              </w:rPr>
              <w:t>2018</w:t>
            </w:r>
            <w:r w:rsidRPr="00FD5F4E">
              <w:rPr>
                <w:rFonts w:ascii="Calibri" w:eastAsiaTheme="minorEastAsia" w:hAnsi="Calibri" w:cs="Calibri"/>
                <w:i/>
                <w:iCs/>
                <w:color w:val="FFFFFF"/>
                <w:sz w:val="19"/>
                <w:szCs w:val="19"/>
                <w:lang w:eastAsia="en-AU"/>
              </w:rPr>
              <w:noBreakHyphen/>
              <w:t>19</w:t>
            </w:r>
          </w:p>
          <w:p w:rsidR="00965D85" w:rsidRPr="00FD5F4E" w:rsidRDefault="00965D85" w:rsidP="008B46DF">
            <w:pPr>
              <w:autoSpaceDE w:val="0"/>
              <w:autoSpaceDN w:val="0"/>
              <w:adjustRightInd w:val="0"/>
              <w:spacing w:after="0"/>
              <w:jc w:val="right"/>
              <w:rPr>
                <w:rFonts w:ascii="Calibri" w:eastAsiaTheme="minorEastAsia" w:hAnsi="Calibri" w:cs="Calibri"/>
                <w:i/>
                <w:iCs/>
                <w:color w:val="FFFFFF"/>
                <w:sz w:val="19"/>
                <w:szCs w:val="19"/>
                <w:lang w:eastAsia="en-AU"/>
              </w:rPr>
            </w:pPr>
            <w:r w:rsidRPr="00FD5F4E">
              <w:rPr>
                <w:rFonts w:ascii="Calibri" w:eastAsiaTheme="minorEastAsia" w:hAnsi="Calibri" w:cs="Calibri"/>
                <w:i/>
                <w:iCs/>
                <w:color w:val="FFFFFF"/>
                <w:sz w:val="19"/>
                <w:szCs w:val="19"/>
                <w:lang w:eastAsia="en-AU"/>
              </w:rPr>
              <w:t>estimate</w:t>
            </w:r>
          </w:p>
        </w:tc>
      </w:tr>
      <w:tr w:rsidR="00965D85" w:rsidRPr="00FD5F4E" w:rsidTr="008B46DF">
        <w:tc>
          <w:tcPr>
            <w:tcW w:w="3402" w:type="dxa"/>
            <w:tcBorders>
              <w:top w:val="nil"/>
              <w:left w:val="nil"/>
              <w:right w:val="nil"/>
            </w:tcBorders>
            <w:shd w:val="clear" w:color="auto" w:fill="FFFFFF"/>
          </w:tcPr>
          <w:p w:rsidR="00965D85" w:rsidRPr="00FD5F4E" w:rsidRDefault="00965D85" w:rsidP="008B46DF">
            <w:pPr>
              <w:autoSpaceDE w:val="0"/>
              <w:autoSpaceDN w:val="0"/>
              <w:adjustRightInd w:val="0"/>
              <w:spacing w:after="0"/>
              <w:ind w:left="227" w:hanging="227"/>
              <w:rPr>
                <w:rFonts w:ascii="Calibri" w:eastAsiaTheme="minorEastAsia" w:hAnsi="Calibri" w:cs="Calibri"/>
                <w:b/>
                <w:bCs/>
                <w:color w:val="000000"/>
                <w:sz w:val="19"/>
                <w:szCs w:val="19"/>
                <w:lang w:eastAsia="en-AU"/>
              </w:rPr>
            </w:pPr>
            <w:r w:rsidRPr="00FD5F4E">
              <w:rPr>
                <w:rFonts w:ascii="Calibri" w:eastAsiaTheme="minorEastAsia" w:hAnsi="Calibri" w:cs="Calibri"/>
                <w:b/>
                <w:bCs/>
                <w:color w:val="000000"/>
                <w:sz w:val="19"/>
                <w:szCs w:val="19"/>
                <w:lang w:eastAsia="en-AU"/>
              </w:rPr>
              <w:t>Revenue from transactions</w:t>
            </w:r>
          </w:p>
        </w:tc>
        <w:tc>
          <w:tcPr>
            <w:tcW w:w="873" w:type="dxa"/>
            <w:tcBorders>
              <w:top w:val="nil"/>
              <w:left w:val="nil"/>
              <w:right w:val="nil"/>
            </w:tcBorders>
            <w:shd w:val="clear" w:color="auto" w:fill="FFFFFF"/>
          </w:tcPr>
          <w:p w:rsidR="00965D85" w:rsidRPr="00FD5F4E" w:rsidRDefault="00965D85" w:rsidP="008B46DF">
            <w:pPr>
              <w:autoSpaceDE w:val="0"/>
              <w:autoSpaceDN w:val="0"/>
              <w:adjustRightInd w:val="0"/>
              <w:spacing w:after="0"/>
              <w:jc w:val="right"/>
              <w:rPr>
                <w:rFonts w:ascii="Calibri" w:eastAsiaTheme="minorEastAsia" w:hAnsi="Calibri" w:cs="Calibri"/>
                <w:b/>
                <w:bCs/>
                <w:color w:val="000000"/>
                <w:sz w:val="19"/>
                <w:szCs w:val="19"/>
                <w:lang w:eastAsia="en-AU"/>
              </w:rPr>
            </w:pPr>
          </w:p>
        </w:tc>
        <w:tc>
          <w:tcPr>
            <w:tcW w:w="873" w:type="dxa"/>
            <w:gridSpan w:val="2"/>
            <w:tcBorders>
              <w:top w:val="nil"/>
              <w:left w:val="nil"/>
              <w:right w:val="nil"/>
            </w:tcBorders>
            <w:shd w:val="clear" w:color="auto" w:fill="FFFFFF"/>
          </w:tcPr>
          <w:p w:rsidR="00965D85" w:rsidRPr="00FD5F4E" w:rsidRDefault="00965D85" w:rsidP="008B46DF">
            <w:pPr>
              <w:autoSpaceDE w:val="0"/>
              <w:autoSpaceDN w:val="0"/>
              <w:adjustRightInd w:val="0"/>
              <w:spacing w:after="0"/>
              <w:jc w:val="right"/>
              <w:rPr>
                <w:rFonts w:ascii="Calibri" w:eastAsiaTheme="minorEastAsia" w:hAnsi="Calibri" w:cs="Calibri"/>
                <w:b/>
                <w:bCs/>
                <w:color w:val="000000"/>
                <w:sz w:val="19"/>
                <w:szCs w:val="19"/>
                <w:lang w:eastAsia="en-AU"/>
              </w:rPr>
            </w:pPr>
          </w:p>
        </w:tc>
        <w:tc>
          <w:tcPr>
            <w:tcW w:w="873" w:type="dxa"/>
            <w:gridSpan w:val="4"/>
            <w:tcBorders>
              <w:top w:val="nil"/>
              <w:left w:val="nil"/>
              <w:right w:val="nil"/>
            </w:tcBorders>
            <w:shd w:val="clear" w:color="auto" w:fill="FFFFFF"/>
          </w:tcPr>
          <w:p w:rsidR="00965D85" w:rsidRPr="00FD5F4E" w:rsidRDefault="00965D85" w:rsidP="008B46DF">
            <w:pPr>
              <w:autoSpaceDE w:val="0"/>
              <w:autoSpaceDN w:val="0"/>
              <w:adjustRightInd w:val="0"/>
              <w:spacing w:after="0"/>
              <w:jc w:val="right"/>
              <w:rPr>
                <w:rFonts w:ascii="Calibri" w:eastAsiaTheme="minorEastAsia" w:hAnsi="Calibri" w:cs="Calibri"/>
                <w:b/>
                <w:bCs/>
                <w:color w:val="000000"/>
                <w:sz w:val="19"/>
                <w:szCs w:val="19"/>
                <w:lang w:eastAsia="en-AU"/>
              </w:rPr>
            </w:pPr>
          </w:p>
        </w:tc>
        <w:tc>
          <w:tcPr>
            <w:tcW w:w="873" w:type="dxa"/>
            <w:gridSpan w:val="2"/>
            <w:tcBorders>
              <w:top w:val="nil"/>
              <w:left w:val="nil"/>
              <w:right w:val="nil"/>
            </w:tcBorders>
            <w:shd w:val="clear" w:color="auto" w:fill="FFFFFF"/>
          </w:tcPr>
          <w:p w:rsidR="00965D85" w:rsidRPr="00FD5F4E" w:rsidRDefault="00965D85" w:rsidP="008B46DF">
            <w:pPr>
              <w:autoSpaceDE w:val="0"/>
              <w:autoSpaceDN w:val="0"/>
              <w:adjustRightInd w:val="0"/>
              <w:spacing w:after="0"/>
              <w:jc w:val="right"/>
              <w:rPr>
                <w:rFonts w:ascii="Calibri" w:eastAsiaTheme="minorEastAsia" w:hAnsi="Calibri" w:cs="Calibri"/>
                <w:b/>
                <w:bCs/>
                <w:color w:val="000000"/>
                <w:sz w:val="19"/>
                <w:szCs w:val="19"/>
                <w:lang w:eastAsia="en-AU"/>
              </w:rPr>
            </w:pPr>
          </w:p>
        </w:tc>
        <w:tc>
          <w:tcPr>
            <w:tcW w:w="873" w:type="dxa"/>
            <w:tcBorders>
              <w:top w:val="nil"/>
              <w:left w:val="nil"/>
              <w:right w:val="nil"/>
            </w:tcBorders>
            <w:shd w:val="clear" w:color="auto" w:fill="FFFFFF"/>
          </w:tcPr>
          <w:p w:rsidR="00965D85" w:rsidRPr="00FD5F4E" w:rsidRDefault="00965D85" w:rsidP="008B46DF">
            <w:pPr>
              <w:autoSpaceDE w:val="0"/>
              <w:autoSpaceDN w:val="0"/>
              <w:adjustRightInd w:val="0"/>
              <w:spacing w:after="0"/>
              <w:jc w:val="right"/>
              <w:rPr>
                <w:rFonts w:ascii="Calibri" w:eastAsiaTheme="minorEastAsia" w:hAnsi="Calibri" w:cs="Calibri"/>
                <w:b/>
                <w:bCs/>
                <w:color w:val="000000"/>
                <w:sz w:val="19"/>
                <w:szCs w:val="19"/>
                <w:lang w:eastAsia="en-AU"/>
              </w:rPr>
            </w:pPr>
          </w:p>
        </w:tc>
      </w:tr>
      <w:tr w:rsidR="00965D85" w:rsidRPr="00FD5F4E" w:rsidTr="008B46DF">
        <w:tc>
          <w:tcPr>
            <w:tcW w:w="3402" w:type="dxa"/>
            <w:tcBorders>
              <w:top w:val="nil"/>
              <w:left w:val="nil"/>
              <w:right w:val="nil"/>
            </w:tcBorders>
            <w:shd w:val="clear" w:color="auto" w:fill="FFFFFF"/>
          </w:tcPr>
          <w:p w:rsidR="00965D85" w:rsidRPr="00FD5F4E" w:rsidRDefault="00965D85" w:rsidP="008B46DF">
            <w:pPr>
              <w:autoSpaceDE w:val="0"/>
              <w:autoSpaceDN w:val="0"/>
              <w:adjustRightInd w:val="0"/>
              <w:spacing w:after="0"/>
              <w:ind w:left="227" w:hanging="227"/>
              <w:rPr>
                <w:rFonts w:ascii="Calibri" w:eastAsiaTheme="minorEastAsia" w:hAnsi="Calibri" w:cs="Calibri"/>
                <w:color w:val="000000"/>
                <w:sz w:val="19"/>
                <w:szCs w:val="19"/>
                <w:lang w:eastAsia="en-AU"/>
              </w:rPr>
            </w:pPr>
            <w:r w:rsidRPr="00FD5F4E">
              <w:rPr>
                <w:rFonts w:ascii="Calibri" w:eastAsiaTheme="minorEastAsia" w:hAnsi="Calibri" w:cs="Calibri"/>
                <w:color w:val="000000"/>
                <w:sz w:val="19"/>
                <w:szCs w:val="19"/>
                <w:lang w:eastAsia="en-AU"/>
              </w:rPr>
              <w:t>Taxation revenue</w:t>
            </w:r>
          </w:p>
        </w:tc>
        <w:tc>
          <w:tcPr>
            <w:tcW w:w="873" w:type="dxa"/>
            <w:tcBorders>
              <w:top w:val="nil"/>
              <w:left w:val="nil"/>
              <w:right w:val="nil"/>
            </w:tcBorders>
            <w:shd w:val="clear" w:color="auto" w:fill="FFFFFF"/>
          </w:tcPr>
          <w:p w:rsidR="00965D85" w:rsidRPr="00FD5F4E"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FD5F4E">
              <w:rPr>
                <w:rFonts w:ascii="Calibri" w:eastAsiaTheme="minorEastAsia" w:hAnsi="Calibri" w:cs="Calibri"/>
                <w:color w:val="000000"/>
                <w:sz w:val="19"/>
                <w:szCs w:val="19"/>
                <w:lang w:eastAsia="en-AU"/>
              </w:rPr>
              <w:t>18 580.5</w:t>
            </w:r>
          </w:p>
        </w:tc>
        <w:tc>
          <w:tcPr>
            <w:tcW w:w="873" w:type="dxa"/>
            <w:gridSpan w:val="2"/>
            <w:tcBorders>
              <w:top w:val="nil"/>
              <w:left w:val="nil"/>
              <w:right w:val="nil"/>
            </w:tcBorders>
            <w:shd w:val="clear" w:color="auto" w:fill="FFFFFF"/>
          </w:tcPr>
          <w:p w:rsidR="00965D85" w:rsidRPr="00FD5F4E"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FD5F4E">
              <w:rPr>
                <w:rFonts w:ascii="Calibri" w:eastAsiaTheme="minorEastAsia" w:hAnsi="Calibri" w:cs="Calibri"/>
                <w:color w:val="000000"/>
                <w:sz w:val="19"/>
                <w:szCs w:val="19"/>
                <w:lang w:eastAsia="en-AU"/>
              </w:rPr>
              <w:t>18 988.3</w:t>
            </w:r>
          </w:p>
        </w:tc>
        <w:tc>
          <w:tcPr>
            <w:tcW w:w="873" w:type="dxa"/>
            <w:gridSpan w:val="4"/>
            <w:tcBorders>
              <w:top w:val="nil"/>
              <w:left w:val="nil"/>
              <w:right w:val="nil"/>
            </w:tcBorders>
            <w:shd w:val="clear" w:color="auto" w:fill="FFFFFF"/>
          </w:tcPr>
          <w:p w:rsidR="00965D85" w:rsidRPr="00FD5F4E"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FD5F4E">
              <w:rPr>
                <w:rFonts w:ascii="Calibri" w:eastAsiaTheme="minorEastAsia" w:hAnsi="Calibri" w:cs="Calibri"/>
                <w:color w:val="000000"/>
                <w:sz w:val="19"/>
                <w:szCs w:val="19"/>
                <w:lang w:eastAsia="en-AU"/>
              </w:rPr>
              <w:t>19 773.7</w:t>
            </w:r>
          </w:p>
        </w:tc>
        <w:tc>
          <w:tcPr>
            <w:tcW w:w="873" w:type="dxa"/>
            <w:gridSpan w:val="2"/>
            <w:tcBorders>
              <w:top w:val="nil"/>
              <w:left w:val="nil"/>
              <w:right w:val="nil"/>
            </w:tcBorders>
            <w:shd w:val="clear" w:color="auto" w:fill="FFFFFF"/>
          </w:tcPr>
          <w:p w:rsidR="00965D85" w:rsidRPr="00FD5F4E"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FD5F4E">
              <w:rPr>
                <w:rFonts w:ascii="Calibri" w:eastAsiaTheme="minorEastAsia" w:hAnsi="Calibri" w:cs="Calibri"/>
                <w:color w:val="000000"/>
                <w:sz w:val="19"/>
                <w:szCs w:val="19"/>
                <w:lang w:eastAsia="en-AU"/>
              </w:rPr>
              <w:t>20 278.3</w:t>
            </w:r>
          </w:p>
        </w:tc>
        <w:tc>
          <w:tcPr>
            <w:tcW w:w="873" w:type="dxa"/>
            <w:tcBorders>
              <w:top w:val="nil"/>
              <w:left w:val="nil"/>
              <w:right w:val="nil"/>
            </w:tcBorders>
            <w:shd w:val="clear" w:color="auto" w:fill="FFFFFF"/>
          </w:tcPr>
          <w:p w:rsidR="00965D85" w:rsidRPr="00FD5F4E"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FD5F4E">
              <w:rPr>
                <w:rFonts w:ascii="Calibri" w:eastAsiaTheme="minorEastAsia" w:hAnsi="Calibri" w:cs="Calibri"/>
                <w:color w:val="000000"/>
                <w:sz w:val="19"/>
                <w:szCs w:val="19"/>
                <w:lang w:eastAsia="en-AU"/>
              </w:rPr>
              <w:t>21 158.2</w:t>
            </w:r>
          </w:p>
        </w:tc>
      </w:tr>
      <w:tr w:rsidR="00965D85" w:rsidRPr="00FD5F4E" w:rsidTr="008B46DF">
        <w:tc>
          <w:tcPr>
            <w:tcW w:w="3402" w:type="dxa"/>
            <w:tcBorders>
              <w:top w:val="nil"/>
              <w:left w:val="nil"/>
              <w:right w:val="nil"/>
            </w:tcBorders>
            <w:shd w:val="clear" w:color="auto" w:fill="FFFFFF"/>
          </w:tcPr>
          <w:p w:rsidR="00965D85" w:rsidRPr="00FD5F4E" w:rsidRDefault="00965D85" w:rsidP="008B46DF">
            <w:pPr>
              <w:autoSpaceDE w:val="0"/>
              <w:autoSpaceDN w:val="0"/>
              <w:adjustRightInd w:val="0"/>
              <w:spacing w:after="0"/>
              <w:ind w:left="227" w:hanging="227"/>
              <w:rPr>
                <w:rFonts w:ascii="Calibri" w:eastAsiaTheme="minorEastAsia" w:hAnsi="Calibri" w:cs="Calibri"/>
                <w:color w:val="000000"/>
                <w:sz w:val="19"/>
                <w:szCs w:val="19"/>
                <w:lang w:eastAsia="en-AU"/>
              </w:rPr>
            </w:pPr>
            <w:r w:rsidRPr="00FD5F4E">
              <w:rPr>
                <w:rFonts w:ascii="Calibri" w:eastAsiaTheme="minorEastAsia" w:hAnsi="Calibri" w:cs="Calibri"/>
                <w:color w:val="000000"/>
                <w:sz w:val="19"/>
                <w:szCs w:val="19"/>
                <w:lang w:eastAsia="en-AU"/>
              </w:rPr>
              <w:t>Interest revenue</w:t>
            </w:r>
          </w:p>
        </w:tc>
        <w:tc>
          <w:tcPr>
            <w:tcW w:w="873" w:type="dxa"/>
            <w:tcBorders>
              <w:top w:val="nil"/>
              <w:left w:val="nil"/>
              <w:right w:val="nil"/>
            </w:tcBorders>
            <w:shd w:val="clear" w:color="auto" w:fill="FFFFFF"/>
          </w:tcPr>
          <w:p w:rsidR="00965D85" w:rsidRPr="00FD5F4E"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FD5F4E">
              <w:rPr>
                <w:rFonts w:ascii="Calibri" w:eastAsiaTheme="minorEastAsia" w:hAnsi="Calibri" w:cs="Calibri"/>
                <w:color w:val="000000"/>
                <w:sz w:val="19"/>
                <w:szCs w:val="19"/>
                <w:lang w:eastAsia="en-AU"/>
              </w:rPr>
              <w:t>833.9</w:t>
            </w:r>
          </w:p>
        </w:tc>
        <w:tc>
          <w:tcPr>
            <w:tcW w:w="873" w:type="dxa"/>
            <w:gridSpan w:val="2"/>
            <w:tcBorders>
              <w:top w:val="nil"/>
              <w:left w:val="nil"/>
              <w:right w:val="nil"/>
            </w:tcBorders>
            <w:shd w:val="clear" w:color="auto" w:fill="FFFFFF"/>
          </w:tcPr>
          <w:p w:rsidR="00965D85" w:rsidRPr="00FD5F4E"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FD5F4E">
              <w:rPr>
                <w:rFonts w:ascii="Calibri" w:eastAsiaTheme="minorEastAsia" w:hAnsi="Calibri" w:cs="Calibri"/>
                <w:color w:val="000000"/>
                <w:sz w:val="19"/>
                <w:szCs w:val="19"/>
                <w:lang w:eastAsia="en-AU"/>
              </w:rPr>
              <w:t>608.3</w:t>
            </w:r>
          </w:p>
        </w:tc>
        <w:tc>
          <w:tcPr>
            <w:tcW w:w="873" w:type="dxa"/>
            <w:gridSpan w:val="4"/>
            <w:tcBorders>
              <w:top w:val="nil"/>
              <w:left w:val="nil"/>
              <w:right w:val="nil"/>
            </w:tcBorders>
            <w:shd w:val="clear" w:color="auto" w:fill="FFFFFF"/>
          </w:tcPr>
          <w:p w:rsidR="00965D85" w:rsidRPr="00FD5F4E"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FD5F4E">
              <w:rPr>
                <w:rFonts w:ascii="Calibri" w:eastAsiaTheme="minorEastAsia" w:hAnsi="Calibri" w:cs="Calibri"/>
                <w:color w:val="000000"/>
                <w:sz w:val="19"/>
                <w:szCs w:val="19"/>
                <w:lang w:eastAsia="en-AU"/>
              </w:rPr>
              <w:t>773.1</w:t>
            </w:r>
          </w:p>
        </w:tc>
        <w:tc>
          <w:tcPr>
            <w:tcW w:w="873" w:type="dxa"/>
            <w:gridSpan w:val="2"/>
            <w:tcBorders>
              <w:top w:val="nil"/>
              <w:left w:val="nil"/>
              <w:right w:val="nil"/>
            </w:tcBorders>
            <w:shd w:val="clear" w:color="auto" w:fill="FFFFFF"/>
          </w:tcPr>
          <w:p w:rsidR="00965D85" w:rsidRPr="00FD5F4E"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FD5F4E">
              <w:rPr>
                <w:rFonts w:ascii="Calibri" w:eastAsiaTheme="minorEastAsia" w:hAnsi="Calibri" w:cs="Calibri"/>
                <w:color w:val="000000"/>
                <w:sz w:val="19"/>
                <w:szCs w:val="19"/>
                <w:lang w:eastAsia="en-AU"/>
              </w:rPr>
              <w:t>832.4</w:t>
            </w:r>
          </w:p>
        </w:tc>
        <w:tc>
          <w:tcPr>
            <w:tcW w:w="873" w:type="dxa"/>
            <w:tcBorders>
              <w:top w:val="nil"/>
              <w:left w:val="nil"/>
              <w:right w:val="nil"/>
            </w:tcBorders>
            <w:shd w:val="clear" w:color="auto" w:fill="FFFFFF"/>
          </w:tcPr>
          <w:p w:rsidR="00965D85" w:rsidRPr="00FD5F4E"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FD5F4E">
              <w:rPr>
                <w:rFonts w:ascii="Calibri" w:eastAsiaTheme="minorEastAsia" w:hAnsi="Calibri" w:cs="Calibri"/>
                <w:color w:val="000000"/>
                <w:sz w:val="19"/>
                <w:szCs w:val="19"/>
                <w:lang w:eastAsia="en-AU"/>
              </w:rPr>
              <w:t>834.7</w:t>
            </w:r>
          </w:p>
        </w:tc>
      </w:tr>
      <w:tr w:rsidR="00965D85" w:rsidRPr="00FD5F4E" w:rsidTr="008B46DF">
        <w:tc>
          <w:tcPr>
            <w:tcW w:w="3402" w:type="dxa"/>
            <w:tcBorders>
              <w:top w:val="nil"/>
              <w:left w:val="nil"/>
              <w:right w:val="nil"/>
            </w:tcBorders>
            <w:shd w:val="clear" w:color="auto" w:fill="FFFFFF"/>
          </w:tcPr>
          <w:p w:rsidR="00965D85" w:rsidRPr="00FD5F4E" w:rsidRDefault="00965D85" w:rsidP="008B46DF">
            <w:pPr>
              <w:autoSpaceDE w:val="0"/>
              <w:autoSpaceDN w:val="0"/>
              <w:adjustRightInd w:val="0"/>
              <w:spacing w:after="0"/>
              <w:ind w:left="227" w:hanging="227"/>
              <w:rPr>
                <w:rFonts w:ascii="Calibri" w:eastAsiaTheme="minorEastAsia" w:hAnsi="Calibri" w:cs="Calibri"/>
                <w:color w:val="000000"/>
                <w:sz w:val="19"/>
                <w:szCs w:val="19"/>
                <w:lang w:eastAsia="en-AU"/>
              </w:rPr>
            </w:pPr>
            <w:r w:rsidRPr="00FD5F4E">
              <w:rPr>
                <w:rFonts w:ascii="Calibri" w:eastAsiaTheme="minorEastAsia" w:hAnsi="Calibri" w:cs="Calibri"/>
                <w:color w:val="000000"/>
                <w:sz w:val="19"/>
                <w:szCs w:val="19"/>
                <w:lang w:eastAsia="en-AU"/>
              </w:rPr>
              <w:t>Dividends and income tax equivalent and rate equivalent revenue</w:t>
            </w:r>
          </w:p>
        </w:tc>
        <w:tc>
          <w:tcPr>
            <w:tcW w:w="873" w:type="dxa"/>
            <w:tcBorders>
              <w:top w:val="nil"/>
              <w:left w:val="nil"/>
              <w:right w:val="nil"/>
            </w:tcBorders>
            <w:shd w:val="clear" w:color="auto" w:fill="FFFFFF"/>
          </w:tcPr>
          <w:p w:rsidR="00965D85" w:rsidRPr="00FD5F4E"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FD5F4E">
              <w:rPr>
                <w:rFonts w:ascii="Calibri" w:eastAsiaTheme="minorEastAsia" w:hAnsi="Calibri" w:cs="Calibri"/>
                <w:color w:val="000000"/>
                <w:sz w:val="19"/>
                <w:szCs w:val="19"/>
                <w:lang w:eastAsia="en-AU"/>
              </w:rPr>
              <w:t>1 079.0</w:t>
            </w:r>
          </w:p>
        </w:tc>
        <w:tc>
          <w:tcPr>
            <w:tcW w:w="873" w:type="dxa"/>
            <w:gridSpan w:val="2"/>
            <w:tcBorders>
              <w:top w:val="nil"/>
              <w:left w:val="nil"/>
              <w:right w:val="nil"/>
            </w:tcBorders>
            <w:shd w:val="clear" w:color="auto" w:fill="FFFFFF"/>
          </w:tcPr>
          <w:p w:rsidR="00965D85" w:rsidRPr="00FD5F4E"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FD5F4E">
              <w:rPr>
                <w:rFonts w:ascii="Calibri" w:eastAsiaTheme="minorEastAsia" w:hAnsi="Calibri" w:cs="Calibri"/>
                <w:color w:val="000000"/>
                <w:sz w:val="19"/>
                <w:szCs w:val="19"/>
                <w:lang w:eastAsia="en-AU"/>
              </w:rPr>
              <w:t>520.0</w:t>
            </w:r>
          </w:p>
        </w:tc>
        <w:tc>
          <w:tcPr>
            <w:tcW w:w="873" w:type="dxa"/>
            <w:gridSpan w:val="4"/>
            <w:tcBorders>
              <w:top w:val="nil"/>
              <w:left w:val="nil"/>
              <w:right w:val="nil"/>
            </w:tcBorders>
            <w:shd w:val="clear" w:color="auto" w:fill="FFFFFF"/>
          </w:tcPr>
          <w:p w:rsidR="00965D85" w:rsidRPr="00FD5F4E"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FD5F4E">
              <w:rPr>
                <w:rFonts w:ascii="Calibri" w:eastAsiaTheme="minorEastAsia" w:hAnsi="Calibri" w:cs="Calibri"/>
                <w:color w:val="000000"/>
                <w:sz w:val="19"/>
                <w:szCs w:val="19"/>
                <w:lang w:eastAsia="en-AU"/>
              </w:rPr>
              <w:t>1 212.9</w:t>
            </w:r>
          </w:p>
        </w:tc>
        <w:tc>
          <w:tcPr>
            <w:tcW w:w="873" w:type="dxa"/>
            <w:gridSpan w:val="2"/>
            <w:tcBorders>
              <w:top w:val="nil"/>
              <w:left w:val="nil"/>
              <w:right w:val="nil"/>
            </w:tcBorders>
            <w:shd w:val="clear" w:color="auto" w:fill="FFFFFF"/>
          </w:tcPr>
          <w:p w:rsidR="00965D85" w:rsidRPr="00FD5F4E"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FD5F4E">
              <w:rPr>
                <w:rFonts w:ascii="Calibri" w:eastAsiaTheme="minorEastAsia" w:hAnsi="Calibri" w:cs="Calibri"/>
                <w:color w:val="000000"/>
                <w:sz w:val="19"/>
                <w:szCs w:val="19"/>
                <w:lang w:eastAsia="en-AU"/>
              </w:rPr>
              <w:t>1 164.1</w:t>
            </w:r>
          </w:p>
        </w:tc>
        <w:tc>
          <w:tcPr>
            <w:tcW w:w="873" w:type="dxa"/>
            <w:tcBorders>
              <w:top w:val="nil"/>
              <w:left w:val="nil"/>
              <w:right w:val="nil"/>
            </w:tcBorders>
            <w:shd w:val="clear" w:color="auto" w:fill="FFFFFF"/>
          </w:tcPr>
          <w:p w:rsidR="00965D85" w:rsidRPr="00FD5F4E"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FD5F4E">
              <w:rPr>
                <w:rFonts w:ascii="Calibri" w:eastAsiaTheme="minorEastAsia" w:hAnsi="Calibri" w:cs="Calibri"/>
                <w:color w:val="000000"/>
                <w:sz w:val="19"/>
                <w:szCs w:val="19"/>
                <w:lang w:eastAsia="en-AU"/>
              </w:rPr>
              <w:t>1 124.7</w:t>
            </w:r>
          </w:p>
        </w:tc>
      </w:tr>
      <w:tr w:rsidR="00965D85" w:rsidRPr="00FD5F4E" w:rsidTr="008B46DF">
        <w:tc>
          <w:tcPr>
            <w:tcW w:w="3402" w:type="dxa"/>
            <w:tcBorders>
              <w:top w:val="nil"/>
              <w:left w:val="nil"/>
              <w:right w:val="nil"/>
            </w:tcBorders>
            <w:shd w:val="clear" w:color="auto" w:fill="FFFFFF"/>
          </w:tcPr>
          <w:p w:rsidR="00965D85" w:rsidRPr="00FD5F4E" w:rsidRDefault="00965D85" w:rsidP="008B46DF">
            <w:pPr>
              <w:autoSpaceDE w:val="0"/>
              <w:autoSpaceDN w:val="0"/>
              <w:adjustRightInd w:val="0"/>
              <w:spacing w:after="0"/>
              <w:ind w:left="227" w:hanging="227"/>
              <w:rPr>
                <w:rFonts w:ascii="Calibri" w:eastAsiaTheme="minorEastAsia" w:hAnsi="Calibri" w:cs="Calibri"/>
                <w:color w:val="000000"/>
                <w:sz w:val="19"/>
                <w:szCs w:val="19"/>
                <w:lang w:eastAsia="en-AU"/>
              </w:rPr>
            </w:pPr>
            <w:r w:rsidRPr="00FD5F4E">
              <w:rPr>
                <w:rFonts w:ascii="Calibri" w:eastAsiaTheme="minorEastAsia" w:hAnsi="Calibri" w:cs="Calibri"/>
                <w:color w:val="000000"/>
                <w:sz w:val="19"/>
                <w:szCs w:val="19"/>
                <w:lang w:eastAsia="en-AU"/>
              </w:rPr>
              <w:t>Sales of goods and services</w:t>
            </w:r>
          </w:p>
        </w:tc>
        <w:tc>
          <w:tcPr>
            <w:tcW w:w="873" w:type="dxa"/>
            <w:tcBorders>
              <w:top w:val="nil"/>
              <w:left w:val="nil"/>
              <w:right w:val="nil"/>
            </w:tcBorders>
            <w:shd w:val="clear" w:color="auto" w:fill="FFFFFF"/>
          </w:tcPr>
          <w:p w:rsidR="00965D85" w:rsidRPr="00FD5F4E"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FD5F4E">
              <w:rPr>
                <w:rFonts w:ascii="Calibri" w:eastAsiaTheme="minorEastAsia" w:hAnsi="Calibri" w:cs="Calibri"/>
                <w:color w:val="000000"/>
                <w:sz w:val="19"/>
                <w:szCs w:val="19"/>
                <w:lang w:eastAsia="en-AU"/>
              </w:rPr>
              <w:t>14 137.2</w:t>
            </w:r>
          </w:p>
        </w:tc>
        <w:tc>
          <w:tcPr>
            <w:tcW w:w="873" w:type="dxa"/>
            <w:gridSpan w:val="2"/>
            <w:tcBorders>
              <w:top w:val="nil"/>
              <w:left w:val="nil"/>
              <w:right w:val="nil"/>
            </w:tcBorders>
            <w:shd w:val="clear" w:color="auto" w:fill="FFFFFF"/>
          </w:tcPr>
          <w:p w:rsidR="00965D85" w:rsidRPr="00FD5F4E"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FD5F4E">
              <w:rPr>
                <w:rFonts w:ascii="Calibri" w:eastAsiaTheme="minorEastAsia" w:hAnsi="Calibri" w:cs="Calibri"/>
                <w:color w:val="000000"/>
                <w:sz w:val="19"/>
                <w:szCs w:val="19"/>
                <w:lang w:eastAsia="en-AU"/>
              </w:rPr>
              <w:t>14 248.0</w:t>
            </w:r>
          </w:p>
        </w:tc>
        <w:tc>
          <w:tcPr>
            <w:tcW w:w="873" w:type="dxa"/>
            <w:gridSpan w:val="4"/>
            <w:tcBorders>
              <w:top w:val="nil"/>
              <w:left w:val="nil"/>
              <w:right w:val="nil"/>
            </w:tcBorders>
            <w:shd w:val="clear" w:color="auto" w:fill="FFFFFF"/>
          </w:tcPr>
          <w:p w:rsidR="00965D85" w:rsidRPr="00FD5F4E"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FD5F4E">
              <w:rPr>
                <w:rFonts w:ascii="Calibri" w:eastAsiaTheme="minorEastAsia" w:hAnsi="Calibri" w:cs="Calibri"/>
                <w:color w:val="000000"/>
                <w:sz w:val="19"/>
                <w:szCs w:val="19"/>
                <w:lang w:eastAsia="en-AU"/>
              </w:rPr>
              <w:t>14 177.3</w:t>
            </w:r>
          </w:p>
        </w:tc>
        <w:tc>
          <w:tcPr>
            <w:tcW w:w="873" w:type="dxa"/>
            <w:gridSpan w:val="2"/>
            <w:tcBorders>
              <w:top w:val="nil"/>
              <w:left w:val="nil"/>
              <w:right w:val="nil"/>
            </w:tcBorders>
            <w:shd w:val="clear" w:color="auto" w:fill="FFFFFF"/>
          </w:tcPr>
          <w:p w:rsidR="00965D85" w:rsidRPr="00FD5F4E"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FD5F4E">
              <w:rPr>
                <w:rFonts w:ascii="Calibri" w:eastAsiaTheme="minorEastAsia" w:hAnsi="Calibri" w:cs="Calibri"/>
                <w:color w:val="000000"/>
                <w:sz w:val="19"/>
                <w:szCs w:val="19"/>
                <w:lang w:eastAsia="en-AU"/>
              </w:rPr>
              <w:t>14 616.3</w:t>
            </w:r>
          </w:p>
        </w:tc>
        <w:tc>
          <w:tcPr>
            <w:tcW w:w="873" w:type="dxa"/>
            <w:tcBorders>
              <w:top w:val="nil"/>
              <w:left w:val="nil"/>
              <w:right w:val="nil"/>
            </w:tcBorders>
            <w:shd w:val="clear" w:color="auto" w:fill="FFFFFF"/>
          </w:tcPr>
          <w:p w:rsidR="00965D85" w:rsidRPr="00FD5F4E"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FD5F4E">
              <w:rPr>
                <w:rFonts w:ascii="Calibri" w:eastAsiaTheme="minorEastAsia" w:hAnsi="Calibri" w:cs="Calibri"/>
                <w:color w:val="000000"/>
                <w:sz w:val="19"/>
                <w:szCs w:val="19"/>
                <w:lang w:eastAsia="en-AU"/>
              </w:rPr>
              <w:t>15 030.0</w:t>
            </w:r>
          </w:p>
        </w:tc>
      </w:tr>
      <w:tr w:rsidR="00965D85" w:rsidRPr="00FD5F4E" w:rsidTr="008B46DF">
        <w:tc>
          <w:tcPr>
            <w:tcW w:w="3402" w:type="dxa"/>
            <w:tcBorders>
              <w:top w:val="nil"/>
              <w:left w:val="nil"/>
              <w:right w:val="nil"/>
            </w:tcBorders>
            <w:shd w:val="clear" w:color="auto" w:fill="FFFFFF"/>
          </w:tcPr>
          <w:p w:rsidR="00965D85" w:rsidRPr="00FD5F4E" w:rsidRDefault="00965D85" w:rsidP="008B46DF">
            <w:pPr>
              <w:autoSpaceDE w:val="0"/>
              <w:autoSpaceDN w:val="0"/>
              <w:adjustRightInd w:val="0"/>
              <w:spacing w:after="0"/>
              <w:ind w:left="227" w:hanging="227"/>
              <w:rPr>
                <w:rFonts w:ascii="Calibri" w:eastAsiaTheme="minorEastAsia" w:hAnsi="Calibri" w:cs="Calibri"/>
                <w:color w:val="000000"/>
                <w:sz w:val="19"/>
                <w:szCs w:val="19"/>
                <w:lang w:eastAsia="en-AU"/>
              </w:rPr>
            </w:pPr>
            <w:r w:rsidRPr="00FD5F4E">
              <w:rPr>
                <w:rFonts w:ascii="Calibri" w:eastAsiaTheme="minorEastAsia" w:hAnsi="Calibri" w:cs="Calibri"/>
                <w:color w:val="000000"/>
                <w:sz w:val="19"/>
                <w:szCs w:val="19"/>
                <w:lang w:eastAsia="en-AU"/>
              </w:rPr>
              <w:t>Grant revenue</w:t>
            </w:r>
          </w:p>
        </w:tc>
        <w:tc>
          <w:tcPr>
            <w:tcW w:w="873" w:type="dxa"/>
            <w:tcBorders>
              <w:top w:val="nil"/>
              <w:left w:val="nil"/>
              <w:right w:val="nil"/>
            </w:tcBorders>
            <w:shd w:val="clear" w:color="auto" w:fill="FFFFFF"/>
          </w:tcPr>
          <w:p w:rsidR="00965D85" w:rsidRPr="00FD5F4E"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FD5F4E">
              <w:rPr>
                <w:rFonts w:ascii="Calibri" w:eastAsiaTheme="minorEastAsia" w:hAnsi="Calibri" w:cs="Calibri"/>
                <w:color w:val="000000"/>
                <w:sz w:val="19"/>
                <w:szCs w:val="19"/>
                <w:lang w:eastAsia="en-AU"/>
              </w:rPr>
              <w:t>25 434.8</w:t>
            </w:r>
          </w:p>
        </w:tc>
        <w:tc>
          <w:tcPr>
            <w:tcW w:w="873" w:type="dxa"/>
            <w:gridSpan w:val="2"/>
            <w:tcBorders>
              <w:top w:val="nil"/>
              <w:left w:val="nil"/>
              <w:right w:val="nil"/>
            </w:tcBorders>
            <w:shd w:val="clear" w:color="auto" w:fill="FFFFFF"/>
          </w:tcPr>
          <w:p w:rsidR="00965D85" w:rsidRPr="00FD5F4E"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FD5F4E">
              <w:rPr>
                <w:rFonts w:ascii="Calibri" w:eastAsiaTheme="minorEastAsia" w:hAnsi="Calibri" w:cs="Calibri"/>
                <w:color w:val="000000"/>
                <w:sz w:val="19"/>
                <w:szCs w:val="19"/>
                <w:lang w:eastAsia="en-AU"/>
              </w:rPr>
              <w:t>25 317.0</w:t>
            </w:r>
          </w:p>
        </w:tc>
        <w:tc>
          <w:tcPr>
            <w:tcW w:w="873" w:type="dxa"/>
            <w:gridSpan w:val="4"/>
            <w:tcBorders>
              <w:top w:val="nil"/>
              <w:left w:val="nil"/>
              <w:right w:val="nil"/>
            </w:tcBorders>
            <w:shd w:val="clear" w:color="auto" w:fill="FFFFFF"/>
          </w:tcPr>
          <w:p w:rsidR="00965D85" w:rsidRPr="00FD5F4E"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FD5F4E">
              <w:rPr>
                <w:rFonts w:ascii="Calibri" w:eastAsiaTheme="minorEastAsia" w:hAnsi="Calibri" w:cs="Calibri"/>
                <w:color w:val="000000"/>
                <w:sz w:val="19"/>
                <w:szCs w:val="19"/>
                <w:lang w:eastAsia="en-AU"/>
              </w:rPr>
              <w:t>25 868.9</w:t>
            </w:r>
          </w:p>
        </w:tc>
        <w:tc>
          <w:tcPr>
            <w:tcW w:w="873" w:type="dxa"/>
            <w:gridSpan w:val="2"/>
            <w:tcBorders>
              <w:top w:val="nil"/>
              <w:left w:val="nil"/>
              <w:right w:val="nil"/>
            </w:tcBorders>
            <w:shd w:val="clear" w:color="auto" w:fill="FFFFFF"/>
          </w:tcPr>
          <w:p w:rsidR="00965D85" w:rsidRPr="00FD5F4E"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FD5F4E">
              <w:rPr>
                <w:rFonts w:ascii="Calibri" w:eastAsiaTheme="minorEastAsia" w:hAnsi="Calibri" w:cs="Calibri"/>
                <w:color w:val="000000"/>
                <w:sz w:val="19"/>
                <w:szCs w:val="19"/>
                <w:lang w:eastAsia="en-AU"/>
              </w:rPr>
              <w:t>27 694.2</w:t>
            </w:r>
          </w:p>
        </w:tc>
        <w:tc>
          <w:tcPr>
            <w:tcW w:w="873" w:type="dxa"/>
            <w:tcBorders>
              <w:top w:val="nil"/>
              <w:left w:val="nil"/>
              <w:right w:val="nil"/>
            </w:tcBorders>
            <w:shd w:val="clear" w:color="auto" w:fill="FFFFFF"/>
          </w:tcPr>
          <w:p w:rsidR="00965D85" w:rsidRPr="00FD5F4E"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FD5F4E">
              <w:rPr>
                <w:rFonts w:ascii="Calibri" w:eastAsiaTheme="minorEastAsia" w:hAnsi="Calibri" w:cs="Calibri"/>
                <w:color w:val="000000"/>
                <w:sz w:val="19"/>
                <w:szCs w:val="19"/>
                <w:lang w:eastAsia="en-AU"/>
              </w:rPr>
              <w:t>28 238.4</w:t>
            </w:r>
          </w:p>
        </w:tc>
      </w:tr>
      <w:tr w:rsidR="00965D85" w:rsidRPr="00FD5F4E" w:rsidTr="008B46DF">
        <w:tc>
          <w:tcPr>
            <w:tcW w:w="3402" w:type="dxa"/>
            <w:tcBorders>
              <w:top w:val="nil"/>
              <w:left w:val="nil"/>
              <w:bottom w:val="single" w:sz="6" w:space="0" w:color="000000"/>
              <w:right w:val="nil"/>
            </w:tcBorders>
            <w:shd w:val="clear" w:color="auto" w:fill="FFFFFF"/>
          </w:tcPr>
          <w:p w:rsidR="00965D85" w:rsidRPr="00FD5F4E" w:rsidRDefault="00965D85" w:rsidP="008B46DF">
            <w:pPr>
              <w:autoSpaceDE w:val="0"/>
              <w:autoSpaceDN w:val="0"/>
              <w:adjustRightInd w:val="0"/>
              <w:spacing w:after="0"/>
              <w:ind w:left="227" w:hanging="227"/>
              <w:rPr>
                <w:rFonts w:ascii="Calibri" w:eastAsiaTheme="minorEastAsia" w:hAnsi="Calibri" w:cs="Calibri"/>
                <w:color w:val="000000"/>
                <w:sz w:val="19"/>
                <w:szCs w:val="19"/>
                <w:lang w:eastAsia="en-AU"/>
              </w:rPr>
            </w:pPr>
            <w:r w:rsidRPr="00FD5F4E">
              <w:rPr>
                <w:rFonts w:ascii="Calibri" w:eastAsiaTheme="minorEastAsia" w:hAnsi="Calibri" w:cs="Calibri"/>
                <w:color w:val="000000"/>
                <w:sz w:val="19"/>
                <w:szCs w:val="19"/>
                <w:lang w:eastAsia="en-AU"/>
              </w:rPr>
              <w:t>Other revenue</w:t>
            </w:r>
          </w:p>
        </w:tc>
        <w:tc>
          <w:tcPr>
            <w:tcW w:w="873" w:type="dxa"/>
            <w:tcBorders>
              <w:top w:val="nil"/>
              <w:left w:val="nil"/>
              <w:bottom w:val="single" w:sz="6" w:space="0" w:color="000000"/>
              <w:right w:val="nil"/>
            </w:tcBorders>
            <w:shd w:val="clear" w:color="auto" w:fill="FFFFFF"/>
          </w:tcPr>
          <w:p w:rsidR="00965D85" w:rsidRPr="00FD5F4E"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FD5F4E">
              <w:rPr>
                <w:rFonts w:ascii="Calibri" w:eastAsiaTheme="minorEastAsia" w:hAnsi="Calibri" w:cs="Calibri"/>
                <w:color w:val="000000"/>
                <w:sz w:val="19"/>
                <w:szCs w:val="19"/>
                <w:lang w:eastAsia="en-AU"/>
              </w:rPr>
              <w:t>2 614.8</w:t>
            </w:r>
          </w:p>
        </w:tc>
        <w:tc>
          <w:tcPr>
            <w:tcW w:w="873" w:type="dxa"/>
            <w:gridSpan w:val="2"/>
            <w:tcBorders>
              <w:top w:val="nil"/>
              <w:left w:val="nil"/>
              <w:bottom w:val="single" w:sz="6" w:space="0" w:color="000000"/>
              <w:right w:val="nil"/>
            </w:tcBorders>
            <w:shd w:val="clear" w:color="auto" w:fill="FFFFFF"/>
          </w:tcPr>
          <w:p w:rsidR="00965D85" w:rsidRPr="00FD5F4E"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FD5F4E">
              <w:rPr>
                <w:rFonts w:ascii="Calibri" w:eastAsiaTheme="minorEastAsia" w:hAnsi="Calibri" w:cs="Calibri"/>
                <w:color w:val="000000"/>
                <w:sz w:val="19"/>
                <w:szCs w:val="19"/>
                <w:lang w:eastAsia="en-AU"/>
              </w:rPr>
              <w:t>2 924.2</w:t>
            </w:r>
          </w:p>
        </w:tc>
        <w:tc>
          <w:tcPr>
            <w:tcW w:w="873" w:type="dxa"/>
            <w:gridSpan w:val="4"/>
            <w:tcBorders>
              <w:top w:val="nil"/>
              <w:left w:val="nil"/>
              <w:bottom w:val="single" w:sz="6" w:space="0" w:color="000000"/>
              <w:right w:val="nil"/>
            </w:tcBorders>
            <w:shd w:val="clear" w:color="auto" w:fill="FFFFFF"/>
          </w:tcPr>
          <w:p w:rsidR="00965D85" w:rsidRPr="00FD5F4E"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FD5F4E">
              <w:rPr>
                <w:rFonts w:ascii="Calibri" w:eastAsiaTheme="minorEastAsia" w:hAnsi="Calibri" w:cs="Calibri"/>
                <w:color w:val="000000"/>
                <w:sz w:val="19"/>
                <w:szCs w:val="19"/>
                <w:lang w:eastAsia="en-AU"/>
              </w:rPr>
              <w:t>3 005.7</w:t>
            </w:r>
          </w:p>
        </w:tc>
        <w:tc>
          <w:tcPr>
            <w:tcW w:w="873" w:type="dxa"/>
            <w:gridSpan w:val="2"/>
            <w:tcBorders>
              <w:top w:val="nil"/>
              <w:left w:val="nil"/>
              <w:bottom w:val="single" w:sz="6" w:space="0" w:color="000000"/>
              <w:right w:val="nil"/>
            </w:tcBorders>
            <w:shd w:val="clear" w:color="auto" w:fill="FFFFFF"/>
          </w:tcPr>
          <w:p w:rsidR="00965D85" w:rsidRPr="00FD5F4E"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FD5F4E">
              <w:rPr>
                <w:rFonts w:ascii="Calibri" w:eastAsiaTheme="minorEastAsia" w:hAnsi="Calibri" w:cs="Calibri"/>
                <w:color w:val="000000"/>
                <w:sz w:val="19"/>
                <w:szCs w:val="19"/>
                <w:lang w:eastAsia="en-AU"/>
              </w:rPr>
              <w:t>2 968.9</w:t>
            </w:r>
          </w:p>
        </w:tc>
        <w:tc>
          <w:tcPr>
            <w:tcW w:w="873" w:type="dxa"/>
            <w:tcBorders>
              <w:top w:val="nil"/>
              <w:left w:val="nil"/>
              <w:bottom w:val="single" w:sz="6" w:space="0" w:color="000000"/>
              <w:right w:val="nil"/>
            </w:tcBorders>
            <w:shd w:val="clear" w:color="auto" w:fill="FFFFFF"/>
          </w:tcPr>
          <w:p w:rsidR="00965D85" w:rsidRPr="00FD5F4E"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FD5F4E">
              <w:rPr>
                <w:rFonts w:ascii="Calibri" w:eastAsiaTheme="minorEastAsia" w:hAnsi="Calibri" w:cs="Calibri"/>
                <w:color w:val="000000"/>
                <w:sz w:val="19"/>
                <w:szCs w:val="19"/>
                <w:lang w:eastAsia="en-AU"/>
              </w:rPr>
              <w:t>2 987.5</w:t>
            </w:r>
          </w:p>
        </w:tc>
      </w:tr>
      <w:tr w:rsidR="00965D85" w:rsidRPr="00FD5F4E" w:rsidTr="008B46DF">
        <w:tc>
          <w:tcPr>
            <w:tcW w:w="3402" w:type="dxa"/>
            <w:tcBorders>
              <w:top w:val="single" w:sz="6" w:space="0" w:color="000000"/>
              <w:left w:val="nil"/>
              <w:right w:val="nil"/>
            </w:tcBorders>
            <w:shd w:val="clear" w:color="auto" w:fill="FFFFFF"/>
          </w:tcPr>
          <w:p w:rsidR="00965D85" w:rsidRPr="00FD5F4E" w:rsidRDefault="00965D85" w:rsidP="008B46DF">
            <w:pPr>
              <w:autoSpaceDE w:val="0"/>
              <w:autoSpaceDN w:val="0"/>
              <w:adjustRightInd w:val="0"/>
              <w:spacing w:after="0"/>
              <w:ind w:left="227" w:hanging="227"/>
              <w:rPr>
                <w:rFonts w:ascii="Calibri" w:eastAsiaTheme="minorEastAsia" w:hAnsi="Calibri" w:cs="Calibri"/>
                <w:b/>
                <w:bCs/>
                <w:color w:val="000000"/>
                <w:sz w:val="19"/>
                <w:szCs w:val="19"/>
                <w:lang w:eastAsia="en-AU"/>
              </w:rPr>
            </w:pPr>
            <w:r w:rsidRPr="00FD5F4E">
              <w:rPr>
                <w:rFonts w:ascii="Calibri" w:eastAsiaTheme="minorEastAsia" w:hAnsi="Calibri" w:cs="Calibri"/>
                <w:b/>
                <w:bCs/>
                <w:color w:val="000000"/>
                <w:sz w:val="19"/>
                <w:szCs w:val="19"/>
                <w:lang w:eastAsia="en-AU"/>
              </w:rPr>
              <w:t>Total revenue from transactions</w:t>
            </w:r>
          </w:p>
        </w:tc>
        <w:tc>
          <w:tcPr>
            <w:tcW w:w="873" w:type="dxa"/>
            <w:tcBorders>
              <w:top w:val="single" w:sz="6" w:space="0" w:color="000000"/>
              <w:left w:val="nil"/>
              <w:right w:val="nil"/>
            </w:tcBorders>
            <w:shd w:val="clear" w:color="auto" w:fill="FFFFFF"/>
          </w:tcPr>
          <w:p w:rsidR="00965D85" w:rsidRPr="00FD5F4E" w:rsidRDefault="00965D85" w:rsidP="008B46DF">
            <w:pPr>
              <w:autoSpaceDE w:val="0"/>
              <w:autoSpaceDN w:val="0"/>
              <w:adjustRightInd w:val="0"/>
              <w:spacing w:after="0"/>
              <w:jc w:val="right"/>
              <w:rPr>
                <w:rFonts w:ascii="Calibri" w:eastAsiaTheme="minorEastAsia" w:hAnsi="Calibri" w:cs="Calibri"/>
                <w:b/>
                <w:bCs/>
                <w:color w:val="000000"/>
                <w:sz w:val="19"/>
                <w:szCs w:val="19"/>
                <w:lang w:eastAsia="en-AU"/>
              </w:rPr>
            </w:pPr>
            <w:r w:rsidRPr="00FD5F4E">
              <w:rPr>
                <w:rFonts w:ascii="Calibri" w:eastAsiaTheme="minorEastAsia" w:hAnsi="Calibri" w:cs="Calibri"/>
                <w:b/>
                <w:bCs/>
                <w:color w:val="000000"/>
                <w:sz w:val="19"/>
                <w:szCs w:val="19"/>
                <w:lang w:eastAsia="en-AU"/>
              </w:rPr>
              <w:t>62 680.2</w:t>
            </w:r>
          </w:p>
        </w:tc>
        <w:tc>
          <w:tcPr>
            <w:tcW w:w="873" w:type="dxa"/>
            <w:gridSpan w:val="2"/>
            <w:tcBorders>
              <w:top w:val="single" w:sz="6" w:space="0" w:color="000000"/>
              <w:left w:val="nil"/>
              <w:right w:val="nil"/>
            </w:tcBorders>
            <w:shd w:val="clear" w:color="auto" w:fill="FFFFFF"/>
          </w:tcPr>
          <w:p w:rsidR="00965D85" w:rsidRPr="00FD5F4E" w:rsidRDefault="00965D85" w:rsidP="008B46DF">
            <w:pPr>
              <w:autoSpaceDE w:val="0"/>
              <w:autoSpaceDN w:val="0"/>
              <w:adjustRightInd w:val="0"/>
              <w:spacing w:after="0"/>
              <w:jc w:val="right"/>
              <w:rPr>
                <w:rFonts w:ascii="Calibri" w:eastAsiaTheme="minorEastAsia" w:hAnsi="Calibri" w:cs="Calibri"/>
                <w:b/>
                <w:bCs/>
                <w:color w:val="000000"/>
                <w:sz w:val="19"/>
                <w:szCs w:val="19"/>
                <w:lang w:eastAsia="en-AU"/>
              </w:rPr>
            </w:pPr>
            <w:r w:rsidRPr="00FD5F4E">
              <w:rPr>
                <w:rFonts w:ascii="Calibri" w:eastAsiaTheme="minorEastAsia" w:hAnsi="Calibri" w:cs="Calibri"/>
                <w:b/>
                <w:bCs/>
                <w:color w:val="000000"/>
                <w:sz w:val="19"/>
                <w:szCs w:val="19"/>
                <w:lang w:eastAsia="en-AU"/>
              </w:rPr>
              <w:t>62 605.8</w:t>
            </w:r>
          </w:p>
        </w:tc>
        <w:tc>
          <w:tcPr>
            <w:tcW w:w="873" w:type="dxa"/>
            <w:gridSpan w:val="4"/>
            <w:tcBorders>
              <w:top w:val="single" w:sz="6" w:space="0" w:color="000000"/>
              <w:left w:val="nil"/>
              <w:right w:val="nil"/>
            </w:tcBorders>
            <w:shd w:val="clear" w:color="auto" w:fill="FFFFFF"/>
          </w:tcPr>
          <w:p w:rsidR="00965D85" w:rsidRPr="00FD5F4E" w:rsidRDefault="00965D85" w:rsidP="008B46DF">
            <w:pPr>
              <w:autoSpaceDE w:val="0"/>
              <w:autoSpaceDN w:val="0"/>
              <w:adjustRightInd w:val="0"/>
              <w:spacing w:after="0"/>
              <w:jc w:val="right"/>
              <w:rPr>
                <w:rFonts w:ascii="Calibri" w:eastAsiaTheme="minorEastAsia" w:hAnsi="Calibri" w:cs="Calibri"/>
                <w:b/>
                <w:bCs/>
                <w:color w:val="000000"/>
                <w:sz w:val="19"/>
                <w:szCs w:val="19"/>
                <w:lang w:eastAsia="en-AU"/>
              </w:rPr>
            </w:pPr>
            <w:r w:rsidRPr="00FD5F4E">
              <w:rPr>
                <w:rFonts w:ascii="Calibri" w:eastAsiaTheme="minorEastAsia" w:hAnsi="Calibri" w:cs="Calibri"/>
                <w:b/>
                <w:bCs/>
                <w:color w:val="000000"/>
                <w:sz w:val="19"/>
                <w:szCs w:val="19"/>
                <w:lang w:eastAsia="en-AU"/>
              </w:rPr>
              <w:t>64 811.6</w:t>
            </w:r>
          </w:p>
        </w:tc>
        <w:tc>
          <w:tcPr>
            <w:tcW w:w="873" w:type="dxa"/>
            <w:gridSpan w:val="2"/>
            <w:tcBorders>
              <w:top w:val="single" w:sz="6" w:space="0" w:color="000000"/>
              <w:left w:val="nil"/>
              <w:right w:val="nil"/>
            </w:tcBorders>
            <w:shd w:val="clear" w:color="auto" w:fill="FFFFFF"/>
          </w:tcPr>
          <w:p w:rsidR="00965D85" w:rsidRPr="00FD5F4E" w:rsidRDefault="00965D85" w:rsidP="008B46DF">
            <w:pPr>
              <w:autoSpaceDE w:val="0"/>
              <w:autoSpaceDN w:val="0"/>
              <w:adjustRightInd w:val="0"/>
              <w:spacing w:after="0"/>
              <w:jc w:val="right"/>
              <w:rPr>
                <w:rFonts w:ascii="Calibri" w:eastAsiaTheme="minorEastAsia" w:hAnsi="Calibri" w:cs="Calibri"/>
                <w:b/>
                <w:bCs/>
                <w:color w:val="000000"/>
                <w:sz w:val="19"/>
                <w:szCs w:val="19"/>
                <w:lang w:eastAsia="en-AU"/>
              </w:rPr>
            </w:pPr>
            <w:r w:rsidRPr="00FD5F4E">
              <w:rPr>
                <w:rFonts w:ascii="Calibri" w:eastAsiaTheme="minorEastAsia" w:hAnsi="Calibri" w:cs="Calibri"/>
                <w:b/>
                <w:bCs/>
                <w:color w:val="000000"/>
                <w:sz w:val="19"/>
                <w:szCs w:val="19"/>
                <w:lang w:eastAsia="en-AU"/>
              </w:rPr>
              <w:t>67 554.2</w:t>
            </w:r>
          </w:p>
        </w:tc>
        <w:tc>
          <w:tcPr>
            <w:tcW w:w="873" w:type="dxa"/>
            <w:tcBorders>
              <w:top w:val="single" w:sz="6" w:space="0" w:color="000000"/>
              <w:left w:val="nil"/>
              <w:right w:val="nil"/>
            </w:tcBorders>
            <w:shd w:val="clear" w:color="auto" w:fill="FFFFFF"/>
          </w:tcPr>
          <w:p w:rsidR="00965D85" w:rsidRPr="00FD5F4E" w:rsidRDefault="00965D85" w:rsidP="008B46DF">
            <w:pPr>
              <w:autoSpaceDE w:val="0"/>
              <w:autoSpaceDN w:val="0"/>
              <w:adjustRightInd w:val="0"/>
              <w:spacing w:after="0"/>
              <w:jc w:val="right"/>
              <w:rPr>
                <w:rFonts w:ascii="Calibri" w:eastAsiaTheme="minorEastAsia" w:hAnsi="Calibri" w:cs="Calibri"/>
                <w:b/>
                <w:bCs/>
                <w:color w:val="000000"/>
                <w:sz w:val="19"/>
                <w:szCs w:val="19"/>
                <w:lang w:eastAsia="en-AU"/>
              </w:rPr>
            </w:pPr>
            <w:r w:rsidRPr="00FD5F4E">
              <w:rPr>
                <w:rFonts w:ascii="Calibri" w:eastAsiaTheme="minorEastAsia" w:hAnsi="Calibri" w:cs="Calibri"/>
                <w:b/>
                <w:bCs/>
                <w:color w:val="000000"/>
                <w:sz w:val="19"/>
                <w:szCs w:val="19"/>
                <w:lang w:eastAsia="en-AU"/>
              </w:rPr>
              <w:t>69 373.5</w:t>
            </w:r>
          </w:p>
        </w:tc>
      </w:tr>
      <w:tr w:rsidR="00965D85" w:rsidRPr="00FD5F4E" w:rsidTr="008B46DF">
        <w:tc>
          <w:tcPr>
            <w:tcW w:w="3402" w:type="dxa"/>
            <w:tcBorders>
              <w:top w:val="nil"/>
              <w:left w:val="nil"/>
              <w:right w:val="nil"/>
            </w:tcBorders>
            <w:shd w:val="clear" w:color="auto" w:fill="FFFFFF"/>
          </w:tcPr>
          <w:p w:rsidR="00965D85" w:rsidRPr="00FD5F4E" w:rsidRDefault="00965D85" w:rsidP="008B46DF">
            <w:pPr>
              <w:autoSpaceDE w:val="0"/>
              <w:autoSpaceDN w:val="0"/>
              <w:adjustRightInd w:val="0"/>
              <w:spacing w:after="0"/>
              <w:ind w:left="227" w:hanging="227"/>
              <w:rPr>
                <w:rFonts w:ascii="Calibri" w:eastAsiaTheme="minorEastAsia" w:hAnsi="Calibri" w:cs="Calibri"/>
                <w:b/>
                <w:bCs/>
                <w:color w:val="000000"/>
                <w:sz w:val="19"/>
                <w:szCs w:val="19"/>
                <w:lang w:eastAsia="en-AU"/>
              </w:rPr>
            </w:pPr>
            <w:r w:rsidRPr="00FD5F4E">
              <w:rPr>
                <w:rFonts w:ascii="Calibri" w:eastAsiaTheme="minorEastAsia" w:hAnsi="Calibri" w:cs="Calibri"/>
                <w:b/>
                <w:bCs/>
                <w:color w:val="000000"/>
                <w:sz w:val="19"/>
                <w:szCs w:val="19"/>
                <w:lang w:eastAsia="en-AU"/>
              </w:rPr>
              <w:t>Expenses from transactions</w:t>
            </w:r>
          </w:p>
        </w:tc>
        <w:tc>
          <w:tcPr>
            <w:tcW w:w="873" w:type="dxa"/>
            <w:tcBorders>
              <w:top w:val="nil"/>
              <w:left w:val="nil"/>
              <w:right w:val="nil"/>
            </w:tcBorders>
            <w:shd w:val="clear" w:color="auto" w:fill="FFFFFF"/>
          </w:tcPr>
          <w:p w:rsidR="00965D85" w:rsidRPr="00FD5F4E" w:rsidRDefault="00965D85" w:rsidP="008B46DF">
            <w:pPr>
              <w:autoSpaceDE w:val="0"/>
              <w:autoSpaceDN w:val="0"/>
              <w:adjustRightInd w:val="0"/>
              <w:spacing w:after="0"/>
              <w:jc w:val="right"/>
              <w:rPr>
                <w:rFonts w:ascii="Calibri" w:eastAsiaTheme="minorEastAsia" w:hAnsi="Calibri" w:cs="Calibri"/>
                <w:b/>
                <w:bCs/>
                <w:color w:val="000000"/>
                <w:sz w:val="19"/>
                <w:szCs w:val="19"/>
                <w:lang w:eastAsia="en-AU"/>
              </w:rPr>
            </w:pPr>
          </w:p>
        </w:tc>
        <w:tc>
          <w:tcPr>
            <w:tcW w:w="873" w:type="dxa"/>
            <w:gridSpan w:val="2"/>
            <w:tcBorders>
              <w:top w:val="nil"/>
              <w:left w:val="nil"/>
              <w:right w:val="nil"/>
            </w:tcBorders>
            <w:shd w:val="clear" w:color="auto" w:fill="FFFFFF"/>
          </w:tcPr>
          <w:p w:rsidR="00965D85" w:rsidRPr="00FD5F4E" w:rsidRDefault="00965D85" w:rsidP="008B46DF">
            <w:pPr>
              <w:autoSpaceDE w:val="0"/>
              <w:autoSpaceDN w:val="0"/>
              <w:adjustRightInd w:val="0"/>
              <w:spacing w:after="0"/>
              <w:jc w:val="right"/>
              <w:rPr>
                <w:rFonts w:ascii="Calibri" w:eastAsiaTheme="minorEastAsia" w:hAnsi="Calibri" w:cs="Calibri"/>
                <w:b/>
                <w:bCs/>
                <w:color w:val="000000"/>
                <w:sz w:val="19"/>
                <w:szCs w:val="19"/>
                <w:lang w:eastAsia="en-AU"/>
              </w:rPr>
            </w:pPr>
          </w:p>
        </w:tc>
        <w:tc>
          <w:tcPr>
            <w:tcW w:w="873" w:type="dxa"/>
            <w:gridSpan w:val="4"/>
            <w:tcBorders>
              <w:top w:val="nil"/>
              <w:left w:val="nil"/>
              <w:right w:val="nil"/>
            </w:tcBorders>
            <w:shd w:val="clear" w:color="auto" w:fill="FFFFFF"/>
          </w:tcPr>
          <w:p w:rsidR="00965D85" w:rsidRPr="00FD5F4E" w:rsidRDefault="00965D85" w:rsidP="008B46DF">
            <w:pPr>
              <w:autoSpaceDE w:val="0"/>
              <w:autoSpaceDN w:val="0"/>
              <w:adjustRightInd w:val="0"/>
              <w:spacing w:after="0"/>
              <w:jc w:val="right"/>
              <w:rPr>
                <w:rFonts w:ascii="Calibri" w:eastAsiaTheme="minorEastAsia" w:hAnsi="Calibri" w:cs="Calibri"/>
                <w:b/>
                <w:bCs/>
                <w:color w:val="000000"/>
                <w:sz w:val="19"/>
                <w:szCs w:val="19"/>
                <w:lang w:eastAsia="en-AU"/>
              </w:rPr>
            </w:pPr>
          </w:p>
        </w:tc>
        <w:tc>
          <w:tcPr>
            <w:tcW w:w="873" w:type="dxa"/>
            <w:gridSpan w:val="2"/>
            <w:tcBorders>
              <w:top w:val="nil"/>
              <w:left w:val="nil"/>
              <w:right w:val="nil"/>
            </w:tcBorders>
            <w:shd w:val="clear" w:color="auto" w:fill="FFFFFF"/>
          </w:tcPr>
          <w:p w:rsidR="00965D85" w:rsidRPr="00FD5F4E" w:rsidRDefault="00965D85" w:rsidP="008B46DF">
            <w:pPr>
              <w:autoSpaceDE w:val="0"/>
              <w:autoSpaceDN w:val="0"/>
              <w:adjustRightInd w:val="0"/>
              <w:spacing w:after="0"/>
              <w:jc w:val="right"/>
              <w:rPr>
                <w:rFonts w:ascii="Calibri" w:eastAsiaTheme="minorEastAsia" w:hAnsi="Calibri" w:cs="Calibri"/>
                <w:b/>
                <w:bCs/>
                <w:color w:val="000000"/>
                <w:sz w:val="19"/>
                <w:szCs w:val="19"/>
                <w:lang w:eastAsia="en-AU"/>
              </w:rPr>
            </w:pPr>
          </w:p>
        </w:tc>
        <w:tc>
          <w:tcPr>
            <w:tcW w:w="873" w:type="dxa"/>
            <w:tcBorders>
              <w:top w:val="nil"/>
              <w:left w:val="nil"/>
              <w:right w:val="nil"/>
            </w:tcBorders>
            <w:shd w:val="clear" w:color="auto" w:fill="FFFFFF"/>
          </w:tcPr>
          <w:p w:rsidR="00965D85" w:rsidRPr="00FD5F4E" w:rsidRDefault="00965D85" w:rsidP="008B46DF">
            <w:pPr>
              <w:autoSpaceDE w:val="0"/>
              <w:autoSpaceDN w:val="0"/>
              <w:adjustRightInd w:val="0"/>
              <w:spacing w:after="0"/>
              <w:jc w:val="right"/>
              <w:rPr>
                <w:rFonts w:ascii="Calibri" w:eastAsiaTheme="minorEastAsia" w:hAnsi="Calibri" w:cs="Calibri"/>
                <w:b/>
                <w:bCs/>
                <w:color w:val="000000"/>
                <w:sz w:val="19"/>
                <w:szCs w:val="19"/>
                <w:lang w:eastAsia="en-AU"/>
              </w:rPr>
            </w:pPr>
          </w:p>
        </w:tc>
      </w:tr>
      <w:tr w:rsidR="00965D85" w:rsidRPr="00FD5F4E" w:rsidTr="008B46DF">
        <w:tc>
          <w:tcPr>
            <w:tcW w:w="3402" w:type="dxa"/>
            <w:tcBorders>
              <w:top w:val="nil"/>
              <w:left w:val="nil"/>
              <w:right w:val="nil"/>
            </w:tcBorders>
            <w:shd w:val="clear" w:color="auto" w:fill="FFFFFF"/>
          </w:tcPr>
          <w:p w:rsidR="00965D85" w:rsidRPr="00FD5F4E" w:rsidRDefault="00965D85" w:rsidP="008B46DF">
            <w:pPr>
              <w:autoSpaceDE w:val="0"/>
              <w:autoSpaceDN w:val="0"/>
              <w:adjustRightInd w:val="0"/>
              <w:spacing w:after="0"/>
              <w:ind w:left="227" w:hanging="227"/>
              <w:rPr>
                <w:rFonts w:ascii="Calibri" w:eastAsiaTheme="minorEastAsia" w:hAnsi="Calibri" w:cs="Calibri"/>
                <w:color w:val="000000"/>
                <w:sz w:val="19"/>
                <w:szCs w:val="19"/>
                <w:lang w:eastAsia="en-AU"/>
              </w:rPr>
            </w:pPr>
            <w:r w:rsidRPr="00FD5F4E">
              <w:rPr>
                <w:rFonts w:ascii="Calibri" w:eastAsiaTheme="minorEastAsia" w:hAnsi="Calibri" w:cs="Calibri"/>
                <w:color w:val="000000"/>
                <w:sz w:val="19"/>
                <w:szCs w:val="19"/>
                <w:lang w:eastAsia="en-AU"/>
              </w:rPr>
              <w:t>Employee expenses</w:t>
            </w:r>
          </w:p>
        </w:tc>
        <w:tc>
          <w:tcPr>
            <w:tcW w:w="873" w:type="dxa"/>
            <w:tcBorders>
              <w:top w:val="nil"/>
              <w:left w:val="nil"/>
              <w:right w:val="nil"/>
            </w:tcBorders>
            <w:shd w:val="clear" w:color="auto" w:fill="FFFFFF"/>
          </w:tcPr>
          <w:p w:rsidR="00965D85" w:rsidRPr="00FD5F4E"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FD5F4E">
              <w:rPr>
                <w:rFonts w:ascii="Calibri" w:eastAsiaTheme="minorEastAsia" w:hAnsi="Calibri" w:cs="Calibri"/>
                <w:color w:val="000000"/>
                <w:sz w:val="19"/>
                <w:szCs w:val="19"/>
                <w:lang w:eastAsia="en-AU"/>
              </w:rPr>
              <w:t>20 899.8</w:t>
            </w:r>
          </w:p>
        </w:tc>
        <w:tc>
          <w:tcPr>
            <w:tcW w:w="873" w:type="dxa"/>
            <w:gridSpan w:val="2"/>
            <w:tcBorders>
              <w:top w:val="nil"/>
              <w:left w:val="nil"/>
              <w:right w:val="nil"/>
            </w:tcBorders>
            <w:shd w:val="clear" w:color="auto" w:fill="FFFFFF"/>
          </w:tcPr>
          <w:p w:rsidR="00965D85" w:rsidRPr="00FD5F4E"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FD5F4E">
              <w:rPr>
                <w:rFonts w:ascii="Calibri" w:eastAsiaTheme="minorEastAsia" w:hAnsi="Calibri" w:cs="Calibri"/>
                <w:color w:val="000000"/>
                <w:sz w:val="19"/>
                <w:szCs w:val="19"/>
                <w:lang w:eastAsia="en-AU"/>
              </w:rPr>
              <w:t>21 116.4</w:t>
            </w:r>
          </w:p>
        </w:tc>
        <w:tc>
          <w:tcPr>
            <w:tcW w:w="873" w:type="dxa"/>
            <w:gridSpan w:val="4"/>
            <w:tcBorders>
              <w:top w:val="nil"/>
              <w:left w:val="nil"/>
              <w:right w:val="nil"/>
            </w:tcBorders>
            <w:shd w:val="clear" w:color="auto" w:fill="FFFFFF"/>
          </w:tcPr>
          <w:p w:rsidR="00965D85" w:rsidRPr="00FD5F4E"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FD5F4E">
              <w:rPr>
                <w:rFonts w:ascii="Calibri" w:eastAsiaTheme="minorEastAsia" w:hAnsi="Calibri" w:cs="Calibri"/>
                <w:color w:val="000000"/>
                <w:sz w:val="19"/>
                <w:szCs w:val="19"/>
                <w:lang w:eastAsia="en-AU"/>
              </w:rPr>
              <w:t>21 797.5</w:t>
            </w:r>
          </w:p>
        </w:tc>
        <w:tc>
          <w:tcPr>
            <w:tcW w:w="873" w:type="dxa"/>
            <w:gridSpan w:val="2"/>
            <w:tcBorders>
              <w:top w:val="nil"/>
              <w:left w:val="nil"/>
              <w:right w:val="nil"/>
            </w:tcBorders>
            <w:shd w:val="clear" w:color="auto" w:fill="FFFFFF"/>
          </w:tcPr>
          <w:p w:rsidR="00965D85" w:rsidRPr="00FD5F4E"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FD5F4E">
              <w:rPr>
                <w:rFonts w:ascii="Calibri" w:eastAsiaTheme="minorEastAsia" w:hAnsi="Calibri" w:cs="Calibri"/>
                <w:color w:val="000000"/>
                <w:sz w:val="19"/>
                <w:szCs w:val="19"/>
                <w:lang w:eastAsia="en-AU"/>
              </w:rPr>
              <w:t>22 757.9</w:t>
            </w:r>
          </w:p>
        </w:tc>
        <w:tc>
          <w:tcPr>
            <w:tcW w:w="873" w:type="dxa"/>
            <w:tcBorders>
              <w:top w:val="nil"/>
              <w:left w:val="nil"/>
              <w:right w:val="nil"/>
            </w:tcBorders>
            <w:shd w:val="clear" w:color="auto" w:fill="FFFFFF"/>
          </w:tcPr>
          <w:p w:rsidR="00965D85" w:rsidRPr="00FD5F4E"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FD5F4E">
              <w:rPr>
                <w:rFonts w:ascii="Calibri" w:eastAsiaTheme="minorEastAsia" w:hAnsi="Calibri" w:cs="Calibri"/>
                <w:color w:val="000000"/>
                <w:sz w:val="19"/>
                <w:szCs w:val="19"/>
                <w:lang w:eastAsia="en-AU"/>
              </w:rPr>
              <w:t>23 677.6</w:t>
            </w:r>
          </w:p>
        </w:tc>
      </w:tr>
      <w:tr w:rsidR="00965D85" w:rsidRPr="00FD5F4E" w:rsidTr="008B46DF">
        <w:tc>
          <w:tcPr>
            <w:tcW w:w="3402" w:type="dxa"/>
            <w:tcBorders>
              <w:top w:val="nil"/>
              <w:left w:val="nil"/>
              <w:right w:val="nil"/>
            </w:tcBorders>
            <w:shd w:val="clear" w:color="auto" w:fill="FFFFFF"/>
          </w:tcPr>
          <w:p w:rsidR="00965D85" w:rsidRPr="00FD5F4E" w:rsidRDefault="00965D85" w:rsidP="008B46DF">
            <w:pPr>
              <w:autoSpaceDE w:val="0"/>
              <w:autoSpaceDN w:val="0"/>
              <w:adjustRightInd w:val="0"/>
              <w:spacing w:after="0"/>
              <w:ind w:left="227" w:hanging="227"/>
              <w:rPr>
                <w:rFonts w:ascii="Calibri" w:eastAsiaTheme="minorEastAsia" w:hAnsi="Calibri" w:cs="Calibri"/>
                <w:color w:val="000000"/>
                <w:sz w:val="19"/>
                <w:szCs w:val="19"/>
                <w:lang w:eastAsia="en-AU"/>
              </w:rPr>
            </w:pPr>
            <w:r w:rsidRPr="00FD5F4E">
              <w:rPr>
                <w:rFonts w:ascii="Calibri" w:eastAsiaTheme="minorEastAsia" w:hAnsi="Calibri" w:cs="Calibri"/>
                <w:color w:val="000000"/>
                <w:sz w:val="19"/>
                <w:szCs w:val="19"/>
                <w:lang w:eastAsia="en-AU"/>
              </w:rPr>
              <w:t>Net superannuation interest expense</w:t>
            </w:r>
          </w:p>
        </w:tc>
        <w:tc>
          <w:tcPr>
            <w:tcW w:w="873" w:type="dxa"/>
            <w:tcBorders>
              <w:top w:val="nil"/>
              <w:left w:val="nil"/>
              <w:right w:val="nil"/>
            </w:tcBorders>
            <w:shd w:val="clear" w:color="auto" w:fill="FFFFFF"/>
          </w:tcPr>
          <w:p w:rsidR="00965D85" w:rsidRPr="00FD5F4E"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FD5F4E">
              <w:rPr>
                <w:rFonts w:ascii="Calibri" w:eastAsiaTheme="minorEastAsia" w:hAnsi="Calibri" w:cs="Calibri"/>
                <w:color w:val="000000"/>
                <w:sz w:val="19"/>
                <w:szCs w:val="19"/>
                <w:lang w:eastAsia="en-AU"/>
              </w:rPr>
              <w:t>886.5</w:t>
            </w:r>
          </w:p>
        </w:tc>
        <w:tc>
          <w:tcPr>
            <w:tcW w:w="873" w:type="dxa"/>
            <w:gridSpan w:val="2"/>
            <w:tcBorders>
              <w:top w:val="nil"/>
              <w:left w:val="nil"/>
              <w:right w:val="nil"/>
            </w:tcBorders>
            <w:shd w:val="clear" w:color="auto" w:fill="FFFFFF"/>
          </w:tcPr>
          <w:p w:rsidR="00965D85" w:rsidRPr="00FD5F4E"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FD5F4E">
              <w:rPr>
                <w:rFonts w:ascii="Calibri" w:eastAsiaTheme="minorEastAsia" w:hAnsi="Calibri" w:cs="Calibri"/>
                <w:color w:val="000000"/>
                <w:sz w:val="19"/>
                <w:szCs w:val="19"/>
                <w:lang w:eastAsia="en-AU"/>
              </w:rPr>
              <w:t>878.0</w:t>
            </w:r>
          </w:p>
        </w:tc>
        <w:tc>
          <w:tcPr>
            <w:tcW w:w="873" w:type="dxa"/>
            <w:gridSpan w:val="4"/>
            <w:tcBorders>
              <w:top w:val="nil"/>
              <w:left w:val="nil"/>
              <w:right w:val="nil"/>
            </w:tcBorders>
            <w:shd w:val="clear" w:color="auto" w:fill="FFFFFF"/>
          </w:tcPr>
          <w:p w:rsidR="00965D85" w:rsidRPr="00FD5F4E"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FD5F4E">
              <w:rPr>
                <w:rFonts w:ascii="Calibri" w:eastAsiaTheme="minorEastAsia" w:hAnsi="Calibri" w:cs="Calibri"/>
                <w:color w:val="000000"/>
                <w:sz w:val="19"/>
                <w:szCs w:val="19"/>
                <w:lang w:eastAsia="en-AU"/>
              </w:rPr>
              <w:t>820.6</w:t>
            </w:r>
          </w:p>
        </w:tc>
        <w:tc>
          <w:tcPr>
            <w:tcW w:w="873" w:type="dxa"/>
            <w:gridSpan w:val="2"/>
            <w:tcBorders>
              <w:top w:val="nil"/>
              <w:left w:val="nil"/>
              <w:right w:val="nil"/>
            </w:tcBorders>
            <w:shd w:val="clear" w:color="auto" w:fill="FFFFFF"/>
          </w:tcPr>
          <w:p w:rsidR="00965D85" w:rsidRPr="00FD5F4E"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FD5F4E">
              <w:rPr>
                <w:rFonts w:ascii="Calibri" w:eastAsiaTheme="minorEastAsia" w:hAnsi="Calibri" w:cs="Calibri"/>
                <w:color w:val="000000"/>
                <w:sz w:val="19"/>
                <w:szCs w:val="19"/>
                <w:lang w:eastAsia="en-AU"/>
              </w:rPr>
              <w:t>803.2</w:t>
            </w:r>
          </w:p>
        </w:tc>
        <w:tc>
          <w:tcPr>
            <w:tcW w:w="873" w:type="dxa"/>
            <w:tcBorders>
              <w:top w:val="nil"/>
              <w:left w:val="nil"/>
              <w:right w:val="nil"/>
            </w:tcBorders>
            <w:shd w:val="clear" w:color="auto" w:fill="FFFFFF"/>
          </w:tcPr>
          <w:p w:rsidR="00965D85" w:rsidRPr="00FD5F4E"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FD5F4E">
              <w:rPr>
                <w:rFonts w:ascii="Calibri" w:eastAsiaTheme="minorEastAsia" w:hAnsi="Calibri" w:cs="Calibri"/>
                <w:color w:val="000000"/>
                <w:sz w:val="19"/>
                <w:szCs w:val="19"/>
                <w:lang w:eastAsia="en-AU"/>
              </w:rPr>
              <w:t>806.7</w:t>
            </w:r>
          </w:p>
        </w:tc>
      </w:tr>
      <w:tr w:rsidR="00965D85" w:rsidRPr="00FD5F4E" w:rsidTr="008B46DF">
        <w:tc>
          <w:tcPr>
            <w:tcW w:w="3402" w:type="dxa"/>
            <w:tcBorders>
              <w:top w:val="nil"/>
              <w:left w:val="nil"/>
              <w:right w:val="nil"/>
            </w:tcBorders>
            <w:shd w:val="clear" w:color="auto" w:fill="FFFFFF"/>
          </w:tcPr>
          <w:p w:rsidR="00965D85" w:rsidRPr="00FD5F4E" w:rsidRDefault="00965D85" w:rsidP="008B46DF">
            <w:pPr>
              <w:autoSpaceDE w:val="0"/>
              <w:autoSpaceDN w:val="0"/>
              <w:adjustRightInd w:val="0"/>
              <w:spacing w:after="0"/>
              <w:ind w:left="227" w:hanging="227"/>
              <w:rPr>
                <w:rFonts w:ascii="Calibri" w:eastAsiaTheme="minorEastAsia" w:hAnsi="Calibri" w:cs="Calibri"/>
                <w:color w:val="000000"/>
                <w:sz w:val="19"/>
                <w:szCs w:val="19"/>
                <w:lang w:eastAsia="en-AU"/>
              </w:rPr>
            </w:pPr>
            <w:r w:rsidRPr="00FD5F4E">
              <w:rPr>
                <w:rFonts w:ascii="Calibri" w:eastAsiaTheme="minorEastAsia" w:hAnsi="Calibri" w:cs="Calibri"/>
                <w:color w:val="000000"/>
                <w:sz w:val="19"/>
                <w:szCs w:val="19"/>
                <w:lang w:eastAsia="en-AU"/>
              </w:rPr>
              <w:t>Other superannuation</w:t>
            </w:r>
          </w:p>
        </w:tc>
        <w:tc>
          <w:tcPr>
            <w:tcW w:w="873" w:type="dxa"/>
            <w:tcBorders>
              <w:top w:val="nil"/>
              <w:left w:val="nil"/>
              <w:right w:val="nil"/>
            </w:tcBorders>
            <w:shd w:val="clear" w:color="auto" w:fill="FFFFFF"/>
          </w:tcPr>
          <w:p w:rsidR="00965D85" w:rsidRPr="00FD5F4E"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FD5F4E">
              <w:rPr>
                <w:rFonts w:ascii="Calibri" w:eastAsiaTheme="minorEastAsia" w:hAnsi="Calibri" w:cs="Calibri"/>
                <w:color w:val="000000"/>
                <w:sz w:val="19"/>
                <w:szCs w:val="19"/>
                <w:lang w:eastAsia="en-AU"/>
              </w:rPr>
              <w:t>2 215.5</w:t>
            </w:r>
          </w:p>
        </w:tc>
        <w:tc>
          <w:tcPr>
            <w:tcW w:w="873" w:type="dxa"/>
            <w:gridSpan w:val="2"/>
            <w:tcBorders>
              <w:top w:val="nil"/>
              <w:left w:val="nil"/>
              <w:right w:val="nil"/>
            </w:tcBorders>
            <w:shd w:val="clear" w:color="auto" w:fill="FFFFFF"/>
          </w:tcPr>
          <w:p w:rsidR="00965D85" w:rsidRPr="00FD5F4E"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FD5F4E">
              <w:rPr>
                <w:rFonts w:ascii="Calibri" w:eastAsiaTheme="minorEastAsia" w:hAnsi="Calibri" w:cs="Calibri"/>
                <w:color w:val="000000"/>
                <w:sz w:val="19"/>
                <w:szCs w:val="19"/>
                <w:lang w:eastAsia="en-AU"/>
              </w:rPr>
              <w:t>2 166.8</w:t>
            </w:r>
          </w:p>
        </w:tc>
        <w:tc>
          <w:tcPr>
            <w:tcW w:w="873" w:type="dxa"/>
            <w:gridSpan w:val="4"/>
            <w:tcBorders>
              <w:top w:val="nil"/>
              <w:left w:val="nil"/>
              <w:right w:val="nil"/>
            </w:tcBorders>
            <w:shd w:val="clear" w:color="auto" w:fill="FFFFFF"/>
          </w:tcPr>
          <w:p w:rsidR="00965D85" w:rsidRPr="00FD5F4E"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FD5F4E">
              <w:rPr>
                <w:rFonts w:ascii="Calibri" w:eastAsiaTheme="minorEastAsia" w:hAnsi="Calibri" w:cs="Calibri"/>
                <w:color w:val="000000"/>
                <w:sz w:val="19"/>
                <w:szCs w:val="19"/>
                <w:lang w:eastAsia="en-AU"/>
              </w:rPr>
              <w:t>2 207.0</w:t>
            </w:r>
          </w:p>
        </w:tc>
        <w:tc>
          <w:tcPr>
            <w:tcW w:w="873" w:type="dxa"/>
            <w:gridSpan w:val="2"/>
            <w:tcBorders>
              <w:top w:val="nil"/>
              <w:left w:val="nil"/>
              <w:right w:val="nil"/>
            </w:tcBorders>
            <w:shd w:val="clear" w:color="auto" w:fill="FFFFFF"/>
          </w:tcPr>
          <w:p w:rsidR="00965D85" w:rsidRPr="00FD5F4E"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FD5F4E">
              <w:rPr>
                <w:rFonts w:ascii="Calibri" w:eastAsiaTheme="minorEastAsia" w:hAnsi="Calibri" w:cs="Calibri"/>
                <w:color w:val="000000"/>
                <w:sz w:val="19"/>
                <w:szCs w:val="19"/>
                <w:lang w:eastAsia="en-AU"/>
              </w:rPr>
              <w:t>2 228.1</w:t>
            </w:r>
          </w:p>
        </w:tc>
        <w:tc>
          <w:tcPr>
            <w:tcW w:w="873" w:type="dxa"/>
            <w:tcBorders>
              <w:top w:val="nil"/>
              <w:left w:val="nil"/>
              <w:right w:val="nil"/>
            </w:tcBorders>
            <w:shd w:val="clear" w:color="auto" w:fill="FFFFFF"/>
          </w:tcPr>
          <w:p w:rsidR="00965D85" w:rsidRPr="00FD5F4E"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FD5F4E">
              <w:rPr>
                <w:rFonts w:ascii="Calibri" w:eastAsiaTheme="minorEastAsia" w:hAnsi="Calibri" w:cs="Calibri"/>
                <w:color w:val="000000"/>
                <w:sz w:val="19"/>
                <w:szCs w:val="19"/>
                <w:lang w:eastAsia="en-AU"/>
              </w:rPr>
              <w:t>2 259.8</w:t>
            </w:r>
          </w:p>
        </w:tc>
      </w:tr>
      <w:tr w:rsidR="00965D85" w:rsidRPr="00FD5F4E" w:rsidTr="008B46DF">
        <w:tc>
          <w:tcPr>
            <w:tcW w:w="3402" w:type="dxa"/>
            <w:tcBorders>
              <w:top w:val="nil"/>
              <w:left w:val="nil"/>
              <w:right w:val="nil"/>
            </w:tcBorders>
            <w:shd w:val="clear" w:color="auto" w:fill="FFFFFF"/>
          </w:tcPr>
          <w:p w:rsidR="00965D85" w:rsidRPr="00FD5F4E" w:rsidRDefault="00965D85" w:rsidP="008B46DF">
            <w:pPr>
              <w:autoSpaceDE w:val="0"/>
              <w:autoSpaceDN w:val="0"/>
              <w:adjustRightInd w:val="0"/>
              <w:spacing w:after="0"/>
              <w:ind w:left="227" w:hanging="227"/>
              <w:rPr>
                <w:rFonts w:ascii="Calibri" w:eastAsiaTheme="minorEastAsia" w:hAnsi="Calibri" w:cs="Calibri"/>
                <w:color w:val="000000"/>
                <w:sz w:val="19"/>
                <w:szCs w:val="19"/>
                <w:lang w:eastAsia="en-AU"/>
              </w:rPr>
            </w:pPr>
            <w:r w:rsidRPr="00FD5F4E">
              <w:rPr>
                <w:rFonts w:ascii="Calibri" w:eastAsiaTheme="minorEastAsia" w:hAnsi="Calibri" w:cs="Calibri"/>
                <w:color w:val="000000"/>
                <w:sz w:val="19"/>
                <w:szCs w:val="19"/>
                <w:lang w:eastAsia="en-AU"/>
              </w:rPr>
              <w:t>Depreciation</w:t>
            </w:r>
          </w:p>
        </w:tc>
        <w:tc>
          <w:tcPr>
            <w:tcW w:w="873" w:type="dxa"/>
            <w:tcBorders>
              <w:top w:val="nil"/>
              <w:left w:val="nil"/>
              <w:right w:val="nil"/>
            </w:tcBorders>
            <w:shd w:val="clear" w:color="auto" w:fill="FFFFFF"/>
          </w:tcPr>
          <w:p w:rsidR="00965D85" w:rsidRPr="00FD5F4E"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FD5F4E">
              <w:rPr>
                <w:rFonts w:ascii="Calibri" w:eastAsiaTheme="minorEastAsia" w:hAnsi="Calibri" w:cs="Calibri"/>
                <w:color w:val="000000"/>
                <w:sz w:val="19"/>
                <w:szCs w:val="19"/>
                <w:lang w:eastAsia="en-AU"/>
              </w:rPr>
              <w:t>4 761.4</w:t>
            </w:r>
          </w:p>
        </w:tc>
        <w:tc>
          <w:tcPr>
            <w:tcW w:w="873" w:type="dxa"/>
            <w:gridSpan w:val="2"/>
            <w:tcBorders>
              <w:top w:val="nil"/>
              <w:left w:val="nil"/>
              <w:right w:val="nil"/>
            </w:tcBorders>
            <w:shd w:val="clear" w:color="auto" w:fill="FFFFFF"/>
          </w:tcPr>
          <w:p w:rsidR="00965D85" w:rsidRPr="00FD5F4E"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FD5F4E">
              <w:rPr>
                <w:rFonts w:ascii="Calibri" w:eastAsiaTheme="minorEastAsia" w:hAnsi="Calibri" w:cs="Calibri"/>
                <w:color w:val="000000"/>
                <w:sz w:val="19"/>
                <w:szCs w:val="19"/>
                <w:lang w:eastAsia="en-AU"/>
              </w:rPr>
              <w:t>4 681.2</w:t>
            </w:r>
          </w:p>
        </w:tc>
        <w:tc>
          <w:tcPr>
            <w:tcW w:w="873" w:type="dxa"/>
            <w:gridSpan w:val="4"/>
            <w:tcBorders>
              <w:top w:val="nil"/>
              <w:left w:val="nil"/>
              <w:right w:val="nil"/>
            </w:tcBorders>
            <w:shd w:val="clear" w:color="auto" w:fill="FFFFFF"/>
          </w:tcPr>
          <w:p w:rsidR="00965D85" w:rsidRPr="00FD5F4E"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FD5F4E">
              <w:rPr>
                <w:rFonts w:ascii="Calibri" w:eastAsiaTheme="minorEastAsia" w:hAnsi="Calibri" w:cs="Calibri"/>
                <w:color w:val="000000"/>
                <w:sz w:val="19"/>
                <w:szCs w:val="19"/>
                <w:lang w:eastAsia="en-AU"/>
              </w:rPr>
              <w:t>4 816.6</w:t>
            </w:r>
          </w:p>
        </w:tc>
        <w:tc>
          <w:tcPr>
            <w:tcW w:w="873" w:type="dxa"/>
            <w:gridSpan w:val="2"/>
            <w:tcBorders>
              <w:top w:val="nil"/>
              <w:left w:val="nil"/>
              <w:right w:val="nil"/>
            </w:tcBorders>
            <w:shd w:val="clear" w:color="auto" w:fill="FFFFFF"/>
          </w:tcPr>
          <w:p w:rsidR="00965D85" w:rsidRPr="00FD5F4E"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FD5F4E">
              <w:rPr>
                <w:rFonts w:ascii="Calibri" w:eastAsiaTheme="minorEastAsia" w:hAnsi="Calibri" w:cs="Calibri"/>
                <w:color w:val="000000"/>
                <w:sz w:val="19"/>
                <w:szCs w:val="19"/>
                <w:lang w:eastAsia="en-AU"/>
              </w:rPr>
              <w:t>5 067.9</w:t>
            </w:r>
          </w:p>
        </w:tc>
        <w:tc>
          <w:tcPr>
            <w:tcW w:w="873" w:type="dxa"/>
            <w:tcBorders>
              <w:top w:val="nil"/>
              <w:left w:val="nil"/>
              <w:right w:val="nil"/>
            </w:tcBorders>
            <w:shd w:val="clear" w:color="auto" w:fill="FFFFFF"/>
          </w:tcPr>
          <w:p w:rsidR="00965D85" w:rsidRPr="00FD5F4E"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FD5F4E">
              <w:rPr>
                <w:rFonts w:ascii="Calibri" w:eastAsiaTheme="minorEastAsia" w:hAnsi="Calibri" w:cs="Calibri"/>
                <w:color w:val="000000"/>
                <w:sz w:val="19"/>
                <w:szCs w:val="19"/>
                <w:lang w:eastAsia="en-AU"/>
              </w:rPr>
              <w:t>5 405.7</w:t>
            </w:r>
          </w:p>
        </w:tc>
      </w:tr>
      <w:tr w:rsidR="00965D85" w:rsidRPr="00FD5F4E" w:rsidTr="008B46DF">
        <w:tc>
          <w:tcPr>
            <w:tcW w:w="3402" w:type="dxa"/>
            <w:tcBorders>
              <w:top w:val="nil"/>
              <w:left w:val="nil"/>
              <w:right w:val="nil"/>
            </w:tcBorders>
            <w:shd w:val="clear" w:color="auto" w:fill="FFFFFF"/>
          </w:tcPr>
          <w:p w:rsidR="00965D85" w:rsidRPr="00FD5F4E" w:rsidRDefault="00965D85" w:rsidP="008B46DF">
            <w:pPr>
              <w:autoSpaceDE w:val="0"/>
              <w:autoSpaceDN w:val="0"/>
              <w:adjustRightInd w:val="0"/>
              <w:spacing w:after="0"/>
              <w:ind w:left="227" w:hanging="227"/>
              <w:rPr>
                <w:rFonts w:ascii="Calibri" w:eastAsiaTheme="minorEastAsia" w:hAnsi="Calibri" w:cs="Calibri"/>
                <w:color w:val="000000"/>
                <w:sz w:val="19"/>
                <w:szCs w:val="19"/>
                <w:lang w:eastAsia="en-AU"/>
              </w:rPr>
            </w:pPr>
            <w:r w:rsidRPr="00FD5F4E">
              <w:rPr>
                <w:rFonts w:ascii="Calibri" w:eastAsiaTheme="minorEastAsia" w:hAnsi="Calibri" w:cs="Calibri"/>
                <w:color w:val="000000"/>
                <w:sz w:val="19"/>
                <w:szCs w:val="19"/>
                <w:lang w:eastAsia="en-AU"/>
              </w:rPr>
              <w:t>Interest expense</w:t>
            </w:r>
          </w:p>
        </w:tc>
        <w:tc>
          <w:tcPr>
            <w:tcW w:w="873" w:type="dxa"/>
            <w:tcBorders>
              <w:top w:val="nil"/>
              <w:left w:val="nil"/>
              <w:right w:val="nil"/>
            </w:tcBorders>
            <w:shd w:val="clear" w:color="auto" w:fill="FFFFFF"/>
          </w:tcPr>
          <w:p w:rsidR="00965D85" w:rsidRPr="00FD5F4E"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FD5F4E">
              <w:rPr>
                <w:rFonts w:ascii="Calibri" w:eastAsiaTheme="minorEastAsia" w:hAnsi="Calibri" w:cs="Calibri"/>
                <w:color w:val="000000"/>
                <w:sz w:val="19"/>
                <w:szCs w:val="19"/>
                <w:lang w:eastAsia="en-AU"/>
              </w:rPr>
              <w:t>2 840.9</w:t>
            </w:r>
          </w:p>
        </w:tc>
        <w:tc>
          <w:tcPr>
            <w:tcW w:w="873" w:type="dxa"/>
            <w:gridSpan w:val="2"/>
            <w:tcBorders>
              <w:top w:val="nil"/>
              <w:left w:val="nil"/>
              <w:right w:val="nil"/>
            </w:tcBorders>
            <w:shd w:val="clear" w:color="auto" w:fill="FFFFFF"/>
          </w:tcPr>
          <w:p w:rsidR="00965D85" w:rsidRPr="00FD5F4E"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FD5F4E">
              <w:rPr>
                <w:rFonts w:ascii="Calibri" w:eastAsiaTheme="minorEastAsia" w:hAnsi="Calibri" w:cs="Calibri"/>
                <w:color w:val="000000"/>
                <w:sz w:val="19"/>
                <w:szCs w:val="19"/>
                <w:lang w:eastAsia="en-AU"/>
              </w:rPr>
              <w:t>2 815.6</w:t>
            </w:r>
          </w:p>
        </w:tc>
        <w:tc>
          <w:tcPr>
            <w:tcW w:w="873" w:type="dxa"/>
            <w:gridSpan w:val="4"/>
            <w:tcBorders>
              <w:top w:val="nil"/>
              <w:left w:val="nil"/>
              <w:right w:val="nil"/>
            </w:tcBorders>
            <w:shd w:val="clear" w:color="auto" w:fill="FFFFFF"/>
          </w:tcPr>
          <w:p w:rsidR="00965D85" w:rsidRPr="00FD5F4E"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FD5F4E">
              <w:rPr>
                <w:rFonts w:ascii="Calibri" w:eastAsiaTheme="minorEastAsia" w:hAnsi="Calibri" w:cs="Calibri"/>
                <w:color w:val="000000"/>
                <w:sz w:val="19"/>
                <w:szCs w:val="19"/>
                <w:lang w:eastAsia="en-AU"/>
              </w:rPr>
              <w:t>2 764.8</w:t>
            </w:r>
          </w:p>
        </w:tc>
        <w:tc>
          <w:tcPr>
            <w:tcW w:w="873" w:type="dxa"/>
            <w:gridSpan w:val="2"/>
            <w:tcBorders>
              <w:top w:val="nil"/>
              <w:left w:val="nil"/>
              <w:right w:val="nil"/>
            </w:tcBorders>
            <w:shd w:val="clear" w:color="auto" w:fill="FFFFFF"/>
          </w:tcPr>
          <w:p w:rsidR="00965D85" w:rsidRPr="00FD5F4E"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FD5F4E">
              <w:rPr>
                <w:rFonts w:ascii="Calibri" w:eastAsiaTheme="minorEastAsia" w:hAnsi="Calibri" w:cs="Calibri"/>
                <w:color w:val="000000"/>
                <w:sz w:val="19"/>
                <w:szCs w:val="19"/>
                <w:lang w:eastAsia="en-AU"/>
              </w:rPr>
              <w:t>2 809.2</w:t>
            </w:r>
          </w:p>
        </w:tc>
        <w:tc>
          <w:tcPr>
            <w:tcW w:w="873" w:type="dxa"/>
            <w:tcBorders>
              <w:top w:val="nil"/>
              <w:left w:val="nil"/>
              <w:right w:val="nil"/>
            </w:tcBorders>
            <w:shd w:val="clear" w:color="auto" w:fill="FFFFFF"/>
          </w:tcPr>
          <w:p w:rsidR="00965D85" w:rsidRPr="00FD5F4E"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FD5F4E">
              <w:rPr>
                <w:rFonts w:ascii="Calibri" w:eastAsiaTheme="minorEastAsia" w:hAnsi="Calibri" w:cs="Calibri"/>
                <w:color w:val="000000"/>
                <w:sz w:val="19"/>
                <w:szCs w:val="19"/>
                <w:lang w:eastAsia="en-AU"/>
              </w:rPr>
              <w:t>2 808.8</w:t>
            </w:r>
          </w:p>
        </w:tc>
      </w:tr>
      <w:tr w:rsidR="00965D85" w:rsidRPr="00FD5F4E" w:rsidTr="008B46DF">
        <w:tc>
          <w:tcPr>
            <w:tcW w:w="3402" w:type="dxa"/>
            <w:tcBorders>
              <w:top w:val="nil"/>
              <w:left w:val="nil"/>
              <w:right w:val="nil"/>
            </w:tcBorders>
            <w:shd w:val="clear" w:color="auto" w:fill="FFFFFF"/>
          </w:tcPr>
          <w:p w:rsidR="00965D85" w:rsidRPr="00FD5F4E" w:rsidRDefault="00965D85" w:rsidP="008B46DF">
            <w:pPr>
              <w:autoSpaceDE w:val="0"/>
              <w:autoSpaceDN w:val="0"/>
              <w:adjustRightInd w:val="0"/>
              <w:spacing w:after="0"/>
              <w:ind w:left="227" w:hanging="227"/>
              <w:rPr>
                <w:rFonts w:ascii="Calibri" w:eastAsiaTheme="minorEastAsia" w:hAnsi="Calibri" w:cs="Calibri"/>
                <w:color w:val="000000"/>
                <w:sz w:val="19"/>
                <w:szCs w:val="19"/>
                <w:lang w:eastAsia="en-AU"/>
              </w:rPr>
            </w:pPr>
            <w:r w:rsidRPr="00FD5F4E">
              <w:rPr>
                <w:rFonts w:ascii="Calibri" w:eastAsiaTheme="minorEastAsia" w:hAnsi="Calibri" w:cs="Calibri"/>
                <w:color w:val="000000"/>
                <w:sz w:val="19"/>
                <w:szCs w:val="19"/>
                <w:lang w:eastAsia="en-AU"/>
              </w:rPr>
              <w:t>Grant expense</w:t>
            </w:r>
          </w:p>
        </w:tc>
        <w:tc>
          <w:tcPr>
            <w:tcW w:w="873" w:type="dxa"/>
            <w:tcBorders>
              <w:top w:val="nil"/>
              <w:left w:val="nil"/>
              <w:right w:val="nil"/>
            </w:tcBorders>
            <w:shd w:val="clear" w:color="auto" w:fill="FFFFFF"/>
          </w:tcPr>
          <w:p w:rsidR="00965D85" w:rsidRPr="00FD5F4E"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FD5F4E">
              <w:rPr>
                <w:rFonts w:ascii="Calibri" w:eastAsiaTheme="minorEastAsia" w:hAnsi="Calibri" w:cs="Calibri"/>
                <w:color w:val="000000"/>
                <w:sz w:val="19"/>
                <w:szCs w:val="19"/>
                <w:lang w:eastAsia="en-AU"/>
              </w:rPr>
              <w:t>5 822.4</w:t>
            </w:r>
          </w:p>
        </w:tc>
        <w:tc>
          <w:tcPr>
            <w:tcW w:w="873" w:type="dxa"/>
            <w:gridSpan w:val="2"/>
            <w:tcBorders>
              <w:top w:val="nil"/>
              <w:left w:val="nil"/>
              <w:right w:val="nil"/>
            </w:tcBorders>
            <w:shd w:val="clear" w:color="auto" w:fill="FFFFFF"/>
          </w:tcPr>
          <w:p w:rsidR="00965D85" w:rsidRPr="00FD5F4E"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FD5F4E">
              <w:rPr>
                <w:rFonts w:ascii="Calibri" w:eastAsiaTheme="minorEastAsia" w:hAnsi="Calibri" w:cs="Calibri"/>
                <w:color w:val="000000"/>
                <w:sz w:val="19"/>
                <w:szCs w:val="19"/>
                <w:lang w:eastAsia="en-AU"/>
              </w:rPr>
              <w:t>5 510.8</w:t>
            </w:r>
          </w:p>
        </w:tc>
        <w:tc>
          <w:tcPr>
            <w:tcW w:w="873" w:type="dxa"/>
            <w:gridSpan w:val="4"/>
            <w:tcBorders>
              <w:top w:val="nil"/>
              <w:left w:val="nil"/>
              <w:right w:val="nil"/>
            </w:tcBorders>
            <w:shd w:val="clear" w:color="auto" w:fill="FFFFFF"/>
          </w:tcPr>
          <w:p w:rsidR="00965D85" w:rsidRPr="00FD5F4E"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FD5F4E">
              <w:rPr>
                <w:rFonts w:ascii="Calibri" w:eastAsiaTheme="minorEastAsia" w:hAnsi="Calibri" w:cs="Calibri"/>
                <w:color w:val="000000"/>
                <w:sz w:val="19"/>
                <w:szCs w:val="19"/>
                <w:lang w:eastAsia="en-AU"/>
              </w:rPr>
              <w:t>6 179.0</w:t>
            </w:r>
          </w:p>
        </w:tc>
        <w:tc>
          <w:tcPr>
            <w:tcW w:w="873" w:type="dxa"/>
            <w:gridSpan w:val="2"/>
            <w:tcBorders>
              <w:top w:val="nil"/>
              <w:left w:val="nil"/>
              <w:right w:val="nil"/>
            </w:tcBorders>
            <w:shd w:val="clear" w:color="auto" w:fill="FFFFFF"/>
          </w:tcPr>
          <w:p w:rsidR="00965D85" w:rsidRPr="00FD5F4E"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FD5F4E">
              <w:rPr>
                <w:rFonts w:ascii="Calibri" w:eastAsiaTheme="minorEastAsia" w:hAnsi="Calibri" w:cs="Calibri"/>
                <w:color w:val="000000"/>
                <w:sz w:val="19"/>
                <w:szCs w:val="19"/>
                <w:lang w:eastAsia="en-AU"/>
              </w:rPr>
              <w:t>6 459.2</w:t>
            </w:r>
          </w:p>
        </w:tc>
        <w:tc>
          <w:tcPr>
            <w:tcW w:w="873" w:type="dxa"/>
            <w:tcBorders>
              <w:top w:val="nil"/>
              <w:left w:val="nil"/>
              <w:right w:val="nil"/>
            </w:tcBorders>
            <w:shd w:val="clear" w:color="auto" w:fill="FFFFFF"/>
          </w:tcPr>
          <w:p w:rsidR="00965D85" w:rsidRPr="00FD5F4E"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FD5F4E">
              <w:rPr>
                <w:rFonts w:ascii="Calibri" w:eastAsiaTheme="minorEastAsia" w:hAnsi="Calibri" w:cs="Calibri"/>
                <w:color w:val="000000"/>
                <w:sz w:val="19"/>
                <w:szCs w:val="19"/>
                <w:lang w:eastAsia="en-AU"/>
              </w:rPr>
              <w:t>6 772.9</w:t>
            </w:r>
          </w:p>
        </w:tc>
      </w:tr>
      <w:tr w:rsidR="00965D85" w:rsidRPr="00FD5F4E" w:rsidTr="008B46DF">
        <w:tc>
          <w:tcPr>
            <w:tcW w:w="3402" w:type="dxa"/>
            <w:tcBorders>
              <w:top w:val="nil"/>
              <w:left w:val="nil"/>
              <w:bottom w:val="single" w:sz="6" w:space="0" w:color="000000"/>
              <w:right w:val="nil"/>
            </w:tcBorders>
            <w:shd w:val="clear" w:color="auto" w:fill="FFFFFF"/>
          </w:tcPr>
          <w:p w:rsidR="00965D85" w:rsidRPr="00FD5F4E" w:rsidRDefault="00965D85" w:rsidP="008B46DF">
            <w:pPr>
              <w:autoSpaceDE w:val="0"/>
              <w:autoSpaceDN w:val="0"/>
              <w:adjustRightInd w:val="0"/>
              <w:spacing w:after="0"/>
              <w:ind w:left="227" w:hanging="227"/>
              <w:rPr>
                <w:rFonts w:ascii="Calibri" w:eastAsiaTheme="minorEastAsia" w:hAnsi="Calibri" w:cs="Calibri"/>
                <w:color w:val="000000"/>
                <w:sz w:val="19"/>
                <w:szCs w:val="19"/>
                <w:lang w:eastAsia="en-AU"/>
              </w:rPr>
            </w:pPr>
            <w:r w:rsidRPr="00FD5F4E">
              <w:rPr>
                <w:rFonts w:ascii="Calibri" w:eastAsiaTheme="minorEastAsia" w:hAnsi="Calibri" w:cs="Calibri"/>
                <w:color w:val="000000"/>
                <w:sz w:val="19"/>
                <w:szCs w:val="19"/>
                <w:lang w:eastAsia="en-AU"/>
              </w:rPr>
              <w:t>Other operating expenses</w:t>
            </w:r>
          </w:p>
        </w:tc>
        <w:tc>
          <w:tcPr>
            <w:tcW w:w="873" w:type="dxa"/>
            <w:tcBorders>
              <w:top w:val="nil"/>
              <w:left w:val="nil"/>
              <w:bottom w:val="single" w:sz="6" w:space="0" w:color="000000"/>
              <w:right w:val="nil"/>
            </w:tcBorders>
            <w:shd w:val="clear" w:color="auto" w:fill="FFFFFF"/>
          </w:tcPr>
          <w:p w:rsidR="00965D85" w:rsidRPr="00FD5F4E"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FD5F4E">
              <w:rPr>
                <w:rFonts w:ascii="Calibri" w:eastAsiaTheme="minorEastAsia" w:hAnsi="Calibri" w:cs="Calibri"/>
                <w:color w:val="000000"/>
                <w:sz w:val="19"/>
                <w:szCs w:val="19"/>
                <w:lang w:eastAsia="en-AU"/>
              </w:rPr>
              <w:t>26 225.5</w:t>
            </w:r>
          </w:p>
        </w:tc>
        <w:tc>
          <w:tcPr>
            <w:tcW w:w="873" w:type="dxa"/>
            <w:gridSpan w:val="2"/>
            <w:tcBorders>
              <w:top w:val="nil"/>
              <w:left w:val="nil"/>
              <w:bottom w:val="single" w:sz="6" w:space="0" w:color="000000"/>
              <w:right w:val="nil"/>
            </w:tcBorders>
            <w:shd w:val="clear" w:color="auto" w:fill="FFFFFF"/>
          </w:tcPr>
          <w:p w:rsidR="00965D85" w:rsidRPr="00FD5F4E"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FD5F4E">
              <w:rPr>
                <w:rFonts w:ascii="Calibri" w:eastAsiaTheme="minorEastAsia" w:hAnsi="Calibri" w:cs="Calibri"/>
                <w:color w:val="000000"/>
                <w:sz w:val="19"/>
                <w:szCs w:val="19"/>
                <w:lang w:eastAsia="en-AU"/>
              </w:rPr>
              <w:t>26 601.7</w:t>
            </w:r>
          </w:p>
        </w:tc>
        <w:tc>
          <w:tcPr>
            <w:tcW w:w="873" w:type="dxa"/>
            <w:gridSpan w:val="4"/>
            <w:tcBorders>
              <w:top w:val="nil"/>
              <w:left w:val="nil"/>
              <w:bottom w:val="single" w:sz="6" w:space="0" w:color="000000"/>
              <w:right w:val="nil"/>
            </w:tcBorders>
            <w:shd w:val="clear" w:color="auto" w:fill="FFFFFF"/>
          </w:tcPr>
          <w:p w:rsidR="00965D85" w:rsidRPr="00FD5F4E"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FD5F4E">
              <w:rPr>
                <w:rFonts w:ascii="Calibri" w:eastAsiaTheme="minorEastAsia" w:hAnsi="Calibri" w:cs="Calibri"/>
                <w:color w:val="000000"/>
                <w:sz w:val="19"/>
                <w:szCs w:val="19"/>
                <w:lang w:eastAsia="en-AU"/>
              </w:rPr>
              <w:t>26 587.2</w:t>
            </w:r>
          </w:p>
        </w:tc>
        <w:tc>
          <w:tcPr>
            <w:tcW w:w="873" w:type="dxa"/>
            <w:gridSpan w:val="2"/>
            <w:tcBorders>
              <w:top w:val="nil"/>
              <w:left w:val="nil"/>
              <w:bottom w:val="single" w:sz="6" w:space="0" w:color="000000"/>
              <w:right w:val="nil"/>
            </w:tcBorders>
            <w:shd w:val="clear" w:color="auto" w:fill="FFFFFF"/>
          </w:tcPr>
          <w:p w:rsidR="00965D85" w:rsidRPr="00FD5F4E"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FD5F4E">
              <w:rPr>
                <w:rFonts w:ascii="Calibri" w:eastAsiaTheme="minorEastAsia" w:hAnsi="Calibri" w:cs="Calibri"/>
                <w:color w:val="000000"/>
                <w:sz w:val="19"/>
                <w:szCs w:val="19"/>
                <w:lang w:eastAsia="en-AU"/>
              </w:rPr>
              <w:t>27 535.6</w:t>
            </w:r>
          </w:p>
        </w:tc>
        <w:tc>
          <w:tcPr>
            <w:tcW w:w="873" w:type="dxa"/>
            <w:tcBorders>
              <w:top w:val="nil"/>
              <w:left w:val="nil"/>
              <w:bottom w:val="single" w:sz="6" w:space="0" w:color="000000"/>
              <w:right w:val="nil"/>
            </w:tcBorders>
            <w:shd w:val="clear" w:color="auto" w:fill="FFFFFF"/>
          </w:tcPr>
          <w:p w:rsidR="00965D85" w:rsidRPr="00FD5F4E"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FD5F4E">
              <w:rPr>
                <w:rFonts w:ascii="Calibri" w:eastAsiaTheme="minorEastAsia" w:hAnsi="Calibri" w:cs="Calibri"/>
                <w:color w:val="000000"/>
                <w:sz w:val="19"/>
                <w:szCs w:val="19"/>
                <w:lang w:eastAsia="en-AU"/>
              </w:rPr>
              <w:t>27 891.9</w:t>
            </w:r>
          </w:p>
        </w:tc>
      </w:tr>
      <w:tr w:rsidR="00965D85" w:rsidRPr="00FD5F4E" w:rsidTr="008B46DF">
        <w:tc>
          <w:tcPr>
            <w:tcW w:w="3402" w:type="dxa"/>
            <w:tcBorders>
              <w:top w:val="single" w:sz="6" w:space="0" w:color="000000"/>
              <w:left w:val="nil"/>
              <w:bottom w:val="single" w:sz="6" w:space="0" w:color="000000"/>
              <w:right w:val="nil"/>
            </w:tcBorders>
            <w:shd w:val="clear" w:color="auto" w:fill="FFFFFF"/>
          </w:tcPr>
          <w:p w:rsidR="00965D85" w:rsidRPr="00FD5F4E" w:rsidRDefault="00965D85" w:rsidP="008B46DF">
            <w:pPr>
              <w:autoSpaceDE w:val="0"/>
              <w:autoSpaceDN w:val="0"/>
              <w:adjustRightInd w:val="0"/>
              <w:spacing w:after="0"/>
              <w:ind w:left="227" w:hanging="227"/>
              <w:rPr>
                <w:rFonts w:ascii="Calibri" w:eastAsiaTheme="minorEastAsia" w:hAnsi="Calibri" w:cs="Calibri"/>
                <w:b/>
                <w:bCs/>
                <w:color w:val="000000"/>
                <w:sz w:val="19"/>
                <w:szCs w:val="19"/>
                <w:lang w:eastAsia="en-AU"/>
              </w:rPr>
            </w:pPr>
            <w:r w:rsidRPr="00FD5F4E">
              <w:rPr>
                <w:rFonts w:ascii="Calibri" w:eastAsiaTheme="minorEastAsia" w:hAnsi="Calibri" w:cs="Calibri"/>
                <w:b/>
                <w:bCs/>
                <w:color w:val="000000"/>
                <w:sz w:val="19"/>
                <w:szCs w:val="19"/>
                <w:lang w:eastAsia="en-AU"/>
              </w:rPr>
              <w:t>Total expenses from transactions</w:t>
            </w:r>
          </w:p>
        </w:tc>
        <w:tc>
          <w:tcPr>
            <w:tcW w:w="873" w:type="dxa"/>
            <w:tcBorders>
              <w:top w:val="single" w:sz="6" w:space="0" w:color="000000"/>
              <w:left w:val="nil"/>
              <w:bottom w:val="single" w:sz="6" w:space="0" w:color="000000"/>
              <w:right w:val="nil"/>
            </w:tcBorders>
            <w:shd w:val="clear" w:color="auto" w:fill="FFFFFF"/>
          </w:tcPr>
          <w:p w:rsidR="00965D85" w:rsidRPr="00FD5F4E" w:rsidRDefault="00965D85" w:rsidP="008B46DF">
            <w:pPr>
              <w:autoSpaceDE w:val="0"/>
              <w:autoSpaceDN w:val="0"/>
              <w:adjustRightInd w:val="0"/>
              <w:spacing w:after="0"/>
              <w:jc w:val="right"/>
              <w:rPr>
                <w:rFonts w:ascii="Calibri" w:eastAsiaTheme="minorEastAsia" w:hAnsi="Calibri" w:cs="Calibri"/>
                <w:b/>
                <w:bCs/>
                <w:color w:val="000000"/>
                <w:sz w:val="19"/>
                <w:szCs w:val="19"/>
                <w:lang w:eastAsia="en-AU"/>
              </w:rPr>
            </w:pPr>
            <w:r w:rsidRPr="00FD5F4E">
              <w:rPr>
                <w:rFonts w:ascii="Calibri" w:eastAsiaTheme="minorEastAsia" w:hAnsi="Calibri" w:cs="Calibri"/>
                <w:b/>
                <w:bCs/>
                <w:color w:val="000000"/>
                <w:sz w:val="19"/>
                <w:szCs w:val="19"/>
                <w:lang w:eastAsia="en-AU"/>
              </w:rPr>
              <w:t>63 652.0</w:t>
            </w:r>
          </w:p>
        </w:tc>
        <w:tc>
          <w:tcPr>
            <w:tcW w:w="873" w:type="dxa"/>
            <w:gridSpan w:val="2"/>
            <w:tcBorders>
              <w:top w:val="single" w:sz="6" w:space="0" w:color="000000"/>
              <w:left w:val="nil"/>
              <w:bottom w:val="single" w:sz="6" w:space="0" w:color="000000"/>
              <w:right w:val="nil"/>
            </w:tcBorders>
            <w:shd w:val="clear" w:color="auto" w:fill="FFFFFF"/>
          </w:tcPr>
          <w:p w:rsidR="00965D85" w:rsidRPr="00FD5F4E" w:rsidRDefault="00965D85" w:rsidP="008B46DF">
            <w:pPr>
              <w:autoSpaceDE w:val="0"/>
              <w:autoSpaceDN w:val="0"/>
              <w:adjustRightInd w:val="0"/>
              <w:spacing w:after="0"/>
              <w:jc w:val="right"/>
              <w:rPr>
                <w:rFonts w:ascii="Calibri" w:eastAsiaTheme="minorEastAsia" w:hAnsi="Calibri" w:cs="Calibri"/>
                <w:b/>
                <w:bCs/>
                <w:color w:val="000000"/>
                <w:sz w:val="19"/>
                <w:szCs w:val="19"/>
                <w:lang w:eastAsia="en-AU"/>
              </w:rPr>
            </w:pPr>
            <w:r w:rsidRPr="00FD5F4E">
              <w:rPr>
                <w:rFonts w:ascii="Calibri" w:eastAsiaTheme="minorEastAsia" w:hAnsi="Calibri" w:cs="Calibri"/>
                <w:b/>
                <w:bCs/>
                <w:color w:val="000000"/>
                <w:sz w:val="19"/>
                <w:szCs w:val="19"/>
                <w:lang w:eastAsia="en-AU"/>
              </w:rPr>
              <w:t>63 770.3</w:t>
            </w:r>
          </w:p>
        </w:tc>
        <w:tc>
          <w:tcPr>
            <w:tcW w:w="873" w:type="dxa"/>
            <w:gridSpan w:val="4"/>
            <w:tcBorders>
              <w:top w:val="single" w:sz="6" w:space="0" w:color="000000"/>
              <w:left w:val="nil"/>
              <w:bottom w:val="single" w:sz="6" w:space="0" w:color="000000"/>
              <w:right w:val="nil"/>
            </w:tcBorders>
            <w:shd w:val="clear" w:color="auto" w:fill="FFFFFF"/>
          </w:tcPr>
          <w:p w:rsidR="00965D85" w:rsidRPr="00FD5F4E" w:rsidRDefault="00965D85" w:rsidP="008B46DF">
            <w:pPr>
              <w:autoSpaceDE w:val="0"/>
              <w:autoSpaceDN w:val="0"/>
              <w:adjustRightInd w:val="0"/>
              <w:spacing w:after="0"/>
              <w:jc w:val="right"/>
              <w:rPr>
                <w:rFonts w:ascii="Calibri" w:eastAsiaTheme="minorEastAsia" w:hAnsi="Calibri" w:cs="Calibri"/>
                <w:b/>
                <w:bCs/>
                <w:color w:val="000000"/>
                <w:sz w:val="19"/>
                <w:szCs w:val="19"/>
                <w:lang w:eastAsia="en-AU"/>
              </w:rPr>
            </w:pPr>
            <w:r w:rsidRPr="00FD5F4E">
              <w:rPr>
                <w:rFonts w:ascii="Calibri" w:eastAsiaTheme="minorEastAsia" w:hAnsi="Calibri" w:cs="Calibri"/>
                <w:b/>
                <w:bCs/>
                <w:color w:val="000000"/>
                <w:sz w:val="19"/>
                <w:szCs w:val="19"/>
                <w:lang w:eastAsia="en-AU"/>
              </w:rPr>
              <w:t>65 172.8</w:t>
            </w:r>
          </w:p>
        </w:tc>
        <w:tc>
          <w:tcPr>
            <w:tcW w:w="873" w:type="dxa"/>
            <w:gridSpan w:val="2"/>
            <w:tcBorders>
              <w:top w:val="single" w:sz="6" w:space="0" w:color="000000"/>
              <w:left w:val="nil"/>
              <w:bottom w:val="single" w:sz="6" w:space="0" w:color="000000"/>
              <w:right w:val="nil"/>
            </w:tcBorders>
            <w:shd w:val="clear" w:color="auto" w:fill="FFFFFF"/>
          </w:tcPr>
          <w:p w:rsidR="00965D85" w:rsidRPr="00FD5F4E" w:rsidRDefault="00965D85" w:rsidP="008B46DF">
            <w:pPr>
              <w:autoSpaceDE w:val="0"/>
              <w:autoSpaceDN w:val="0"/>
              <w:adjustRightInd w:val="0"/>
              <w:spacing w:after="0"/>
              <w:jc w:val="right"/>
              <w:rPr>
                <w:rFonts w:ascii="Calibri" w:eastAsiaTheme="minorEastAsia" w:hAnsi="Calibri" w:cs="Calibri"/>
                <w:b/>
                <w:bCs/>
                <w:color w:val="000000"/>
                <w:sz w:val="19"/>
                <w:szCs w:val="19"/>
                <w:lang w:eastAsia="en-AU"/>
              </w:rPr>
            </w:pPr>
            <w:r w:rsidRPr="00FD5F4E">
              <w:rPr>
                <w:rFonts w:ascii="Calibri" w:eastAsiaTheme="minorEastAsia" w:hAnsi="Calibri" w:cs="Calibri"/>
                <w:b/>
                <w:bCs/>
                <w:color w:val="000000"/>
                <w:sz w:val="19"/>
                <w:szCs w:val="19"/>
                <w:lang w:eastAsia="en-AU"/>
              </w:rPr>
              <w:t>67 661.0</w:t>
            </w:r>
          </w:p>
        </w:tc>
        <w:tc>
          <w:tcPr>
            <w:tcW w:w="873" w:type="dxa"/>
            <w:tcBorders>
              <w:top w:val="single" w:sz="6" w:space="0" w:color="000000"/>
              <w:left w:val="nil"/>
              <w:bottom w:val="single" w:sz="6" w:space="0" w:color="000000"/>
              <w:right w:val="nil"/>
            </w:tcBorders>
            <w:shd w:val="clear" w:color="auto" w:fill="FFFFFF"/>
          </w:tcPr>
          <w:p w:rsidR="00965D85" w:rsidRPr="00FD5F4E" w:rsidRDefault="00965D85" w:rsidP="008B46DF">
            <w:pPr>
              <w:autoSpaceDE w:val="0"/>
              <w:autoSpaceDN w:val="0"/>
              <w:adjustRightInd w:val="0"/>
              <w:spacing w:after="0"/>
              <w:jc w:val="right"/>
              <w:rPr>
                <w:rFonts w:ascii="Calibri" w:eastAsiaTheme="minorEastAsia" w:hAnsi="Calibri" w:cs="Calibri"/>
                <w:b/>
                <w:bCs/>
                <w:color w:val="000000"/>
                <w:sz w:val="19"/>
                <w:szCs w:val="19"/>
                <w:lang w:eastAsia="en-AU"/>
              </w:rPr>
            </w:pPr>
            <w:r w:rsidRPr="00FD5F4E">
              <w:rPr>
                <w:rFonts w:ascii="Calibri" w:eastAsiaTheme="minorEastAsia" w:hAnsi="Calibri" w:cs="Calibri"/>
                <w:b/>
                <w:bCs/>
                <w:color w:val="000000"/>
                <w:sz w:val="19"/>
                <w:szCs w:val="19"/>
                <w:lang w:eastAsia="en-AU"/>
              </w:rPr>
              <w:t>69 623.5</w:t>
            </w:r>
          </w:p>
        </w:tc>
      </w:tr>
      <w:tr w:rsidR="00965D85" w:rsidRPr="00FD5F4E" w:rsidTr="008B46DF">
        <w:tc>
          <w:tcPr>
            <w:tcW w:w="3402" w:type="dxa"/>
            <w:tcBorders>
              <w:top w:val="single" w:sz="6" w:space="0" w:color="000000"/>
              <w:left w:val="nil"/>
              <w:bottom w:val="single" w:sz="12" w:space="0" w:color="000000"/>
              <w:right w:val="nil"/>
            </w:tcBorders>
            <w:shd w:val="clear" w:color="auto" w:fill="FFFFFF"/>
          </w:tcPr>
          <w:p w:rsidR="00965D85" w:rsidRPr="00FD5F4E" w:rsidRDefault="00965D85" w:rsidP="008B46DF">
            <w:pPr>
              <w:autoSpaceDE w:val="0"/>
              <w:autoSpaceDN w:val="0"/>
              <w:adjustRightInd w:val="0"/>
              <w:spacing w:after="0"/>
              <w:ind w:left="227" w:hanging="227"/>
              <w:rPr>
                <w:rFonts w:ascii="Calibri" w:eastAsiaTheme="minorEastAsia" w:hAnsi="Calibri" w:cs="Calibri"/>
                <w:b/>
                <w:bCs/>
                <w:color w:val="000000"/>
                <w:sz w:val="19"/>
                <w:szCs w:val="19"/>
                <w:lang w:eastAsia="en-AU"/>
              </w:rPr>
            </w:pPr>
            <w:r w:rsidRPr="00FD5F4E">
              <w:rPr>
                <w:rFonts w:ascii="Calibri" w:eastAsiaTheme="minorEastAsia" w:hAnsi="Calibri" w:cs="Calibri"/>
                <w:b/>
                <w:bCs/>
                <w:color w:val="000000"/>
                <w:sz w:val="19"/>
                <w:szCs w:val="19"/>
                <w:lang w:eastAsia="en-AU"/>
              </w:rPr>
              <w:t>Net result from transactions – net operating balance</w:t>
            </w:r>
          </w:p>
        </w:tc>
        <w:tc>
          <w:tcPr>
            <w:tcW w:w="873" w:type="dxa"/>
            <w:tcBorders>
              <w:top w:val="single" w:sz="6" w:space="0" w:color="000000"/>
              <w:left w:val="nil"/>
              <w:bottom w:val="single" w:sz="12" w:space="0" w:color="000000"/>
              <w:right w:val="nil"/>
            </w:tcBorders>
            <w:shd w:val="clear" w:color="auto" w:fill="FFFFFF"/>
          </w:tcPr>
          <w:p w:rsidR="00965D85" w:rsidRPr="00FD5F4E" w:rsidRDefault="00965D85" w:rsidP="008B46DF">
            <w:pPr>
              <w:autoSpaceDE w:val="0"/>
              <w:autoSpaceDN w:val="0"/>
              <w:adjustRightInd w:val="0"/>
              <w:spacing w:after="0"/>
              <w:jc w:val="right"/>
              <w:rPr>
                <w:rFonts w:ascii="Calibri" w:eastAsiaTheme="minorEastAsia" w:hAnsi="Calibri" w:cs="Calibri"/>
                <w:b/>
                <w:bCs/>
                <w:color w:val="000000"/>
                <w:sz w:val="19"/>
                <w:szCs w:val="19"/>
                <w:lang w:eastAsia="en-AU"/>
              </w:rPr>
            </w:pPr>
            <w:r w:rsidRPr="00FD5F4E">
              <w:rPr>
                <w:rFonts w:ascii="Calibri" w:eastAsiaTheme="minorEastAsia" w:hAnsi="Calibri" w:cs="Calibri"/>
                <w:b/>
                <w:bCs/>
                <w:color w:val="000000"/>
                <w:sz w:val="19"/>
                <w:szCs w:val="19"/>
                <w:lang w:eastAsia="en-AU"/>
              </w:rPr>
              <w:t>(971.8)</w:t>
            </w:r>
          </w:p>
        </w:tc>
        <w:tc>
          <w:tcPr>
            <w:tcW w:w="873" w:type="dxa"/>
            <w:gridSpan w:val="2"/>
            <w:tcBorders>
              <w:top w:val="single" w:sz="6" w:space="0" w:color="000000"/>
              <w:left w:val="nil"/>
              <w:bottom w:val="single" w:sz="12" w:space="0" w:color="000000"/>
              <w:right w:val="nil"/>
            </w:tcBorders>
            <w:shd w:val="clear" w:color="auto" w:fill="FFFFFF"/>
          </w:tcPr>
          <w:p w:rsidR="00965D85" w:rsidRPr="00FD5F4E" w:rsidRDefault="00965D85" w:rsidP="008B46DF">
            <w:pPr>
              <w:autoSpaceDE w:val="0"/>
              <w:autoSpaceDN w:val="0"/>
              <w:adjustRightInd w:val="0"/>
              <w:spacing w:after="0"/>
              <w:jc w:val="right"/>
              <w:rPr>
                <w:rFonts w:ascii="Calibri" w:eastAsiaTheme="minorEastAsia" w:hAnsi="Calibri" w:cs="Calibri"/>
                <w:b/>
                <w:bCs/>
                <w:color w:val="000000"/>
                <w:sz w:val="19"/>
                <w:szCs w:val="19"/>
                <w:lang w:eastAsia="en-AU"/>
              </w:rPr>
            </w:pPr>
            <w:r w:rsidRPr="00FD5F4E">
              <w:rPr>
                <w:rFonts w:ascii="Calibri" w:eastAsiaTheme="minorEastAsia" w:hAnsi="Calibri" w:cs="Calibri"/>
                <w:b/>
                <w:bCs/>
                <w:color w:val="000000"/>
                <w:sz w:val="19"/>
                <w:szCs w:val="19"/>
                <w:lang w:eastAsia="en-AU"/>
              </w:rPr>
              <w:t>(1 164.5)</w:t>
            </w:r>
          </w:p>
        </w:tc>
        <w:tc>
          <w:tcPr>
            <w:tcW w:w="873" w:type="dxa"/>
            <w:gridSpan w:val="4"/>
            <w:tcBorders>
              <w:top w:val="single" w:sz="6" w:space="0" w:color="000000"/>
              <w:left w:val="nil"/>
              <w:bottom w:val="single" w:sz="12" w:space="0" w:color="000000"/>
              <w:right w:val="nil"/>
            </w:tcBorders>
            <w:shd w:val="clear" w:color="auto" w:fill="FFFFFF"/>
          </w:tcPr>
          <w:p w:rsidR="00965D85" w:rsidRPr="00FD5F4E" w:rsidRDefault="00965D85" w:rsidP="008B46DF">
            <w:pPr>
              <w:autoSpaceDE w:val="0"/>
              <w:autoSpaceDN w:val="0"/>
              <w:adjustRightInd w:val="0"/>
              <w:spacing w:after="0"/>
              <w:jc w:val="right"/>
              <w:rPr>
                <w:rFonts w:ascii="Calibri" w:eastAsiaTheme="minorEastAsia" w:hAnsi="Calibri" w:cs="Calibri"/>
                <w:b/>
                <w:bCs/>
                <w:color w:val="000000"/>
                <w:sz w:val="19"/>
                <w:szCs w:val="19"/>
                <w:lang w:eastAsia="en-AU"/>
              </w:rPr>
            </w:pPr>
            <w:r w:rsidRPr="00FD5F4E">
              <w:rPr>
                <w:rFonts w:ascii="Calibri" w:eastAsiaTheme="minorEastAsia" w:hAnsi="Calibri" w:cs="Calibri"/>
                <w:b/>
                <w:bCs/>
                <w:color w:val="000000"/>
                <w:sz w:val="19"/>
                <w:szCs w:val="19"/>
                <w:lang w:eastAsia="en-AU"/>
              </w:rPr>
              <w:t>(361.1)</w:t>
            </w:r>
          </w:p>
        </w:tc>
        <w:tc>
          <w:tcPr>
            <w:tcW w:w="873" w:type="dxa"/>
            <w:gridSpan w:val="2"/>
            <w:tcBorders>
              <w:top w:val="single" w:sz="6" w:space="0" w:color="000000"/>
              <w:left w:val="nil"/>
              <w:bottom w:val="single" w:sz="12" w:space="0" w:color="000000"/>
              <w:right w:val="nil"/>
            </w:tcBorders>
            <w:shd w:val="clear" w:color="auto" w:fill="FFFFFF"/>
          </w:tcPr>
          <w:p w:rsidR="00965D85" w:rsidRPr="00FD5F4E" w:rsidRDefault="00965D85" w:rsidP="008B46DF">
            <w:pPr>
              <w:autoSpaceDE w:val="0"/>
              <w:autoSpaceDN w:val="0"/>
              <w:adjustRightInd w:val="0"/>
              <w:spacing w:after="0"/>
              <w:jc w:val="right"/>
              <w:rPr>
                <w:rFonts w:ascii="Calibri" w:eastAsiaTheme="minorEastAsia" w:hAnsi="Calibri" w:cs="Calibri"/>
                <w:b/>
                <w:bCs/>
                <w:color w:val="000000"/>
                <w:sz w:val="19"/>
                <w:szCs w:val="19"/>
                <w:lang w:eastAsia="en-AU"/>
              </w:rPr>
            </w:pPr>
            <w:r w:rsidRPr="00FD5F4E">
              <w:rPr>
                <w:rFonts w:ascii="Calibri" w:eastAsiaTheme="minorEastAsia" w:hAnsi="Calibri" w:cs="Calibri"/>
                <w:b/>
                <w:bCs/>
                <w:color w:val="000000"/>
                <w:sz w:val="19"/>
                <w:szCs w:val="19"/>
                <w:lang w:eastAsia="en-AU"/>
              </w:rPr>
              <w:t>(106.8)</w:t>
            </w:r>
          </w:p>
        </w:tc>
        <w:tc>
          <w:tcPr>
            <w:tcW w:w="873" w:type="dxa"/>
            <w:tcBorders>
              <w:top w:val="single" w:sz="6" w:space="0" w:color="000000"/>
              <w:left w:val="nil"/>
              <w:bottom w:val="single" w:sz="12" w:space="0" w:color="000000"/>
              <w:right w:val="nil"/>
            </w:tcBorders>
            <w:shd w:val="clear" w:color="auto" w:fill="FFFFFF"/>
          </w:tcPr>
          <w:p w:rsidR="00965D85" w:rsidRPr="00FD5F4E" w:rsidRDefault="00965D85" w:rsidP="008B46DF">
            <w:pPr>
              <w:autoSpaceDE w:val="0"/>
              <w:autoSpaceDN w:val="0"/>
              <w:adjustRightInd w:val="0"/>
              <w:spacing w:after="0"/>
              <w:jc w:val="right"/>
              <w:rPr>
                <w:rFonts w:ascii="Calibri" w:eastAsiaTheme="minorEastAsia" w:hAnsi="Calibri" w:cs="Calibri"/>
                <w:b/>
                <w:bCs/>
                <w:color w:val="000000"/>
                <w:sz w:val="19"/>
                <w:szCs w:val="19"/>
                <w:lang w:eastAsia="en-AU"/>
              </w:rPr>
            </w:pPr>
            <w:r w:rsidRPr="00FD5F4E">
              <w:rPr>
                <w:rFonts w:ascii="Calibri" w:eastAsiaTheme="minorEastAsia" w:hAnsi="Calibri" w:cs="Calibri"/>
                <w:b/>
                <w:bCs/>
                <w:color w:val="000000"/>
                <w:sz w:val="19"/>
                <w:szCs w:val="19"/>
                <w:lang w:eastAsia="en-AU"/>
              </w:rPr>
              <w:t>(250.1)</w:t>
            </w:r>
          </w:p>
        </w:tc>
      </w:tr>
      <w:tr w:rsidR="00965D85" w:rsidRPr="00FD5F4E" w:rsidTr="008B46DF">
        <w:tc>
          <w:tcPr>
            <w:tcW w:w="3402" w:type="dxa"/>
            <w:tcBorders>
              <w:top w:val="single" w:sz="12" w:space="0" w:color="000000"/>
              <w:left w:val="nil"/>
              <w:bottom w:val="single" w:sz="6" w:space="0" w:color="000000"/>
              <w:right w:val="nil"/>
            </w:tcBorders>
            <w:shd w:val="clear" w:color="auto" w:fill="FFFFFF"/>
          </w:tcPr>
          <w:p w:rsidR="00965D85" w:rsidRPr="00FD5F4E" w:rsidRDefault="00965D85" w:rsidP="008B46DF">
            <w:pPr>
              <w:autoSpaceDE w:val="0"/>
              <w:autoSpaceDN w:val="0"/>
              <w:adjustRightInd w:val="0"/>
              <w:spacing w:after="0"/>
              <w:ind w:left="227" w:hanging="227"/>
              <w:rPr>
                <w:rFonts w:ascii="Calibri" w:eastAsiaTheme="minorEastAsia" w:hAnsi="Calibri" w:cs="Calibri"/>
                <w:b/>
                <w:bCs/>
                <w:color w:val="000000"/>
                <w:sz w:val="19"/>
                <w:szCs w:val="19"/>
                <w:lang w:eastAsia="en-AU"/>
              </w:rPr>
            </w:pPr>
            <w:r w:rsidRPr="00FD5F4E">
              <w:rPr>
                <w:rFonts w:ascii="Calibri" w:eastAsiaTheme="minorEastAsia" w:hAnsi="Calibri" w:cs="Calibri"/>
                <w:b/>
                <w:bCs/>
                <w:color w:val="000000"/>
                <w:sz w:val="19"/>
                <w:szCs w:val="19"/>
                <w:lang w:eastAsia="en-AU"/>
              </w:rPr>
              <w:t>Total other economic flows included in net result</w:t>
            </w:r>
          </w:p>
        </w:tc>
        <w:tc>
          <w:tcPr>
            <w:tcW w:w="873" w:type="dxa"/>
            <w:tcBorders>
              <w:top w:val="single" w:sz="12" w:space="0" w:color="000000"/>
              <w:left w:val="nil"/>
              <w:bottom w:val="single" w:sz="6" w:space="0" w:color="000000"/>
              <w:right w:val="nil"/>
            </w:tcBorders>
            <w:shd w:val="clear" w:color="auto" w:fill="FFFFFF"/>
          </w:tcPr>
          <w:p w:rsidR="00965D85" w:rsidRPr="00FD5F4E" w:rsidRDefault="00965D85" w:rsidP="008B46DF">
            <w:pPr>
              <w:autoSpaceDE w:val="0"/>
              <w:autoSpaceDN w:val="0"/>
              <w:adjustRightInd w:val="0"/>
              <w:spacing w:after="0"/>
              <w:jc w:val="right"/>
              <w:rPr>
                <w:rFonts w:ascii="Calibri" w:eastAsiaTheme="minorEastAsia" w:hAnsi="Calibri" w:cs="Calibri"/>
                <w:b/>
                <w:bCs/>
                <w:color w:val="000000"/>
                <w:sz w:val="19"/>
                <w:szCs w:val="19"/>
                <w:lang w:eastAsia="en-AU"/>
              </w:rPr>
            </w:pPr>
            <w:r w:rsidRPr="00FD5F4E">
              <w:rPr>
                <w:rFonts w:ascii="Calibri" w:eastAsiaTheme="minorEastAsia" w:hAnsi="Calibri" w:cs="Calibri"/>
                <w:b/>
                <w:bCs/>
                <w:color w:val="000000"/>
                <w:sz w:val="19"/>
                <w:szCs w:val="19"/>
                <w:lang w:eastAsia="en-AU"/>
              </w:rPr>
              <w:t>5 313.9</w:t>
            </w:r>
          </w:p>
        </w:tc>
        <w:tc>
          <w:tcPr>
            <w:tcW w:w="873" w:type="dxa"/>
            <w:gridSpan w:val="2"/>
            <w:tcBorders>
              <w:top w:val="single" w:sz="12" w:space="0" w:color="000000"/>
              <w:left w:val="nil"/>
              <w:bottom w:val="single" w:sz="6" w:space="0" w:color="000000"/>
              <w:right w:val="nil"/>
            </w:tcBorders>
            <w:shd w:val="clear" w:color="auto" w:fill="FFFFFF"/>
          </w:tcPr>
          <w:p w:rsidR="00965D85" w:rsidRPr="00FD5F4E" w:rsidRDefault="00965D85" w:rsidP="008B46DF">
            <w:pPr>
              <w:autoSpaceDE w:val="0"/>
              <w:autoSpaceDN w:val="0"/>
              <w:adjustRightInd w:val="0"/>
              <w:spacing w:after="0"/>
              <w:jc w:val="right"/>
              <w:rPr>
                <w:rFonts w:ascii="Calibri" w:eastAsiaTheme="minorEastAsia" w:hAnsi="Calibri" w:cs="Calibri"/>
                <w:b/>
                <w:bCs/>
                <w:color w:val="000000"/>
                <w:sz w:val="19"/>
                <w:szCs w:val="19"/>
                <w:lang w:eastAsia="en-AU"/>
              </w:rPr>
            </w:pPr>
            <w:r w:rsidRPr="00FD5F4E">
              <w:rPr>
                <w:rFonts w:ascii="Calibri" w:eastAsiaTheme="minorEastAsia" w:hAnsi="Calibri" w:cs="Calibri"/>
                <w:b/>
                <w:bCs/>
                <w:color w:val="000000"/>
                <w:sz w:val="19"/>
                <w:szCs w:val="19"/>
                <w:lang w:eastAsia="en-AU"/>
              </w:rPr>
              <w:t>3 357.4</w:t>
            </w:r>
          </w:p>
        </w:tc>
        <w:tc>
          <w:tcPr>
            <w:tcW w:w="873" w:type="dxa"/>
            <w:gridSpan w:val="4"/>
            <w:tcBorders>
              <w:top w:val="single" w:sz="12" w:space="0" w:color="000000"/>
              <w:left w:val="nil"/>
              <w:bottom w:val="single" w:sz="6" w:space="0" w:color="000000"/>
              <w:right w:val="nil"/>
            </w:tcBorders>
            <w:shd w:val="clear" w:color="auto" w:fill="FFFFFF"/>
          </w:tcPr>
          <w:p w:rsidR="00965D85" w:rsidRPr="00FD5F4E" w:rsidRDefault="00965D85" w:rsidP="008B46DF">
            <w:pPr>
              <w:autoSpaceDE w:val="0"/>
              <w:autoSpaceDN w:val="0"/>
              <w:adjustRightInd w:val="0"/>
              <w:spacing w:after="0"/>
              <w:jc w:val="right"/>
              <w:rPr>
                <w:rFonts w:ascii="Calibri" w:eastAsiaTheme="minorEastAsia" w:hAnsi="Calibri" w:cs="Calibri"/>
                <w:b/>
                <w:bCs/>
                <w:color w:val="000000"/>
                <w:sz w:val="19"/>
                <w:szCs w:val="19"/>
                <w:lang w:eastAsia="en-AU"/>
              </w:rPr>
            </w:pPr>
            <w:r w:rsidRPr="00FD5F4E">
              <w:rPr>
                <w:rFonts w:ascii="Calibri" w:eastAsiaTheme="minorEastAsia" w:hAnsi="Calibri" w:cs="Calibri"/>
                <w:b/>
                <w:bCs/>
                <w:color w:val="000000"/>
                <w:sz w:val="19"/>
                <w:szCs w:val="19"/>
                <w:lang w:eastAsia="en-AU"/>
              </w:rPr>
              <w:t>1 259.4</w:t>
            </w:r>
          </w:p>
        </w:tc>
        <w:tc>
          <w:tcPr>
            <w:tcW w:w="873" w:type="dxa"/>
            <w:gridSpan w:val="2"/>
            <w:tcBorders>
              <w:top w:val="single" w:sz="12" w:space="0" w:color="000000"/>
              <w:left w:val="nil"/>
              <w:bottom w:val="single" w:sz="6" w:space="0" w:color="000000"/>
              <w:right w:val="nil"/>
            </w:tcBorders>
            <w:shd w:val="clear" w:color="auto" w:fill="FFFFFF"/>
          </w:tcPr>
          <w:p w:rsidR="00965D85" w:rsidRPr="00FD5F4E" w:rsidRDefault="00965D85" w:rsidP="008B46DF">
            <w:pPr>
              <w:autoSpaceDE w:val="0"/>
              <w:autoSpaceDN w:val="0"/>
              <w:adjustRightInd w:val="0"/>
              <w:spacing w:after="0"/>
              <w:jc w:val="right"/>
              <w:rPr>
                <w:rFonts w:ascii="Calibri" w:eastAsiaTheme="minorEastAsia" w:hAnsi="Calibri" w:cs="Calibri"/>
                <w:b/>
                <w:bCs/>
                <w:color w:val="000000"/>
                <w:sz w:val="19"/>
                <w:szCs w:val="19"/>
                <w:lang w:eastAsia="en-AU"/>
              </w:rPr>
            </w:pPr>
            <w:r w:rsidRPr="00FD5F4E">
              <w:rPr>
                <w:rFonts w:ascii="Calibri" w:eastAsiaTheme="minorEastAsia" w:hAnsi="Calibri" w:cs="Calibri"/>
                <w:b/>
                <w:bCs/>
                <w:color w:val="000000"/>
                <w:sz w:val="19"/>
                <w:szCs w:val="19"/>
                <w:lang w:eastAsia="en-AU"/>
              </w:rPr>
              <w:t>1 373.8</w:t>
            </w:r>
          </w:p>
        </w:tc>
        <w:tc>
          <w:tcPr>
            <w:tcW w:w="873" w:type="dxa"/>
            <w:tcBorders>
              <w:top w:val="single" w:sz="12" w:space="0" w:color="000000"/>
              <w:left w:val="nil"/>
              <w:bottom w:val="single" w:sz="6" w:space="0" w:color="000000"/>
              <w:right w:val="nil"/>
            </w:tcBorders>
            <w:shd w:val="clear" w:color="auto" w:fill="FFFFFF"/>
          </w:tcPr>
          <w:p w:rsidR="00965D85" w:rsidRPr="00FD5F4E" w:rsidRDefault="00965D85" w:rsidP="008B46DF">
            <w:pPr>
              <w:autoSpaceDE w:val="0"/>
              <w:autoSpaceDN w:val="0"/>
              <w:adjustRightInd w:val="0"/>
              <w:spacing w:after="0"/>
              <w:jc w:val="right"/>
              <w:rPr>
                <w:rFonts w:ascii="Calibri" w:eastAsiaTheme="minorEastAsia" w:hAnsi="Calibri" w:cs="Calibri"/>
                <w:b/>
                <w:bCs/>
                <w:color w:val="000000"/>
                <w:sz w:val="19"/>
                <w:szCs w:val="19"/>
                <w:lang w:eastAsia="en-AU"/>
              </w:rPr>
            </w:pPr>
            <w:r w:rsidRPr="00FD5F4E">
              <w:rPr>
                <w:rFonts w:ascii="Calibri" w:eastAsiaTheme="minorEastAsia" w:hAnsi="Calibri" w:cs="Calibri"/>
                <w:b/>
                <w:bCs/>
                <w:color w:val="000000"/>
                <w:sz w:val="19"/>
                <w:szCs w:val="19"/>
                <w:lang w:eastAsia="en-AU"/>
              </w:rPr>
              <w:t>1 519.7</w:t>
            </w:r>
          </w:p>
        </w:tc>
      </w:tr>
      <w:tr w:rsidR="00965D85" w:rsidRPr="00FD5F4E" w:rsidTr="008B46DF">
        <w:tc>
          <w:tcPr>
            <w:tcW w:w="3402" w:type="dxa"/>
            <w:tcBorders>
              <w:top w:val="single" w:sz="6" w:space="0" w:color="000000"/>
              <w:left w:val="nil"/>
              <w:bottom w:val="single" w:sz="12" w:space="0" w:color="000000"/>
              <w:right w:val="nil"/>
            </w:tcBorders>
            <w:shd w:val="clear" w:color="auto" w:fill="FFFFFF"/>
          </w:tcPr>
          <w:p w:rsidR="00965D85" w:rsidRPr="00FD5F4E" w:rsidRDefault="00965D85" w:rsidP="008B46DF">
            <w:pPr>
              <w:autoSpaceDE w:val="0"/>
              <w:autoSpaceDN w:val="0"/>
              <w:adjustRightInd w:val="0"/>
              <w:spacing w:after="0"/>
              <w:ind w:left="227" w:hanging="227"/>
              <w:rPr>
                <w:rFonts w:ascii="Calibri" w:eastAsiaTheme="minorEastAsia" w:hAnsi="Calibri" w:cs="Calibri"/>
                <w:b/>
                <w:bCs/>
                <w:color w:val="000000"/>
                <w:sz w:val="19"/>
                <w:szCs w:val="19"/>
                <w:lang w:eastAsia="en-AU"/>
              </w:rPr>
            </w:pPr>
            <w:r w:rsidRPr="00FD5F4E">
              <w:rPr>
                <w:rFonts w:ascii="Calibri" w:eastAsiaTheme="minorEastAsia" w:hAnsi="Calibri" w:cs="Calibri"/>
                <w:b/>
                <w:bCs/>
                <w:color w:val="000000"/>
                <w:sz w:val="19"/>
                <w:szCs w:val="19"/>
                <w:lang w:eastAsia="en-AU"/>
              </w:rPr>
              <w:t>Net result</w:t>
            </w:r>
          </w:p>
        </w:tc>
        <w:tc>
          <w:tcPr>
            <w:tcW w:w="873" w:type="dxa"/>
            <w:tcBorders>
              <w:top w:val="single" w:sz="6" w:space="0" w:color="000000"/>
              <w:left w:val="nil"/>
              <w:bottom w:val="single" w:sz="12" w:space="0" w:color="000000"/>
              <w:right w:val="nil"/>
            </w:tcBorders>
            <w:shd w:val="clear" w:color="auto" w:fill="FFFFFF"/>
          </w:tcPr>
          <w:p w:rsidR="00965D85" w:rsidRPr="00FD5F4E" w:rsidRDefault="00965D85" w:rsidP="008B46DF">
            <w:pPr>
              <w:autoSpaceDE w:val="0"/>
              <w:autoSpaceDN w:val="0"/>
              <w:adjustRightInd w:val="0"/>
              <w:spacing w:after="0"/>
              <w:jc w:val="right"/>
              <w:rPr>
                <w:rFonts w:ascii="Calibri" w:eastAsiaTheme="minorEastAsia" w:hAnsi="Calibri" w:cs="Calibri"/>
                <w:b/>
                <w:bCs/>
                <w:color w:val="000000"/>
                <w:sz w:val="19"/>
                <w:szCs w:val="19"/>
                <w:lang w:eastAsia="en-AU"/>
              </w:rPr>
            </w:pPr>
            <w:r w:rsidRPr="00FD5F4E">
              <w:rPr>
                <w:rFonts w:ascii="Calibri" w:eastAsiaTheme="minorEastAsia" w:hAnsi="Calibri" w:cs="Calibri"/>
                <w:b/>
                <w:bCs/>
                <w:color w:val="000000"/>
                <w:sz w:val="19"/>
                <w:szCs w:val="19"/>
                <w:lang w:eastAsia="en-AU"/>
              </w:rPr>
              <w:t>4 342.1</w:t>
            </w:r>
          </w:p>
        </w:tc>
        <w:tc>
          <w:tcPr>
            <w:tcW w:w="873" w:type="dxa"/>
            <w:gridSpan w:val="2"/>
            <w:tcBorders>
              <w:top w:val="single" w:sz="6" w:space="0" w:color="000000"/>
              <w:left w:val="nil"/>
              <w:bottom w:val="single" w:sz="12" w:space="0" w:color="000000"/>
              <w:right w:val="nil"/>
            </w:tcBorders>
            <w:shd w:val="clear" w:color="auto" w:fill="FFFFFF"/>
          </w:tcPr>
          <w:p w:rsidR="00965D85" w:rsidRPr="00FD5F4E" w:rsidRDefault="00965D85" w:rsidP="008B46DF">
            <w:pPr>
              <w:autoSpaceDE w:val="0"/>
              <w:autoSpaceDN w:val="0"/>
              <w:adjustRightInd w:val="0"/>
              <w:spacing w:after="0"/>
              <w:jc w:val="right"/>
              <w:rPr>
                <w:rFonts w:ascii="Calibri" w:eastAsiaTheme="minorEastAsia" w:hAnsi="Calibri" w:cs="Calibri"/>
                <w:b/>
                <w:bCs/>
                <w:color w:val="000000"/>
                <w:sz w:val="19"/>
                <w:szCs w:val="19"/>
                <w:lang w:eastAsia="en-AU"/>
              </w:rPr>
            </w:pPr>
            <w:r w:rsidRPr="00FD5F4E">
              <w:rPr>
                <w:rFonts w:ascii="Calibri" w:eastAsiaTheme="minorEastAsia" w:hAnsi="Calibri" w:cs="Calibri"/>
                <w:b/>
                <w:bCs/>
                <w:color w:val="000000"/>
                <w:sz w:val="19"/>
                <w:szCs w:val="19"/>
                <w:lang w:eastAsia="en-AU"/>
              </w:rPr>
              <w:t>2 192.9</w:t>
            </w:r>
          </w:p>
        </w:tc>
        <w:tc>
          <w:tcPr>
            <w:tcW w:w="873" w:type="dxa"/>
            <w:gridSpan w:val="4"/>
            <w:tcBorders>
              <w:top w:val="single" w:sz="6" w:space="0" w:color="000000"/>
              <w:left w:val="nil"/>
              <w:bottom w:val="single" w:sz="12" w:space="0" w:color="000000"/>
              <w:right w:val="nil"/>
            </w:tcBorders>
            <w:shd w:val="clear" w:color="auto" w:fill="FFFFFF"/>
          </w:tcPr>
          <w:p w:rsidR="00965D85" w:rsidRPr="00FD5F4E" w:rsidRDefault="00965D85" w:rsidP="008B46DF">
            <w:pPr>
              <w:autoSpaceDE w:val="0"/>
              <w:autoSpaceDN w:val="0"/>
              <w:adjustRightInd w:val="0"/>
              <w:spacing w:after="0"/>
              <w:jc w:val="right"/>
              <w:rPr>
                <w:rFonts w:ascii="Calibri" w:eastAsiaTheme="minorEastAsia" w:hAnsi="Calibri" w:cs="Calibri"/>
                <w:b/>
                <w:bCs/>
                <w:color w:val="000000"/>
                <w:sz w:val="19"/>
                <w:szCs w:val="19"/>
                <w:lang w:eastAsia="en-AU"/>
              </w:rPr>
            </w:pPr>
            <w:r w:rsidRPr="00FD5F4E">
              <w:rPr>
                <w:rFonts w:ascii="Calibri" w:eastAsiaTheme="minorEastAsia" w:hAnsi="Calibri" w:cs="Calibri"/>
                <w:b/>
                <w:bCs/>
                <w:color w:val="000000"/>
                <w:sz w:val="19"/>
                <w:szCs w:val="19"/>
                <w:lang w:eastAsia="en-AU"/>
              </w:rPr>
              <w:t>898.3</w:t>
            </w:r>
          </w:p>
        </w:tc>
        <w:tc>
          <w:tcPr>
            <w:tcW w:w="873" w:type="dxa"/>
            <w:gridSpan w:val="2"/>
            <w:tcBorders>
              <w:top w:val="single" w:sz="6" w:space="0" w:color="000000"/>
              <w:left w:val="nil"/>
              <w:bottom w:val="single" w:sz="12" w:space="0" w:color="000000"/>
              <w:right w:val="nil"/>
            </w:tcBorders>
            <w:shd w:val="clear" w:color="auto" w:fill="FFFFFF"/>
          </w:tcPr>
          <w:p w:rsidR="00965D85" w:rsidRPr="00FD5F4E" w:rsidRDefault="00965D85" w:rsidP="008B46DF">
            <w:pPr>
              <w:autoSpaceDE w:val="0"/>
              <w:autoSpaceDN w:val="0"/>
              <w:adjustRightInd w:val="0"/>
              <w:spacing w:after="0"/>
              <w:jc w:val="right"/>
              <w:rPr>
                <w:rFonts w:ascii="Calibri" w:eastAsiaTheme="minorEastAsia" w:hAnsi="Calibri" w:cs="Calibri"/>
                <w:b/>
                <w:bCs/>
                <w:color w:val="000000"/>
                <w:sz w:val="19"/>
                <w:szCs w:val="19"/>
                <w:lang w:eastAsia="en-AU"/>
              </w:rPr>
            </w:pPr>
            <w:r w:rsidRPr="00FD5F4E">
              <w:rPr>
                <w:rFonts w:ascii="Calibri" w:eastAsiaTheme="minorEastAsia" w:hAnsi="Calibri" w:cs="Calibri"/>
                <w:b/>
                <w:bCs/>
                <w:color w:val="000000"/>
                <w:sz w:val="19"/>
                <w:szCs w:val="19"/>
                <w:lang w:eastAsia="en-AU"/>
              </w:rPr>
              <w:t>1 266.9</w:t>
            </w:r>
          </w:p>
        </w:tc>
        <w:tc>
          <w:tcPr>
            <w:tcW w:w="873" w:type="dxa"/>
            <w:tcBorders>
              <w:top w:val="single" w:sz="6" w:space="0" w:color="000000"/>
              <w:left w:val="nil"/>
              <w:bottom w:val="single" w:sz="12" w:space="0" w:color="000000"/>
              <w:right w:val="nil"/>
            </w:tcBorders>
            <w:shd w:val="clear" w:color="auto" w:fill="FFFFFF"/>
          </w:tcPr>
          <w:p w:rsidR="00965D85" w:rsidRPr="00FD5F4E" w:rsidRDefault="00965D85" w:rsidP="008B46DF">
            <w:pPr>
              <w:autoSpaceDE w:val="0"/>
              <w:autoSpaceDN w:val="0"/>
              <w:adjustRightInd w:val="0"/>
              <w:spacing w:after="0"/>
              <w:jc w:val="right"/>
              <w:rPr>
                <w:rFonts w:ascii="Calibri" w:eastAsiaTheme="minorEastAsia" w:hAnsi="Calibri" w:cs="Calibri"/>
                <w:b/>
                <w:bCs/>
                <w:color w:val="000000"/>
                <w:sz w:val="19"/>
                <w:szCs w:val="19"/>
                <w:lang w:eastAsia="en-AU"/>
              </w:rPr>
            </w:pPr>
            <w:r w:rsidRPr="00FD5F4E">
              <w:rPr>
                <w:rFonts w:ascii="Calibri" w:eastAsiaTheme="minorEastAsia" w:hAnsi="Calibri" w:cs="Calibri"/>
                <w:b/>
                <w:bCs/>
                <w:color w:val="000000"/>
                <w:sz w:val="19"/>
                <w:szCs w:val="19"/>
                <w:lang w:eastAsia="en-AU"/>
              </w:rPr>
              <w:t>1 269.7</w:t>
            </w:r>
          </w:p>
        </w:tc>
      </w:tr>
      <w:tr w:rsidR="00965D85" w:rsidRPr="00FD5F4E" w:rsidTr="008B46DF">
        <w:tc>
          <w:tcPr>
            <w:tcW w:w="4962" w:type="dxa"/>
            <w:gridSpan w:val="3"/>
            <w:tcBorders>
              <w:top w:val="single" w:sz="12" w:space="0" w:color="000000"/>
              <w:left w:val="nil"/>
              <w:right w:val="nil"/>
            </w:tcBorders>
            <w:shd w:val="clear" w:color="auto" w:fill="FFFFFF"/>
          </w:tcPr>
          <w:p w:rsidR="00965D85" w:rsidRPr="00FD5F4E" w:rsidRDefault="00965D85" w:rsidP="008B46DF">
            <w:pPr>
              <w:autoSpaceDE w:val="0"/>
              <w:autoSpaceDN w:val="0"/>
              <w:adjustRightInd w:val="0"/>
              <w:spacing w:after="0"/>
              <w:ind w:left="227" w:hanging="227"/>
              <w:rPr>
                <w:rFonts w:ascii="Calibri" w:eastAsiaTheme="minorEastAsia" w:hAnsi="Calibri" w:cs="Calibri"/>
                <w:b/>
                <w:bCs/>
                <w:color w:val="000000"/>
                <w:sz w:val="19"/>
                <w:szCs w:val="19"/>
                <w:lang w:eastAsia="en-AU"/>
              </w:rPr>
            </w:pPr>
            <w:r w:rsidRPr="00FD5F4E">
              <w:rPr>
                <w:rFonts w:ascii="Calibri" w:eastAsiaTheme="minorEastAsia" w:hAnsi="Calibri" w:cs="Calibri"/>
                <w:b/>
                <w:bCs/>
                <w:color w:val="000000"/>
                <w:sz w:val="19"/>
                <w:szCs w:val="19"/>
                <w:lang w:eastAsia="en-AU"/>
              </w:rPr>
              <w:t>Other economic flows – other comprehensive income</w:t>
            </w:r>
          </w:p>
        </w:tc>
        <w:tc>
          <w:tcPr>
            <w:tcW w:w="283" w:type="dxa"/>
            <w:gridSpan w:val="2"/>
            <w:tcBorders>
              <w:top w:val="single" w:sz="12" w:space="0" w:color="000000"/>
              <w:left w:val="nil"/>
              <w:right w:val="nil"/>
            </w:tcBorders>
            <w:shd w:val="clear" w:color="auto" w:fill="FFFFFF"/>
          </w:tcPr>
          <w:p w:rsidR="00965D85" w:rsidRPr="00FD5F4E" w:rsidRDefault="00965D85" w:rsidP="008B46DF">
            <w:pPr>
              <w:autoSpaceDE w:val="0"/>
              <w:autoSpaceDN w:val="0"/>
              <w:adjustRightInd w:val="0"/>
              <w:spacing w:after="0"/>
              <w:jc w:val="right"/>
              <w:rPr>
                <w:rFonts w:ascii="Calibri" w:eastAsiaTheme="minorEastAsia" w:hAnsi="Calibri" w:cs="Calibri"/>
                <w:b/>
                <w:bCs/>
                <w:color w:val="000000"/>
                <w:sz w:val="19"/>
                <w:szCs w:val="19"/>
                <w:lang w:eastAsia="en-AU"/>
              </w:rPr>
            </w:pPr>
          </w:p>
        </w:tc>
        <w:tc>
          <w:tcPr>
            <w:tcW w:w="284" w:type="dxa"/>
            <w:tcBorders>
              <w:top w:val="single" w:sz="12" w:space="0" w:color="000000"/>
              <w:left w:val="nil"/>
              <w:right w:val="nil"/>
            </w:tcBorders>
            <w:shd w:val="clear" w:color="auto" w:fill="FFFFFF"/>
          </w:tcPr>
          <w:p w:rsidR="00965D85" w:rsidRPr="00FD5F4E" w:rsidRDefault="00965D85" w:rsidP="008B46DF">
            <w:pPr>
              <w:autoSpaceDE w:val="0"/>
              <w:autoSpaceDN w:val="0"/>
              <w:adjustRightInd w:val="0"/>
              <w:spacing w:after="0"/>
              <w:jc w:val="right"/>
              <w:rPr>
                <w:rFonts w:ascii="Calibri" w:eastAsiaTheme="minorEastAsia" w:hAnsi="Calibri" w:cs="Calibri"/>
                <w:b/>
                <w:bCs/>
                <w:color w:val="000000"/>
                <w:sz w:val="19"/>
                <w:szCs w:val="19"/>
                <w:lang w:eastAsia="en-AU"/>
              </w:rPr>
            </w:pPr>
          </w:p>
        </w:tc>
        <w:tc>
          <w:tcPr>
            <w:tcW w:w="310" w:type="dxa"/>
            <w:tcBorders>
              <w:top w:val="single" w:sz="12" w:space="0" w:color="000000"/>
              <w:left w:val="nil"/>
              <w:right w:val="nil"/>
            </w:tcBorders>
            <w:shd w:val="clear" w:color="auto" w:fill="FFFFFF"/>
          </w:tcPr>
          <w:p w:rsidR="00965D85" w:rsidRPr="00FD5F4E" w:rsidRDefault="00965D85" w:rsidP="008B46DF">
            <w:pPr>
              <w:autoSpaceDE w:val="0"/>
              <w:autoSpaceDN w:val="0"/>
              <w:adjustRightInd w:val="0"/>
              <w:spacing w:after="0"/>
              <w:jc w:val="right"/>
              <w:rPr>
                <w:rFonts w:ascii="Calibri" w:eastAsiaTheme="minorEastAsia" w:hAnsi="Calibri" w:cs="Calibri"/>
                <w:b/>
                <w:bCs/>
                <w:color w:val="000000"/>
                <w:sz w:val="19"/>
                <w:szCs w:val="19"/>
                <w:lang w:eastAsia="en-AU"/>
              </w:rPr>
            </w:pPr>
          </w:p>
        </w:tc>
        <w:tc>
          <w:tcPr>
            <w:tcW w:w="964" w:type="dxa"/>
            <w:gridSpan w:val="2"/>
            <w:tcBorders>
              <w:top w:val="single" w:sz="12" w:space="0" w:color="000000"/>
              <w:left w:val="nil"/>
              <w:right w:val="nil"/>
            </w:tcBorders>
            <w:shd w:val="clear" w:color="auto" w:fill="FFFFFF"/>
          </w:tcPr>
          <w:p w:rsidR="00965D85" w:rsidRPr="00FD5F4E" w:rsidRDefault="00965D85" w:rsidP="008B46DF">
            <w:pPr>
              <w:autoSpaceDE w:val="0"/>
              <w:autoSpaceDN w:val="0"/>
              <w:adjustRightInd w:val="0"/>
              <w:spacing w:after="0"/>
              <w:jc w:val="right"/>
              <w:rPr>
                <w:rFonts w:ascii="Calibri" w:eastAsiaTheme="minorEastAsia" w:hAnsi="Calibri" w:cs="Calibri"/>
                <w:b/>
                <w:bCs/>
                <w:color w:val="000000"/>
                <w:sz w:val="19"/>
                <w:szCs w:val="19"/>
                <w:lang w:eastAsia="en-AU"/>
              </w:rPr>
            </w:pPr>
          </w:p>
        </w:tc>
        <w:tc>
          <w:tcPr>
            <w:tcW w:w="964" w:type="dxa"/>
            <w:gridSpan w:val="2"/>
            <w:tcBorders>
              <w:top w:val="single" w:sz="12" w:space="0" w:color="000000"/>
              <w:left w:val="nil"/>
              <w:right w:val="nil"/>
            </w:tcBorders>
            <w:shd w:val="clear" w:color="auto" w:fill="FFFFFF"/>
          </w:tcPr>
          <w:p w:rsidR="00965D85" w:rsidRPr="00FD5F4E" w:rsidRDefault="00965D85" w:rsidP="008B46DF">
            <w:pPr>
              <w:autoSpaceDE w:val="0"/>
              <w:autoSpaceDN w:val="0"/>
              <w:adjustRightInd w:val="0"/>
              <w:spacing w:after="0"/>
              <w:jc w:val="right"/>
              <w:rPr>
                <w:rFonts w:ascii="Calibri" w:eastAsiaTheme="minorEastAsia" w:hAnsi="Calibri" w:cs="Calibri"/>
                <w:b/>
                <w:bCs/>
                <w:color w:val="000000"/>
                <w:sz w:val="19"/>
                <w:szCs w:val="19"/>
                <w:lang w:eastAsia="en-AU"/>
              </w:rPr>
            </w:pPr>
          </w:p>
        </w:tc>
      </w:tr>
      <w:tr w:rsidR="00965D85" w:rsidRPr="00FD5F4E" w:rsidTr="008B46DF">
        <w:tc>
          <w:tcPr>
            <w:tcW w:w="4962" w:type="dxa"/>
            <w:gridSpan w:val="3"/>
            <w:tcBorders>
              <w:top w:val="nil"/>
              <w:left w:val="nil"/>
              <w:right w:val="nil"/>
            </w:tcBorders>
            <w:shd w:val="clear" w:color="auto" w:fill="FFFFFF"/>
          </w:tcPr>
          <w:p w:rsidR="00965D85" w:rsidRPr="00FD5F4E" w:rsidRDefault="00965D85" w:rsidP="008B46DF">
            <w:pPr>
              <w:autoSpaceDE w:val="0"/>
              <w:autoSpaceDN w:val="0"/>
              <w:adjustRightInd w:val="0"/>
              <w:spacing w:after="0"/>
              <w:ind w:left="227" w:hanging="227"/>
              <w:rPr>
                <w:rFonts w:ascii="Calibri" w:eastAsiaTheme="minorEastAsia" w:hAnsi="Calibri" w:cs="Calibri"/>
                <w:b/>
                <w:bCs/>
                <w:color w:val="000000"/>
                <w:sz w:val="19"/>
                <w:szCs w:val="19"/>
                <w:lang w:eastAsia="en-AU"/>
              </w:rPr>
            </w:pPr>
            <w:r w:rsidRPr="00FD5F4E">
              <w:rPr>
                <w:rFonts w:ascii="Calibri" w:eastAsiaTheme="minorEastAsia" w:hAnsi="Calibri" w:cs="Calibri"/>
                <w:b/>
                <w:bCs/>
                <w:color w:val="000000"/>
                <w:sz w:val="19"/>
                <w:szCs w:val="19"/>
                <w:lang w:eastAsia="en-AU"/>
              </w:rPr>
              <w:t>Items that will not be reclassified to net result</w:t>
            </w:r>
          </w:p>
        </w:tc>
        <w:tc>
          <w:tcPr>
            <w:tcW w:w="283" w:type="dxa"/>
            <w:gridSpan w:val="2"/>
            <w:tcBorders>
              <w:top w:val="nil"/>
              <w:left w:val="nil"/>
              <w:right w:val="nil"/>
            </w:tcBorders>
            <w:shd w:val="clear" w:color="auto" w:fill="FFFFFF"/>
          </w:tcPr>
          <w:p w:rsidR="00965D85" w:rsidRPr="00FD5F4E" w:rsidRDefault="00965D85" w:rsidP="008B46DF">
            <w:pPr>
              <w:autoSpaceDE w:val="0"/>
              <w:autoSpaceDN w:val="0"/>
              <w:adjustRightInd w:val="0"/>
              <w:spacing w:after="0"/>
              <w:jc w:val="right"/>
              <w:rPr>
                <w:rFonts w:ascii="Calibri" w:eastAsiaTheme="minorEastAsia" w:hAnsi="Calibri" w:cs="Calibri"/>
                <w:b/>
                <w:bCs/>
                <w:color w:val="000000"/>
                <w:sz w:val="19"/>
                <w:szCs w:val="19"/>
                <w:lang w:eastAsia="en-AU"/>
              </w:rPr>
            </w:pPr>
          </w:p>
        </w:tc>
        <w:tc>
          <w:tcPr>
            <w:tcW w:w="284" w:type="dxa"/>
            <w:tcBorders>
              <w:top w:val="nil"/>
              <w:left w:val="nil"/>
              <w:right w:val="nil"/>
            </w:tcBorders>
            <w:shd w:val="clear" w:color="auto" w:fill="FFFFFF"/>
          </w:tcPr>
          <w:p w:rsidR="00965D85" w:rsidRPr="00FD5F4E" w:rsidRDefault="00965D85" w:rsidP="008B46DF">
            <w:pPr>
              <w:autoSpaceDE w:val="0"/>
              <w:autoSpaceDN w:val="0"/>
              <w:adjustRightInd w:val="0"/>
              <w:spacing w:after="0"/>
              <w:jc w:val="right"/>
              <w:rPr>
                <w:rFonts w:ascii="Calibri" w:eastAsiaTheme="minorEastAsia" w:hAnsi="Calibri" w:cs="Calibri"/>
                <w:b/>
                <w:bCs/>
                <w:color w:val="000000"/>
                <w:sz w:val="19"/>
                <w:szCs w:val="19"/>
                <w:lang w:eastAsia="en-AU"/>
              </w:rPr>
            </w:pPr>
          </w:p>
        </w:tc>
        <w:tc>
          <w:tcPr>
            <w:tcW w:w="310" w:type="dxa"/>
            <w:tcBorders>
              <w:top w:val="nil"/>
              <w:left w:val="nil"/>
              <w:right w:val="nil"/>
            </w:tcBorders>
            <w:shd w:val="clear" w:color="auto" w:fill="FFFFFF"/>
          </w:tcPr>
          <w:p w:rsidR="00965D85" w:rsidRPr="00FD5F4E" w:rsidRDefault="00965D85" w:rsidP="008B46DF">
            <w:pPr>
              <w:autoSpaceDE w:val="0"/>
              <w:autoSpaceDN w:val="0"/>
              <w:adjustRightInd w:val="0"/>
              <w:spacing w:after="0"/>
              <w:jc w:val="right"/>
              <w:rPr>
                <w:rFonts w:ascii="Calibri" w:eastAsiaTheme="minorEastAsia" w:hAnsi="Calibri" w:cs="Calibri"/>
                <w:b/>
                <w:bCs/>
                <w:color w:val="000000"/>
                <w:sz w:val="19"/>
                <w:szCs w:val="19"/>
                <w:lang w:eastAsia="en-AU"/>
              </w:rPr>
            </w:pPr>
          </w:p>
        </w:tc>
        <w:tc>
          <w:tcPr>
            <w:tcW w:w="964" w:type="dxa"/>
            <w:gridSpan w:val="2"/>
            <w:tcBorders>
              <w:top w:val="nil"/>
              <w:left w:val="nil"/>
              <w:right w:val="nil"/>
            </w:tcBorders>
            <w:shd w:val="clear" w:color="auto" w:fill="FFFFFF"/>
          </w:tcPr>
          <w:p w:rsidR="00965D85" w:rsidRPr="00FD5F4E" w:rsidRDefault="00965D85" w:rsidP="008B46DF">
            <w:pPr>
              <w:autoSpaceDE w:val="0"/>
              <w:autoSpaceDN w:val="0"/>
              <w:adjustRightInd w:val="0"/>
              <w:spacing w:after="0"/>
              <w:jc w:val="right"/>
              <w:rPr>
                <w:rFonts w:ascii="Calibri" w:eastAsiaTheme="minorEastAsia" w:hAnsi="Calibri" w:cs="Calibri"/>
                <w:b/>
                <w:bCs/>
                <w:color w:val="000000"/>
                <w:sz w:val="19"/>
                <w:szCs w:val="19"/>
                <w:lang w:eastAsia="en-AU"/>
              </w:rPr>
            </w:pPr>
          </w:p>
        </w:tc>
        <w:tc>
          <w:tcPr>
            <w:tcW w:w="964" w:type="dxa"/>
            <w:gridSpan w:val="2"/>
            <w:tcBorders>
              <w:top w:val="nil"/>
              <w:left w:val="nil"/>
              <w:right w:val="nil"/>
            </w:tcBorders>
            <w:shd w:val="clear" w:color="auto" w:fill="FFFFFF"/>
          </w:tcPr>
          <w:p w:rsidR="00965D85" w:rsidRPr="00FD5F4E" w:rsidRDefault="00965D85" w:rsidP="008B46DF">
            <w:pPr>
              <w:autoSpaceDE w:val="0"/>
              <w:autoSpaceDN w:val="0"/>
              <w:adjustRightInd w:val="0"/>
              <w:spacing w:after="0"/>
              <w:jc w:val="right"/>
              <w:rPr>
                <w:rFonts w:ascii="Calibri" w:eastAsiaTheme="minorEastAsia" w:hAnsi="Calibri" w:cs="Calibri"/>
                <w:b/>
                <w:bCs/>
                <w:color w:val="000000"/>
                <w:sz w:val="19"/>
                <w:szCs w:val="19"/>
                <w:lang w:eastAsia="en-AU"/>
              </w:rPr>
            </w:pPr>
          </w:p>
        </w:tc>
      </w:tr>
      <w:tr w:rsidR="00965D85" w:rsidRPr="00FD5F4E" w:rsidTr="008B46DF">
        <w:tc>
          <w:tcPr>
            <w:tcW w:w="3402" w:type="dxa"/>
            <w:tcBorders>
              <w:top w:val="nil"/>
              <w:left w:val="nil"/>
              <w:right w:val="nil"/>
            </w:tcBorders>
            <w:shd w:val="clear" w:color="auto" w:fill="FFFFFF"/>
          </w:tcPr>
          <w:p w:rsidR="00965D85" w:rsidRPr="00FD5F4E" w:rsidRDefault="00965D85" w:rsidP="008B46DF">
            <w:pPr>
              <w:autoSpaceDE w:val="0"/>
              <w:autoSpaceDN w:val="0"/>
              <w:adjustRightInd w:val="0"/>
              <w:spacing w:after="0"/>
              <w:ind w:left="227" w:hanging="227"/>
              <w:rPr>
                <w:rFonts w:ascii="Calibri" w:eastAsiaTheme="minorEastAsia" w:hAnsi="Calibri" w:cs="Calibri"/>
                <w:color w:val="000000"/>
                <w:sz w:val="19"/>
                <w:szCs w:val="19"/>
                <w:lang w:eastAsia="en-AU"/>
              </w:rPr>
            </w:pPr>
            <w:r w:rsidRPr="00FD5F4E">
              <w:rPr>
                <w:rFonts w:ascii="Calibri" w:eastAsiaTheme="minorEastAsia" w:hAnsi="Calibri" w:cs="Calibri"/>
                <w:color w:val="000000"/>
                <w:sz w:val="19"/>
                <w:szCs w:val="19"/>
                <w:lang w:eastAsia="en-AU"/>
              </w:rPr>
              <w:t>Changes in non</w:t>
            </w:r>
            <w:r w:rsidRPr="00FD5F4E">
              <w:rPr>
                <w:rFonts w:ascii="Calibri" w:eastAsiaTheme="minorEastAsia" w:hAnsi="Calibri" w:cs="Calibri"/>
                <w:color w:val="000000"/>
                <w:sz w:val="19"/>
                <w:szCs w:val="19"/>
                <w:lang w:eastAsia="en-AU"/>
              </w:rPr>
              <w:noBreakHyphen/>
              <w:t>financial assets revaluation surplus</w:t>
            </w:r>
          </w:p>
        </w:tc>
        <w:tc>
          <w:tcPr>
            <w:tcW w:w="873" w:type="dxa"/>
            <w:tcBorders>
              <w:top w:val="nil"/>
              <w:left w:val="nil"/>
              <w:right w:val="nil"/>
            </w:tcBorders>
            <w:shd w:val="clear" w:color="auto" w:fill="FFFFFF"/>
          </w:tcPr>
          <w:p w:rsidR="00965D85" w:rsidRPr="00FD5F4E"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FD5F4E">
              <w:rPr>
                <w:rFonts w:ascii="Calibri" w:eastAsiaTheme="minorEastAsia" w:hAnsi="Calibri" w:cs="Calibri"/>
                <w:color w:val="000000"/>
                <w:sz w:val="19"/>
                <w:szCs w:val="19"/>
                <w:lang w:eastAsia="en-AU"/>
              </w:rPr>
              <w:t>2 165.1</w:t>
            </w:r>
          </w:p>
        </w:tc>
        <w:tc>
          <w:tcPr>
            <w:tcW w:w="873" w:type="dxa"/>
            <w:gridSpan w:val="2"/>
            <w:tcBorders>
              <w:top w:val="nil"/>
              <w:left w:val="nil"/>
              <w:right w:val="nil"/>
            </w:tcBorders>
            <w:shd w:val="clear" w:color="auto" w:fill="FFFFFF"/>
          </w:tcPr>
          <w:p w:rsidR="00965D85" w:rsidRPr="00FD5F4E"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FD5F4E">
              <w:rPr>
                <w:rFonts w:ascii="Calibri" w:eastAsiaTheme="minorEastAsia" w:hAnsi="Calibri" w:cs="Calibri"/>
                <w:color w:val="000000"/>
                <w:sz w:val="19"/>
                <w:szCs w:val="19"/>
                <w:lang w:eastAsia="en-AU"/>
              </w:rPr>
              <w:t>2 169.7</w:t>
            </w:r>
          </w:p>
        </w:tc>
        <w:tc>
          <w:tcPr>
            <w:tcW w:w="873" w:type="dxa"/>
            <w:gridSpan w:val="4"/>
            <w:tcBorders>
              <w:top w:val="nil"/>
              <w:left w:val="nil"/>
              <w:right w:val="nil"/>
            </w:tcBorders>
            <w:shd w:val="clear" w:color="auto" w:fill="FFFFFF"/>
          </w:tcPr>
          <w:p w:rsidR="00965D85" w:rsidRPr="00FD5F4E"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FD5F4E">
              <w:rPr>
                <w:rFonts w:ascii="Calibri" w:eastAsiaTheme="minorEastAsia" w:hAnsi="Calibri" w:cs="Calibri"/>
                <w:color w:val="000000"/>
                <w:sz w:val="19"/>
                <w:szCs w:val="19"/>
                <w:lang w:eastAsia="en-AU"/>
              </w:rPr>
              <w:t>498.2</w:t>
            </w:r>
          </w:p>
        </w:tc>
        <w:tc>
          <w:tcPr>
            <w:tcW w:w="873" w:type="dxa"/>
            <w:gridSpan w:val="2"/>
            <w:tcBorders>
              <w:top w:val="nil"/>
              <w:left w:val="nil"/>
              <w:right w:val="nil"/>
            </w:tcBorders>
            <w:shd w:val="clear" w:color="auto" w:fill="FFFFFF"/>
          </w:tcPr>
          <w:p w:rsidR="00965D85" w:rsidRPr="00FD5F4E"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FD5F4E">
              <w:rPr>
                <w:rFonts w:ascii="Calibri" w:eastAsiaTheme="minorEastAsia" w:hAnsi="Calibri" w:cs="Calibri"/>
                <w:color w:val="000000"/>
                <w:sz w:val="19"/>
                <w:szCs w:val="19"/>
                <w:lang w:eastAsia="en-AU"/>
              </w:rPr>
              <w:t>9 114.5</w:t>
            </w:r>
          </w:p>
        </w:tc>
        <w:tc>
          <w:tcPr>
            <w:tcW w:w="873" w:type="dxa"/>
            <w:tcBorders>
              <w:top w:val="nil"/>
              <w:left w:val="nil"/>
              <w:right w:val="nil"/>
            </w:tcBorders>
            <w:shd w:val="clear" w:color="auto" w:fill="FFFFFF"/>
          </w:tcPr>
          <w:p w:rsidR="00965D85" w:rsidRPr="00FD5F4E"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FD5F4E">
              <w:rPr>
                <w:rFonts w:ascii="Calibri" w:eastAsiaTheme="minorEastAsia" w:hAnsi="Calibri" w:cs="Calibri"/>
                <w:color w:val="000000"/>
                <w:sz w:val="19"/>
                <w:szCs w:val="19"/>
                <w:lang w:eastAsia="en-AU"/>
              </w:rPr>
              <w:t>406.7</w:t>
            </w:r>
          </w:p>
        </w:tc>
      </w:tr>
      <w:tr w:rsidR="00965D85" w:rsidRPr="00FD5F4E" w:rsidTr="008B46DF">
        <w:tc>
          <w:tcPr>
            <w:tcW w:w="3402" w:type="dxa"/>
            <w:tcBorders>
              <w:top w:val="nil"/>
              <w:left w:val="nil"/>
              <w:right w:val="nil"/>
            </w:tcBorders>
            <w:shd w:val="clear" w:color="auto" w:fill="FFFFFF"/>
          </w:tcPr>
          <w:p w:rsidR="00965D85" w:rsidRPr="00FD5F4E" w:rsidRDefault="00965D85" w:rsidP="008B46DF">
            <w:pPr>
              <w:autoSpaceDE w:val="0"/>
              <w:autoSpaceDN w:val="0"/>
              <w:adjustRightInd w:val="0"/>
              <w:spacing w:after="0"/>
              <w:ind w:left="227" w:hanging="227"/>
              <w:rPr>
                <w:rFonts w:ascii="Calibri" w:eastAsiaTheme="minorEastAsia" w:hAnsi="Calibri" w:cs="Calibri"/>
                <w:color w:val="000000"/>
                <w:sz w:val="19"/>
                <w:szCs w:val="19"/>
                <w:lang w:eastAsia="en-AU"/>
              </w:rPr>
            </w:pPr>
            <w:r w:rsidRPr="00FD5F4E">
              <w:rPr>
                <w:rFonts w:ascii="Calibri" w:eastAsiaTheme="minorEastAsia" w:hAnsi="Calibri" w:cs="Calibri"/>
                <w:color w:val="000000"/>
                <w:sz w:val="19"/>
                <w:szCs w:val="19"/>
                <w:lang w:eastAsia="en-AU"/>
              </w:rPr>
              <w:t>Remeasurement of superannuation defined benefits plans</w:t>
            </w:r>
          </w:p>
        </w:tc>
        <w:tc>
          <w:tcPr>
            <w:tcW w:w="873" w:type="dxa"/>
            <w:tcBorders>
              <w:top w:val="nil"/>
              <w:left w:val="nil"/>
              <w:right w:val="nil"/>
            </w:tcBorders>
            <w:shd w:val="clear" w:color="auto" w:fill="FFFFFF"/>
          </w:tcPr>
          <w:p w:rsidR="00965D85" w:rsidRPr="00FD5F4E"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FD5F4E">
              <w:rPr>
                <w:rFonts w:ascii="Calibri" w:eastAsiaTheme="minorEastAsia" w:hAnsi="Calibri" w:cs="Calibri"/>
                <w:color w:val="000000"/>
                <w:sz w:val="19"/>
                <w:szCs w:val="19"/>
                <w:lang w:eastAsia="en-AU"/>
              </w:rPr>
              <w:t>958.2</w:t>
            </w:r>
          </w:p>
        </w:tc>
        <w:tc>
          <w:tcPr>
            <w:tcW w:w="873" w:type="dxa"/>
            <w:gridSpan w:val="2"/>
            <w:tcBorders>
              <w:top w:val="nil"/>
              <w:left w:val="nil"/>
              <w:right w:val="nil"/>
            </w:tcBorders>
            <w:shd w:val="clear" w:color="auto" w:fill="FFFFFF"/>
          </w:tcPr>
          <w:p w:rsidR="00965D85" w:rsidRPr="00FD5F4E"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FD5F4E">
              <w:rPr>
                <w:rFonts w:ascii="Calibri" w:eastAsiaTheme="minorEastAsia" w:hAnsi="Calibri" w:cs="Calibri"/>
                <w:color w:val="000000"/>
                <w:sz w:val="19"/>
                <w:szCs w:val="19"/>
                <w:lang w:eastAsia="en-AU"/>
              </w:rPr>
              <w:t>(1 397.2)</w:t>
            </w:r>
          </w:p>
        </w:tc>
        <w:tc>
          <w:tcPr>
            <w:tcW w:w="873" w:type="dxa"/>
            <w:gridSpan w:val="4"/>
            <w:tcBorders>
              <w:top w:val="nil"/>
              <w:left w:val="nil"/>
              <w:right w:val="nil"/>
            </w:tcBorders>
            <w:shd w:val="clear" w:color="auto" w:fill="FFFFFF"/>
          </w:tcPr>
          <w:p w:rsidR="00965D85" w:rsidRPr="00FD5F4E"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FD5F4E">
              <w:rPr>
                <w:rFonts w:ascii="Calibri" w:eastAsiaTheme="minorEastAsia" w:hAnsi="Calibri" w:cs="Calibri"/>
                <w:color w:val="000000"/>
                <w:sz w:val="19"/>
                <w:szCs w:val="19"/>
                <w:lang w:eastAsia="en-AU"/>
              </w:rPr>
              <w:t>842.9</w:t>
            </w:r>
          </w:p>
        </w:tc>
        <w:tc>
          <w:tcPr>
            <w:tcW w:w="873" w:type="dxa"/>
            <w:gridSpan w:val="2"/>
            <w:tcBorders>
              <w:top w:val="nil"/>
              <w:left w:val="nil"/>
              <w:right w:val="nil"/>
            </w:tcBorders>
            <w:shd w:val="clear" w:color="auto" w:fill="FFFFFF"/>
          </w:tcPr>
          <w:p w:rsidR="00965D85" w:rsidRPr="00FD5F4E"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FD5F4E">
              <w:rPr>
                <w:rFonts w:ascii="Calibri" w:eastAsiaTheme="minorEastAsia" w:hAnsi="Calibri" w:cs="Calibri"/>
                <w:color w:val="000000"/>
                <w:sz w:val="19"/>
                <w:szCs w:val="19"/>
                <w:lang w:eastAsia="en-AU"/>
              </w:rPr>
              <w:t>846.0</w:t>
            </w:r>
          </w:p>
        </w:tc>
        <w:tc>
          <w:tcPr>
            <w:tcW w:w="873" w:type="dxa"/>
            <w:tcBorders>
              <w:top w:val="nil"/>
              <w:left w:val="nil"/>
              <w:right w:val="nil"/>
            </w:tcBorders>
            <w:shd w:val="clear" w:color="auto" w:fill="FFFFFF"/>
          </w:tcPr>
          <w:p w:rsidR="00965D85" w:rsidRPr="00FD5F4E"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FD5F4E">
              <w:rPr>
                <w:rFonts w:ascii="Calibri" w:eastAsiaTheme="minorEastAsia" w:hAnsi="Calibri" w:cs="Calibri"/>
                <w:color w:val="000000"/>
                <w:sz w:val="19"/>
                <w:szCs w:val="19"/>
                <w:lang w:eastAsia="en-AU"/>
              </w:rPr>
              <w:t>831.8</w:t>
            </w:r>
          </w:p>
        </w:tc>
      </w:tr>
      <w:tr w:rsidR="00965D85" w:rsidRPr="00FD5F4E" w:rsidTr="008B46DF">
        <w:tc>
          <w:tcPr>
            <w:tcW w:w="3402" w:type="dxa"/>
            <w:tcBorders>
              <w:top w:val="nil"/>
              <w:left w:val="nil"/>
              <w:right w:val="nil"/>
            </w:tcBorders>
            <w:shd w:val="clear" w:color="auto" w:fill="FFFFFF"/>
          </w:tcPr>
          <w:p w:rsidR="00965D85" w:rsidRPr="00FD5F4E" w:rsidRDefault="00965D85" w:rsidP="008B46DF">
            <w:pPr>
              <w:autoSpaceDE w:val="0"/>
              <w:autoSpaceDN w:val="0"/>
              <w:adjustRightInd w:val="0"/>
              <w:spacing w:after="0"/>
              <w:ind w:left="227" w:hanging="227"/>
              <w:rPr>
                <w:rFonts w:ascii="Calibri" w:eastAsiaTheme="minorEastAsia" w:hAnsi="Calibri" w:cs="Calibri"/>
                <w:color w:val="000000"/>
                <w:sz w:val="19"/>
                <w:szCs w:val="19"/>
                <w:lang w:eastAsia="en-AU"/>
              </w:rPr>
            </w:pPr>
            <w:r w:rsidRPr="00FD5F4E">
              <w:rPr>
                <w:rFonts w:ascii="Calibri" w:eastAsiaTheme="minorEastAsia" w:hAnsi="Calibri" w:cs="Calibri"/>
                <w:color w:val="000000"/>
                <w:sz w:val="19"/>
                <w:szCs w:val="19"/>
                <w:lang w:eastAsia="en-AU"/>
              </w:rPr>
              <w:t>Other movements in equity</w:t>
            </w:r>
          </w:p>
        </w:tc>
        <w:tc>
          <w:tcPr>
            <w:tcW w:w="873" w:type="dxa"/>
            <w:tcBorders>
              <w:top w:val="nil"/>
              <w:left w:val="nil"/>
              <w:right w:val="nil"/>
            </w:tcBorders>
            <w:shd w:val="clear" w:color="auto" w:fill="FFFFFF"/>
          </w:tcPr>
          <w:p w:rsidR="00965D85" w:rsidRPr="00FD5F4E"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FD5F4E">
              <w:rPr>
                <w:rFonts w:ascii="Calibri" w:eastAsiaTheme="minorEastAsia" w:hAnsi="Calibri" w:cs="Calibri"/>
                <w:color w:val="000000"/>
                <w:sz w:val="19"/>
                <w:szCs w:val="19"/>
                <w:lang w:eastAsia="en-AU"/>
              </w:rPr>
              <w:t>487.1</w:t>
            </w:r>
          </w:p>
        </w:tc>
        <w:tc>
          <w:tcPr>
            <w:tcW w:w="873" w:type="dxa"/>
            <w:gridSpan w:val="2"/>
            <w:tcBorders>
              <w:top w:val="nil"/>
              <w:left w:val="nil"/>
              <w:right w:val="nil"/>
            </w:tcBorders>
            <w:shd w:val="clear" w:color="auto" w:fill="FFFFFF"/>
          </w:tcPr>
          <w:p w:rsidR="00965D85" w:rsidRPr="00FD5F4E"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FD5F4E">
              <w:rPr>
                <w:rFonts w:ascii="Calibri" w:eastAsiaTheme="minorEastAsia" w:hAnsi="Calibri" w:cs="Calibri"/>
                <w:color w:val="000000"/>
                <w:sz w:val="19"/>
                <w:szCs w:val="19"/>
                <w:lang w:eastAsia="en-AU"/>
              </w:rPr>
              <w:t>(356.8)</w:t>
            </w:r>
          </w:p>
        </w:tc>
        <w:tc>
          <w:tcPr>
            <w:tcW w:w="873" w:type="dxa"/>
            <w:gridSpan w:val="4"/>
            <w:tcBorders>
              <w:top w:val="nil"/>
              <w:left w:val="nil"/>
              <w:right w:val="nil"/>
            </w:tcBorders>
            <w:shd w:val="clear" w:color="auto" w:fill="FFFFFF"/>
          </w:tcPr>
          <w:p w:rsidR="00965D85" w:rsidRPr="00FD5F4E"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FD5F4E">
              <w:rPr>
                <w:rFonts w:ascii="Calibri" w:eastAsiaTheme="minorEastAsia" w:hAnsi="Calibri" w:cs="Calibri"/>
                <w:color w:val="000000"/>
                <w:sz w:val="19"/>
                <w:szCs w:val="19"/>
                <w:lang w:eastAsia="en-AU"/>
              </w:rPr>
              <w:t>145.7</w:t>
            </w:r>
          </w:p>
        </w:tc>
        <w:tc>
          <w:tcPr>
            <w:tcW w:w="873" w:type="dxa"/>
            <w:gridSpan w:val="2"/>
            <w:tcBorders>
              <w:top w:val="nil"/>
              <w:left w:val="nil"/>
              <w:right w:val="nil"/>
            </w:tcBorders>
            <w:shd w:val="clear" w:color="auto" w:fill="FFFFFF"/>
          </w:tcPr>
          <w:p w:rsidR="00965D85" w:rsidRPr="00FD5F4E"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FD5F4E">
              <w:rPr>
                <w:rFonts w:ascii="Calibri" w:eastAsiaTheme="minorEastAsia" w:hAnsi="Calibri" w:cs="Calibri"/>
                <w:color w:val="000000"/>
                <w:sz w:val="19"/>
                <w:szCs w:val="19"/>
                <w:lang w:eastAsia="en-AU"/>
              </w:rPr>
              <w:t>(13.1)</w:t>
            </w:r>
          </w:p>
        </w:tc>
        <w:tc>
          <w:tcPr>
            <w:tcW w:w="873" w:type="dxa"/>
            <w:tcBorders>
              <w:top w:val="nil"/>
              <w:left w:val="nil"/>
              <w:right w:val="nil"/>
            </w:tcBorders>
            <w:shd w:val="clear" w:color="auto" w:fill="FFFFFF"/>
          </w:tcPr>
          <w:p w:rsidR="00965D85" w:rsidRPr="00FD5F4E"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FD5F4E">
              <w:rPr>
                <w:rFonts w:ascii="Calibri" w:eastAsiaTheme="minorEastAsia" w:hAnsi="Calibri" w:cs="Calibri"/>
                <w:color w:val="000000"/>
                <w:sz w:val="19"/>
                <w:szCs w:val="19"/>
                <w:lang w:eastAsia="en-AU"/>
              </w:rPr>
              <w:t>10.2</w:t>
            </w:r>
          </w:p>
        </w:tc>
      </w:tr>
      <w:tr w:rsidR="00965D85" w:rsidRPr="00FD5F4E" w:rsidTr="008B46DF">
        <w:tc>
          <w:tcPr>
            <w:tcW w:w="3402" w:type="dxa"/>
            <w:tcBorders>
              <w:top w:val="nil"/>
              <w:left w:val="nil"/>
              <w:right w:val="nil"/>
            </w:tcBorders>
            <w:shd w:val="clear" w:color="auto" w:fill="FFFFFF"/>
          </w:tcPr>
          <w:p w:rsidR="00965D85" w:rsidRPr="00FD5F4E" w:rsidRDefault="00965D85" w:rsidP="008B46DF">
            <w:pPr>
              <w:autoSpaceDE w:val="0"/>
              <w:autoSpaceDN w:val="0"/>
              <w:adjustRightInd w:val="0"/>
              <w:spacing w:after="0"/>
              <w:ind w:left="227" w:hanging="227"/>
              <w:rPr>
                <w:rFonts w:ascii="Calibri" w:eastAsiaTheme="minorEastAsia" w:hAnsi="Calibri" w:cs="Calibri"/>
                <w:b/>
                <w:bCs/>
                <w:color w:val="000000"/>
                <w:sz w:val="19"/>
                <w:szCs w:val="19"/>
                <w:lang w:eastAsia="en-AU"/>
              </w:rPr>
            </w:pPr>
            <w:r w:rsidRPr="00FD5F4E">
              <w:rPr>
                <w:rFonts w:ascii="Calibri" w:eastAsiaTheme="minorEastAsia" w:hAnsi="Calibri" w:cs="Calibri"/>
                <w:b/>
                <w:bCs/>
                <w:color w:val="000000"/>
                <w:sz w:val="19"/>
                <w:szCs w:val="19"/>
                <w:lang w:eastAsia="en-AU"/>
              </w:rPr>
              <w:t>Items that may be reclassified subsequently to net result</w:t>
            </w:r>
          </w:p>
        </w:tc>
        <w:tc>
          <w:tcPr>
            <w:tcW w:w="873" w:type="dxa"/>
            <w:tcBorders>
              <w:top w:val="nil"/>
              <w:left w:val="nil"/>
              <w:right w:val="nil"/>
            </w:tcBorders>
            <w:shd w:val="clear" w:color="auto" w:fill="FFFFFF"/>
          </w:tcPr>
          <w:p w:rsidR="00965D85" w:rsidRPr="00FD5F4E" w:rsidRDefault="00965D85" w:rsidP="008B46DF">
            <w:pPr>
              <w:autoSpaceDE w:val="0"/>
              <w:autoSpaceDN w:val="0"/>
              <w:adjustRightInd w:val="0"/>
              <w:spacing w:after="0"/>
              <w:jc w:val="right"/>
              <w:rPr>
                <w:rFonts w:ascii="Calibri" w:eastAsiaTheme="minorEastAsia" w:hAnsi="Calibri" w:cs="Calibri"/>
                <w:b/>
                <w:bCs/>
                <w:color w:val="000000"/>
                <w:sz w:val="19"/>
                <w:szCs w:val="19"/>
                <w:lang w:eastAsia="en-AU"/>
              </w:rPr>
            </w:pPr>
          </w:p>
        </w:tc>
        <w:tc>
          <w:tcPr>
            <w:tcW w:w="873" w:type="dxa"/>
            <w:gridSpan w:val="2"/>
            <w:tcBorders>
              <w:top w:val="nil"/>
              <w:left w:val="nil"/>
              <w:right w:val="nil"/>
            </w:tcBorders>
            <w:shd w:val="clear" w:color="auto" w:fill="FFFFFF"/>
          </w:tcPr>
          <w:p w:rsidR="00965D85" w:rsidRPr="00FD5F4E" w:rsidRDefault="00965D85" w:rsidP="008B46DF">
            <w:pPr>
              <w:autoSpaceDE w:val="0"/>
              <w:autoSpaceDN w:val="0"/>
              <w:adjustRightInd w:val="0"/>
              <w:spacing w:after="0"/>
              <w:jc w:val="right"/>
              <w:rPr>
                <w:rFonts w:ascii="Calibri" w:eastAsiaTheme="minorEastAsia" w:hAnsi="Calibri" w:cs="Calibri"/>
                <w:b/>
                <w:bCs/>
                <w:color w:val="000000"/>
                <w:sz w:val="19"/>
                <w:szCs w:val="19"/>
                <w:lang w:eastAsia="en-AU"/>
              </w:rPr>
            </w:pPr>
          </w:p>
        </w:tc>
        <w:tc>
          <w:tcPr>
            <w:tcW w:w="873" w:type="dxa"/>
            <w:gridSpan w:val="4"/>
            <w:tcBorders>
              <w:top w:val="nil"/>
              <w:left w:val="nil"/>
              <w:right w:val="nil"/>
            </w:tcBorders>
            <w:shd w:val="clear" w:color="auto" w:fill="FFFFFF"/>
          </w:tcPr>
          <w:p w:rsidR="00965D85" w:rsidRPr="00FD5F4E" w:rsidRDefault="00965D85" w:rsidP="008B46DF">
            <w:pPr>
              <w:autoSpaceDE w:val="0"/>
              <w:autoSpaceDN w:val="0"/>
              <w:adjustRightInd w:val="0"/>
              <w:spacing w:after="0"/>
              <w:jc w:val="right"/>
              <w:rPr>
                <w:rFonts w:ascii="Calibri" w:eastAsiaTheme="minorEastAsia" w:hAnsi="Calibri" w:cs="Calibri"/>
                <w:b/>
                <w:bCs/>
                <w:color w:val="000000"/>
                <w:sz w:val="19"/>
                <w:szCs w:val="19"/>
                <w:lang w:eastAsia="en-AU"/>
              </w:rPr>
            </w:pPr>
          </w:p>
        </w:tc>
        <w:tc>
          <w:tcPr>
            <w:tcW w:w="873" w:type="dxa"/>
            <w:gridSpan w:val="2"/>
            <w:tcBorders>
              <w:top w:val="nil"/>
              <w:left w:val="nil"/>
              <w:right w:val="nil"/>
            </w:tcBorders>
            <w:shd w:val="clear" w:color="auto" w:fill="FFFFFF"/>
          </w:tcPr>
          <w:p w:rsidR="00965D85" w:rsidRPr="00FD5F4E" w:rsidRDefault="00965D85" w:rsidP="008B46DF">
            <w:pPr>
              <w:autoSpaceDE w:val="0"/>
              <w:autoSpaceDN w:val="0"/>
              <w:adjustRightInd w:val="0"/>
              <w:spacing w:after="0"/>
              <w:jc w:val="right"/>
              <w:rPr>
                <w:rFonts w:ascii="Calibri" w:eastAsiaTheme="minorEastAsia" w:hAnsi="Calibri" w:cs="Calibri"/>
                <w:b/>
                <w:bCs/>
                <w:color w:val="000000"/>
                <w:sz w:val="19"/>
                <w:szCs w:val="19"/>
                <w:lang w:eastAsia="en-AU"/>
              </w:rPr>
            </w:pPr>
          </w:p>
        </w:tc>
        <w:tc>
          <w:tcPr>
            <w:tcW w:w="873" w:type="dxa"/>
            <w:tcBorders>
              <w:top w:val="nil"/>
              <w:left w:val="nil"/>
              <w:right w:val="nil"/>
            </w:tcBorders>
            <w:shd w:val="clear" w:color="auto" w:fill="FFFFFF"/>
          </w:tcPr>
          <w:p w:rsidR="00965D85" w:rsidRPr="00FD5F4E" w:rsidRDefault="00965D85" w:rsidP="008B46DF">
            <w:pPr>
              <w:autoSpaceDE w:val="0"/>
              <w:autoSpaceDN w:val="0"/>
              <w:adjustRightInd w:val="0"/>
              <w:spacing w:after="0"/>
              <w:jc w:val="right"/>
              <w:rPr>
                <w:rFonts w:ascii="Calibri" w:eastAsiaTheme="minorEastAsia" w:hAnsi="Calibri" w:cs="Calibri"/>
                <w:b/>
                <w:bCs/>
                <w:color w:val="000000"/>
                <w:sz w:val="19"/>
                <w:szCs w:val="19"/>
                <w:lang w:eastAsia="en-AU"/>
              </w:rPr>
            </w:pPr>
          </w:p>
        </w:tc>
      </w:tr>
      <w:tr w:rsidR="00965D85" w:rsidRPr="00FD5F4E" w:rsidTr="008B46DF">
        <w:tc>
          <w:tcPr>
            <w:tcW w:w="3402" w:type="dxa"/>
            <w:tcBorders>
              <w:top w:val="nil"/>
              <w:left w:val="nil"/>
              <w:bottom w:val="single" w:sz="6" w:space="0" w:color="000000"/>
              <w:right w:val="nil"/>
            </w:tcBorders>
            <w:shd w:val="clear" w:color="auto" w:fill="FFFFFF"/>
          </w:tcPr>
          <w:p w:rsidR="00965D85" w:rsidRPr="00FD5F4E" w:rsidRDefault="00965D85" w:rsidP="008B46DF">
            <w:pPr>
              <w:autoSpaceDE w:val="0"/>
              <w:autoSpaceDN w:val="0"/>
              <w:adjustRightInd w:val="0"/>
              <w:spacing w:after="0"/>
              <w:ind w:left="227" w:hanging="227"/>
              <w:rPr>
                <w:rFonts w:ascii="Calibri" w:eastAsiaTheme="minorEastAsia" w:hAnsi="Calibri" w:cs="Calibri"/>
                <w:color w:val="000000"/>
                <w:sz w:val="19"/>
                <w:szCs w:val="19"/>
                <w:lang w:eastAsia="en-AU"/>
              </w:rPr>
            </w:pPr>
            <w:r w:rsidRPr="00FD5F4E">
              <w:rPr>
                <w:rFonts w:ascii="Calibri" w:eastAsiaTheme="minorEastAsia" w:hAnsi="Calibri" w:cs="Calibri"/>
                <w:color w:val="000000"/>
                <w:sz w:val="19"/>
                <w:szCs w:val="19"/>
                <w:lang w:eastAsia="en-AU"/>
              </w:rPr>
              <w:t>Net gain/(loss) on financial assets at fair value</w:t>
            </w:r>
          </w:p>
        </w:tc>
        <w:tc>
          <w:tcPr>
            <w:tcW w:w="873" w:type="dxa"/>
            <w:tcBorders>
              <w:top w:val="nil"/>
              <w:left w:val="nil"/>
              <w:bottom w:val="single" w:sz="6" w:space="0" w:color="000000"/>
              <w:right w:val="nil"/>
            </w:tcBorders>
            <w:shd w:val="clear" w:color="auto" w:fill="FFFFFF"/>
          </w:tcPr>
          <w:p w:rsidR="00965D85" w:rsidRPr="00FD5F4E"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FD5F4E">
              <w:rPr>
                <w:rFonts w:ascii="Calibri" w:eastAsiaTheme="minorEastAsia" w:hAnsi="Calibri" w:cs="Calibri"/>
                <w:color w:val="000000"/>
                <w:sz w:val="19"/>
                <w:szCs w:val="19"/>
                <w:lang w:eastAsia="en-AU"/>
              </w:rPr>
              <w:t>28.5</w:t>
            </w:r>
          </w:p>
        </w:tc>
        <w:tc>
          <w:tcPr>
            <w:tcW w:w="873" w:type="dxa"/>
            <w:gridSpan w:val="2"/>
            <w:tcBorders>
              <w:top w:val="nil"/>
              <w:left w:val="nil"/>
              <w:bottom w:val="single" w:sz="6" w:space="0" w:color="000000"/>
              <w:right w:val="nil"/>
            </w:tcBorders>
            <w:shd w:val="clear" w:color="auto" w:fill="FFFFFF"/>
          </w:tcPr>
          <w:p w:rsidR="00965D85" w:rsidRPr="00FD5F4E"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FD5F4E">
              <w:rPr>
                <w:rFonts w:ascii="Calibri" w:eastAsiaTheme="minorEastAsia" w:hAnsi="Calibri" w:cs="Calibri"/>
                <w:color w:val="000000"/>
                <w:sz w:val="19"/>
                <w:szCs w:val="19"/>
                <w:lang w:eastAsia="en-AU"/>
              </w:rPr>
              <w:t>22.5</w:t>
            </w:r>
          </w:p>
        </w:tc>
        <w:tc>
          <w:tcPr>
            <w:tcW w:w="873" w:type="dxa"/>
            <w:gridSpan w:val="4"/>
            <w:tcBorders>
              <w:top w:val="nil"/>
              <w:left w:val="nil"/>
              <w:bottom w:val="single" w:sz="6" w:space="0" w:color="000000"/>
              <w:right w:val="nil"/>
            </w:tcBorders>
            <w:shd w:val="clear" w:color="auto" w:fill="FFFFFF"/>
          </w:tcPr>
          <w:p w:rsidR="00965D85" w:rsidRPr="00FD5F4E"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FD5F4E">
              <w:rPr>
                <w:rFonts w:ascii="Calibri" w:eastAsiaTheme="minorEastAsia" w:hAnsi="Calibri" w:cs="Calibri"/>
                <w:color w:val="000000"/>
                <w:sz w:val="19"/>
                <w:szCs w:val="19"/>
                <w:lang w:eastAsia="en-AU"/>
              </w:rPr>
              <w:t>..</w:t>
            </w:r>
          </w:p>
        </w:tc>
        <w:tc>
          <w:tcPr>
            <w:tcW w:w="873" w:type="dxa"/>
            <w:gridSpan w:val="2"/>
            <w:tcBorders>
              <w:top w:val="nil"/>
              <w:left w:val="nil"/>
              <w:bottom w:val="single" w:sz="6" w:space="0" w:color="000000"/>
              <w:right w:val="nil"/>
            </w:tcBorders>
            <w:shd w:val="clear" w:color="auto" w:fill="FFFFFF"/>
          </w:tcPr>
          <w:p w:rsidR="00965D85" w:rsidRPr="00FD5F4E"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FD5F4E">
              <w:rPr>
                <w:rFonts w:ascii="Calibri" w:eastAsiaTheme="minorEastAsia" w:hAnsi="Calibri" w:cs="Calibri"/>
                <w:color w:val="000000"/>
                <w:sz w:val="19"/>
                <w:szCs w:val="19"/>
                <w:lang w:eastAsia="en-AU"/>
              </w:rPr>
              <w:t>0.7</w:t>
            </w:r>
          </w:p>
        </w:tc>
        <w:tc>
          <w:tcPr>
            <w:tcW w:w="873" w:type="dxa"/>
            <w:tcBorders>
              <w:top w:val="nil"/>
              <w:left w:val="nil"/>
              <w:bottom w:val="single" w:sz="6" w:space="0" w:color="000000"/>
              <w:right w:val="nil"/>
            </w:tcBorders>
            <w:shd w:val="clear" w:color="auto" w:fill="FFFFFF"/>
          </w:tcPr>
          <w:p w:rsidR="00965D85" w:rsidRPr="00FD5F4E"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FD5F4E">
              <w:rPr>
                <w:rFonts w:ascii="Calibri" w:eastAsiaTheme="minorEastAsia" w:hAnsi="Calibri" w:cs="Calibri"/>
                <w:color w:val="000000"/>
                <w:sz w:val="19"/>
                <w:szCs w:val="19"/>
                <w:lang w:eastAsia="en-AU"/>
              </w:rPr>
              <w:t>(1.4)</w:t>
            </w:r>
          </w:p>
        </w:tc>
      </w:tr>
      <w:tr w:rsidR="00965D85" w:rsidRPr="00FD5F4E" w:rsidTr="008B46DF">
        <w:tc>
          <w:tcPr>
            <w:tcW w:w="3402" w:type="dxa"/>
            <w:tcBorders>
              <w:top w:val="single" w:sz="6" w:space="0" w:color="000000"/>
              <w:left w:val="nil"/>
              <w:bottom w:val="single" w:sz="6" w:space="0" w:color="000000"/>
              <w:right w:val="nil"/>
            </w:tcBorders>
            <w:shd w:val="clear" w:color="auto" w:fill="FFFFFF"/>
          </w:tcPr>
          <w:p w:rsidR="00965D85" w:rsidRPr="00FD5F4E" w:rsidRDefault="00965D85" w:rsidP="008B46DF">
            <w:pPr>
              <w:autoSpaceDE w:val="0"/>
              <w:autoSpaceDN w:val="0"/>
              <w:adjustRightInd w:val="0"/>
              <w:spacing w:after="0"/>
              <w:ind w:left="227" w:hanging="227"/>
              <w:rPr>
                <w:rFonts w:ascii="Calibri" w:eastAsiaTheme="minorEastAsia" w:hAnsi="Calibri" w:cs="Calibri"/>
                <w:b/>
                <w:bCs/>
                <w:color w:val="000000"/>
                <w:sz w:val="19"/>
                <w:szCs w:val="19"/>
                <w:lang w:eastAsia="en-AU"/>
              </w:rPr>
            </w:pPr>
            <w:r w:rsidRPr="00FD5F4E">
              <w:rPr>
                <w:rFonts w:ascii="Calibri" w:eastAsiaTheme="minorEastAsia" w:hAnsi="Calibri" w:cs="Calibri"/>
                <w:b/>
                <w:bCs/>
                <w:color w:val="000000"/>
                <w:sz w:val="19"/>
                <w:szCs w:val="19"/>
                <w:lang w:eastAsia="en-AU"/>
              </w:rPr>
              <w:t>Total other economic flows – other comprehensive income</w:t>
            </w:r>
          </w:p>
        </w:tc>
        <w:tc>
          <w:tcPr>
            <w:tcW w:w="873" w:type="dxa"/>
            <w:tcBorders>
              <w:top w:val="single" w:sz="6" w:space="0" w:color="000000"/>
              <w:left w:val="nil"/>
              <w:bottom w:val="single" w:sz="6" w:space="0" w:color="000000"/>
              <w:right w:val="nil"/>
            </w:tcBorders>
            <w:shd w:val="clear" w:color="auto" w:fill="FFFFFF"/>
          </w:tcPr>
          <w:p w:rsidR="00965D85" w:rsidRPr="00FD5F4E" w:rsidRDefault="00965D85" w:rsidP="008B46DF">
            <w:pPr>
              <w:autoSpaceDE w:val="0"/>
              <w:autoSpaceDN w:val="0"/>
              <w:adjustRightInd w:val="0"/>
              <w:spacing w:after="0"/>
              <w:jc w:val="right"/>
              <w:rPr>
                <w:rFonts w:ascii="Calibri" w:eastAsiaTheme="minorEastAsia" w:hAnsi="Calibri" w:cs="Calibri"/>
                <w:b/>
                <w:bCs/>
                <w:color w:val="000000"/>
                <w:sz w:val="19"/>
                <w:szCs w:val="19"/>
                <w:lang w:eastAsia="en-AU"/>
              </w:rPr>
            </w:pPr>
            <w:r w:rsidRPr="00FD5F4E">
              <w:rPr>
                <w:rFonts w:ascii="Calibri" w:eastAsiaTheme="minorEastAsia" w:hAnsi="Calibri" w:cs="Calibri"/>
                <w:b/>
                <w:bCs/>
                <w:color w:val="000000"/>
                <w:sz w:val="19"/>
                <w:szCs w:val="19"/>
                <w:lang w:eastAsia="en-AU"/>
              </w:rPr>
              <w:t>3 638.8</w:t>
            </w:r>
          </w:p>
        </w:tc>
        <w:tc>
          <w:tcPr>
            <w:tcW w:w="873" w:type="dxa"/>
            <w:gridSpan w:val="2"/>
            <w:tcBorders>
              <w:top w:val="single" w:sz="6" w:space="0" w:color="000000"/>
              <w:left w:val="nil"/>
              <w:bottom w:val="single" w:sz="6" w:space="0" w:color="000000"/>
              <w:right w:val="nil"/>
            </w:tcBorders>
            <w:shd w:val="clear" w:color="auto" w:fill="FFFFFF"/>
          </w:tcPr>
          <w:p w:rsidR="00965D85" w:rsidRPr="00FD5F4E" w:rsidRDefault="00965D85" w:rsidP="008B46DF">
            <w:pPr>
              <w:autoSpaceDE w:val="0"/>
              <w:autoSpaceDN w:val="0"/>
              <w:adjustRightInd w:val="0"/>
              <w:spacing w:after="0"/>
              <w:jc w:val="right"/>
              <w:rPr>
                <w:rFonts w:ascii="Calibri" w:eastAsiaTheme="minorEastAsia" w:hAnsi="Calibri" w:cs="Calibri"/>
                <w:b/>
                <w:bCs/>
                <w:color w:val="000000"/>
                <w:sz w:val="19"/>
                <w:szCs w:val="19"/>
                <w:lang w:eastAsia="en-AU"/>
              </w:rPr>
            </w:pPr>
            <w:r w:rsidRPr="00FD5F4E">
              <w:rPr>
                <w:rFonts w:ascii="Calibri" w:eastAsiaTheme="minorEastAsia" w:hAnsi="Calibri" w:cs="Calibri"/>
                <w:b/>
                <w:bCs/>
                <w:color w:val="000000"/>
                <w:sz w:val="19"/>
                <w:szCs w:val="19"/>
                <w:lang w:eastAsia="en-AU"/>
              </w:rPr>
              <w:t>438.3</w:t>
            </w:r>
          </w:p>
        </w:tc>
        <w:tc>
          <w:tcPr>
            <w:tcW w:w="873" w:type="dxa"/>
            <w:gridSpan w:val="4"/>
            <w:tcBorders>
              <w:top w:val="single" w:sz="6" w:space="0" w:color="000000"/>
              <w:left w:val="nil"/>
              <w:bottom w:val="single" w:sz="6" w:space="0" w:color="000000"/>
              <w:right w:val="nil"/>
            </w:tcBorders>
            <w:shd w:val="clear" w:color="auto" w:fill="FFFFFF"/>
          </w:tcPr>
          <w:p w:rsidR="00965D85" w:rsidRPr="00FD5F4E" w:rsidRDefault="00965D85" w:rsidP="008B46DF">
            <w:pPr>
              <w:autoSpaceDE w:val="0"/>
              <w:autoSpaceDN w:val="0"/>
              <w:adjustRightInd w:val="0"/>
              <w:spacing w:after="0"/>
              <w:jc w:val="right"/>
              <w:rPr>
                <w:rFonts w:ascii="Calibri" w:eastAsiaTheme="minorEastAsia" w:hAnsi="Calibri" w:cs="Calibri"/>
                <w:b/>
                <w:bCs/>
                <w:color w:val="000000"/>
                <w:sz w:val="19"/>
                <w:szCs w:val="19"/>
                <w:lang w:eastAsia="en-AU"/>
              </w:rPr>
            </w:pPr>
            <w:r w:rsidRPr="00FD5F4E">
              <w:rPr>
                <w:rFonts w:ascii="Calibri" w:eastAsiaTheme="minorEastAsia" w:hAnsi="Calibri" w:cs="Calibri"/>
                <w:b/>
                <w:bCs/>
                <w:color w:val="000000"/>
                <w:sz w:val="19"/>
                <w:szCs w:val="19"/>
                <w:lang w:eastAsia="en-AU"/>
              </w:rPr>
              <w:t>1 486.9</w:t>
            </w:r>
          </w:p>
        </w:tc>
        <w:tc>
          <w:tcPr>
            <w:tcW w:w="873" w:type="dxa"/>
            <w:gridSpan w:val="2"/>
            <w:tcBorders>
              <w:top w:val="single" w:sz="6" w:space="0" w:color="000000"/>
              <w:left w:val="nil"/>
              <w:bottom w:val="single" w:sz="6" w:space="0" w:color="000000"/>
              <w:right w:val="nil"/>
            </w:tcBorders>
            <w:shd w:val="clear" w:color="auto" w:fill="FFFFFF"/>
          </w:tcPr>
          <w:p w:rsidR="00965D85" w:rsidRPr="00FD5F4E" w:rsidRDefault="00965D85" w:rsidP="008B46DF">
            <w:pPr>
              <w:autoSpaceDE w:val="0"/>
              <w:autoSpaceDN w:val="0"/>
              <w:adjustRightInd w:val="0"/>
              <w:spacing w:after="0"/>
              <w:jc w:val="right"/>
              <w:rPr>
                <w:rFonts w:ascii="Calibri" w:eastAsiaTheme="minorEastAsia" w:hAnsi="Calibri" w:cs="Calibri"/>
                <w:b/>
                <w:bCs/>
                <w:color w:val="000000"/>
                <w:sz w:val="19"/>
                <w:szCs w:val="19"/>
                <w:lang w:eastAsia="en-AU"/>
              </w:rPr>
            </w:pPr>
            <w:r w:rsidRPr="00FD5F4E">
              <w:rPr>
                <w:rFonts w:ascii="Calibri" w:eastAsiaTheme="minorEastAsia" w:hAnsi="Calibri" w:cs="Calibri"/>
                <w:b/>
                <w:bCs/>
                <w:color w:val="000000"/>
                <w:sz w:val="19"/>
                <w:szCs w:val="19"/>
                <w:lang w:eastAsia="en-AU"/>
              </w:rPr>
              <w:t>9 948.2</w:t>
            </w:r>
          </w:p>
        </w:tc>
        <w:tc>
          <w:tcPr>
            <w:tcW w:w="873" w:type="dxa"/>
            <w:tcBorders>
              <w:top w:val="single" w:sz="6" w:space="0" w:color="000000"/>
              <w:left w:val="nil"/>
              <w:bottom w:val="single" w:sz="6" w:space="0" w:color="000000"/>
              <w:right w:val="nil"/>
            </w:tcBorders>
            <w:shd w:val="clear" w:color="auto" w:fill="FFFFFF"/>
          </w:tcPr>
          <w:p w:rsidR="00965D85" w:rsidRPr="00FD5F4E" w:rsidRDefault="00965D85" w:rsidP="008B46DF">
            <w:pPr>
              <w:autoSpaceDE w:val="0"/>
              <w:autoSpaceDN w:val="0"/>
              <w:adjustRightInd w:val="0"/>
              <w:spacing w:after="0"/>
              <w:jc w:val="right"/>
              <w:rPr>
                <w:rFonts w:ascii="Calibri" w:eastAsiaTheme="minorEastAsia" w:hAnsi="Calibri" w:cs="Calibri"/>
                <w:b/>
                <w:bCs/>
                <w:color w:val="000000"/>
                <w:sz w:val="19"/>
                <w:szCs w:val="19"/>
                <w:lang w:eastAsia="en-AU"/>
              </w:rPr>
            </w:pPr>
            <w:r w:rsidRPr="00FD5F4E">
              <w:rPr>
                <w:rFonts w:ascii="Calibri" w:eastAsiaTheme="minorEastAsia" w:hAnsi="Calibri" w:cs="Calibri"/>
                <w:b/>
                <w:bCs/>
                <w:color w:val="000000"/>
                <w:sz w:val="19"/>
                <w:szCs w:val="19"/>
                <w:lang w:eastAsia="en-AU"/>
              </w:rPr>
              <w:t>1 247.2</w:t>
            </w:r>
          </w:p>
        </w:tc>
      </w:tr>
      <w:tr w:rsidR="00965D85" w:rsidRPr="00FD5F4E" w:rsidTr="008B46DF">
        <w:tc>
          <w:tcPr>
            <w:tcW w:w="3402" w:type="dxa"/>
            <w:tcBorders>
              <w:top w:val="single" w:sz="6" w:space="0" w:color="000000"/>
              <w:left w:val="nil"/>
              <w:bottom w:val="single" w:sz="12" w:space="0" w:color="000000"/>
              <w:right w:val="nil"/>
            </w:tcBorders>
            <w:shd w:val="clear" w:color="auto" w:fill="FFFFFF"/>
          </w:tcPr>
          <w:p w:rsidR="00965D85" w:rsidRPr="00FD5F4E" w:rsidRDefault="00965D85" w:rsidP="008B46DF">
            <w:pPr>
              <w:autoSpaceDE w:val="0"/>
              <w:autoSpaceDN w:val="0"/>
              <w:adjustRightInd w:val="0"/>
              <w:spacing w:after="0"/>
              <w:ind w:left="227" w:hanging="227"/>
              <w:rPr>
                <w:rFonts w:ascii="Calibri" w:eastAsiaTheme="minorEastAsia" w:hAnsi="Calibri" w:cs="Calibri"/>
                <w:b/>
                <w:bCs/>
                <w:color w:val="000000"/>
                <w:sz w:val="19"/>
                <w:szCs w:val="19"/>
                <w:lang w:eastAsia="en-AU"/>
              </w:rPr>
            </w:pPr>
            <w:r w:rsidRPr="00FD5F4E">
              <w:rPr>
                <w:rFonts w:ascii="Calibri" w:eastAsiaTheme="minorEastAsia" w:hAnsi="Calibri" w:cs="Calibri"/>
                <w:b/>
                <w:bCs/>
                <w:color w:val="000000"/>
                <w:sz w:val="19"/>
                <w:szCs w:val="19"/>
                <w:lang w:eastAsia="en-AU"/>
              </w:rPr>
              <w:t>Comprehensive result – total change in net worth</w:t>
            </w:r>
          </w:p>
        </w:tc>
        <w:tc>
          <w:tcPr>
            <w:tcW w:w="873" w:type="dxa"/>
            <w:tcBorders>
              <w:top w:val="single" w:sz="6" w:space="0" w:color="000000"/>
              <w:left w:val="nil"/>
              <w:bottom w:val="single" w:sz="12" w:space="0" w:color="000000"/>
              <w:right w:val="nil"/>
            </w:tcBorders>
            <w:shd w:val="clear" w:color="auto" w:fill="FFFFFF"/>
          </w:tcPr>
          <w:p w:rsidR="00965D85" w:rsidRPr="00FD5F4E" w:rsidRDefault="00965D85" w:rsidP="008B46DF">
            <w:pPr>
              <w:autoSpaceDE w:val="0"/>
              <w:autoSpaceDN w:val="0"/>
              <w:adjustRightInd w:val="0"/>
              <w:spacing w:after="0"/>
              <w:jc w:val="right"/>
              <w:rPr>
                <w:rFonts w:ascii="Calibri" w:eastAsiaTheme="minorEastAsia" w:hAnsi="Calibri" w:cs="Calibri"/>
                <w:b/>
                <w:bCs/>
                <w:color w:val="000000"/>
                <w:sz w:val="19"/>
                <w:szCs w:val="19"/>
                <w:lang w:eastAsia="en-AU"/>
              </w:rPr>
            </w:pPr>
            <w:r w:rsidRPr="00FD5F4E">
              <w:rPr>
                <w:rFonts w:ascii="Calibri" w:eastAsiaTheme="minorEastAsia" w:hAnsi="Calibri" w:cs="Calibri"/>
                <w:b/>
                <w:bCs/>
                <w:color w:val="000000"/>
                <w:sz w:val="19"/>
                <w:szCs w:val="19"/>
                <w:lang w:eastAsia="en-AU"/>
              </w:rPr>
              <w:t>7 980.9</w:t>
            </w:r>
          </w:p>
        </w:tc>
        <w:tc>
          <w:tcPr>
            <w:tcW w:w="873" w:type="dxa"/>
            <w:gridSpan w:val="2"/>
            <w:tcBorders>
              <w:top w:val="single" w:sz="6" w:space="0" w:color="000000"/>
              <w:left w:val="nil"/>
              <w:bottom w:val="single" w:sz="12" w:space="0" w:color="000000"/>
              <w:right w:val="nil"/>
            </w:tcBorders>
            <w:shd w:val="clear" w:color="auto" w:fill="FFFFFF"/>
          </w:tcPr>
          <w:p w:rsidR="00965D85" w:rsidRPr="00FD5F4E" w:rsidRDefault="00965D85" w:rsidP="008B46DF">
            <w:pPr>
              <w:autoSpaceDE w:val="0"/>
              <w:autoSpaceDN w:val="0"/>
              <w:adjustRightInd w:val="0"/>
              <w:spacing w:after="0"/>
              <w:jc w:val="right"/>
              <w:rPr>
                <w:rFonts w:ascii="Calibri" w:eastAsiaTheme="minorEastAsia" w:hAnsi="Calibri" w:cs="Calibri"/>
                <w:b/>
                <w:bCs/>
                <w:color w:val="000000"/>
                <w:sz w:val="19"/>
                <w:szCs w:val="19"/>
                <w:lang w:eastAsia="en-AU"/>
              </w:rPr>
            </w:pPr>
            <w:r w:rsidRPr="00FD5F4E">
              <w:rPr>
                <w:rFonts w:ascii="Calibri" w:eastAsiaTheme="minorEastAsia" w:hAnsi="Calibri" w:cs="Calibri"/>
                <w:b/>
                <w:bCs/>
                <w:color w:val="000000"/>
                <w:sz w:val="19"/>
                <w:szCs w:val="19"/>
                <w:lang w:eastAsia="en-AU"/>
              </w:rPr>
              <w:t>2 631.1</w:t>
            </w:r>
          </w:p>
        </w:tc>
        <w:tc>
          <w:tcPr>
            <w:tcW w:w="873" w:type="dxa"/>
            <w:gridSpan w:val="4"/>
            <w:tcBorders>
              <w:top w:val="single" w:sz="6" w:space="0" w:color="000000"/>
              <w:left w:val="nil"/>
              <w:bottom w:val="single" w:sz="12" w:space="0" w:color="000000"/>
              <w:right w:val="nil"/>
            </w:tcBorders>
            <w:shd w:val="clear" w:color="auto" w:fill="FFFFFF"/>
          </w:tcPr>
          <w:p w:rsidR="00965D85" w:rsidRPr="00FD5F4E" w:rsidRDefault="00965D85" w:rsidP="008B46DF">
            <w:pPr>
              <w:autoSpaceDE w:val="0"/>
              <w:autoSpaceDN w:val="0"/>
              <w:adjustRightInd w:val="0"/>
              <w:spacing w:after="0"/>
              <w:jc w:val="right"/>
              <w:rPr>
                <w:rFonts w:ascii="Calibri" w:eastAsiaTheme="minorEastAsia" w:hAnsi="Calibri" w:cs="Calibri"/>
                <w:b/>
                <w:bCs/>
                <w:color w:val="000000"/>
                <w:sz w:val="19"/>
                <w:szCs w:val="19"/>
                <w:lang w:eastAsia="en-AU"/>
              </w:rPr>
            </w:pPr>
            <w:r w:rsidRPr="00FD5F4E">
              <w:rPr>
                <w:rFonts w:ascii="Calibri" w:eastAsiaTheme="minorEastAsia" w:hAnsi="Calibri" w:cs="Calibri"/>
                <w:b/>
                <w:bCs/>
                <w:color w:val="000000"/>
                <w:sz w:val="19"/>
                <w:szCs w:val="19"/>
                <w:lang w:eastAsia="en-AU"/>
              </w:rPr>
              <w:t>2 385.1</w:t>
            </w:r>
          </w:p>
        </w:tc>
        <w:tc>
          <w:tcPr>
            <w:tcW w:w="873" w:type="dxa"/>
            <w:gridSpan w:val="2"/>
            <w:tcBorders>
              <w:top w:val="single" w:sz="6" w:space="0" w:color="000000"/>
              <w:left w:val="nil"/>
              <w:bottom w:val="single" w:sz="12" w:space="0" w:color="000000"/>
              <w:right w:val="nil"/>
            </w:tcBorders>
            <w:shd w:val="clear" w:color="auto" w:fill="FFFFFF"/>
          </w:tcPr>
          <w:p w:rsidR="00965D85" w:rsidRPr="00FD5F4E" w:rsidRDefault="00965D85" w:rsidP="008B46DF">
            <w:pPr>
              <w:autoSpaceDE w:val="0"/>
              <w:autoSpaceDN w:val="0"/>
              <w:adjustRightInd w:val="0"/>
              <w:spacing w:after="0"/>
              <w:jc w:val="right"/>
              <w:rPr>
                <w:rFonts w:ascii="Calibri" w:eastAsiaTheme="minorEastAsia" w:hAnsi="Calibri" w:cs="Calibri"/>
                <w:b/>
                <w:bCs/>
                <w:color w:val="000000"/>
                <w:sz w:val="19"/>
                <w:szCs w:val="19"/>
                <w:lang w:eastAsia="en-AU"/>
              </w:rPr>
            </w:pPr>
            <w:r w:rsidRPr="00FD5F4E">
              <w:rPr>
                <w:rFonts w:ascii="Calibri" w:eastAsiaTheme="minorEastAsia" w:hAnsi="Calibri" w:cs="Calibri"/>
                <w:b/>
                <w:bCs/>
                <w:color w:val="000000"/>
                <w:sz w:val="19"/>
                <w:szCs w:val="19"/>
                <w:lang w:eastAsia="en-AU"/>
              </w:rPr>
              <w:t>11 215.1</w:t>
            </w:r>
          </w:p>
        </w:tc>
        <w:tc>
          <w:tcPr>
            <w:tcW w:w="873" w:type="dxa"/>
            <w:tcBorders>
              <w:top w:val="single" w:sz="6" w:space="0" w:color="000000"/>
              <w:left w:val="nil"/>
              <w:bottom w:val="single" w:sz="12" w:space="0" w:color="000000"/>
              <w:right w:val="nil"/>
            </w:tcBorders>
            <w:shd w:val="clear" w:color="auto" w:fill="FFFFFF"/>
          </w:tcPr>
          <w:p w:rsidR="00965D85" w:rsidRPr="00FD5F4E" w:rsidRDefault="00965D85" w:rsidP="008B46DF">
            <w:pPr>
              <w:autoSpaceDE w:val="0"/>
              <w:autoSpaceDN w:val="0"/>
              <w:adjustRightInd w:val="0"/>
              <w:spacing w:after="0"/>
              <w:jc w:val="right"/>
              <w:rPr>
                <w:rFonts w:ascii="Calibri" w:eastAsiaTheme="minorEastAsia" w:hAnsi="Calibri" w:cs="Calibri"/>
                <w:b/>
                <w:bCs/>
                <w:color w:val="000000"/>
                <w:sz w:val="19"/>
                <w:szCs w:val="19"/>
                <w:lang w:eastAsia="en-AU"/>
              </w:rPr>
            </w:pPr>
            <w:r w:rsidRPr="00FD5F4E">
              <w:rPr>
                <w:rFonts w:ascii="Calibri" w:eastAsiaTheme="minorEastAsia" w:hAnsi="Calibri" w:cs="Calibri"/>
                <w:b/>
                <w:bCs/>
                <w:color w:val="000000"/>
                <w:sz w:val="19"/>
                <w:szCs w:val="19"/>
                <w:lang w:eastAsia="en-AU"/>
              </w:rPr>
              <w:t>2 516.9</w:t>
            </w:r>
          </w:p>
        </w:tc>
      </w:tr>
      <w:tr w:rsidR="00965D85" w:rsidRPr="001E7FA9" w:rsidTr="008B46DF">
        <w:trPr>
          <w:trHeight w:hRule="exact" w:val="120"/>
        </w:trPr>
        <w:tc>
          <w:tcPr>
            <w:tcW w:w="3402" w:type="dxa"/>
            <w:tcBorders>
              <w:top w:val="single" w:sz="12" w:space="0" w:color="000000"/>
              <w:left w:val="nil"/>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 xml:space="preserve"> </w:t>
            </w:r>
          </w:p>
        </w:tc>
        <w:tc>
          <w:tcPr>
            <w:tcW w:w="873" w:type="dxa"/>
            <w:tcBorders>
              <w:top w:val="single" w:sz="12" w:space="0" w:color="000000"/>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p>
        </w:tc>
        <w:tc>
          <w:tcPr>
            <w:tcW w:w="873" w:type="dxa"/>
            <w:gridSpan w:val="2"/>
            <w:tcBorders>
              <w:top w:val="single" w:sz="12" w:space="0" w:color="000000"/>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p>
        </w:tc>
        <w:tc>
          <w:tcPr>
            <w:tcW w:w="873" w:type="dxa"/>
            <w:gridSpan w:val="4"/>
            <w:tcBorders>
              <w:top w:val="single" w:sz="12" w:space="0" w:color="000000"/>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p>
        </w:tc>
        <w:tc>
          <w:tcPr>
            <w:tcW w:w="873" w:type="dxa"/>
            <w:gridSpan w:val="2"/>
            <w:tcBorders>
              <w:top w:val="single" w:sz="12" w:space="0" w:color="000000"/>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p>
        </w:tc>
        <w:tc>
          <w:tcPr>
            <w:tcW w:w="873" w:type="dxa"/>
            <w:tcBorders>
              <w:top w:val="single" w:sz="12" w:space="0" w:color="000000"/>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p>
        </w:tc>
      </w:tr>
    </w:tbl>
    <w:p w:rsidR="00965D85" w:rsidRDefault="00965D85"/>
    <w:p w:rsidR="00965D85" w:rsidRDefault="00965D85">
      <w:pPr>
        <w:spacing w:after="0"/>
        <w:rPr>
          <w:rFonts w:ascii="Calibri" w:hAnsi="Calibri"/>
          <w:b/>
          <w:lang w:eastAsia="en-AU"/>
        </w:rPr>
      </w:pPr>
      <w:r>
        <w:rPr>
          <w:lang w:eastAsia="en-AU"/>
        </w:rPr>
        <w:br w:type="page"/>
      </w:r>
    </w:p>
    <w:p w:rsidR="00965D85" w:rsidRPr="001E7FA9" w:rsidRDefault="00965D85" w:rsidP="008B46DF">
      <w:pPr>
        <w:pStyle w:val="Tableheading"/>
        <w:rPr>
          <w:rFonts w:ascii="Times New Roman" w:hAnsi="Times New Roman"/>
          <w:b w:val="0"/>
          <w:sz w:val="20"/>
          <w:lang w:eastAsia="en-AU"/>
        </w:rPr>
      </w:pPr>
      <w:r w:rsidRPr="0081068E">
        <w:rPr>
          <w:lang w:eastAsia="en-AU"/>
        </w:rPr>
        <w:lastRenderedPageBreak/>
        <w:t>Table 5.19:</w:t>
      </w:r>
      <w:r w:rsidRPr="0081068E">
        <w:rPr>
          <w:lang w:eastAsia="en-AU"/>
        </w:rPr>
        <w:tab/>
        <w:t xml:space="preserve">State of Victoria operating statement </w:t>
      </w:r>
      <w:r>
        <w:rPr>
          <w:lang w:eastAsia="en-AU"/>
        </w:rPr>
        <w:t>for the financial year ended 30 </w:t>
      </w:r>
      <w:r w:rsidRPr="0081068E">
        <w:rPr>
          <w:lang w:eastAsia="en-AU"/>
        </w:rPr>
        <w:t>June</w:t>
      </w:r>
      <w:r w:rsidRPr="0081068E">
        <w:rPr>
          <w:vertAlign w:val="superscript"/>
          <w:lang w:eastAsia="en-AU"/>
        </w:rPr>
        <w:t>(a)</w:t>
      </w:r>
      <w:r>
        <w:rPr>
          <w:vertAlign w:val="superscript"/>
          <w:lang w:eastAsia="en-AU"/>
        </w:rPr>
        <w:t xml:space="preserve"> </w:t>
      </w:r>
      <w:r w:rsidRPr="00C761B2">
        <w:rPr>
          <w:i/>
          <w:lang w:eastAsia="en-AU"/>
        </w:rPr>
        <w:t>(continued)</w:t>
      </w:r>
    </w:p>
    <w:tbl>
      <w:tblPr>
        <w:tblW w:w="7767" w:type="dxa"/>
        <w:tblInd w:w="28" w:type="dxa"/>
        <w:tblLayout w:type="fixed"/>
        <w:tblCellMar>
          <w:left w:w="28" w:type="dxa"/>
          <w:right w:w="28" w:type="dxa"/>
        </w:tblCellMar>
        <w:tblLook w:val="0000" w:firstRow="0" w:lastRow="0" w:firstColumn="0" w:lastColumn="0" w:noHBand="0" w:noVBand="0"/>
      </w:tblPr>
      <w:tblGrid>
        <w:gridCol w:w="3402"/>
        <w:gridCol w:w="873"/>
        <w:gridCol w:w="873"/>
        <w:gridCol w:w="873"/>
        <w:gridCol w:w="873"/>
        <w:gridCol w:w="873"/>
      </w:tblGrid>
      <w:tr w:rsidR="00965D85" w:rsidRPr="001E7FA9" w:rsidTr="008B46DF">
        <w:trPr>
          <w:tblHeader/>
        </w:trPr>
        <w:tc>
          <w:tcPr>
            <w:tcW w:w="7767" w:type="dxa"/>
            <w:gridSpan w:val="6"/>
            <w:tcBorders>
              <w:top w:val="nil"/>
              <w:left w:val="nil"/>
              <w:bottom w:val="nil"/>
              <w:right w:val="nil"/>
            </w:tcBorders>
          </w:tcPr>
          <w:p w:rsidR="00965D85" w:rsidRPr="001E7FA9" w:rsidRDefault="00965D85" w:rsidP="008B46DF">
            <w:pPr>
              <w:pStyle w:val="million"/>
              <w:rPr>
                <w:rFonts w:eastAsiaTheme="minorEastAsia" w:cs="Calibri"/>
                <w:iCs/>
                <w:color w:val="000000"/>
                <w:sz w:val="20"/>
                <w:lang w:eastAsia="en-AU"/>
              </w:rPr>
            </w:pPr>
            <w:r w:rsidRPr="001E7FA9">
              <w:rPr>
                <w:rFonts w:eastAsiaTheme="minorEastAsia"/>
                <w:lang w:eastAsia="en-AU"/>
              </w:rPr>
              <w:t>($ million)</w:t>
            </w:r>
          </w:p>
        </w:tc>
      </w:tr>
      <w:tr w:rsidR="00965D85" w:rsidRPr="00FD5F4E" w:rsidTr="008B46DF">
        <w:trPr>
          <w:trHeight w:val="488"/>
          <w:tblHeader/>
        </w:trPr>
        <w:tc>
          <w:tcPr>
            <w:tcW w:w="3402" w:type="dxa"/>
            <w:tcBorders>
              <w:top w:val="nil"/>
              <w:left w:val="nil"/>
              <w:right w:val="nil"/>
            </w:tcBorders>
            <w:shd w:val="solid" w:color="000000" w:fill="auto"/>
          </w:tcPr>
          <w:p w:rsidR="00965D85" w:rsidRPr="00FD5F4E" w:rsidRDefault="00965D85" w:rsidP="008B46DF">
            <w:pPr>
              <w:autoSpaceDE w:val="0"/>
              <w:autoSpaceDN w:val="0"/>
              <w:adjustRightInd w:val="0"/>
              <w:spacing w:after="0"/>
              <w:rPr>
                <w:rFonts w:ascii="Calibri" w:eastAsiaTheme="minorEastAsia" w:hAnsi="Calibri" w:cs="Calibri"/>
                <w:color w:val="000000"/>
                <w:sz w:val="19"/>
                <w:szCs w:val="19"/>
                <w:lang w:eastAsia="en-AU"/>
              </w:rPr>
            </w:pPr>
            <w:r w:rsidRPr="00FD5F4E">
              <w:rPr>
                <w:rFonts w:ascii="Calibri" w:eastAsiaTheme="minorEastAsia" w:hAnsi="Calibri" w:cs="Calibri"/>
                <w:color w:val="000000"/>
                <w:sz w:val="19"/>
                <w:szCs w:val="19"/>
                <w:lang w:eastAsia="en-AU"/>
              </w:rPr>
              <w:t xml:space="preserve"> </w:t>
            </w:r>
          </w:p>
          <w:p w:rsidR="00965D85" w:rsidRPr="00FD5F4E" w:rsidRDefault="00965D85" w:rsidP="008B46DF">
            <w:pPr>
              <w:autoSpaceDE w:val="0"/>
              <w:autoSpaceDN w:val="0"/>
              <w:adjustRightInd w:val="0"/>
              <w:spacing w:after="0"/>
              <w:rPr>
                <w:rFonts w:ascii="Calibri" w:eastAsiaTheme="minorEastAsia" w:hAnsi="Calibri" w:cs="Calibri"/>
                <w:color w:val="000000"/>
                <w:sz w:val="19"/>
                <w:szCs w:val="19"/>
                <w:lang w:eastAsia="en-AU"/>
              </w:rPr>
            </w:pPr>
            <w:r w:rsidRPr="00FD5F4E">
              <w:rPr>
                <w:rFonts w:ascii="Calibri" w:eastAsiaTheme="minorEastAsia" w:hAnsi="Calibri" w:cs="Calibri"/>
                <w:color w:val="000000"/>
                <w:sz w:val="19"/>
                <w:szCs w:val="19"/>
                <w:lang w:eastAsia="en-AU"/>
              </w:rPr>
              <w:t xml:space="preserve"> </w:t>
            </w:r>
          </w:p>
        </w:tc>
        <w:tc>
          <w:tcPr>
            <w:tcW w:w="873" w:type="dxa"/>
            <w:tcBorders>
              <w:top w:val="nil"/>
              <w:left w:val="nil"/>
              <w:right w:val="nil"/>
            </w:tcBorders>
            <w:shd w:val="solid" w:color="000000" w:fill="auto"/>
          </w:tcPr>
          <w:p w:rsidR="00965D85" w:rsidRPr="00FD5F4E" w:rsidRDefault="00965D85" w:rsidP="008B46DF">
            <w:pPr>
              <w:autoSpaceDE w:val="0"/>
              <w:autoSpaceDN w:val="0"/>
              <w:adjustRightInd w:val="0"/>
              <w:spacing w:after="0"/>
              <w:jc w:val="right"/>
              <w:rPr>
                <w:rFonts w:ascii="Calibri" w:eastAsiaTheme="minorEastAsia" w:hAnsi="Calibri" w:cs="Calibri"/>
                <w:i/>
                <w:iCs/>
                <w:color w:val="FFFFFF"/>
                <w:sz w:val="19"/>
                <w:szCs w:val="19"/>
                <w:lang w:eastAsia="en-AU"/>
              </w:rPr>
            </w:pPr>
            <w:r w:rsidRPr="00FD5F4E">
              <w:rPr>
                <w:rFonts w:ascii="Calibri" w:eastAsiaTheme="minorEastAsia" w:hAnsi="Calibri" w:cs="Calibri"/>
                <w:i/>
                <w:iCs/>
                <w:color w:val="FFFFFF"/>
                <w:sz w:val="19"/>
                <w:szCs w:val="19"/>
                <w:lang w:eastAsia="en-AU"/>
              </w:rPr>
              <w:t>2015</w:t>
            </w:r>
            <w:r w:rsidRPr="00FD5F4E">
              <w:rPr>
                <w:rFonts w:ascii="Calibri" w:eastAsiaTheme="minorEastAsia" w:hAnsi="Calibri" w:cs="Calibri"/>
                <w:i/>
                <w:iCs/>
                <w:color w:val="FFFFFF"/>
                <w:sz w:val="19"/>
                <w:szCs w:val="19"/>
                <w:lang w:eastAsia="en-AU"/>
              </w:rPr>
              <w:noBreakHyphen/>
              <w:t>16</w:t>
            </w:r>
          </w:p>
          <w:p w:rsidR="00965D85" w:rsidRPr="00FD5F4E" w:rsidRDefault="00965D85" w:rsidP="008B46DF">
            <w:pPr>
              <w:autoSpaceDE w:val="0"/>
              <w:autoSpaceDN w:val="0"/>
              <w:adjustRightInd w:val="0"/>
              <w:spacing w:after="0"/>
              <w:jc w:val="right"/>
              <w:rPr>
                <w:rFonts w:ascii="Calibri" w:eastAsiaTheme="minorEastAsia" w:hAnsi="Calibri" w:cs="Calibri"/>
                <w:i/>
                <w:iCs/>
                <w:color w:val="FFFFFF"/>
                <w:sz w:val="19"/>
                <w:szCs w:val="19"/>
                <w:lang w:eastAsia="en-AU"/>
              </w:rPr>
            </w:pPr>
            <w:r w:rsidRPr="00FD5F4E">
              <w:rPr>
                <w:rFonts w:ascii="Calibri" w:eastAsiaTheme="minorEastAsia" w:hAnsi="Calibri" w:cs="Calibri"/>
                <w:i/>
                <w:iCs/>
                <w:color w:val="FFFFFF"/>
                <w:sz w:val="19"/>
                <w:szCs w:val="19"/>
                <w:lang w:eastAsia="en-AU"/>
              </w:rPr>
              <w:t>budget</w:t>
            </w:r>
          </w:p>
        </w:tc>
        <w:tc>
          <w:tcPr>
            <w:tcW w:w="873" w:type="dxa"/>
            <w:tcBorders>
              <w:top w:val="nil"/>
              <w:left w:val="nil"/>
              <w:right w:val="nil"/>
            </w:tcBorders>
            <w:shd w:val="solid" w:color="000000" w:fill="auto"/>
          </w:tcPr>
          <w:p w:rsidR="00965D85" w:rsidRPr="00FD5F4E" w:rsidRDefault="00965D85" w:rsidP="008B46DF">
            <w:pPr>
              <w:autoSpaceDE w:val="0"/>
              <w:autoSpaceDN w:val="0"/>
              <w:adjustRightInd w:val="0"/>
              <w:spacing w:after="0"/>
              <w:jc w:val="right"/>
              <w:rPr>
                <w:rFonts w:ascii="Calibri" w:eastAsiaTheme="minorEastAsia" w:hAnsi="Calibri" w:cs="Calibri"/>
                <w:i/>
                <w:iCs/>
                <w:color w:val="FFFFFF"/>
                <w:sz w:val="19"/>
                <w:szCs w:val="19"/>
                <w:lang w:eastAsia="en-AU"/>
              </w:rPr>
            </w:pPr>
            <w:r w:rsidRPr="00FD5F4E">
              <w:rPr>
                <w:rFonts w:ascii="Calibri" w:eastAsiaTheme="minorEastAsia" w:hAnsi="Calibri" w:cs="Calibri"/>
                <w:i/>
                <w:iCs/>
                <w:color w:val="FFFFFF"/>
                <w:sz w:val="19"/>
                <w:szCs w:val="19"/>
                <w:lang w:eastAsia="en-AU"/>
              </w:rPr>
              <w:t>2015</w:t>
            </w:r>
            <w:r w:rsidRPr="00FD5F4E">
              <w:rPr>
                <w:rFonts w:ascii="Calibri" w:eastAsiaTheme="minorEastAsia" w:hAnsi="Calibri" w:cs="Calibri"/>
                <w:i/>
                <w:iCs/>
                <w:color w:val="FFFFFF"/>
                <w:sz w:val="19"/>
                <w:szCs w:val="19"/>
                <w:lang w:eastAsia="en-AU"/>
              </w:rPr>
              <w:noBreakHyphen/>
              <w:t>16</w:t>
            </w:r>
          </w:p>
          <w:p w:rsidR="00965D85" w:rsidRPr="00FD5F4E" w:rsidRDefault="00965D85" w:rsidP="008B46DF">
            <w:pPr>
              <w:autoSpaceDE w:val="0"/>
              <w:autoSpaceDN w:val="0"/>
              <w:adjustRightInd w:val="0"/>
              <w:spacing w:after="0"/>
              <w:jc w:val="right"/>
              <w:rPr>
                <w:rFonts w:ascii="Calibri" w:eastAsiaTheme="minorEastAsia" w:hAnsi="Calibri" w:cs="Calibri"/>
                <w:i/>
                <w:iCs/>
                <w:color w:val="FFFFFF"/>
                <w:sz w:val="19"/>
                <w:szCs w:val="19"/>
                <w:lang w:eastAsia="en-AU"/>
              </w:rPr>
            </w:pPr>
            <w:r w:rsidRPr="00FD5F4E">
              <w:rPr>
                <w:rFonts w:ascii="Calibri" w:eastAsiaTheme="minorEastAsia" w:hAnsi="Calibri" w:cs="Calibri"/>
                <w:i/>
                <w:iCs/>
                <w:color w:val="FFFFFF"/>
                <w:sz w:val="19"/>
                <w:szCs w:val="19"/>
                <w:lang w:eastAsia="en-AU"/>
              </w:rPr>
              <w:t>revised</w:t>
            </w:r>
          </w:p>
        </w:tc>
        <w:tc>
          <w:tcPr>
            <w:tcW w:w="873" w:type="dxa"/>
            <w:tcBorders>
              <w:top w:val="nil"/>
              <w:left w:val="nil"/>
              <w:right w:val="nil"/>
            </w:tcBorders>
            <w:shd w:val="solid" w:color="000000" w:fill="auto"/>
          </w:tcPr>
          <w:p w:rsidR="00965D85" w:rsidRPr="00FD5F4E" w:rsidRDefault="00965D85" w:rsidP="008B46DF">
            <w:pPr>
              <w:autoSpaceDE w:val="0"/>
              <w:autoSpaceDN w:val="0"/>
              <w:adjustRightInd w:val="0"/>
              <w:spacing w:after="0"/>
              <w:jc w:val="right"/>
              <w:rPr>
                <w:rFonts w:ascii="Calibri" w:eastAsiaTheme="minorEastAsia" w:hAnsi="Calibri" w:cs="Calibri"/>
                <w:i/>
                <w:iCs/>
                <w:color w:val="FFFFFF"/>
                <w:sz w:val="19"/>
                <w:szCs w:val="19"/>
                <w:lang w:eastAsia="en-AU"/>
              </w:rPr>
            </w:pPr>
            <w:r w:rsidRPr="00FD5F4E">
              <w:rPr>
                <w:rFonts w:ascii="Calibri" w:eastAsiaTheme="minorEastAsia" w:hAnsi="Calibri" w:cs="Calibri"/>
                <w:i/>
                <w:iCs/>
                <w:color w:val="FFFFFF"/>
                <w:sz w:val="19"/>
                <w:szCs w:val="19"/>
                <w:lang w:eastAsia="en-AU"/>
              </w:rPr>
              <w:t>2016</w:t>
            </w:r>
            <w:r w:rsidRPr="00FD5F4E">
              <w:rPr>
                <w:rFonts w:ascii="Calibri" w:eastAsiaTheme="minorEastAsia" w:hAnsi="Calibri" w:cs="Calibri"/>
                <w:i/>
                <w:iCs/>
                <w:color w:val="FFFFFF"/>
                <w:sz w:val="19"/>
                <w:szCs w:val="19"/>
                <w:lang w:eastAsia="en-AU"/>
              </w:rPr>
              <w:noBreakHyphen/>
              <w:t>17</w:t>
            </w:r>
          </w:p>
          <w:p w:rsidR="00965D85" w:rsidRPr="00FD5F4E" w:rsidRDefault="00965D85" w:rsidP="008B46DF">
            <w:pPr>
              <w:autoSpaceDE w:val="0"/>
              <w:autoSpaceDN w:val="0"/>
              <w:adjustRightInd w:val="0"/>
              <w:spacing w:after="0"/>
              <w:jc w:val="right"/>
              <w:rPr>
                <w:rFonts w:ascii="Calibri" w:eastAsiaTheme="minorEastAsia" w:hAnsi="Calibri" w:cs="Calibri"/>
                <w:i/>
                <w:iCs/>
                <w:color w:val="FFFFFF"/>
                <w:sz w:val="19"/>
                <w:szCs w:val="19"/>
                <w:lang w:eastAsia="en-AU"/>
              </w:rPr>
            </w:pPr>
            <w:r w:rsidRPr="00FD5F4E">
              <w:rPr>
                <w:rFonts w:ascii="Calibri" w:eastAsiaTheme="minorEastAsia" w:hAnsi="Calibri" w:cs="Calibri"/>
                <w:i/>
                <w:iCs/>
                <w:color w:val="FFFFFF"/>
                <w:sz w:val="19"/>
                <w:szCs w:val="19"/>
                <w:lang w:eastAsia="en-AU"/>
              </w:rPr>
              <w:t>estimate</w:t>
            </w:r>
          </w:p>
        </w:tc>
        <w:tc>
          <w:tcPr>
            <w:tcW w:w="873" w:type="dxa"/>
            <w:tcBorders>
              <w:top w:val="nil"/>
              <w:left w:val="nil"/>
              <w:right w:val="nil"/>
            </w:tcBorders>
            <w:shd w:val="solid" w:color="000000" w:fill="auto"/>
          </w:tcPr>
          <w:p w:rsidR="00965D85" w:rsidRPr="00FD5F4E" w:rsidRDefault="00965D85" w:rsidP="008B46DF">
            <w:pPr>
              <w:autoSpaceDE w:val="0"/>
              <w:autoSpaceDN w:val="0"/>
              <w:adjustRightInd w:val="0"/>
              <w:spacing w:after="0"/>
              <w:jc w:val="right"/>
              <w:rPr>
                <w:rFonts w:ascii="Calibri" w:eastAsiaTheme="minorEastAsia" w:hAnsi="Calibri" w:cs="Calibri"/>
                <w:i/>
                <w:iCs/>
                <w:color w:val="FFFFFF"/>
                <w:sz w:val="19"/>
                <w:szCs w:val="19"/>
                <w:lang w:eastAsia="en-AU"/>
              </w:rPr>
            </w:pPr>
            <w:r w:rsidRPr="00FD5F4E">
              <w:rPr>
                <w:rFonts w:ascii="Calibri" w:eastAsiaTheme="minorEastAsia" w:hAnsi="Calibri" w:cs="Calibri"/>
                <w:i/>
                <w:iCs/>
                <w:color w:val="FFFFFF"/>
                <w:sz w:val="19"/>
                <w:szCs w:val="19"/>
                <w:lang w:eastAsia="en-AU"/>
              </w:rPr>
              <w:t>2017</w:t>
            </w:r>
            <w:r w:rsidRPr="00FD5F4E">
              <w:rPr>
                <w:rFonts w:ascii="Calibri" w:eastAsiaTheme="minorEastAsia" w:hAnsi="Calibri" w:cs="Calibri"/>
                <w:i/>
                <w:iCs/>
                <w:color w:val="FFFFFF"/>
                <w:sz w:val="19"/>
                <w:szCs w:val="19"/>
                <w:lang w:eastAsia="en-AU"/>
              </w:rPr>
              <w:noBreakHyphen/>
              <w:t>18</w:t>
            </w:r>
          </w:p>
          <w:p w:rsidR="00965D85" w:rsidRPr="00FD5F4E" w:rsidRDefault="00965D85" w:rsidP="008B46DF">
            <w:pPr>
              <w:autoSpaceDE w:val="0"/>
              <w:autoSpaceDN w:val="0"/>
              <w:adjustRightInd w:val="0"/>
              <w:spacing w:after="0"/>
              <w:jc w:val="right"/>
              <w:rPr>
                <w:rFonts w:ascii="Calibri" w:eastAsiaTheme="minorEastAsia" w:hAnsi="Calibri" w:cs="Calibri"/>
                <w:i/>
                <w:iCs/>
                <w:color w:val="FFFFFF"/>
                <w:sz w:val="19"/>
                <w:szCs w:val="19"/>
                <w:lang w:eastAsia="en-AU"/>
              </w:rPr>
            </w:pPr>
            <w:r w:rsidRPr="00FD5F4E">
              <w:rPr>
                <w:rFonts w:ascii="Calibri" w:eastAsiaTheme="minorEastAsia" w:hAnsi="Calibri" w:cs="Calibri"/>
                <w:i/>
                <w:iCs/>
                <w:color w:val="FFFFFF"/>
                <w:sz w:val="19"/>
                <w:szCs w:val="19"/>
                <w:lang w:eastAsia="en-AU"/>
              </w:rPr>
              <w:t>estimate</w:t>
            </w:r>
          </w:p>
        </w:tc>
        <w:tc>
          <w:tcPr>
            <w:tcW w:w="873" w:type="dxa"/>
            <w:tcBorders>
              <w:top w:val="nil"/>
              <w:left w:val="nil"/>
              <w:right w:val="nil"/>
            </w:tcBorders>
            <w:shd w:val="solid" w:color="000000" w:fill="auto"/>
          </w:tcPr>
          <w:p w:rsidR="00965D85" w:rsidRPr="00FD5F4E" w:rsidRDefault="00965D85" w:rsidP="008B46DF">
            <w:pPr>
              <w:autoSpaceDE w:val="0"/>
              <w:autoSpaceDN w:val="0"/>
              <w:adjustRightInd w:val="0"/>
              <w:spacing w:after="0"/>
              <w:jc w:val="right"/>
              <w:rPr>
                <w:rFonts w:ascii="Calibri" w:eastAsiaTheme="minorEastAsia" w:hAnsi="Calibri" w:cs="Calibri"/>
                <w:i/>
                <w:iCs/>
                <w:color w:val="FFFFFF"/>
                <w:sz w:val="19"/>
                <w:szCs w:val="19"/>
                <w:lang w:eastAsia="en-AU"/>
              </w:rPr>
            </w:pPr>
            <w:r w:rsidRPr="00FD5F4E">
              <w:rPr>
                <w:rFonts w:ascii="Calibri" w:eastAsiaTheme="minorEastAsia" w:hAnsi="Calibri" w:cs="Calibri"/>
                <w:i/>
                <w:iCs/>
                <w:color w:val="FFFFFF"/>
                <w:sz w:val="19"/>
                <w:szCs w:val="19"/>
                <w:lang w:eastAsia="en-AU"/>
              </w:rPr>
              <w:t>2018</w:t>
            </w:r>
            <w:r w:rsidRPr="00FD5F4E">
              <w:rPr>
                <w:rFonts w:ascii="Calibri" w:eastAsiaTheme="minorEastAsia" w:hAnsi="Calibri" w:cs="Calibri"/>
                <w:i/>
                <w:iCs/>
                <w:color w:val="FFFFFF"/>
                <w:sz w:val="19"/>
                <w:szCs w:val="19"/>
                <w:lang w:eastAsia="en-AU"/>
              </w:rPr>
              <w:noBreakHyphen/>
              <w:t>19</w:t>
            </w:r>
          </w:p>
          <w:p w:rsidR="00965D85" w:rsidRPr="00FD5F4E" w:rsidRDefault="00965D85" w:rsidP="008B46DF">
            <w:pPr>
              <w:autoSpaceDE w:val="0"/>
              <w:autoSpaceDN w:val="0"/>
              <w:adjustRightInd w:val="0"/>
              <w:spacing w:after="0"/>
              <w:jc w:val="right"/>
              <w:rPr>
                <w:rFonts w:ascii="Calibri" w:eastAsiaTheme="minorEastAsia" w:hAnsi="Calibri" w:cs="Calibri"/>
                <w:i/>
                <w:iCs/>
                <w:color w:val="FFFFFF"/>
                <w:sz w:val="19"/>
                <w:szCs w:val="19"/>
                <w:lang w:eastAsia="en-AU"/>
              </w:rPr>
            </w:pPr>
            <w:r w:rsidRPr="00FD5F4E">
              <w:rPr>
                <w:rFonts w:ascii="Calibri" w:eastAsiaTheme="minorEastAsia" w:hAnsi="Calibri" w:cs="Calibri"/>
                <w:i/>
                <w:iCs/>
                <w:color w:val="FFFFFF"/>
                <w:sz w:val="19"/>
                <w:szCs w:val="19"/>
                <w:lang w:eastAsia="en-AU"/>
              </w:rPr>
              <w:t>estimate</w:t>
            </w:r>
          </w:p>
        </w:tc>
      </w:tr>
      <w:tr w:rsidR="00965D85" w:rsidRPr="00FD5F4E" w:rsidTr="008B46DF">
        <w:tc>
          <w:tcPr>
            <w:tcW w:w="3402" w:type="dxa"/>
            <w:tcBorders>
              <w:top w:val="nil"/>
              <w:left w:val="nil"/>
              <w:right w:val="nil"/>
            </w:tcBorders>
            <w:shd w:val="clear" w:color="auto" w:fill="FFFFFF"/>
          </w:tcPr>
          <w:p w:rsidR="00965D85" w:rsidRPr="00FD5F4E" w:rsidRDefault="00965D85" w:rsidP="008B46DF">
            <w:pPr>
              <w:autoSpaceDE w:val="0"/>
              <w:autoSpaceDN w:val="0"/>
              <w:adjustRightInd w:val="0"/>
              <w:spacing w:after="0"/>
              <w:ind w:left="227" w:hanging="227"/>
              <w:rPr>
                <w:rFonts w:ascii="Calibri" w:eastAsiaTheme="minorEastAsia" w:hAnsi="Calibri" w:cs="Calibri"/>
                <w:b/>
                <w:bCs/>
                <w:color w:val="000000"/>
                <w:sz w:val="19"/>
                <w:szCs w:val="19"/>
                <w:lang w:eastAsia="en-AU"/>
              </w:rPr>
            </w:pPr>
            <w:r w:rsidRPr="00FD5F4E">
              <w:rPr>
                <w:rFonts w:ascii="Calibri" w:eastAsiaTheme="minorEastAsia" w:hAnsi="Calibri" w:cs="Calibri"/>
                <w:b/>
                <w:bCs/>
                <w:color w:val="000000"/>
                <w:sz w:val="19"/>
                <w:szCs w:val="19"/>
                <w:lang w:eastAsia="en-AU"/>
              </w:rPr>
              <w:t>KEY FISCAL AGGREGATES</w:t>
            </w:r>
          </w:p>
        </w:tc>
        <w:tc>
          <w:tcPr>
            <w:tcW w:w="873" w:type="dxa"/>
            <w:tcBorders>
              <w:top w:val="nil"/>
              <w:left w:val="nil"/>
              <w:right w:val="nil"/>
            </w:tcBorders>
            <w:shd w:val="clear" w:color="auto" w:fill="FFFFFF"/>
          </w:tcPr>
          <w:p w:rsidR="00965D85" w:rsidRPr="00FD5F4E" w:rsidRDefault="00965D85" w:rsidP="008B46DF">
            <w:pPr>
              <w:autoSpaceDE w:val="0"/>
              <w:autoSpaceDN w:val="0"/>
              <w:adjustRightInd w:val="0"/>
              <w:spacing w:after="0"/>
              <w:jc w:val="right"/>
              <w:rPr>
                <w:rFonts w:ascii="Calibri" w:eastAsiaTheme="minorEastAsia" w:hAnsi="Calibri" w:cs="Calibri"/>
                <w:b/>
                <w:bCs/>
                <w:color w:val="000000"/>
                <w:sz w:val="19"/>
                <w:szCs w:val="19"/>
                <w:lang w:eastAsia="en-AU"/>
              </w:rPr>
            </w:pPr>
          </w:p>
        </w:tc>
        <w:tc>
          <w:tcPr>
            <w:tcW w:w="873" w:type="dxa"/>
            <w:tcBorders>
              <w:top w:val="nil"/>
              <w:left w:val="nil"/>
              <w:right w:val="nil"/>
            </w:tcBorders>
            <w:shd w:val="clear" w:color="auto" w:fill="FFFFFF"/>
          </w:tcPr>
          <w:p w:rsidR="00965D85" w:rsidRPr="00FD5F4E" w:rsidRDefault="00965D85" w:rsidP="008B46DF">
            <w:pPr>
              <w:autoSpaceDE w:val="0"/>
              <w:autoSpaceDN w:val="0"/>
              <w:adjustRightInd w:val="0"/>
              <w:spacing w:after="0"/>
              <w:jc w:val="right"/>
              <w:rPr>
                <w:rFonts w:ascii="Calibri" w:eastAsiaTheme="minorEastAsia" w:hAnsi="Calibri" w:cs="Calibri"/>
                <w:b/>
                <w:bCs/>
                <w:color w:val="000000"/>
                <w:sz w:val="19"/>
                <w:szCs w:val="19"/>
                <w:lang w:eastAsia="en-AU"/>
              </w:rPr>
            </w:pPr>
          </w:p>
        </w:tc>
        <w:tc>
          <w:tcPr>
            <w:tcW w:w="873" w:type="dxa"/>
            <w:tcBorders>
              <w:top w:val="nil"/>
              <w:left w:val="nil"/>
              <w:right w:val="nil"/>
            </w:tcBorders>
            <w:shd w:val="clear" w:color="auto" w:fill="FFFFFF"/>
          </w:tcPr>
          <w:p w:rsidR="00965D85" w:rsidRPr="00FD5F4E" w:rsidRDefault="00965D85" w:rsidP="008B46DF">
            <w:pPr>
              <w:autoSpaceDE w:val="0"/>
              <w:autoSpaceDN w:val="0"/>
              <w:adjustRightInd w:val="0"/>
              <w:spacing w:after="0"/>
              <w:jc w:val="right"/>
              <w:rPr>
                <w:rFonts w:ascii="Calibri" w:eastAsiaTheme="minorEastAsia" w:hAnsi="Calibri" w:cs="Calibri"/>
                <w:b/>
                <w:bCs/>
                <w:color w:val="000000"/>
                <w:sz w:val="19"/>
                <w:szCs w:val="19"/>
                <w:lang w:eastAsia="en-AU"/>
              </w:rPr>
            </w:pPr>
          </w:p>
        </w:tc>
        <w:tc>
          <w:tcPr>
            <w:tcW w:w="873" w:type="dxa"/>
            <w:tcBorders>
              <w:top w:val="nil"/>
              <w:left w:val="nil"/>
              <w:right w:val="nil"/>
            </w:tcBorders>
            <w:shd w:val="clear" w:color="auto" w:fill="FFFFFF"/>
          </w:tcPr>
          <w:p w:rsidR="00965D85" w:rsidRPr="00FD5F4E" w:rsidRDefault="00965D85" w:rsidP="008B46DF">
            <w:pPr>
              <w:autoSpaceDE w:val="0"/>
              <w:autoSpaceDN w:val="0"/>
              <w:adjustRightInd w:val="0"/>
              <w:spacing w:after="0"/>
              <w:jc w:val="right"/>
              <w:rPr>
                <w:rFonts w:ascii="Calibri" w:eastAsiaTheme="minorEastAsia" w:hAnsi="Calibri" w:cs="Calibri"/>
                <w:b/>
                <w:bCs/>
                <w:color w:val="000000"/>
                <w:sz w:val="19"/>
                <w:szCs w:val="19"/>
                <w:lang w:eastAsia="en-AU"/>
              </w:rPr>
            </w:pPr>
          </w:p>
        </w:tc>
        <w:tc>
          <w:tcPr>
            <w:tcW w:w="873" w:type="dxa"/>
            <w:tcBorders>
              <w:top w:val="nil"/>
              <w:left w:val="nil"/>
              <w:right w:val="nil"/>
            </w:tcBorders>
            <w:shd w:val="clear" w:color="auto" w:fill="FFFFFF"/>
          </w:tcPr>
          <w:p w:rsidR="00965D85" w:rsidRPr="00FD5F4E" w:rsidRDefault="00965D85" w:rsidP="008B46DF">
            <w:pPr>
              <w:autoSpaceDE w:val="0"/>
              <w:autoSpaceDN w:val="0"/>
              <w:adjustRightInd w:val="0"/>
              <w:spacing w:after="0"/>
              <w:jc w:val="right"/>
              <w:rPr>
                <w:rFonts w:ascii="Calibri" w:eastAsiaTheme="minorEastAsia" w:hAnsi="Calibri" w:cs="Calibri"/>
                <w:b/>
                <w:bCs/>
                <w:color w:val="000000"/>
                <w:sz w:val="19"/>
                <w:szCs w:val="19"/>
                <w:lang w:eastAsia="en-AU"/>
              </w:rPr>
            </w:pPr>
          </w:p>
        </w:tc>
      </w:tr>
      <w:tr w:rsidR="00965D85" w:rsidRPr="00FD5F4E" w:rsidTr="008B46DF">
        <w:tc>
          <w:tcPr>
            <w:tcW w:w="3402" w:type="dxa"/>
            <w:tcBorders>
              <w:top w:val="nil"/>
              <w:left w:val="nil"/>
              <w:right w:val="nil"/>
            </w:tcBorders>
            <w:shd w:val="clear" w:color="auto" w:fill="FFFFFF"/>
          </w:tcPr>
          <w:p w:rsidR="00965D85" w:rsidRPr="00FD5F4E" w:rsidRDefault="00965D85" w:rsidP="008B46DF">
            <w:pPr>
              <w:autoSpaceDE w:val="0"/>
              <w:autoSpaceDN w:val="0"/>
              <w:adjustRightInd w:val="0"/>
              <w:spacing w:after="0"/>
              <w:ind w:left="227" w:hanging="227"/>
              <w:rPr>
                <w:rFonts w:ascii="Calibri" w:eastAsiaTheme="minorEastAsia" w:hAnsi="Calibri" w:cs="Calibri"/>
                <w:b/>
                <w:bCs/>
                <w:color w:val="000000"/>
                <w:sz w:val="19"/>
                <w:szCs w:val="19"/>
                <w:lang w:eastAsia="en-AU"/>
              </w:rPr>
            </w:pPr>
            <w:r w:rsidRPr="00FD5F4E">
              <w:rPr>
                <w:rFonts w:ascii="Calibri" w:eastAsiaTheme="minorEastAsia" w:hAnsi="Calibri" w:cs="Calibri"/>
                <w:b/>
                <w:bCs/>
                <w:color w:val="000000"/>
                <w:sz w:val="19"/>
                <w:szCs w:val="19"/>
                <w:lang w:eastAsia="en-AU"/>
              </w:rPr>
              <w:t>Net operating balance</w:t>
            </w:r>
          </w:p>
        </w:tc>
        <w:tc>
          <w:tcPr>
            <w:tcW w:w="873" w:type="dxa"/>
            <w:tcBorders>
              <w:top w:val="nil"/>
              <w:left w:val="nil"/>
              <w:right w:val="nil"/>
            </w:tcBorders>
            <w:shd w:val="clear" w:color="auto" w:fill="FFFFFF"/>
          </w:tcPr>
          <w:p w:rsidR="00965D85" w:rsidRPr="00FD5F4E" w:rsidRDefault="00965D85" w:rsidP="008B46DF">
            <w:pPr>
              <w:autoSpaceDE w:val="0"/>
              <w:autoSpaceDN w:val="0"/>
              <w:adjustRightInd w:val="0"/>
              <w:spacing w:after="0"/>
              <w:jc w:val="right"/>
              <w:rPr>
                <w:rFonts w:ascii="Calibri" w:eastAsiaTheme="minorEastAsia" w:hAnsi="Calibri" w:cs="Calibri"/>
                <w:b/>
                <w:bCs/>
                <w:color w:val="000000"/>
                <w:sz w:val="19"/>
                <w:szCs w:val="19"/>
                <w:lang w:eastAsia="en-AU"/>
              </w:rPr>
            </w:pPr>
            <w:r w:rsidRPr="00FD5F4E">
              <w:rPr>
                <w:rFonts w:ascii="Calibri" w:eastAsiaTheme="minorEastAsia" w:hAnsi="Calibri" w:cs="Calibri"/>
                <w:b/>
                <w:bCs/>
                <w:color w:val="000000"/>
                <w:sz w:val="19"/>
                <w:szCs w:val="19"/>
                <w:lang w:eastAsia="en-AU"/>
              </w:rPr>
              <w:t>(971.8)</w:t>
            </w:r>
          </w:p>
        </w:tc>
        <w:tc>
          <w:tcPr>
            <w:tcW w:w="873" w:type="dxa"/>
            <w:tcBorders>
              <w:top w:val="nil"/>
              <w:left w:val="nil"/>
              <w:right w:val="nil"/>
            </w:tcBorders>
            <w:shd w:val="clear" w:color="auto" w:fill="FFFFFF"/>
          </w:tcPr>
          <w:p w:rsidR="00965D85" w:rsidRPr="00FD5F4E" w:rsidRDefault="00965D85" w:rsidP="008B46DF">
            <w:pPr>
              <w:autoSpaceDE w:val="0"/>
              <w:autoSpaceDN w:val="0"/>
              <w:adjustRightInd w:val="0"/>
              <w:spacing w:after="0"/>
              <w:jc w:val="right"/>
              <w:rPr>
                <w:rFonts w:ascii="Calibri" w:eastAsiaTheme="minorEastAsia" w:hAnsi="Calibri" w:cs="Calibri"/>
                <w:b/>
                <w:bCs/>
                <w:color w:val="000000"/>
                <w:sz w:val="19"/>
                <w:szCs w:val="19"/>
                <w:lang w:eastAsia="en-AU"/>
              </w:rPr>
            </w:pPr>
            <w:r w:rsidRPr="00FD5F4E">
              <w:rPr>
                <w:rFonts w:ascii="Calibri" w:eastAsiaTheme="minorEastAsia" w:hAnsi="Calibri" w:cs="Calibri"/>
                <w:b/>
                <w:bCs/>
                <w:color w:val="000000"/>
                <w:sz w:val="19"/>
                <w:szCs w:val="19"/>
                <w:lang w:eastAsia="en-AU"/>
              </w:rPr>
              <w:t>(1 164.5)</w:t>
            </w:r>
          </w:p>
        </w:tc>
        <w:tc>
          <w:tcPr>
            <w:tcW w:w="873" w:type="dxa"/>
            <w:tcBorders>
              <w:top w:val="nil"/>
              <w:left w:val="nil"/>
              <w:right w:val="nil"/>
            </w:tcBorders>
            <w:shd w:val="clear" w:color="auto" w:fill="FFFFFF"/>
          </w:tcPr>
          <w:p w:rsidR="00965D85" w:rsidRPr="00FD5F4E" w:rsidRDefault="00965D85" w:rsidP="008B46DF">
            <w:pPr>
              <w:autoSpaceDE w:val="0"/>
              <w:autoSpaceDN w:val="0"/>
              <w:adjustRightInd w:val="0"/>
              <w:spacing w:after="0"/>
              <w:jc w:val="right"/>
              <w:rPr>
                <w:rFonts w:ascii="Calibri" w:eastAsiaTheme="minorEastAsia" w:hAnsi="Calibri" w:cs="Calibri"/>
                <w:b/>
                <w:bCs/>
                <w:color w:val="000000"/>
                <w:sz w:val="19"/>
                <w:szCs w:val="19"/>
                <w:lang w:eastAsia="en-AU"/>
              </w:rPr>
            </w:pPr>
            <w:r w:rsidRPr="00FD5F4E">
              <w:rPr>
                <w:rFonts w:ascii="Calibri" w:eastAsiaTheme="minorEastAsia" w:hAnsi="Calibri" w:cs="Calibri"/>
                <w:b/>
                <w:bCs/>
                <w:color w:val="000000"/>
                <w:sz w:val="19"/>
                <w:szCs w:val="19"/>
                <w:lang w:eastAsia="en-AU"/>
              </w:rPr>
              <w:t>(361.1)</w:t>
            </w:r>
          </w:p>
        </w:tc>
        <w:tc>
          <w:tcPr>
            <w:tcW w:w="873" w:type="dxa"/>
            <w:tcBorders>
              <w:top w:val="nil"/>
              <w:left w:val="nil"/>
              <w:right w:val="nil"/>
            </w:tcBorders>
            <w:shd w:val="clear" w:color="auto" w:fill="FFFFFF"/>
          </w:tcPr>
          <w:p w:rsidR="00965D85" w:rsidRPr="00FD5F4E" w:rsidRDefault="00965D85" w:rsidP="008B46DF">
            <w:pPr>
              <w:autoSpaceDE w:val="0"/>
              <w:autoSpaceDN w:val="0"/>
              <w:adjustRightInd w:val="0"/>
              <w:spacing w:after="0"/>
              <w:jc w:val="right"/>
              <w:rPr>
                <w:rFonts w:ascii="Calibri" w:eastAsiaTheme="minorEastAsia" w:hAnsi="Calibri" w:cs="Calibri"/>
                <w:b/>
                <w:bCs/>
                <w:color w:val="000000"/>
                <w:sz w:val="19"/>
                <w:szCs w:val="19"/>
                <w:lang w:eastAsia="en-AU"/>
              </w:rPr>
            </w:pPr>
            <w:r w:rsidRPr="00FD5F4E">
              <w:rPr>
                <w:rFonts w:ascii="Calibri" w:eastAsiaTheme="minorEastAsia" w:hAnsi="Calibri" w:cs="Calibri"/>
                <w:b/>
                <w:bCs/>
                <w:color w:val="000000"/>
                <w:sz w:val="19"/>
                <w:szCs w:val="19"/>
                <w:lang w:eastAsia="en-AU"/>
              </w:rPr>
              <w:t>(106.8)</w:t>
            </w:r>
          </w:p>
        </w:tc>
        <w:tc>
          <w:tcPr>
            <w:tcW w:w="873" w:type="dxa"/>
            <w:tcBorders>
              <w:top w:val="nil"/>
              <w:left w:val="nil"/>
              <w:right w:val="nil"/>
            </w:tcBorders>
            <w:shd w:val="clear" w:color="auto" w:fill="FFFFFF"/>
          </w:tcPr>
          <w:p w:rsidR="00965D85" w:rsidRPr="00FD5F4E" w:rsidRDefault="00965D85" w:rsidP="008B46DF">
            <w:pPr>
              <w:autoSpaceDE w:val="0"/>
              <w:autoSpaceDN w:val="0"/>
              <w:adjustRightInd w:val="0"/>
              <w:spacing w:after="0"/>
              <w:jc w:val="right"/>
              <w:rPr>
                <w:rFonts w:ascii="Calibri" w:eastAsiaTheme="minorEastAsia" w:hAnsi="Calibri" w:cs="Calibri"/>
                <w:b/>
                <w:bCs/>
                <w:color w:val="000000"/>
                <w:sz w:val="19"/>
                <w:szCs w:val="19"/>
                <w:lang w:eastAsia="en-AU"/>
              </w:rPr>
            </w:pPr>
            <w:r w:rsidRPr="00FD5F4E">
              <w:rPr>
                <w:rFonts w:ascii="Calibri" w:eastAsiaTheme="minorEastAsia" w:hAnsi="Calibri" w:cs="Calibri"/>
                <w:b/>
                <w:bCs/>
                <w:color w:val="000000"/>
                <w:sz w:val="19"/>
                <w:szCs w:val="19"/>
                <w:lang w:eastAsia="en-AU"/>
              </w:rPr>
              <w:t>(250.1)</w:t>
            </w:r>
          </w:p>
        </w:tc>
      </w:tr>
      <w:tr w:rsidR="00965D85" w:rsidRPr="00FD5F4E" w:rsidTr="008B46DF">
        <w:tc>
          <w:tcPr>
            <w:tcW w:w="3402" w:type="dxa"/>
            <w:tcBorders>
              <w:top w:val="nil"/>
              <w:left w:val="nil"/>
              <w:bottom w:val="single" w:sz="6" w:space="0" w:color="000000"/>
              <w:right w:val="nil"/>
            </w:tcBorders>
            <w:shd w:val="clear" w:color="auto" w:fill="FFFFFF"/>
          </w:tcPr>
          <w:p w:rsidR="00965D85" w:rsidRPr="00FD5F4E" w:rsidRDefault="00965D85" w:rsidP="008B46DF">
            <w:pPr>
              <w:autoSpaceDE w:val="0"/>
              <w:autoSpaceDN w:val="0"/>
              <w:adjustRightInd w:val="0"/>
              <w:spacing w:after="0"/>
              <w:ind w:left="227" w:hanging="227"/>
              <w:rPr>
                <w:rFonts w:ascii="Calibri" w:eastAsiaTheme="minorEastAsia" w:hAnsi="Calibri" w:cs="Calibri"/>
                <w:color w:val="000000"/>
                <w:sz w:val="19"/>
                <w:szCs w:val="19"/>
                <w:vertAlign w:val="superscript"/>
                <w:lang w:eastAsia="en-AU"/>
              </w:rPr>
            </w:pPr>
            <w:r w:rsidRPr="00FD5F4E">
              <w:rPr>
                <w:rFonts w:ascii="Calibri" w:eastAsiaTheme="minorEastAsia" w:hAnsi="Calibri" w:cs="Calibri"/>
                <w:color w:val="000000"/>
                <w:sz w:val="19"/>
                <w:szCs w:val="19"/>
                <w:lang w:eastAsia="en-AU"/>
              </w:rPr>
              <w:t>Less: Net acquisition of non</w:t>
            </w:r>
            <w:r w:rsidRPr="00FD5F4E">
              <w:rPr>
                <w:rFonts w:ascii="Calibri" w:eastAsiaTheme="minorEastAsia" w:hAnsi="Calibri" w:cs="Calibri"/>
                <w:color w:val="000000"/>
                <w:sz w:val="19"/>
                <w:szCs w:val="19"/>
                <w:lang w:eastAsia="en-AU"/>
              </w:rPr>
              <w:noBreakHyphen/>
              <w:t>financial assets from transactions</w:t>
            </w:r>
            <w:r w:rsidRPr="00FD5F4E">
              <w:rPr>
                <w:rFonts w:ascii="Calibri" w:eastAsiaTheme="minorEastAsia" w:hAnsi="Calibri" w:cs="Calibri"/>
                <w:color w:val="000000"/>
                <w:sz w:val="19"/>
                <w:szCs w:val="19"/>
                <w:vertAlign w:val="superscript"/>
                <w:lang w:eastAsia="en-AU"/>
              </w:rPr>
              <w:t xml:space="preserve"> (b)</w:t>
            </w:r>
          </w:p>
        </w:tc>
        <w:tc>
          <w:tcPr>
            <w:tcW w:w="873" w:type="dxa"/>
            <w:tcBorders>
              <w:top w:val="nil"/>
              <w:left w:val="nil"/>
              <w:bottom w:val="single" w:sz="6" w:space="0" w:color="000000"/>
              <w:right w:val="nil"/>
            </w:tcBorders>
            <w:shd w:val="clear" w:color="auto" w:fill="FFFFFF"/>
          </w:tcPr>
          <w:p w:rsidR="00965D85" w:rsidRPr="00FD5F4E"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FD5F4E">
              <w:rPr>
                <w:rFonts w:ascii="Calibri" w:eastAsiaTheme="minorEastAsia" w:hAnsi="Calibri" w:cs="Calibri"/>
                <w:color w:val="000000"/>
                <w:sz w:val="19"/>
                <w:szCs w:val="19"/>
                <w:lang w:eastAsia="en-AU"/>
              </w:rPr>
              <w:t>(4 061.8)</w:t>
            </w:r>
          </w:p>
        </w:tc>
        <w:tc>
          <w:tcPr>
            <w:tcW w:w="873" w:type="dxa"/>
            <w:tcBorders>
              <w:top w:val="nil"/>
              <w:left w:val="nil"/>
              <w:bottom w:val="single" w:sz="6" w:space="0" w:color="000000"/>
              <w:right w:val="nil"/>
            </w:tcBorders>
            <w:shd w:val="clear" w:color="auto" w:fill="FFFFFF"/>
          </w:tcPr>
          <w:p w:rsidR="00965D85" w:rsidRPr="00FD5F4E"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FD5F4E">
              <w:rPr>
                <w:rFonts w:ascii="Calibri" w:eastAsiaTheme="minorEastAsia" w:hAnsi="Calibri" w:cs="Calibri"/>
                <w:color w:val="000000"/>
                <w:sz w:val="19"/>
                <w:szCs w:val="19"/>
                <w:lang w:eastAsia="en-AU"/>
              </w:rPr>
              <w:t>(4 308.0)</w:t>
            </w:r>
          </w:p>
        </w:tc>
        <w:tc>
          <w:tcPr>
            <w:tcW w:w="873" w:type="dxa"/>
            <w:tcBorders>
              <w:top w:val="nil"/>
              <w:left w:val="nil"/>
              <w:bottom w:val="single" w:sz="6" w:space="0" w:color="000000"/>
              <w:right w:val="nil"/>
            </w:tcBorders>
            <w:shd w:val="clear" w:color="auto" w:fill="FFFFFF"/>
          </w:tcPr>
          <w:p w:rsidR="00965D85" w:rsidRPr="00FD5F4E"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FD5F4E">
              <w:rPr>
                <w:rFonts w:ascii="Calibri" w:eastAsiaTheme="minorEastAsia" w:hAnsi="Calibri" w:cs="Calibri"/>
                <w:color w:val="000000"/>
                <w:sz w:val="19"/>
                <w:szCs w:val="19"/>
                <w:lang w:eastAsia="en-AU"/>
              </w:rPr>
              <w:t>3 248.9</w:t>
            </w:r>
          </w:p>
        </w:tc>
        <w:tc>
          <w:tcPr>
            <w:tcW w:w="873" w:type="dxa"/>
            <w:tcBorders>
              <w:top w:val="nil"/>
              <w:left w:val="nil"/>
              <w:bottom w:val="single" w:sz="6" w:space="0" w:color="000000"/>
              <w:right w:val="nil"/>
            </w:tcBorders>
            <w:shd w:val="clear" w:color="auto" w:fill="FFFFFF"/>
          </w:tcPr>
          <w:p w:rsidR="00965D85" w:rsidRPr="00FD5F4E"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FD5F4E">
              <w:rPr>
                <w:rFonts w:ascii="Calibri" w:eastAsiaTheme="minorEastAsia" w:hAnsi="Calibri" w:cs="Calibri"/>
                <w:color w:val="000000"/>
                <w:sz w:val="19"/>
                <w:szCs w:val="19"/>
                <w:lang w:eastAsia="en-AU"/>
              </w:rPr>
              <w:t>2 808.9</w:t>
            </w:r>
          </w:p>
        </w:tc>
        <w:tc>
          <w:tcPr>
            <w:tcW w:w="873" w:type="dxa"/>
            <w:tcBorders>
              <w:top w:val="nil"/>
              <w:left w:val="nil"/>
              <w:bottom w:val="single" w:sz="6" w:space="0" w:color="000000"/>
              <w:right w:val="nil"/>
            </w:tcBorders>
            <w:shd w:val="clear" w:color="auto" w:fill="FFFFFF"/>
          </w:tcPr>
          <w:p w:rsidR="00965D85" w:rsidRPr="00FD5F4E" w:rsidRDefault="00965D85" w:rsidP="008B46DF">
            <w:pPr>
              <w:autoSpaceDE w:val="0"/>
              <w:autoSpaceDN w:val="0"/>
              <w:adjustRightInd w:val="0"/>
              <w:spacing w:after="0"/>
              <w:jc w:val="right"/>
              <w:rPr>
                <w:rFonts w:ascii="Calibri" w:eastAsiaTheme="minorEastAsia" w:hAnsi="Calibri" w:cs="Calibri"/>
                <w:color w:val="000000"/>
                <w:sz w:val="19"/>
                <w:szCs w:val="19"/>
                <w:lang w:eastAsia="en-AU"/>
              </w:rPr>
            </w:pPr>
            <w:r w:rsidRPr="00FD5F4E">
              <w:rPr>
                <w:rFonts w:ascii="Calibri" w:eastAsiaTheme="minorEastAsia" w:hAnsi="Calibri" w:cs="Calibri"/>
                <w:color w:val="000000"/>
                <w:sz w:val="19"/>
                <w:szCs w:val="19"/>
                <w:lang w:eastAsia="en-AU"/>
              </w:rPr>
              <w:t>1 720.6</w:t>
            </w:r>
          </w:p>
        </w:tc>
      </w:tr>
      <w:tr w:rsidR="00965D85" w:rsidRPr="00FD5F4E" w:rsidTr="008B46DF">
        <w:tc>
          <w:tcPr>
            <w:tcW w:w="3402" w:type="dxa"/>
            <w:tcBorders>
              <w:top w:val="single" w:sz="6" w:space="0" w:color="000000"/>
              <w:left w:val="nil"/>
              <w:bottom w:val="single" w:sz="12" w:space="0" w:color="auto"/>
              <w:right w:val="nil"/>
            </w:tcBorders>
            <w:shd w:val="clear" w:color="auto" w:fill="FFFFFF"/>
          </w:tcPr>
          <w:p w:rsidR="00965D85" w:rsidRPr="00FD5F4E" w:rsidRDefault="00965D85" w:rsidP="008B46DF">
            <w:pPr>
              <w:autoSpaceDE w:val="0"/>
              <w:autoSpaceDN w:val="0"/>
              <w:adjustRightInd w:val="0"/>
              <w:spacing w:after="0"/>
              <w:ind w:left="227" w:hanging="227"/>
              <w:rPr>
                <w:rFonts w:ascii="Calibri" w:eastAsiaTheme="minorEastAsia" w:hAnsi="Calibri" w:cs="Calibri"/>
                <w:b/>
                <w:bCs/>
                <w:color w:val="000000"/>
                <w:sz w:val="19"/>
                <w:szCs w:val="19"/>
                <w:vertAlign w:val="superscript"/>
                <w:lang w:eastAsia="en-AU"/>
              </w:rPr>
            </w:pPr>
            <w:r w:rsidRPr="00FD5F4E">
              <w:rPr>
                <w:rFonts w:ascii="Calibri" w:eastAsiaTheme="minorEastAsia" w:hAnsi="Calibri" w:cs="Calibri"/>
                <w:b/>
                <w:bCs/>
                <w:color w:val="000000"/>
                <w:sz w:val="19"/>
                <w:szCs w:val="19"/>
                <w:lang w:eastAsia="en-AU"/>
              </w:rPr>
              <w:t>Net lending/(borrowing)</w:t>
            </w:r>
            <w:r w:rsidRPr="00FD5F4E">
              <w:rPr>
                <w:rFonts w:ascii="Calibri" w:eastAsiaTheme="minorEastAsia" w:hAnsi="Calibri" w:cs="Calibri"/>
                <w:b/>
                <w:bCs/>
                <w:color w:val="000000"/>
                <w:sz w:val="19"/>
                <w:szCs w:val="19"/>
                <w:vertAlign w:val="superscript"/>
                <w:lang w:eastAsia="en-AU"/>
              </w:rPr>
              <w:t xml:space="preserve"> (b)</w:t>
            </w:r>
          </w:p>
        </w:tc>
        <w:tc>
          <w:tcPr>
            <w:tcW w:w="873" w:type="dxa"/>
            <w:tcBorders>
              <w:top w:val="single" w:sz="6" w:space="0" w:color="000000"/>
              <w:left w:val="nil"/>
              <w:bottom w:val="single" w:sz="12" w:space="0" w:color="auto"/>
              <w:right w:val="nil"/>
            </w:tcBorders>
            <w:shd w:val="clear" w:color="auto" w:fill="FFFFFF"/>
          </w:tcPr>
          <w:p w:rsidR="00965D85" w:rsidRPr="00FD5F4E" w:rsidRDefault="00965D85" w:rsidP="008B46DF">
            <w:pPr>
              <w:autoSpaceDE w:val="0"/>
              <w:autoSpaceDN w:val="0"/>
              <w:adjustRightInd w:val="0"/>
              <w:spacing w:after="0"/>
              <w:jc w:val="right"/>
              <w:rPr>
                <w:rFonts w:ascii="Calibri" w:eastAsiaTheme="minorEastAsia" w:hAnsi="Calibri" w:cs="Calibri"/>
                <w:b/>
                <w:bCs/>
                <w:color w:val="000000"/>
                <w:sz w:val="19"/>
                <w:szCs w:val="19"/>
                <w:lang w:eastAsia="en-AU"/>
              </w:rPr>
            </w:pPr>
            <w:r w:rsidRPr="00FD5F4E">
              <w:rPr>
                <w:rFonts w:ascii="Calibri" w:eastAsiaTheme="minorEastAsia" w:hAnsi="Calibri" w:cs="Calibri"/>
                <w:b/>
                <w:bCs/>
                <w:color w:val="000000"/>
                <w:sz w:val="19"/>
                <w:szCs w:val="19"/>
                <w:lang w:eastAsia="en-AU"/>
              </w:rPr>
              <w:t>3 090.0</w:t>
            </w:r>
          </w:p>
        </w:tc>
        <w:tc>
          <w:tcPr>
            <w:tcW w:w="873" w:type="dxa"/>
            <w:tcBorders>
              <w:top w:val="single" w:sz="6" w:space="0" w:color="000000"/>
              <w:left w:val="nil"/>
              <w:bottom w:val="single" w:sz="12" w:space="0" w:color="auto"/>
              <w:right w:val="nil"/>
            </w:tcBorders>
            <w:shd w:val="clear" w:color="auto" w:fill="FFFFFF"/>
          </w:tcPr>
          <w:p w:rsidR="00965D85" w:rsidRPr="00FD5F4E" w:rsidRDefault="00965D85" w:rsidP="008B46DF">
            <w:pPr>
              <w:autoSpaceDE w:val="0"/>
              <w:autoSpaceDN w:val="0"/>
              <w:adjustRightInd w:val="0"/>
              <w:spacing w:after="0"/>
              <w:jc w:val="right"/>
              <w:rPr>
                <w:rFonts w:ascii="Calibri" w:eastAsiaTheme="minorEastAsia" w:hAnsi="Calibri" w:cs="Calibri"/>
                <w:b/>
                <w:bCs/>
                <w:color w:val="000000"/>
                <w:sz w:val="19"/>
                <w:szCs w:val="19"/>
                <w:lang w:eastAsia="en-AU"/>
              </w:rPr>
            </w:pPr>
            <w:r w:rsidRPr="00FD5F4E">
              <w:rPr>
                <w:rFonts w:ascii="Calibri" w:eastAsiaTheme="minorEastAsia" w:hAnsi="Calibri" w:cs="Calibri"/>
                <w:b/>
                <w:bCs/>
                <w:color w:val="000000"/>
                <w:sz w:val="19"/>
                <w:szCs w:val="19"/>
                <w:lang w:eastAsia="en-AU"/>
              </w:rPr>
              <w:t>3 143.5</w:t>
            </w:r>
          </w:p>
        </w:tc>
        <w:tc>
          <w:tcPr>
            <w:tcW w:w="873" w:type="dxa"/>
            <w:tcBorders>
              <w:top w:val="single" w:sz="6" w:space="0" w:color="000000"/>
              <w:left w:val="nil"/>
              <w:bottom w:val="single" w:sz="12" w:space="0" w:color="auto"/>
              <w:right w:val="nil"/>
            </w:tcBorders>
            <w:shd w:val="clear" w:color="auto" w:fill="FFFFFF"/>
          </w:tcPr>
          <w:p w:rsidR="00965D85" w:rsidRPr="00FD5F4E" w:rsidRDefault="00965D85" w:rsidP="008B46DF">
            <w:pPr>
              <w:autoSpaceDE w:val="0"/>
              <w:autoSpaceDN w:val="0"/>
              <w:adjustRightInd w:val="0"/>
              <w:spacing w:after="0"/>
              <w:jc w:val="right"/>
              <w:rPr>
                <w:rFonts w:ascii="Calibri" w:eastAsiaTheme="minorEastAsia" w:hAnsi="Calibri" w:cs="Calibri"/>
                <w:b/>
                <w:bCs/>
                <w:color w:val="000000"/>
                <w:sz w:val="19"/>
                <w:szCs w:val="19"/>
                <w:lang w:eastAsia="en-AU"/>
              </w:rPr>
            </w:pPr>
            <w:r w:rsidRPr="00FD5F4E">
              <w:rPr>
                <w:rFonts w:ascii="Calibri" w:eastAsiaTheme="minorEastAsia" w:hAnsi="Calibri" w:cs="Calibri"/>
                <w:b/>
                <w:bCs/>
                <w:color w:val="000000"/>
                <w:sz w:val="19"/>
                <w:szCs w:val="19"/>
                <w:lang w:eastAsia="en-AU"/>
              </w:rPr>
              <w:t>(3 610.0)</w:t>
            </w:r>
          </w:p>
        </w:tc>
        <w:tc>
          <w:tcPr>
            <w:tcW w:w="873" w:type="dxa"/>
            <w:tcBorders>
              <w:top w:val="single" w:sz="6" w:space="0" w:color="000000"/>
              <w:left w:val="nil"/>
              <w:bottom w:val="single" w:sz="12" w:space="0" w:color="auto"/>
              <w:right w:val="nil"/>
            </w:tcBorders>
            <w:shd w:val="clear" w:color="auto" w:fill="FFFFFF"/>
          </w:tcPr>
          <w:p w:rsidR="00965D85" w:rsidRPr="00FD5F4E" w:rsidRDefault="00965D85" w:rsidP="008B46DF">
            <w:pPr>
              <w:autoSpaceDE w:val="0"/>
              <w:autoSpaceDN w:val="0"/>
              <w:adjustRightInd w:val="0"/>
              <w:spacing w:after="0"/>
              <w:jc w:val="right"/>
              <w:rPr>
                <w:rFonts w:ascii="Calibri" w:eastAsiaTheme="minorEastAsia" w:hAnsi="Calibri" w:cs="Calibri"/>
                <w:b/>
                <w:bCs/>
                <w:color w:val="000000"/>
                <w:sz w:val="19"/>
                <w:szCs w:val="19"/>
                <w:lang w:eastAsia="en-AU"/>
              </w:rPr>
            </w:pPr>
            <w:r w:rsidRPr="00FD5F4E">
              <w:rPr>
                <w:rFonts w:ascii="Calibri" w:eastAsiaTheme="minorEastAsia" w:hAnsi="Calibri" w:cs="Calibri"/>
                <w:b/>
                <w:bCs/>
                <w:color w:val="000000"/>
                <w:sz w:val="19"/>
                <w:szCs w:val="19"/>
                <w:lang w:eastAsia="en-AU"/>
              </w:rPr>
              <w:t>(2 915.8)</w:t>
            </w:r>
          </w:p>
        </w:tc>
        <w:tc>
          <w:tcPr>
            <w:tcW w:w="873" w:type="dxa"/>
            <w:tcBorders>
              <w:top w:val="single" w:sz="6" w:space="0" w:color="000000"/>
              <w:left w:val="nil"/>
              <w:bottom w:val="single" w:sz="12" w:space="0" w:color="auto"/>
              <w:right w:val="nil"/>
            </w:tcBorders>
            <w:shd w:val="clear" w:color="auto" w:fill="FFFFFF"/>
          </w:tcPr>
          <w:p w:rsidR="00965D85" w:rsidRPr="00FD5F4E" w:rsidRDefault="00965D85" w:rsidP="008B46DF">
            <w:pPr>
              <w:autoSpaceDE w:val="0"/>
              <w:autoSpaceDN w:val="0"/>
              <w:adjustRightInd w:val="0"/>
              <w:spacing w:after="0"/>
              <w:jc w:val="right"/>
              <w:rPr>
                <w:rFonts w:ascii="Calibri" w:eastAsiaTheme="minorEastAsia" w:hAnsi="Calibri" w:cs="Calibri"/>
                <w:b/>
                <w:bCs/>
                <w:color w:val="000000"/>
                <w:sz w:val="19"/>
                <w:szCs w:val="19"/>
                <w:lang w:eastAsia="en-AU"/>
              </w:rPr>
            </w:pPr>
            <w:r w:rsidRPr="00FD5F4E">
              <w:rPr>
                <w:rFonts w:ascii="Calibri" w:eastAsiaTheme="minorEastAsia" w:hAnsi="Calibri" w:cs="Calibri"/>
                <w:b/>
                <w:bCs/>
                <w:color w:val="000000"/>
                <w:sz w:val="19"/>
                <w:szCs w:val="19"/>
                <w:lang w:eastAsia="en-AU"/>
              </w:rPr>
              <w:t>(1 970.7)</w:t>
            </w:r>
          </w:p>
        </w:tc>
      </w:tr>
      <w:tr w:rsidR="00965D85" w:rsidRPr="001E7FA9" w:rsidTr="008B46DF">
        <w:tc>
          <w:tcPr>
            <w:tcW w:w="7767" w:type="dxa"/>
            <w:gridSpan w:val="6"/>
            <w:tcBorders>
              <w:top w:val="single" w:sz="12" w:space="0" w:color="auto"/>
              <w:left w:val="nil"/>
              <w:bottom w:val="nil"/>
              <w:right w:val="nil"/>
            </w:tcBorders>
            <w:shd w:val="clear" w:color="auto" w:fill="auto"/>
          </w:tcPr>
          <w:p w:rsidR="00965D85" w:rsidRPr="001E7FA9" w:rsidRDefault="00965D85" w:rsidP="008B46DF">
            <w:pPr>
              <w:pStyle w:val="Source"/>
              <w:rPr>
                <w:rFonts w:eastAsiaTheme="minorEastAsia"/>
                <w:lang w:eastAsia="en-AU"/>
              </w:rPr>
            </w:pPr>
            <w:r w:rsidRPr="001E7FA9">
              <w:rPr>
                <w:rFonts w:eastAsiaTheme="minorEastAsia"/>
                <w:lang w:eastAsia="en-AU"/>
              </w:rPr>
              <w:t>Source: Department of Treasury and Finance</w:t>
            </w:r>
          </w:p>
        </w:tc>
      </w:tr>
    </w:tbl>
    <w:p w:rsidR="00965D85" w:rsidRPr="00EF41B7" w:rsidRDefault="00965D85" w:rsidP="008B46DF">
      <w:pPr>
        <w:pStyle w:val="Notes"/>
        <w:rPr>
          <w:lang w:eastAsia="en-AU"/>
        </w:rPr>
      </w:pPr>
      <w:r w:rsidRPr="00EF41B7">
        <w:rPr>
          <w:lang w:eastAsia="en-AU"/>
        </w:rPr>
        <w:t>Note</w:t>
      </w:r>
      <w:r>
        <w:rPr>
          <w:lang w:eastAsia="en-AU"/>
        </w:rPr>
        <w:t>s</w:t>
      </w:r>
      <w:r w:rsidRPr="00EF41B7">
        <w:rPr>
          <w:lang w:eastAsia="en-AU"/>
        </w:rPr>
        <w:t>:</w:t>
      </w:r>
    </w:p>
    <w:p w:rsidR="00965D85" w:rsidRPr="007728B0" w:rsidRDefault="00965D85" w:rsidP="008B46DF">
      <w:pPr>
        <w:pStyle w:val="Notes"/>
        <w:rPr>
          <w:lang w:eastAsia="en-AU"/>
        </w:rPr>
      </w:pPr>
      <w:r w:rsidRPr="00EF41B7">
        <w:rPr>
          <w:lang w:eastAsia="en-AU"/>
        </w:rPr>
        <w:t>(a)</w:t>
      </w:r>
      <w:r w:rsidRPr="00EF41B7">
        <w:rPr>
          <w:lang w:eastAsia="en-AU"/>
        </w:rPr>
        <w:tab/>
        <w:t>Certain line items have been aggregated in the table above</w:t>
      </w:r>
      <w:r>
        <w:rPr>
          <w:lang w:eastAsia="en-AU"/>
        </w:rPr>
        <w:t xml:space="preserve"> </w:t>
      </w:r>
      <w:r w:rsidRPr="00EF41B7">
        <w:rPr>
          <w:lang w:eastAsia="en-AU"/>
        </w:rPr>
        <w:t>due to commercial sensitivities of balances.</w:t>
      </w:r>
    </w:p>
    <w:p w:rsidR="00965D85" w:rsidRPr="000E2577" w:rsidRDefault="00965D85" w:rsidP="008B46DF">
      <w:pPr>
        <w:pStyle w:val="Notes"/>
      </w:pPr>
      <w:r w:rsidRPr="000E2577">
        <w:t>(b)</w:t>
      </w:r>
      <w:r w:rsidRPr="000E2577">
        <w:tab/>
      </w:r>
      <w:r w:rsidRPr="004D3C1E">
        <w:rPr>
          <w:i w:val="0"/>
        </w:rPr>
        <w:t>2015</w:t>
      </w:r>
      <w:r>
        <w:rPr>
          <w:i w:val="0"/>
        </w:rPr>
        <w:noBreakHyphen/>
      </w:r>
      <w:r w:rsidRPr="004D3C1E">
        <w:rPr>
          <w:i w:val="0"/>
        </w:rPr>
        <w:t>16 Budget</w:t>
      </w:r>
      <w:r w:rsidRPr="000E2577">
        <w:t xml:space="preserve"> figures have been restated to reflect more current information.</w:t>
      </w:r>
    </w:p>
    <w:p w:rsidR="00965D85" w:rsidRDefault="00965D85" w:rsidP="008B46DF">
      <w:pPr>
        <w:rPr>
          <w:rFonts w:ascii="Tms Rmn" w:hAnsi="Tms Rmn" w:cs="Tms Rmn"/>
          <w:color w:val="000000"/>
          <w:sz w:val="18"/>
          <w:szCs w:val="18"/>
          <w:lang w:eastAsia="en-AU"/>
        </w:rPr>
      </w:pPr>
    </w:p>
    <w:p w:rsidR="00965D85" w:rsidRDefault="00965D85">
      <w:pPr>
        <w:spacing w:after="0"/>
        <w:rPr>
          <w:rFonts w:ascii="Tms Rmn" w:hAnsi="Tms Rmn" w:cs="Tms Rmn"/>
          <w:color w:val="000000"/>
          <w:sz w:val="18"/>
          <w:szCs w:val="18"/>
          <w:lang w:eastAsia="en-AU"/>
        </w:rPr>
      </w:pPr>
      <w:r>
        <w:rPr>
          <w:rFonts w:ascii="Tms Rmn" w:hAnsi="Tms Rmn" w:cs="Tms Rmn"/>
          <w:color w:val="000000"/>
          <w:sz w:val="18"/>
          <w:szCs w:val="18"/>
          <w:lang w:eastAsia="en-AU"/>
        </w:rPr>
        <w:br w:type="page"/>
      </w:r>
    </w:p>
    <w:p w:rsidR="00965D85" w:rsidRDefault="00965D85" w:rsidP="008B46DF">
      <w:pPr>
        <w:pStyle w:val="Tableheading"/>
        <w:rPr>
          <w:rFonts w:ascii="Times New Roman" w:hAnsi="Times New Roman"/>
          <w:i/>
          <w:sz w:val="20"/>
          <w:lang w:eastAsia="en-AU"/>
        </w:rPr>
      </w:pPr>
      <w:r w:rsidRPr="0081068E">
        <w:rPr>
          <w:lang w:eastAsia="en-AU"/>
        </w:rPr>
        <w:lastRenderedPageBreak/>
        <w:t>Table 5.20:</w:t>
      </w:r>
      <w:r w:rsidRPr="0081068E">
        <w:rPr>
          <w:lang w:eastAsia="en-AU"/>
        </w:rPr>
        <w:tab/>
        <w:t>State of Victoria balance sheet as at 30 June</w:t>
      </w:r>
    </w:p>
    <w:tbl>
      <w:tblPr>
        <w:tblW w:w="7767" w:type="dxa"/>
        <w:tblInd w:w="28" w:type="dxa"/>
        <w:tblLayout w:type="fixed"/>
        <w:tblCellMar>
          <w:left w:w="28" w:type="dxa"/>
          <w:right w:w="28" w:type="dxa"/>
        </w:tblCellMar>
        <w:tblLook w:val="0000" w:firstRow="0" w:lastRow="0" w:firstColumn="0" w:lastColumn="0" w:noHBand="0" w:noVBand="0"/>
      </w:tblPr>
      <w:tblGrid>
        <w:gridCol w:w="2947"/>
        <w:gridCol w:w="170"/>
        <w:gridCol w:w="794"/>
        <w:gridCol w:w="964"/>
        <w:gridCol w:w="964"/>
        <w:gridCol w:w="964"/>
        <w:gridCol w:w="964"/>
      </w:tblGrid>
      <w:tr w:rsidR="00965D85" w:rsidRPr="001E7FA9" w:rsidTr="008B46DF">
        <w:trPr>
          <w:tblHeader/>
        </w:trPr>
        <w:tc>
          <w:tcPr>
            <w:tcW w:w="7767" w:type="dxa"/>
            <w:gridSpan w:val="7"/>
            <w:tcBorders>
              <w:top w:val="nil"/>
              <w:left w:val="nil"/>
              <w:bottom w:val="nil"/>
              <w:right w:val="nil"/>
            </w:tcBorders>
          </w:tcPr>
          <w:p w:rsidR="00965D85" w:rsidRPr="001E7FA9" w:rsidRDefault="00965D85" w:rsidP="008B46DF">
            <w:pPr>
              <w:pStyle w:val="million"/>
              <w:rPr>
                <w:rFonts w:eastAsiaTheme="minorEastAsia" w:cs="Calibri"/>
                <w:iCs/>
                <w:color w:val="000000"/>
                <w:sz w:val="20"/>
                <w:lang w:eastAsia="en-AU"/>
              </w:rPr>
            </w:pPr>
            <w:r w:rsidRPr="001E7FA9">
              <w:rPr>
                <w:rFonts w:eastAsiaTheme="minorEastAsia"/>
                <w:lang w:eastAsia="en-AU"/>
              </w:rPr>
              <w:t>($ million</w:t>
            </w:r>
            <w:r w:rsidRPr="001E7FA9">
              <w:rPr>
                <w:rFonts w:eastAsiaTheme="minorEastAsia" w:cs="Calibri"/>
                <w:iCs/>
                <w:color w:val="000000"/>
                <w:sz w:val="20"/>
                <w:lang w:eastAsia="en-AU"/>
              </w:rPr>
              <w:t>)</w:t>
            </w:r>
          </w:p>
        </w:tc>
      </w:tr>
      <w:tr w:rsidR="00965D85" w:rsidRPr="00C761B2" w:rsidTr="008B46DF">
        <w:trPr>
          <w:trHeight w:val="467"/>
          <w:tblHeader/>
        </w:trPr>
        <w:tc>
          <w:tcPr>
            <w:tcW w:w="2947" w:type="dxa"/>
            <w:tcBorders>
              <w:top w:val="nil"/>
              <w:left w:val="nil"/>
              <w:right w:val="nil"/>
            </w:tcBorders>
            <w:shd w:val="solid" w:color="000000" w:fill="auto"/>
          </w:tcPr>
          <w:p w:rsidR="00965D85" w:rsidRPr="00C761B2" w:rsidRDefault="00965D85" w:rsidP="008B46DF">
            <w:pPr>
              <w:pStyle w:val="million"/>
              <w:rPr>
                <w:rFonts w:eastAsiaTheme="minorEastAsia"/>
                <w:sz w:val="19"/>
                <w:szCs w:val="19"/>
                <w:lang w:eastAsia="en-AU"/>
              </w:rPr>
            </w:pPr>
            <w:r w:rsidRPr="00C761B2">
              <w:rPr>
                <w:rFonts w:eastAsiaTheme="minorEastAsia"/>
                <w:sz w:val="19"/>
                <w:szCs w:val="19"/>
                <w:lang w:eastAsia="en-AU"/>
              </w:rPr>
              <w:t xml:space="preserve"> </w:t>
            </w:r>
          </w:p>
          <w:p w:rsidR="00965D85" w:rsidRPr="00C761B2" w:rsidRDefault="00965D85" w:rsidP="008B46DF">
            <w:pPr>
              <w:autoSpaceDE w:val="0"/>
              <w:autoSpaceDN w:val="0"/>
              <w:adjustRightInd w:val="0"/>
              <w:spacing w:after="0"/>
              <w:rPr>
                <w:rFonts w:eastAsiaTheme="minorEastAsia"/>
                <w:sz w:val="19"/>
                <w:szCs w:val="19"/>
                <w:lang w:eastAsia="en-AU"/>
              </w:rPr>
            </w:pPr>
            <w:r w:rsidRPr="00C761B2">
              <w:rPr>
                <w:rFonts w:ascii="Calibri" w:eastAsiaTheme="minorEastAsia" w:hAnsi="Calibri" w:cs="Calibri"/>
                <w:color w:val="000000"/>
                <w:sz w:val="19"/>
                <w:szCs w:val="19"/>
                <w:lang w:eastAsia="en-AU"/>
              </w:rPr>
              <w:t xml:space="preserve"> </w:t>
            </w:r>
          </w:p>
        </w:tc>
        <w:tc>
          <w:tcPr>
            <w:tcW w:w="964" w:type="dxa"/>
            <w:gridSpan w:val="2"/>
            <w:tcBorders>
              <w:top w:val="nil"/>
              <w:left w:val="nil"/>
              <w:right w:val="nil"/>
            </w:tcBorders>
            <w:shd w:val="solid" w:color="000000" w:fill="auto"/>
          </w:tcPr>
          <w:p w:rsidR="00965D85" w:rsidRPr="00C761B2" w:rsidRDefault="00965D85" w:rsidP="008B46DF">
            <w:pPr>
              <w:pStyle w:val="million"/>
              <w:jc w:val="right"/>
              <w:rPr>
                <w:rFonts w:eastAsiaTheme="minorEastAsia"/>
                <w:iCs/>
                <w:color w:val="FFFFFF"/>
                <w:sz w:val="19"/>
                <w:szCs w:val="19"/>
                <w:lang w:eastAsia="en-AU"/>
              </w:rPr>
            </w:pPr>
            <w:r w:rsidRPr="00C761B2">
              <w:rPr>
                <w:rFonts w:eastAsiaTheme="minorEastAsia"/>
                <w:iCs/>
                <w:color w:val="FFFFFF"/>
                <w:sz w:val="19"/>
                <w:szCs w:val="19"/>
                <w:lang w:eastAsia="en-AU"/>
              </w:rPr>
              <w:t xml:space="preserve">2016 </w:t>
            </w:r>
          </w:p>
          <w:p w:rsidR="00965D85" w:rsidRPr="00C761B2" w:rsidRDefault="00965D85" w:rsidP="008B46DF">
            <w:pPr>
              <w:autoSpaceDE w:val="0"/>
              <w:autoSpaceDN w:val="0"/>
              <w:adjustRightInd w:val="0"/>
              <w:spacing w:after="0"/>
              <w:jc w:val="right"/>
              <w:rPr>
                <w:rFonts w:eastAsiaTheme="minorEastAsia"/>
                <w:iCs/>
                <w:color w:val="FFFFFF"/>
                <w:sz w:val="19"/>
                <w:szCs w:val="19"/>
                <w:lang w:eastAsia="en-AU"/>
              </w:rPr>
            </w:pPr>
            <w:r w:rsidRPr="00C761B2">
              <w:rPr>
                <w:rFonts w:ascii="Calibri" w:eastAsiaTheme="minorEastAsia" w:hAnsi="Calibri" w:cs="Calibri"/>
                <w:i/>
                <w:iCs/>
                <w:color w:val="FFFFFF"/>
                <w:sz w:val="19"/>
                <w:szCs w:val="19"/>
                <w:lang w:eastAsia="en-AU"/>
              </w:rPr>
              <w:t>budget</w:t>
            </w:r>
            <w:r w:rsidRPr="00C761B2">
              <w:rPr>
                <w:rFonts w:ascii="Calibri" w:eastAsiaTheme="minorEastAsia" w:hAnsi="Calibri" w:cs="Calibri"/>
                <w:i/>
                <w:iCs/>
                <w:color w:val="FFFFFF"/>
                <w:sz w:val="19"/>
                <w:szCs w:val="19"/>
                <w:vertAlign w:val="superscript"/>
                <w:lang w:eastAsia="en-AU"/>
              </w:rPr>
              <w:t xml:space="preserve"> (a)</w:t>
            </w:r>
          </w:p>
        </w:tc>
        <w:tc>
          <w:tcPr>
            <w:tcW w:w="964" w:type="dxa"/>
            <w:tcBorders>
              <w:top w:val="nil"/>
              <w:left w:val="nil"/>
              <w:right w:val="nil"/>
            </w:tcBorders>
            <w:shd w:val="solid" w:color="000000" w:fill="auto"/>
          </w:tcPr>
          <w:p w:rsidR="00965D85" w:rsidRPr="00C761B2" w:rsidRDefault="00965D85" w:rsidP="008B46DF">
            <w:pPr>
              <w:pStyle w:val="million"/>
              <w:jc w:val="right"/>
              <w:rPr>
                <w:rFonts w:eastAsiaTheme="minorEastAsia"/>
                <w:iCs/>
                <w:color w:val="FFFFFF"/>
                <w:sz w:val="19"/>
                <w:szCs w:val="19"/>
                <w:lang w:eastAsia="en-AU"/>
              </w:rPr>
            </w:pPr>
            <w:r w:rsidRPr="00C761B2">
              <w:rPr>
                <w:rFonts w:eastAsiaTheme="minorEastAsia"/>
                <w:iCs/>
                <w:color w:val="FFFFFF"/>
                <w:sz w:val="19"/>
                <w:szCs w:val="19"/>
                <w:lang w:eastAsia="en-AU"/>
              </w:rPr>
              <w:t xml:space="preserve">2016 </w:t>
            </w:r>
          </w:p>
          <w:p w:rsidR="00965D85" w:rsidRPr="00C761B2" w:rsidRDefault="00965D85" w:rsidP="008B46DF">
            <w:pPr>
              <w:autoSpaceDE w:val="0"/>
              <w:autoSpaceDN w:val="0"/>
              <w:adjustRightInd w:val="0"/>
              <w:spacing w:after="0"/>
              <w:jc w:val="right"/>
              <w:rPr>
                <w:rFonts w:eastAsiaTheme="minorEastAsia"/>
                <w:iCs/>
                <w:color w:val="FFFFFF"/>
                <w:sz w:val="19"/>
                <w:szCs w:val="19"/>
                <w:lang w:eastAsia="en-AU"/>
              </w:rPr>
            </w:pPr>
            <w:r w:rsidRPr="00C761B2">
              <w:rPr>
                <w:rFonts w:ascii="Calibri" w:eastAsiaTheme="minorEastAsia" w:hAnsi="Calibri" w:cs="Calibri"/>
                <w:i/>
                <w:iCs/>
                <w:color w:val="FFFFFF"/>
                <w:sz w:val="19"/>
                <w:szCs w:val="19"/>
                <w:lang w:eastAsia="en-AU"/>
              </w:rPr>
              <w:t>revised</w:t>
            </w:r>
          </w:p>
        </w:tc>
        <w:tc>
          <w:tcPr>
            <w:tcW w:w="964" w:type="dxa"/>
            <w:tcBorders>
              <w:top w:val="nil"/>
              <w:left w:val="nil"/>
              <w:right w:val="nil"/>
            </w:tcBorders>
            <w:shd w:val="solid" w:color="000000" w:fill="auto"/>
          </w:tcPr>
          <w:p w:rsidR="00965D85" w:rsidRPr="00C761B2" w:rsidRDefault="00965D85" w:rsidP="008B46DF">
            <w:pPr>
              <w:pStyle w:val="million"/>
              <w:jc w:val="right"/>
              <w:rPr>
                <w:rFonts w:eastAsiaTheme="minorEastAsia"/>
                <w:iCs/>
                <w:color w:val="FFFFFF"/>
                <w:sz w:val="19"/>
                <w:szCs w:val="19"/>
                <w:lang w:eastAsia="en-AU"/>
              </w:rPr>
            </w:pPr>
            <w:r w:rsidRPr="00C761B2">
              <w:rPr>
                <w:rFonts w:eastAsiaTheme="minorEastAsia"/>
                <w:iCs/>
                <w:color w:val="FFFFFF"/>
                <w:sz w:val="19"/>
                <w:szCs w:val="19"/>
                <w:lang w:eastAsia="en-AU"/>
              </w:rPr>
              <w:t xml:space="preserve">2017 </w:t>
            </w:r>
          </w:p>
          <w:p w:rsidR="00965D85" w:rsidRPr="00C761B2" w:rsidRDefault="00965D85" w:rsidP="008B46DF">
            <w:pPr>
              <w:autoSpaceDE w:val="0"/>
              <w:autoSpaceDN w:val="0"/>
              <w:adjustRightInd w:val="0"/>
              <w:spacing w:after="0"/>
              <w:jc w:val="right"/>
              <w:rPr>
                <w:rFonts w:eastAsiaTheme="minorEastAsia"/>
                <w:iCs/>
                <w:color w:val="FFFFFF"/>
                <w:sz w:val="19"/>
                <w:szCs w:val="19"/>
                <w:lang w:eastAsia="en-AU"/>
              </w:rPr>
            </w:pPr>
            <w:r w:rsidRPr="00C761B2">
              <w:rPr>
                <w:rFonts w:ascii="Calibri" w:eastAsiaTheme="minorEastAsia" w:hAnsi="Calibri" w:cs="Calibri"/>
                <w:i/>
                <w:iCs/>
                <w:color w:val="FFFFFF"/>
                <w:sz w:val="19"/>
                <w:szCs w:val="19"/>
                <w:lang w:eastAsia="en-AU"/>
              </w:rPr>
              <w:t>estimate</w:t>
            </w:r>
          </w:p>
        </w:tc>
        <w:tc>
          <w:tcPr>
            <w:tcW w:w="964" w:type="dxa"/>
            <w:tcBorders>
              <w:top w:val="nil"/>
              <w:left w:val="nil"/>
              <w:right w:val="nil"/>
            </w:tcBorders>
            <w:shd w:val="solid" w:color="000000" w:fill="auto"/>
          </w:tcPr>
          <w:p w:rsidR="00965D85" w:rsidRPr="00C761B2" w:rsidRDefault="00965D85" w:rsidP="008B46DF">
            <w:pPr>
              <w:pStyle w:val="million"/>
              <w:jc w:val="right"/>
              <w:rPr>
                <w:rFonts w:eastAsiaTheme="minorEastAsia"/>
                <w:iCs/>
                <w:color w:val="FFFFFF"/>
                <w:sz w:val="19"/>
                <w:szCs w:val="19"/>
                <w:lang w:eastAsia="en-AU"/>
              </w:rPr>
            </w:pPr>
            <w:r w:rsidRPr="00C761B2">
              <w:rPr>
                <w:rFonts w:eastAsiaTheme="minorEastAsia"/>
                <w:iCs/>
                <w:color w:val="FFFFFF"/>
                <w:sz w:val="19"/>
                <w:szCs w:val="19"/>
                <w:lang w:eastAsia="en-AU"/>
              </w:rPr>
              <w:t xml:space="preserve">2018 </w:t>
            </w:r>
          </w:p>
          <w:p w:rsidR="00965D85" w:rsidRPr="00C761B2" w:rsidRDefault="00965D85" w:rsidP="008B46DF">
            <w:pPr>
              <w:autoSpaceDE w:val="0"/>
              <w:autoSpaceDN w:val="0"/>
              <w:adjustRightInd w:val="0"/>
              <w:spacing w:after="0"/>
              <w:jc w:val="right"/>
              <w:rPr>
                <w:rFonts w:eastAsiaTheme="minorEastAsia"/>
                <w:iCs/>
                <w:color w:val="FFFFFF"/>
                <w:sz w:val="19"/>
                <w:szCs w:val="19"/>
                <w:lang w:eastAsia="en-AU"/>
              </w:rPr>
            </w:pPr>
            <w:r w:rsidRPr="00C761B2">
              <w:rPr>
                <w:rFonts w:ascii="Calibri" w:eastAsiaTheme="minorEastAsia" w:hAnsi="Calibri" w:cs="Calibri"/>
                <w:i/>
                <w:iCs/>
                <w:color w:val="FFFFFF"/>
                <w:sz w:val="19"/>
                <w:szCs w:val="19"/>
                <w:lang w:eastAsia="en-AU"/>
              </w:rPr>
              <w:t>estimate</w:t>
            </w:r>
          </w:p>
        </w:tc>
        <w:tc>
          <w:tcPr>
            <w:tcW w:w="964" w:type="dxa"/>
            <w:tcBorders>
              <w:top w:val="nil"/>
              <w:left w:val="nil"/>
              <w:right w:val="nil"/>
            </w:tcBorders>
            <w:shd w:val="solid" w:color="000000" w:fill="auto"/>
          </w:tcPr>
          <w:p w:rsidR="00965D85" w:rsidRPr="00C761B2" w:rsidRDefault="00965D85" w:rsidP="008B46DF">
            <w:pPr>
              <w:pStyle w:val="million"/>
              <w:jc w:val="right"/>
              <w:rPr>
                <w:rFonts w:eastAsiaTheme="minorEastAsia"/>
                <w:iCs/>
                <w:color w:val="FFFFFF"/>
                <w:sz w:val="19"/>
                <w:szCs w:val="19"/>
                <w:lang w:eastAsia="en-AU"/>
              </w:rPr>
            </w:pPr>
            <w:r w:rsidRPr="00C761B2">
              <w:rPr>
                <w:rFonts w:eastAsiaTheme="minorEastAsia"/>
                <w:iCs/>
                <w:color w:val="FFFFFF"/>
                <w:sz w:val="19"/>
                <w:szCs w:val="19"/>
                <w:lang w:eastAsia="en-AU"/>
              </w:rPr>
              <w:t xml:space="preserve">2019 </w:t>
            </w:r>
          </w:p>
          <w:p w:rsidR="00965D85" w:rsidRPr="00C761B2" w:rsidRDefault="00965D85" w:rsidP="008B46DF">
            <w:pPr>
              <w:autoSpaceDE w:val="0"/>
              <w:autoSpaceDN w:val="0"/>
              <w:adjustRightInd w:val="0"/>
              <w:spacing w:after="0"/>
              <w:jc w:val="right"/>
              <w:rPr>
                <w:rFonts w:eastAsiaTheme="minorEastAsia"/>
                <w:iCs/>
                <w:color w:val="FFFFFF"/>
                <w:sz w:val="19"/>
                <w:szCs w:val="19"/>
                <w:lang w:eastAsia="en-AU"/>
              </w:rPr>
            </w:pPr>
            <w:r w:rsidRPr="00C761B2">
              <w:rPr>
                <w:rFonts w:ascii="Calibri" w:eastAsiaTheme="minorEastAsia" w:hAnsi="Calibri" w:cs="Calibri"/>
                <w:i/>
                <w:iCs/>
                <w:color w:val="FFFFFF"/>
                <w:sz w:val="19"/>
                <w:szCs w:val="19"/>
                <w:lang w:eastAsia="en-AU"/>
              </w:rPr>
              <w:t>estimate</w:t>
            </w:r>
          </w:p>
        </w:tc>
      </w:tr>
      <w:tr w:rsidR="00965D85" w:rsidRPr="001E7FA9" w:rsidTr="008B46DF">
        <w:tc>
          <w:tcPr>
            <w:tcW w:w="2947" w:type="dxa"/>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b/>
                <w:bCs/>
                <w:color w:val="000000"/>
                <w:sz w:val="19"/>
                <w:lang w:eastAsia="en-AU"/>
              </w:rPr>
            </w:pPr>
            <w:r w:rsidRPr="001E7FA9">
              <w:rPr>
                <w:rFonts w:ascii="Calibri" w:eastAsiaTheme="minorEastAsia" w:hAnsi="Calibri" w:cs="Calibri"/>
                <w:b/>
                <w:bCs/>
                <w:color w:val="000000"/>
                <w:sz w:val="19"/>
                <w:lang w:eastAsia="en-AU"/>
              </w:rPr>
              <w:t>Assets</w:t>
            </w:r>
          </w:p>
        </w:tc>
        <w:tc>
          <w:tcPr>
            <w:tcW w:w="964" w:type="dxa"/>
            <w:gridSpan w:val="2"/>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r>
      <w:tr w:rsidR="00965D85" w:rsidRPr="001E7FA9" w:rsidTr="008B46DF">
        <w:tc>
          <w:tcPr>
            <w:tcW w:w="2947" w:type="dxa"/>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b/>
                <w:bCs/>
                <w:color w:val="000000"/>
                <w:sz w:val="19"/>
                <w:lang w:eastAsia="en-AU"/>
              </w:rPr>
            </w:pPr>
            <w:r w:rsidRPr="001E7FA9">
              <w:rPr>
                <w:rFonts w:ascii="Calibri" w:eastAsiaTheme="minorEastAsia" w:hAnsi="Calibri" w:cs="Calibri"/>
                <w:b/>
                <w:bCs/>
                <w:color w:val="000000"/>
                <w:sz w:val="19"/>
                <w:lang w:eastAsia="en-AU"/>
              </w:rPr>
              <w:t>Financial assets</w:t>
            </w:r>
          </w:p>
        </w:tc>
        <w:tc>
          <w:tcPr>
            <w:tcW w:w="964" w:type="dxa"/>
            <w:gridSpan w:val="2"/>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r>
      <w:tr w:rsidR="00965D85" w:rsidRPr="001E7FA9" w:rsidTr="008B46DF">
        <w:tc>
          <w:tcPr>
            <w:tcW w:w="2947" w:type="dxa"/>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Cash and deposits</w:t>
            </w:r>
          </w:p>
        </w:tc>
        <w:tc>
          <w:tcPr>
            <w:tcW w:w="964" w:type="dxa"/>
            <w:gridSpan w:val="2"/>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6 844.6</w:t>
            </w: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5 807.9</w:t>
            </w: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6 258.1</w:t>
            </w: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6 547.4</w:t>
            </w: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6 971.2</w:t>
            </w:r>
          </w:p>
        </w:tc>
      </w:tr>
      <w:tr w:rsidR="00965D85" w:rsidRPr="001E7FA9" w:rsidTr="008B46DF">
        <w:tc>
          <w:tcPr>
            <w:tcW w:w="2947" w:type="dxa"/>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Advances paid</w:t>
            </w:r>
          </w:p>
        </w:tc>
        <w:tc>
          <w:tcPr>
            <w:tcW w:w="964" w:type="dxa"/>
            <w:gridSpan w:val="2"/>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113.5</w:t>
            </w: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80.6</w:t>
            </w: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75.7</w:t>
            </w: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69.2</w:t>
            </w: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63.0</w:t>
            </w:r>
          </w:p>
        </w:tc>
      </w:tr>
      <w:tr w:rsidR="00965D85" w:rsidRPr="001E7FA9" w:rsidTr="008B46DF">
        <w:tc>
          <w:tcPr>
            <w:tcW w:w="2947" w:type="dxa"/>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Receivables</w:t>
            </w:r>
          </w:p>
        </w:tc>
        <w:tc>
          <w:tcPr>
            <w:tcW w:w="964" w:type="dxa"/>
            <w:gridSpan w:val="2"/>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6 599.0</w:t>
            </w: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6 746.5</w:t>
            </w: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6 807.1</w:t>
            </w: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6 979.6</w:t>
            </w: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7 186.0</w:t>
            </w:r>
          </w:p>
        </w:tc>
      </w:tr>
      <w:tr w:rsidR="00965D85" w:rsidRPr="001E7FA9" w:rsidTr="008B46DF">
        <w:tc>
          <w:tcPr>
            <w:tcW w:w="2947" w:type="dxa"/>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Investments, loans and placements</w:t>
            </w:r>
          </w:p>
        </w:tc>
        <w:tc>
          <w:tcPr>
            <w:tcW w:w="964" w:type="dxa"/>
            <w:gridSpan w:val="2"/>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36 468.1</w:t>
            </w: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35 061.8</w:t>
            </w: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36 353.8</w:t>
            </w: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36 700.8</w:t>
            </w: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38 654.1</w:t>
            </w:r>
          </w:p>
        </w:tc>
      </w:tr>
      <w:tr w:rsidR="00965D85" w:rsidRPr="001E7FA9" w:rsidTr="008B46DF">
        <w:tc>
          <w:tcPr>
            <w:tcW w:w="2947" w:type="dxa"/>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Investments accounted for using equity method</w:t>
            </w:r>
          </w:p>
        </w:tc>
        <w:tc>
          <w:tcPr>
            <w:tcW w:w="964" w:type="dxa"/>
            <w:gridSpan w:val="2"/>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2 020.8</w:t>
            </w:r>
          </w:p>
        </w:tc>
        <w:tc>
          <w:tcPr>
            <w:tcW w:w="964" w:type="dxa"/>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2 020.8</w:t>
            </w:r>
          </w:p>
        </w:tc>
        <w:tc>
          <w:tcPr>
            <w:tcW w:w="964" w:type="dxa"/>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2 023.8</w:t>
            </w:r>
          </w:p>
        </w:tc>
        <w:tc>
          <w:tcPr>
            <w:tcW w:w="964" w:type="dxa"/>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2 027.9</w:t>
            </w:r>
          </w:p>
        </w:tc>
        <w:tc>
          <w:tcPr>
            <w:tcW w:w="964" w:type="dxa"/>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2 033.4</w:t>
            </w:r>
          </w:p>
        </w:tc>
      </w:tr>
      <w:tr w:rsidR="00965D85" w:rsidRPr="001E7FA9" w:rsidTr="008B46DF">
        <w:tc>
          <w:tcPr>
            <w:tcW w:w="2947" w:type="dxa"/>
            <w:tcBorders>
              <w:top w:val="single" w:sz="6" w:space="0" w:color="000000"/>
              <w:left w:val="nil"/>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b/>
                <w:bCs/>
                <w:color w:val="000000"/>
                <w:sz w:val="19"/>
                <w:lang w:eastAsia="en-AU"/>
              </w:rPr>
            </w:pPr>
            <w:r w:rsidRPr="001E7FA9">
              <w:rPr>
                <w:rFonts w:ascii="Calibri" w:eastAsiaTheme="minorEastAsia" w:hAnsi="Calibri" w:cs="Calibri"/>
                <w:b/>
                <w:bCs/>
                <w:color w:val="000000"/>
                <w:sz w:val="19"/>
                <w:lang w:eastAsia="en-AU"/>
              </w:rPr>
              <w:t>Total financial assets</w:t>
            </w:r>
          </w:p>
        </w:tc>
        <w:tc>
          <w:tcPr>
            <w:tcW w:w="964" w:type="dxa"/>
            <w:gridSpan w:val="2"/>
            <w:tcBorders>
              <w:top w:val="single" w:sz="6" w:space="0" w:color="000000"/>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19"/>
                <w:lang w:eastAsia="en-AU"/>
              </w:rPr>
            </w:pPr>
            <w:r w:rsidRPr="001E7FA9">
              <w:rPr>
                <w:rFonts w:ascii="Calibri" w:eastAsiaTheme="minorEastAsia" w:hAnsi="Calibri" w:cs="Calibri"/>
                <w:b/>
                <w:bCs/>
                <w:color w:val="000000"/>
                <w:sz w:val="19"/>
                <w:lang w:eastAsia="en-AU"/>
              </w:rPr>
              <w:t>52 046.0</w:t>
            </w:r>
          </w:p>
        </w:tc>
        <w:tc>
          <w:tcPr>
            <w:tcW w:w="964" w:type="dxa"/>
            <w:tcBorders>
              <w:top w:val="single" w:sz="6" w:space="0" w:color="000000"/>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19"/>
                <w:lang w:eastAsia="en-AU"/>
              </w:rPr>
            </w:pPr>
            <w:r w:rsidRPr="001E7FA9">
              <w:rPr>
                <w:rFonts w:ascii="Calibri" w:eastAsiaTheme="minorEastAsia" w:hAnsi="Calibri" w:cs="Calibri"/>
                <w:b/>
                <w:bCs/>
                <w:color w:val="000000"/>
                <w:sz w:val="19"/>
                <w:lang w:eastAsia="en-AU"/>
              </w:rPr>
              <w:t>49 717.6</w:t>
            </w:r>
          </w:p>
        </w:tc>
        <w:tc>
          <w:tcPr>
            <w:tcW w:w="964" w:type="dxa"/>
            <w:tcBorders>
              <w:top w:val="single" w:sz="6" w:space="0" w:color="000000"/>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19"/>
                <w:lang w:eastAsia="en-AU"/>
              </w:rPr>
            </w:pPr>
            <w:r w:rsidRPr="001E7FA9">
              <w:rPr>
                <w:rFonts w:ascii="Calibri" w:eastAsiaTheme="minorEastAsia" w:hAnsi="Calibri" w:cs="Calibri"/>
                <w:b/>
                <w:bCs/>
                <w:color w:val="000000"/>
                <w:sz w:val="19"/>
                <w:lang w:eastAsia="en-AU"/>
              </w:rPr>
              <w:t>51 518.4</w:t>
            </w:r>
          </w:p>
        </w:tc>
        <w:tc>
          <w:tcPr>
            <w:tcW w:w="964" w:type="dxa"/>
            <w:tcBorders>
              <w:top w:val="single" w:sz="6" w:space="0" w:color="000000"/>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19"/>
                <w:lang w:eastAsia="en-AU"/>
              </w:rPr>
            </w:pPr>
            <w:r w:rsidRPr="001E7FA9">
              <w:rPr>
                <w:rFonts w:ascii="Calibri" w:eastAsiaTheme="minorEastAsia" w:hAnsi="Calibri" w:cs="Calibri"/>
                <w:b/>
                <w:bCs/>
                <w:color w:val="000000"/>
                <w:sz w:val="19"/>
                <w:lang w:eastAsia="en-AU"/>
              </w:rPr>
              <w:t>52 324.9</w:t>
            </w:r>
          </w:p>
        </w:tc>
        <w:tc>
          <w:tcPr>
            <w:tcW w:w="964" w:type="dxa"/>
            <w:tcBorders>
              <w:top w:val="single" w:sz="6" w:space="0" w:color="000000"/>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19"/>
                <w:lang w:eastAsia="en-AU"/>
              </w:rPr>
            </w:pPr>
            <w:r w:rsidRPr="001E7FA9">
              <w:rPr>
                <w:rFonts w:ascii="Calibri" w:eastAsiaTheme="minorEastAsia" w:hAnsi="Calibri" w:cs="Calibri"/>
                <w:b/>
                <w:bCs/>
                <w:color w:val="000000"/>
                <w:sz w:val="19"/>
                <w:lang w:eastAsia="en-AU"/>
              </w:rPr>
              <w:t>54 907.8</w:t>
            </w:r>
          </w:p>
        </w:tc>
      </w:tr>
      <w:tr w:rsidR="00965D85" w:rsidRPr="001E7FA9" w:rsidTr="008B46DF">
        <w:tc>
          <w:tcPr>
            <w:tcW w:w="2947" w:type="dxa"/>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b/>
                <w:bCs/>
                <w:color w:val="000000"/>
                <w:sz w:val="19"/>
                <w:lang w:eastAsia="en-AU"/>
              </w:rPr>
            </w:pPr>
            <w:r w:rsidRPr="001E7FA9">
              <w:rPr>
                <w:rFonts w:ascii="Calibri" w:eastAsiaTheme="minorEastAsia" w:hAnsi="Calibri" w:cs="Calibri"/>
                <w:b/>
                <w:bCs/>
                <w:color w:val="000000"/>
                <w:sz w:val="19"/>
                <w:lang w:eastAsia="en-AU"/>
              </w:rPr>
              <w:t>Non</w:t>
            </w:r>
            <w:r>
              <w:rPr>
                <w:rFonts w:ascii="Calibri" w:eastAsiaTheme="minorEastAsia" w:hAnsi="Calibri" w:cs="Calibri"/>
                <w:b/>
                <w:bCs/>
                <w:color w:val="000000"/>
                <w:sz w:val="19"/>
                <w:lang w:eastAsia="en-AU"/>
              </w:rPr>
              <w:noBreakHyphen/>
            </w:r>
            <w:r w:rsidRPr="001E7FA9">
              <w:rPr>
                <w:rFonts w:ascii="Calibri" w:eastAsiaTheme="minorEastAsia" w:hAnsi="Calibri" w:cs="Calibri"/>
                <w:b/>
                <w:bCs/>
                <w:color w:val="000000"/>
                <w:sz w:val="19"/>
                <w:lang w:eastAsia="en-AU"/>
              </w:rPr>
              <w:t>financial assets</w:t>
            </w:r>
          </w:p>
        </w:tc>
        <w:tc>
          <w:tcPr>
            <w:tcW w:w="964" w:type="dxa"/>
            <w:gridSpan w:val="2"/>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r>
      <w:tr w:rsidR="00965D85" w:rsidRPr="001E7FA9" w:rsidTr="008B46DF">
        <w:tc>
          <w:tcPr>
            <w:tcW w:w="2947" w:type="dxa"/>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Inventories</w:t>
            </w:r>
          </w:p>
        </w:tc>
        <w:tc>
          <w:tcPr>
            <w:tcW w:w="964" w:type="dxa"/>
            <w:gridSpan w:val="2"/>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701.1</w:t>
            </w: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671.1</w:t>
            </w: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777.7</w:t>
            </w: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858.7</w:t>
            </w: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958.8</w:t>
            </w:r>
          </w:p>
        </w:tc>
      </w:tr>
      <w:tr w:rsidR="00965D85" w:rsidRPr="001E7FA9" w:rsidTr="008B46DF">
        <w:tc>
          <w:tcPr>
            <w:tcW w:w="2947" w:type="dxa"/>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Non</w:t>
            </w:r>
            <w:r>
              <w:rPr>
                <w:rFonts w:ascii="Calibri" w:eastAsiaTheme="minorEastAsia" w:hAnsi="Calibri" w:cs="Calibri"/>
                <w:color w:val="000000"/>
                <w:sz w:val="19"/>
                <w:lang w:eastAsia="en-AU"/>
              </w:rPr>
              <w:noBreakHyphen/>
            </w:r>
            <w:r w:rsidRPr="001E7FA9">
              <w:rPr>
                <w:rFonts w:ascii="Calibri" w:eastAsiaTheme="minorEastAsia" w:hAnsi="Calibri" w:cs="Calibri"/>
                <w:color w:val="000000"/>
                <w:sz w:val="19"/>
                <w:lang w:eastAsia="en-AU"/>
              </w:rPr>
              <w:t>financial assets held for sale</w:t>
            </w:r>
          </w:p>
        </w:tc>
        <w:tc>
          <w:tcPr>
            <w:tcW w:w="964" w:type="dxa"/>
            <w:gridSpan w:val="2"/>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204.4</w:t>
            </w: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163.0</w:t>
            </w: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154.7</w:t>
            </w: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149.9</w:t>
            </w: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152.4</w:t>
            </w:r>
          </w:p>
        </w:tc>
      </w:tr>
      <w:tr w:rsidR="00965D85" w:rsidRPr="001E7FA9" w:rsidTr="008B46DF">
        <w:tc>
          <w:tcPr>
            <w:tcW w:w="2947" w:type="dxa"/>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Land, buildings, infrastructure, plant and equipment</w:t>
            </w:r>
          </w:p>
        </w:tc>
        <w:tc>
          <w:tcPr>
            <w:tcW w:w="964" w:type="dxa"/>
            <w:gridSpan w:val="2"/>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209 809.1</w:t>
            </w: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207 900.5</w:t>
            </w: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211 810.1</w:t>
            </w: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223 788.3</w:t>
            </w: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225 827.9</w:t>
            </w:r>
          </w:p>
        </w:tc>
      </w:tr>
      <w:tr w:rsidR="00965D85" w:rsidRPr="001E7FA9" w:rsidTr="008B46DF">
        <w:tc>
          <w:tcPr>
            <w:tcW w:w="2947" w:type="dxa"/>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Other non</w:t>
            </w:r>
            <w:r>
              <w:rPr>
                <w:rFonts w:ascii="Calibri" w:eastAsiaTheme="minorEastAsia" w:hAnsi="Calibri" w:cs="Calibri"/>
                <w:color w:val="000000"/>
                <w:sz w:val="19"/>
                <w:lang w:eastAsia="en-AU"/>
              </w:rPr>
              <w:noBreakHyphen/>
            </w:r>
            <w:r w:rsidRPr="001E7FA9">
              <w:rPr>
                <w:rFonts w:ascii="Calibri" w:eastAsiaTheme="minorEastAsia" w:hAnsi="Calibri" w:cs="Calibri"/>
                <w:color w:val="000000"/>
                <w:sz w:val="19"/>
                <w:lang w:eastAsia="en-AU"/>
              </w:rPr>
              <w:t>financial assets</w:t>
            </w:r>
          </w:p>
        </w:tc>
        <w:tc>
          <w:tcPr>
            <w:tcW w:w="964" w:type="dxa"/>
            <w:gridSpan w:val="2"/>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2 040.3</w:t>
            </w:r>
          </w:p>
        </w:tc>
        <w:tc>
          <w:tcPr>
            <w:tcW w:w="964" w:type="dxa"/>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2 139.2</w:t>
            </w:r>
          </w:p>
        </w:tc>
        <w:tc>
          <w:tcPr>
            <w:tcW w:w="964" w:type="dxa"/>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2 098.5</w:t>
            </w:r>
          </w:p>
        </w:tc>
        <w:tc>
          <w:tcPr>
            <w:tcW w:w="964" w:type="dxa"/>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1 975.0</w:t>
            </w:r>
          </w:p>
        </w:tc>
        <w:tc>
          <w:tcPr>
            <w:tcW w:w="964" w:type="dxa"/>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1 911.0</w:t>
            </w:r>
          </w:p>
        </w:tc>
      </w:tr>
      <w:tr w:rsidR="00965D85" w:rsidRPr="001E7FA9" w:rsidTr="008B46DF">
        <w:tc>
          <w:tcPr>
            <w:tcW w:w="2947" w:type="dxa"/>
            <w:tcBorders>
              <w:top w:val="single" w:sz="6" w:space="0" w:color="000000"/>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b/>
                <w:bCs/>
                <w:color w:val="000000"/>
                <w:sz w:val="19"/>
                <w:lang w:eastAsia="en-AU"/>
              </w:rPr>
            </w:pPr>
            <w:r w:rsidRPr="001E7FA9">
              <w:rPr>
                <w:rFonts w:ascii="Calibri" w:eastAsiaTheme="minorEastAsia" w:hAnsi="Calibri" w:cs="Calibri"/>
                <w:b/>
                <w:bCs/>
                <w:color w:val="000000"/>
                <w:sz w:val="19"/>
                <w:lang w:eastAsia="en-AU"/>
              </w:rPr>
              <w:t>Total non</w:t>
            </w:r>
            <w:r>
              <w:rPr>
                <w:rFonts w:ascii="Calibri" w:eastAsiaTheme="minorEastAsia" w:hAnsi="Calibri" w:cs="Calibri"/>
                <w:b/>
                <w:bCs/>
                <w:color w:val="000000"/>
                <w:sz w:val="19"/>
                <w:lang w:eastAsia="en-AU"/>
              </w:rPr>
              <w:noBreakHyphen/>
            </w:r>
            <w:r w:rsidRPr="001E7FA9">
              <w:rPr>
                <w:rFonts w:ascii="Calibri" w:eastAsiaTheme="minorEastAsia" w:hAnsi="Calibri" w:cs="Calibri"/>
                <w:b/>
                <w:bCs/>
                <w:color w:val="000000"/>
                <w:sz w:val="19"/>
                <w:lang w:eastAsia="en-AU"/>
              </w:rPr>
              <w:t>financial assets</w:t>
            </w:r>
          </w:p>
        </w:tc>
        <w:tc>
          <w:tcPr>
            <w:tcW w:w="964" w:type="dxa"/>
            <w:gridSpan w:val="2"/>
            <w:tcBorders>
              <w:top w:val="single" w:sz="6" w:space="0" w:color="000000"/>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19"/>
                <w:lang w:eastAsia="en-AU"/>
              </w:rPr>
            </w:pPr>
            <w:r w:rsidRPr="001E7FA9">
              <w:rPr>
                <w:rFonts w:ascii="Calibri" w:eastAsiaTheme="minorEastAsia" w:hAnsi="Calibri" w:cs="Calibri"/>
                <w:b/>
                <w:bCs/>
                <w:color w:val="000000"/>
                <w:sz w:val="19"/>
                <w:lang w:eastAsia="en-AU"/>
              </w:rPr>
              <w:t>212 754.9</w:t>
            </w:r>
          </w:p>
        </w:tc>
        <w:tc>
          <w:tcPr>
            <w:tcW w:w="964" w:type="dxa"/>
            <w:tcBorders>
              <w:top w:val="single" w:sz="6" w:space="0" w:color="000000"/>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19"/>
                <w:lang w:eastAsia="en-AU"/>
              </w:rPr>
            </w:pPr>
            <w:r w:rsidRPr="001E7FA9">
              <w:rPr>
                <w:rFonts w:ascii="Calibri" w:eastAsiaTheme="minorEastAsia" w:hAnsi="Calibri" w:cs="Calibri"/>
                <w:b/>
                <w:bCs/>
                <w:color w:val="000000"/>
                <w:sz w:val="19"/>
                <w:lang w:eastAsia="en-AU"/>
              </w:rPr>
              <w:t>210 873.8</w:t>
            </w:r>
          </w:p>
        </w:tc>
        <w:tc>
          <w:tcPr>
            <w:tcW w:w="964" w:type="dxa"/>
            <w:tcBorders>
              <w:top w:val="single" w:sz="6" w:space="0" w:color="000000"/>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19"/>
                <w:lang w:eastAsia="en-AU"/>
              </w:rPr>
            </w:pPr>
            <w:r w:rsidRPr="001E7FA9">
              <w:rPr>
                <w:rFonts w:ascii="Calibri" w:eastAsiaTheme="minorEastAsia" w:hAnsi="Calibri" w:cs="Calibri"/>
                <w:b/>
                <w:bCs/>
                <w:color w:val="000000"/>
                <w:sz w:val="19"/>
                <w:lang w:eastAsia="en-AU"/>
              </w:rPr>
              <w:t>214 840.9</w:t>
            </w:r>
          </w:p>
        </w:tc>
        <w:tc>
          <w:tcPr>
            <w:tcW w:w="964" w:type="dxa"/>
            <w:tcBorders>
              <w:top w:val="single" w:sz="6" w:space="0" w:color="000000"/>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19"/>
                <w:lang w:eastAsia="en-AU"/>
              </w:rPr>
            </w:pPr>
            <w:r w:rsidRPr="001E7FA9">
              <w:rPr>
                <w:rFonts w:ascii="Calibri" w:eastAsiaTheme="minorEastAsia" w:hAnsi="Calibri" w:cs="Calibri"/>
                <w:b/>
                <w:bCs/>
                <w:color w:val="000000"/>
                <w:sz w:val="19"/>
                <w:lang w:eastAsia="en-AU"/>
              </w:rPr>
              <w:t>226 772.0</w:t>
            </w:r>
          </w:p>
        </w:tc>
        <w:tc>
          <w:tcPr>
            <w:tcW w:w="964" w:type="dxa"/>
            <w:tcBorders>
              <w:top w:val="single" w:sz="6" w:space="0" w:color="000000"/>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19"/>
                <w:lang w:eastAsia="en-AU"/>
              </w:rPr>
            </w:pPr>
            <w:r w:rsidRPr="001E7FA9">
              <w:rPr>
                <w:rFonts w:ascii="Calibri" w:eastAsiaTheme="minorEastAsia" w:hAnsi="Calibri" w:cs="Calibri"/>
                <w:b/>
                <w:bCs/>
                <w:color w:val="000000"/>
                <w:sz w:val="19"/>
                <w:lang w:eastAsia="en-AU"/>
              </w:rPr>
              <w:t>228 850.1</w:t>
            </w:r>
          </w:p>
        </w:tc>
      </w:tr>
      <w:tr w:rsidR="00965D85" w:rsidRPr="001E7FA9" w:rsidTr="008B46DF">
        <w:tc>
          <w:tcPr>
            <w:tcW w:w="2947" w:type="dxa"/>
            <w:tcBorders>
              <w:top w:val="single" w:sz="6" w:space="0" w:color="000000"/>
              <w:left w:val="nil"/>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b/>
                <w:bCs/>
                <w:color w:val="000000"/>
                <w:sz w:val="19"/>
                <w:lang w:eastAsia="en-AU"/>
              </w:rPr>
            </w:pPr>
            <w:r w:rsidRPr="001E7FA9">
              <w:rPr>
                <w:rFonts w:ascii="Calibri" w:eastAsiaTheme="minorEastAsia" w:hAnsi="Calibri" w:cs="Calibri"/>
                <w:b/>
                <w:bCs/>
                <w:color w:val="000000"/>
                <w:sz w:val="19"/>
                <w:lang w:eastAsia="en-AU"/>
              </w:rPr>
              <w:t>Total assets</w:t>
            </w:r>
          </w:p>
        </w:tc>
        <w:tc>
          <w:tcPr>
            <w:tcW w:w="964" w:type="dxa"/>
            <w:gridSpan w:val="2"/>
            <w:tcBorders>
              <w:top w:val="single" w:sz="6" w:space="0" w:color="000000"/>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19"/>
                <w:lang w:eastAsia="en-AU"/>
              </w:rPr>
            </w:pPr>
            <w:r w:rsidRPr="001E7FA9">
              <w:rPr>
                <w:rFonts w:ascii="Calibri" w:eastAsiaTheme="minorEastAsia" w:hAnsi="Calibri" w:cs="Calibri"/>
                <w:b/>
                <w:bCs/>
                <w:color w:val="000000"/>
                <w:sz w:val="19"/>
                <w:lang w:eastAsia="en-AU"/>
              </w:rPr>
              <w:t>264 800.8</w:t>
            </w:r>
          </w:p>
        </w:tc>
        <w:tc>
          <w:tcPr>
            <w:tcW w:w="964" w:type="dxa"/>
            <w:tcBorders>
              <w:top w:val="single" w:sz="6" w:space="0" w:color="000000"/>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19"/>
                <w:lang w:eastAsia="en-AU"/>
              </w:rPr>
            </w:pPr>
            <w:r w:rsidRPr="001E7FA9">
              <w:rPr>
                <w:rFonts w:ascii="Calibri" w:eastAsiaTheme="minorEastAsia" w:hAnsi="Calibri" w:cs="Calibri"/>
                <w:b/>
                <w:bCs/>
                <w:color w:val="000000"/>
                <w:sz w:val="19"/>
                <w:lang w:eastAsia="en-AU"/>
              </w:rPr>
              <w:t>260 591.4</w:t>
            </w:r>
          </w:p>
        </w:tc>
        <w:tc>
          <w:tcPr>
            <w:tcW w:w="964" w:type="dxa"/>
            <w:tcBorders>
              <w:top w:val="single" w:sz="6" w:space="0" w:color="000000"/>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19"/>
                <w:lang w:eastAsia="en-AU"/>
              </w:rPr>
            </w:pPr>
            <w:r w:rsidRPr="001E7FA9">
              <w:rPr>
                <w:rFonts w:ascii="Calibri" w:eastAsiaTheme="minorEastAsia" w:hAnsi="Calibri" w:cs="Calibri"/>
                <w:b/>
                <w:bCs/>
                <w:color w:val="000000"/>
                <w:sz w:val="19"/>
                <w:lang w:eastAsia="en-AU"/>
              </w:rPr>
              <w:t>266 359.3</w:t>
            </w:r>
          </w:p>
        </w:tc>
        <w:tc>
          <w:tcPr>
            <w:tcW w:w="964" w:type="dxa"/>
            <w:tcBorders>
              <w:top w:val="single" w:sz="6" w:space="0" w:color="000000"/>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19"/>
                <w:lang w:eastAsia="en-AU"/>
              </w:rPr>
            </w:pPr>
            <w:r w:rsidRPr="001E7FA9">
              <w:rPr>
                <w:rFonts w:ascii="Calibri" w:eastAsiaTheme="minorEastAsia" w:hAnsi="Calibri" w:cs="Calibri"/>
                <w:b/>
                <w:bCs/>
                <w:color w:val="000000"/>
                <w:sz w:val="19"/>
                <w:lang w:eastAsia="en-AU"/>
              </w:rPr>
              <w:t>279 096.9</w:t>
            </w:r>
          </w:p>
        </w:tc>
        <w:tc>
          <w:tcPr>
            <w:tcW w:w="964" w:type="dxa"/>
            <w:tcBorders>
              <w:top w:val="single" w:sz="6" w:space="0" w:color="000000"/>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19"/>
                <w:lang w:eastAsia="en-AU"/>
              </w:rPr>
            </w:pPr>
            <w:r w:rsidRPr="001E7FA9">
              <w:rPr>
                <w:rFonts w:ascii="Calibri" w:eastAsiaTheme="minorEastAsia" w:hAnsi="Calibri" w:cs="Calibri"/>
                <w:b/>
                <w:bCs/>
                <w:color w:val="000000"/>
                <w:sz w:val="19"/>
                <w:lang w:eastAsia="en-AU"/>
              </w:rPr>
              <w:t>283 757.9</w:t>
            </w:r>
          </w:p>
        </w:tc>
      </w:tr>
      <w:tr w:rsidR="00965D85" w:rsidRPr="001E7FA9" w:rsidTr="008B46DF">
        <w:tc>
          <w:tcPr>
            <w:tcW w:w="2947" w:type="dxa"/>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b/>
                <w:bCs/>
                <w:color w:val="000000"/>
                <w:sz w:val="19"/>
                <w:lang w:eastAsia="en-AU"/>
              </w:rPr>
            </w:pPr>
            <w:r w:rsidRPr="001E7FA9">
              <w:rPr>
                <w:rFonts w:ascii="Calibri" w:eastAsiaTheme="minorEastAsia" w:hAnsi="Calibri" w:cs="Calibri"/>
                <w:b/>
                <w:bCs/>
                <w:color w:val="000000"/>
                <w:sz w:val="19"/>
                <w:lang w:eastAsia="en-AU"/>
              </w:rPr>
              <w:t>Liabilities</w:t>
            </w:r>
          </w:p>
        </w:tc>
        <w:tc>
          <w:tcPr>
            <w:tcW w:w="964" w:type="dxa"/>
            <w:gridSpan w:val="2"/>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r>
      <w:tr w:rsidR="00965D85" w:rsidRPr="001E7FA9" w:rsidTr="008B46DF">
        <w:tc>
          <w:tcPr>
            <w:tcW w:w="3117" w:type="dxa"/>
            <w:gridSpan w:val="2"/>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Deposits held and advances received</w:t>
            </w:r>
          </w:p>
        </w:tc>
        <w:tc>
          <w:tcPr>
            <w:tcW w:w="79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2 321.5</w:t>
            </w: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2 242.6</w:t>
            </w: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2 244.2</w:t>
            </w: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2 245.6</w:t>
            </w: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2 248.4</w:t>
            </w:r>
          </w:p>
        </w:tc>
      </w:tr>
      <w:tr w:rsidR="00965D85" w:rsidRPr="001E7FA9" w:rsidTr="008B46DF">
        <w:tc>
          <w:tcPr>
            <w:tcW w:w="2947" w:type="dxa"/>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Payables</w:t>
            </w:r>
          </w:p>
        </w:tc>
        <w:tc>
          <w:tcPr>
            <w:tcW w:w="964" w:type="dxa"/>
            <w:gridSpan w:val="2"/>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7 373.4</w:t>
            </w: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7 256.7</w:t>
            </w: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7 242.4</w:t>
            </w: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7 201.4</w:t>
            </w: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7 055.9</w:t>
            </w:r>
          </w:p>
        </w:tc>
      </w:tr>
      <w:tr w:rsidR="00965D85" w:rsidRPr="001E7FA9" w:rsidTr="008B46DF">
        <w:tc>
          <w:tcPr>
            <w:tcW w:w="2947" w:type="dxa"/>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Borrowings</w:t>
            </w:r>
          </w:p>
        </w:tc>
        <w:tc>
          <w:tcPr>
            <w:tcW w:w="964" w:type="dxa"/>
            <w:gridSpan w:val="2"/>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48 451.9</w:t>
            </w: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47 095.5</w:t>
            </w: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49 683.7</w:t>
            </w: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50 492.7</w:t>
            </w: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51 958.5</w:t>
            </w:r>
          </w:p>
        </w:tc>
      </w:tr>
      <w:tr w:rsidR="00965D85" w:rsidRPr="001E7FA9" w:rsidTr="008B46DF">
        <w:tc>
          <w:tcPr>
            <w:tcW w:w="2947" w:type="dxa"/>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Employee benefits</w:t>
            </w:r>
          </w:p>
        </w:tc>
        <w:tc>
          <w:tcPr>
            <w:tcW w:w="964" w:type="dxa"/>
            <w:gridSpan w:val="2"/>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6 324.4</w:t>
            </w: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6 314.2</w:t>
            </w: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6 572.5</w:t>
            </w: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6 836.6</w:t>
            </w: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7 096.3</w:t>
            </w:r>
          </w:p>
        </w:tc>
      </w:tr>
      <w:tr w:rsidR="00965D85" w:rsidRPr="001E7FA9" w:rsidTr="008B46DF">
        <w:tc>
          <w:tcPr>
            <w:tcW w:w="2947" w:type="dxa"/>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Superannuation</w:t>
            </w:r>
          </w:p>
        </w:tc>
        <w:tc>
          <w:tcPr>
            <w:tcW w:w="964" w:type="dxa"/>
            <w:gridSpan w:val="2"/>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25 030.8</w:t>
            </w: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27 509.5</w:t>
            </w: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26 734.6</w:t>
            </w: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25 930.2</w:t>
            </w: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25 095.1</w:t>
            </w:r>
          </w:p>
        </w:tc>
      </w:tr>
      <w:tr w:rsidR="00965D85" w:rsidRPr="001E7FA9" w:rsidTr="008B46DF">
        <w:tc>
          <w:tcPr>
            <w:tcW w:w="2947" w:type="dxa"/>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Other provisions</w:t>
            </w:r>
          </w:p>
        </w:tc>
        <w:tc>
          <w:tcPr>
            <w:tcW w:w="964" w:type="dxa"/>
            <w:gridSpan w:val="2"/>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27 408.7</w:t>
            </w:r>
          </w:p>
        </w:tc>
        <w:tc>
          <w:tcPr>
            <w:tcW w:w="964" w:type="dxa"/>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28 064.6</w:t>
            </w:r>
          </w:p>
        </w:tc>
        <w:tc>
          <w:tcPr>
            <w:tcW w:w="964" w:type="dxa"/>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29 388.6</w:t>
            </w:r>
          </w:p>
        </w:tc>
        <w:tc>
          <w:tcPr>
            <w:tcW w:w="964" w:type="dxa"/>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30 771.4</w:t>
            </w:r>
          </w:p>
        </w:tc>
        <w:tc>
          <w:tcPr>
            <w:tcW w:w="964" w:type="dxa"/>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32 266.8</w:t>
            </w:r>
          </w:p>
        </w:tc>
      </w:tr>
      <w:tr w:rsidR="00965D85" w:rsidRPr="001E7FA9" w:rsidTr="008B46DF">
        <w:tc>
          <w:tcPr>
            <w:tcW w:w="2947" w:type="dxa"/>
            <w:tcBorders>
              <w:top w:val="single" w:sz="6" w:space="0" w:color="000000"/>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b/>
                <w:bCs/>
                <w:color w:val="000000"/>
                <w:sz w:val="19"/>
                <w:lang w:eastAsia="en-AU"/>
              </w:rPr>
            </w:pPr>
            <w:r w:rsidRPr="001E7FA9">
              <w:rPr>
                <w:rFonts w:ascii="Calibri" w:eastAsiaTheme="minorEastAsia" w:hAnsi="Calibri" w:cs="Calibri"/>
                <w:b/>
                <w:bCs/>
                <w:color w:val="000000"/>
                <w:sz w:val="19"/>
                <w:lang w:eastAsia="en-AU"/>
              </w:rPr>
              <w:t>Total liabilities</w:t>
            </w:r>
          </w:p>
        </w:tc>
        <w:tc>
          <w:tcPr>
            <w:tcW w:w="964" w:type="dxa"/>
            <w:gridSpan w:val="2"/>
            <w:tcBorders>
              <w:top w:val="single" w:sz="6" w:space="0" w:color="000000"/>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19"/>
                <w:lang w:eastAsia="en-AU"/>
              </w:rPr>
            </w:pPr>
            <w:r w:rsidRPr="001E7FA9">
              <w:rPr>
                <w:rFonts w:ascii="Calibri" w:eastAsiaTheme="minorEastAsia" w:hAnsi="Calibri" w:cs="Calibri"/>
                <w:b/>
                <w:bCs/>
                <w:color w:val="000000"/>
                <w:sz w:val="19"/>
                <w:lang w:eastAsia="en-AU"/>
              </w:rPr>
              <w:t>116 910.7</w:t>
            </w:r>
          </w:p>
        </w:tc>
        <w:tc>
          <w:tcPr>
            <w:tcW w:w="964" w:type="dxa"/>
            <w:tcBorders>
              <w:top w:val="single" w:sz="6" w:space="0" w:color="000000"/>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19"/>
                <w:lang w:eastAsia="en-AU"/>
              </w:rPr>
            </w:pPr>
            <w:r w:rsidRPr="001E7FA9">
              <w:rPr>
                <w:rFonts w:ascii="Calibri" w:eastAsiaTheme="minorEastAsia" w:hAnsi="Calibri" w:cs="Calibri"/>
                <w:b/>
                <w:bCs/>
                <w:color w:val="000000"/>
                <w:sz w:val="19"/>
                <w:lang w:eastAsia="en-AU"/>
              </w:rPr>
              <w:t>118 483.2</w:t>
            </w:r>
          </w:p>
        </w:tc>
        <w:tc>
          <w:tcPr>
            <w:tcW w:w="964" w:type="dxa"/>
            <w:tcBorders>
              <w:top w:val="single" w:sz="6" w:space="0" w:color="000000"/>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19"/>
                <w:lang w:eastAsia="en-AU"/>
              </w:rPr>
            </w:pPr>
            <w:r w:rsidRPr="001E7FA9">
              <w:rPr>
                <w:rFonts w:ascii="Calibri" w:eastAsiaTheme="minorEastAsia" w:hAnsi="Calibri" w:cs="Calibri"/>
                <w:b/>
                <w:bCs/>
                <w:color w:val="000000"/>
                <w:sz w:val="19"/>
                <w:lang w:eastAsia="en-AU"/>
              </w:rPr>
              <w:t>121 866.0</w:t>
            </w:r>
          </w:p>
        </w:tc>
        <w:tc>
          <w:tcPr>
            <w:tcW w:w="964" w:type="dxa"/>
            <w:tcBorders>
              <w:top w:val="single" w:sz="6" w:space="0" w:color="000000"/>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19"/>
                <w:lang w:eastAsia="en-AU"/>
              </w:rPr>
            </w:pPr>
            <w:r w:rsidRPr="001E7FA9">
              <w:rPr>
                <w:rFonts w:ascii="Calibri" w:eastAsiaTheme="minorEastAsia" w:hAnsi="Calibri" w:cs="Calibri"/>
                <w:b/>
                <w:bCs/>
                <w:color w:val="000000"/>
                <w:sz w:val="19"/>
                <w:lang w:eastAsia="en-AU"/>
              </w:rPr>
              <w:t>123 477.9</w:t>
            </w:r>
          </w:p>
        </w:tc>
        <w:tc>
          <w:tcPr>
            <w:tcW w:w="964" w:type="dxa"/>
            <w:tcBorders>
              <w:top w:val="single" w:sz="6" w:space="0" w:color="000000"/>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19"/>
                <w:lang w:eastAsia="en-AU"/>
              </w:rPr>
            </w:pPr>
            <w:r w:rsidRPr="001E7FA9">
              <w:rPr>
                <w:rFonts w:ascii="Calibri" w:eastAsiaTheme="minorEastAsia" w:hAnsi="Calibri" w:cs="Calibri"/>
                <w:b/>
                <w:bCs/>
                <w:color w:val="000000"/>
                <w:sz w:val="19"/>
                <w:lang w:eastAsia="en-AU"/>
              </w:rPr>
              <w:t>125 721.0</w:t>
            </w:r>
          </w:p>
        </w:tc>
      </w:tr>
      <w:tr w:rsidR="00965D85" w:rsidRPr="001E7FA9" w:rsidTr="008B46DF">
        <w:tc>
          <w:tcPr>
            <w:tcW w:w="2947" w:type="dxa"/>
            <w:tcBorders>
              <w:top w:val="single" w:sz="6" w:space="0" w:color="000000"/>
              <w:left w:val="nil"/>
              <w:bottom w:val="single" w:sz="12" w:space="0" w:color="000000"/>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b/>
                <w:bCs/>
                <w:color w:val="000000"/>
                <w:sz w:val="19"/>
                <w:lang w:eastAsia="en-AU"/>
              </w:rPr>
            </w:pPr>
            <w:r w:rsidRPr="001E7FA9">
              <w:rPr>
                <w:rFonts w:ascii="Calibri" w:eastAsiaTheme="minorEastAsia" w:hAnsi="Calibri" w:cs="Calibri"/>
                <w:b/>
                <w:bCs/>
                <w:color w:val="000000"/>
                <w:sz w:val="19"/>
                <w:lang w:eastAsia="en-AU"/>
              </w:rPr>
              <w:t>Net assets</w:t>
            </w:r>
          </w:p>
        </w:tc>
        <w:tc>
          <w:tcPr>
            <w:tcW w:w="964" w:type="dxa"/>
            <w:gridSpan w:val="2"/>
            <w:tcBorders>
              <w:top w:val="single" w:sz="6" w:space="0" w:color="000000"/>
              <w:left w:val="nil"/>
              <w:bottom w:val="single" w:sz="12"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19"/>
                <w:lang w:eastAsia="en-AU"/>
              </w:rPr>
            </w:pPr>
            <w:r w:rsidRPr="001E7FA9">
              <w:rPr>
                <w:rFonts w:ascii="Calibri" w:eastAsiaTheme="minorEastAsia" w:hAnsi="Calibri" w:cs="Calibri"/>
                <w:b/>
                <w:bCs/>
                <w:color w:val="000000"/>
                <w:sz w:val="19"/>
                <w:lang w:eastAsia="en-AU"/>
              </w:rPr>
              <w:t>147 890.1</w:t>
            </w:r>
          </w:p>
        </w:tc>
        <w:tc>
          <w:tcPr>
            <w:tcW w:w="964" w:type="dxa"/>
            <w:tcBorders>
              <w:top w:val="single" w:sz="6" w:space="0" w:color="000000"/>
              <w:left w:val="nil"/>
              <w:bottom w:val="single" w:sz="12"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19"/>
                <w:lang w:eastAsia="en-AU"/>
              </w:rPr>
            </w:pPr>
            <w:r w:rsidRPr="001E7FA9">
              <w:rPr>
                <w:rFonts w:ascii="Calibri" w:eastAsiaTheme="minorEastAsia" w:hAnsi="Calibri" w:cs="Calibri"/>
                <w:b/>
                <w:bCs/>
                <w:color w:val="000000"/>
                <w:sz w:val="19"/>
                <w:lang w:eastAsia="en-AU"/>
              </w:rPr>
              <w:t>142 108.2</w:t>
            </w:r>
          </w:p>
        </w:tc>
        <w:tc>
          <w:tcPr>
            <w:tcW w:w="964" w:type="dxa"/>
            <w:tcBorders>
              <w:top w:val="single" w:sz="6" w:space="0" w:color="000000"/>
              <w:left w:val="nil"/>
              <w:bottom w:val="single" w:sz="12"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19"/>
                <w:lang w:eastAsia="en-AU"/>
              </w:rPr>
            </w:pPr>
            <w:r w:rsidRPr="001E7FA9">
              <w:rPr>
                <w:rFonts w:ascii="Calibri" w:eastAsiaTheme="minorEastAsia" w:hAnsi="Calibri" w:cs="Calibri"/>
                <w:b/>
                <w:bCs/>
                <w:color w:val="000000"/>
                <w:sz w:val="19"/>
                <w:lang w:eastAsia="en-AU"/>
              </w:rPr>
              <w:t>144 493.3</w:t>
            </w:r>
          </w:p>
        </w:tc>
        <w:tc>
          <w:tcPr>
            <w:tcW w:w="964" w:type="dxa"/>
            <w:tcBorders>
              <w:top w:val="single" w:sz="6" w:space="0" w:color="000000"/>
              <w:left w:val="nil"/>
              <w:bottom w:val="single" w:sz="12"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19"/>
                <w:lang w:eastAsia="en-AU"/>
              </w:rPr>
            </w:pPr>
            <w:r w:rsidRPr="001E7FA9">
              <w:rPr>
                <w:rFonts w:ascii="Calibri" w:eastAsiaTheme="minorEastAsia" w:hAnsi="Calibri" w:cs="Calibri"/>
                <w:b/>
                <w:bCs/>
                <w:color w:val="000000"/>
                <w:sz w:val="19"/>
                <w:lang w:eastAsia="en-AU"/>
              </w:rPr>
              <w:t>155 618.9</w:t>
            </w:r>
          </w:p>
        </w:tc>
        <w:tc>
          <w:tcPr>
            <w:tcW w:w="964" w:type="dxa"/>
            <w:tcBorders>
              <w:top w:val="single" w:sz="6" w:space="0" w:color="000000"/>
              <w:left w:val="nil"/>
              <w:bottom w:val="single" w:sz="12"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19"/>
                <w:lang w:eastAsia="en-AU"/>
              </w:rPr>
            </w:pPr>
            <w:r w:rsidRPr="001E7FA9">
              <w:rPr>
                <w:rFonts w:ascii="Calibri" w:eastAsiaTheme="minorEastAsia" w:hAnsi="Calibri" w:cs="Calibri"/>
                <w:b/>
                <w:bCs/>
                <w:color w:val="000000"/>
                <w:sz w:val="19"/>
                <w:lang w:eastAsia="en-AU"/>
              </w:rPr>
              <w:t>158 036.9</w:t>
            </w:r>
          </w:p>
        </w:tc>
      </w:tr>
      <w:tr w:rsidR="00965D85" w:rsidRPr="001E7FA9" w:rsidTr="008B46DF">
        <w:tc>
          <w:tcPr>
            <w:tcW w:w="2947" w:type="dxa"/>
            <w:tcBorders>
              <w:top w:val="single" w:sz="12" w:space="0" w:color="000000"/>
              <w:left w:val="nil"/>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Accumulated surplus/(deficit)</w:t>
            </w:r>
          </w:p>
        </w:tc>
        <w:tc>
          <w:tcPr>
            <w:tcW w:w="964" w:type="dxa"/>
            <w:gridSpan w:val="2"/>
            <w:tcBorders>
              <w:top w:val="single" w:sz="12" w:space="0" w:color="000000"/>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66 966.8</w:t>
            </w:r>
          </w:p>
        </w:tc>
        <w:tc>
          <w:tcPr>
            <w:tcW w:w="964" w:type="dxa"/>
            <w:tcBorders>
              <w:top w:val="single" w:sz="12" w:space="0" w:color="000000"/>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62 783.2</w:t>
            </w:r>
          </w:p>
        </w:tc>
        <w:tc>
          <w:tcPr>
            <w:tcW w:w="964" w:type="dxa"/>
            <w:tcBorders>
              <w:top w:val="single" w:sz="12" w:space="0" w:color="000000"/>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64 626.5</w:t>
            </w:r>
          </w:p>
        </w:tc>
        <w:tc>
          <w:tcPr>
            <w:tcW w:w="964" w:type="dxa"/>
            <w:tcBorders>
              <w:top w:val="single" w:sz="12" w:space="0" w:color="000000"/>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66 590.7</w:t>
            </w:r>
          </w:p>
        </w:tc>
        <w:tc>
          <w:tcPr>
            <w:tcW w:w="964" w:type="dxa"/>
            <w:tcBorders>
              <w:top w:val="single" w:sz="12" w:space="0" w:color="000000"/>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68 558.2</w:t>
            </w:r>
          </w:p>
        </w:tc>
      </w:tr>
      <w:tr w:rsidR="00965D85" w:rsidRPr="001E7FA9" w:rsidTr="008B46DF">
        <w:tc>
          <w:tcPr>
            <w:tcW w:w="2947" w:type="dxa"/>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Reserves</w:t>
            </w:r>
          </w:p>
        </w:tc>
        <w:tc>
          <w:tcPr>
            <w:tcW w:w="964" w:type="dxa"/>
            <w:gridSpan w:val="2"/>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80 873.3</w:t>
            </w: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79 275.1</w:t>
            </w: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79 816.8</w:t>
            </w: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88 978.2</w:t>
            </w: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89 428.7</w:t>
            </w:r>
          </w:p>
        </w:tc>
      </w:tr>
      <w:tr w:rsidR="00965D85" w:rsidRPr="001E7FA9" w:rsidTr="008B46DF">
        <w:tc>
          <w:tcPr>
            <w:tcW w:w="2947" w:type="dxa"/>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Non</w:t>
            </w:r>
            <w:r>
              <w:rPr>
                <w:rFonts w:ascii="Calibri" w:eastAsiaTheme="minorEastAsia" w:hAnsi="Calibri" w:cs="Calibri"/>
                <w:color w:val="000000"/>
                <w:sz w:val="19"/>
                <w:lang w:eastAsia="en-AU"/>
              </w:rPr>
              <w:noBreakHyphen/>
            </w:r>
            <w:r w:rsidRPr="001E7FA9">
              <w:rPr>
                <w:rFonts w:ascii="Calibri" w:eastAsiaTheme="minorEastAsia" w:hAnsi="Calibri" w:cs="Calibri"/>
                <w:color w:val="000000"/>
                <w:sz w:val="19"/>
                <w:lang w:eastAsia="en-AU"/>
              </w:rPr>
              <w:t>controlling interest</w:t>
            </w:r>
          </w:p>
        </w:tc>
        <w:tc>
          <w:tcPr>
            <w:tcW w:w="964" w:type="dxa"/>
            <w:gridSpan w:val="2"/>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50.0</w:t>
            </w:r>
          </w:p>
        </w:tc>
        <w:tc>
          <w:tcPr>
            <w:tcW w:w="964" w:type="dxa"/>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50.0</w:t>
            </w:r>
          </w:p>
        </w:tc>
        <w:tc>
          <w:tcPr>
            <w:tcW w:w="964" w:type="dxa"/>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50.0</w:t>
            </w:r>
          </w:p>
        </w:tc>
        <w:tc>
          <w:tcPr>
            <w:tcW w:w="964" w:type="dxa"/>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50.0</w:t>
            </w:r>
          </w:p>
        </w:tc>
        <w:tc>
          <w:tcPr>
            <w:tcW w:w="964" w:type="dxa"/>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50.0</w:t>
            </w:r>
          </w:p>
        </w:tc>
      </w:tr>
      <w:tr w:rsidR="00965D85" w:rsidRPr="001E7FA9" w:rsidTr="008B46DF">
        <w:tc>
          <w:tcPr>
            <w:tcW w:w="2947" w:type="dxa"/>
            <w:tcBorders>
              <w:top w:val="single" w:sz="6" w:space="0" w:color="000000"/>
              <w:left w:val="nil"/>
              <w:bottom w:val="single" w:sz="12" w:space="0" w:color="000000"/>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b/>
                <w:bCs/>
                <w:color w:val="000000"/>
                <w:sz w:val="19"/>
                <w:lang w:eastAsia="en-AU"/>
              </w:rPr>
            </w:pPr>
            <w:r w:rsidRPr="001E7FA9">
              <w:rPr>
                <w:rFonts w:ascii="Calibri" w:eastAsiaTheme="minorEastAsia" w:hAnsi="Calibri" w:cs="Calibri"/>
                <w:b/>
                <w:bCs/>
                <w:color w:val="000000"/>
                <w:sz w:val="19"/>
                <w:lang w:eastAsia="en-AU"/>
              </w:rPr>
              <w:t>Net worth</w:t>
            </w:r>
          </w:p>
        </w:tc>
        <w:tc>
          <w:tcPr>
            <w:tcW w:w="964" w:type="dxa"/>
            <w:gridSpan w:val="2"/>
            <w:tcBorders>
              <w:top w:val="single" w:sz="6" w:space="0" w:color="000000"/>
              <w:left w:val="nil"/>
              <w:bottom w:val="single" w:sz="12"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19"/>
                <w:lang w:eastAsia="en-AU"/>
              </w:rPr>
            </w:pPr>
            <w:r w:rsidRPr="001E7FA9">
              <w:rPr>
                <w:rFonts w:ascii="Calibri" w:eastAsiaTheme="minorEastAsia" w:hAnsi="Calibri" w:cs="Calibri"/>
                <w:b/>
                <w:bCs/>
                <w:color w:val="000000"/>
                <w:sz w:val="19"/>
                <w:lang w:eastAsia="en-AU"/>
              </w:rPr>
              <w:t>147 890.1</w:t>
            </w:r>
          </w:p>
        </w:tc>
        <w:tc>
          <w:tcPr>
            <w:tcW w:w="964" w:type="dxa"/>
            <w:tcBorders>
              <w:top w:val="single" w:sz="6" w:space="0" w:color="000000"/>
              <w:left w:val="nil"/>
              <w:bottom w:val="single" w:sz="12"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19"/>
                <w:lang w:eastAsia="en-AU"/>
              </w:rPr>
            </w:pPr>
            <w:r w:rsidRPr="001E7FA9">
              <w:rPr>
                <w:rFonts w:ascii="Calibri" w:eastAsiaTheme="minorEastAsia" w:hAnsi="Calibri" w:cs="Calibri"/>
                <w:b/>
                <w:bCs/>
                <w:color w:val="000000"/>
                <w:sz w:val="19"/>
                <w:lang w:eastAsia="en-AU"/>
              </w:rPr>
              <w:t>142 108.2</w:t>
            </w:r>
          </w:p>
        </w:tc>
        <w:tc>
          <w:tcPr>
            <w:tcW w:w="964" w:type="dxa"/>
            <w:tcBorders>
              <w:top w:val="single" w:sz="6" w:space="0" w:color="000000"/>
              <w:left w:val="nil"/>
              <w:bottom w:val="single" w:sz="12"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19"/>
                <w:lang w:eastAsia="en-AU"/>
              </w:rPr>
            </w:pPr>
            <w:r w:rsidRPr="001E7FA9">
              <w:rPr>
                <w:rFonts w:ascii="Calibri" w:eastAsiaTheme="minorEastAsia" w:hAnsi="Calibri" w:cs="Calibri"/>
                <w:b/>
                <w:bCs/>
                <w:color w:val="000000"/>
                <w:sz w:val="19"/>
                <w:lang w:eastAsia="en-AU"/>
              </w:rPr>
              <w:t>144 493.3</w:t>
            </w:r>
          </w:p>
        </w:tc>
        <w:tc>
          <w:tcPr>
            <w:tcW w:w="964" w:type="dxa"/>
            <w:tcBorders>
              <w:top w:val="single" w:sz="6" w:space="0" w:color="000000"/>
              <w:left w:val="nil"/>
              <w:bottom w:val="single" w:sz="12"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19"/>
                <w:lang w:eastAsia="en-AU"/>
              </w:rPr>
            </w:pPr>
            <w:r w:rsidRPr="001E7FA9">
              <w:rPr>
                <w:rFonts w:ascii="Calibri" w:eastAsiaTheme="minorEastAsia" w:hAnsi="Calibri" w:cs="Calibri"/>
                <w:b/>
                <w:bCs/>
                <w:color w:val="000000"/>
                <w:sz w:val="19"/>
                <w:lang w:eastAsia="en-AU"/>
              </w:rPr>
              <w:t>155 618.9</w:t>
            </w:r>
          </w:p>
        </w:tc>
        <w:tc>
          <w:tcPr>
            <w:tcW w:w="964" w:type="dxa"/>
            <w:tcBorders>
              <w:top w:val="single" w:sz="6" w:space="0" w:color="000000"/>
              <w:left w:val="nil"/>
              <w:bottom w:val="single" w:sz="12"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19"/>
                <w:lang w:eastAsia="en-AU"/>
              </w:rPr>
            </w:pPr>
            <w:r w:rsidRPr="001E7FA9">
              <w:rPr>
                <w:rFonts w:ascii="Calibri" w:eastAsiaTheme="minorEastAsia" w:hAnsi="Calibri" w:cs="Calibri"/>
                <w:b/>
                <w:bCs/>
                <w:color w:val="000000"/>
                <w:sz w:val="19"/>
                <w:lang w:eastAsia="en-AU"/>
              </w:rPr>
              <w:t>158 036.9</w:t>
            </w:r>
          </w:p>
        </w:tc>
      </w:tr>
      <w:tr w:rsidR="00965D85" w:rsidRPr="001E7FA9" w:rsidTr="008B46DF">
        <w:trPr>
          <w:trHeight w:hRule="exact" w:val="120"/>
        </w:trPr>
        <w:tc>
          <w:tcPr>
            <w:tcW w:w="2947" w:type="dxa"/>
            <w:tcBorders>
              <w:top w:val="single" w:sz="12" w:space="0" w:color="000000"/>
              <w:left w:val="nil"/>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 xml:space="preserve"> </w:t>
            </w:r>
          </w:p>
        </w:tc>
        <w:tc>
          <w:tcPr>
            <w:tcW w:w="964" w:type="dxa"/>
            <w:gridSpan w:val="2"/>
            <w:tcBorders>
              <w:top w:val="single" w:sz="12" w:space="0" w:color="000000"/>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p>
        </w:tc>
        <w:tc>
          <w:tcPr>
            <w:tcW w:w="964" w:type="dxa"/>
            <w:tcBorders>
              <w:top w:val="single" w:sz="12" w:space="0" w:color="000000"/>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p>
        </w:tc>
        <w:tc>
          <w:tcPr>
            <w:tcW w:w="964" w:type="dxa"/>
            <w:tcBorders>
              <w:top w:val="single" w:sz="12" w:space="0" w:color="000000"/>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p>
        </w:tc>
        <w:tc>
          <w:tcPr>
            <w:tcW w:w="964" w:type="dxa"/>
            <w:tcBorders>
              <w:top w:val="single" w:sz="12" w:space="0" w:color="000000"/>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p>
        </w:tc>
        <w:tc>
          <w:tcPr>
            <w:tcW w:w="964" w:type="dxa"/>
            <w:tcBorders>
              <w:top w:val="single" w:sz="12" w:space="0" w:color="000000"/>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p>
        </w:tc>
      </w:tr>
      <w:tr w:rsidR="00965D85" w:rsidRPr="001E7FA9" w:rsidTr="008B46DF">
        <w:tc>
          <w:tcPr>
            <w:tcW w:w="2947" w:type="dxa"/>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b/>
                <w:bCs/>
                <w:color w:val="000000"/>
                <w:sz w:val="19"/>
                <w:lang w:eastAsia="en-AU"/>
              </w:rPr>
            </w:pPr>
            <w:r w:rsidRPr="001E7FA9">
              <w:rPr>
                <w:rFonts w:ascii="Calibri" w:eastAsiaTheme="minorEastAsia" w:hAnsi="Calibri" w:cs="Calibri"/>
                <w:b/>
                <w:bCs/>
                <w:color w:val="000000"/>
                <w:sz w:val="19"/>
                <w:lang w:eastAsia="en-AU"/>
              </w:rPr>
              <w:t>FISCAL AGGREGATES</w:t>
            </w:r>
          </w:p>
        </w:tc>
        <w:tc>
          <w:tcPr>
            <w:tcW w:w="964" w:type="dxa"/>
            <w:gridSpan w:val="2"/>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r>
      <w:tr w:rsidR="00965D85" w:rsidRPr="001E7FA9" w:rsidTr="008B46DF">
        <w:tc>
          <w:tcPr>
            <w:tcW w:w="2947" w:type="dxa"/>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Net financial worth</w:t>
            </w:r>
          </w:p>
        </w:tc>
        <w:tc>
          <w:tcPr>
            <w:tcW w:w="964" w:type="dxa"/>
            <w:gridSpan w:val="2"/>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(64 864.8)</w:t>
            </w: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(68 765.6)</w:t>
            </w: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(70 347.6)</w:t>
            </w: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(71 153.1)</w:t>
            </w: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(70 813.2)</w:t>
            </w:r>
          </w:p>
        </w:tc>
      </w:tr>
      <w:tr w:rsidR="00965D85" w:rsidRPr="001E7FA9" w:rsidTr="008B46DF">
        <w:tc>
          <w:tcPr>
            <w:tcW w:w="2947" w:type="dxa"/>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Net financial liabilities</w:t>
            </w:r>
          </w:p>
        </w:tc>
        <w:tc>
          <w:tcPr>
            <w:tcW w:w="964" w:type="dxa"/>
            <w:gridSpan w:val="2"/>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64 864.8</w:t>
            </w: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68 765.6</w:t>
            </w: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70 347.6</w:t>
            </w: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71 153.1</w:t>
            </w: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70 813.2</w:t>
            </w:r>
          </w:p>
        </w:tc>
      </w:tr>
      <w:tr w:rsidR="00965D85" w:rsidRPr="001E7FA9" w:rsidTr="008B46DF">
        <w:tc>
          <w:tcPr>
            <w:tcW w:w="2947" w:type="dxa"/>
            <w:tcBorders>
              <w:top w:val="nil"/>
              <w:left w:val="nil"/>
              <w:bottom w:val="single" w:sz="12" w:space="0" w:color="auto"/>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Net debt</w:t>
            </w:r>
          </w:p>
        </w:tc>
        <w:tc>
          <w:tcPr>
            <w:tcW w:w="964" w:type="dxa"/>
            <w:gridSpan w:val="2"/>
            <w:tcBorders>
              <w:top w:val="nil"/>
              <w:left w:val="nil"/>
              <w:bottom w:val="single" w:sz="12" w:space="0" w:color="auto"/>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7 347.2</w:t>
            </w:r>
          </w:p>
        </w:tc>
        <w:tc>
          <w:tcPr>
            <w:tcW w:w="964" w:type="dxa"/>
            <w:tcBorders>
              <w:top w:val="nil"/>
              <w:left w:val="nil"/>
              <w:bottom w:val="single" w:sz="12" w:space="0" w:color="auto"/>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8 387.8</w:t>
            </w:r>
          </w:p>
        </w:tc>
        <w:tc>
          <w:tcPr>
            <w:tcW w:w="964" w:type="dxa"/>
            <w:tcBorders>
              <w:top w:val="nil"/>
              <w:left w:val="nil"/>
              <w:bottom w:val="single" w:sz="12" w:space="0" w:color="auto"/>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9 240.4</w:t>
            </w:r>
          </w:p>
        </w:tc>
        <w:tc>
          <w:tcPr>
            <w:tcW w:w="964" w:type="dxa"/>
            <w:tcBorders>
              <w:top w:val="nil"/>
              <w:left w:val="nil"/>
              <w:bottom w:val="single" w:sz="12" w:space="0" w:color="auto"/>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9 421.0</w:t>
            </w:r>
          </w:p>
        </w:tc>
        <w:tc>
          <w:tcPr>
            <w:tcW w:w="964" w:type="dxa"/>
            <w:tcBorders>
              <w:top w:val="nil"/>
              <w:left w:val="nil"/>
              <w:bottom w:val="single" w:sz="12" w:space="0" w:color="auto"/>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8 518.5</w:t>
            </w:r>
          </w:p>
        </w:tc>
      </w:tr>
      <w:tr w:rsidR="00965D85" w:rsidRPr="001E7FA9" w:rsidTr="008B46DF">
        <w:tc>
          <w:tcPr>
            <w:tcW w:w="7767" w:type="dxa"/>
            <w:gridSpan w:val="7"/>
            <w:tcBorders>
              <w:top w:val="single" w:sz="12" w:space="0" w:color="auto"/>
              <w:left w:val="nil"/>
              <w:bottom w:val="nil"/>
              <w:right w:val="nil"/>
            </w:tcBorders>
            <w:shd w:val="clear" w:color="auto" w:fill="auto"/>
          </w:tcPr>
          <w:p w:rsidR="00965D85" w:rsidRPr="001E7FA9" w:rsidRDefault="00965D85" w:rsidP="008B46DF">
            <w:pPr>
              <w:pStyle w:val="Source"/>
              <w:rPr>
                <w:rFonts w:eastAsiaTheme="minorEastAsia"/>
                <w:lang w:eastAsia="en-AU"/>
              </w:rPr>
            </w:pPr>
            <w:r w:rsidRPr="001E7FA9">
              <w:rPr>
                <w:rFonts w:eastAsiaTheme="minorEastAsia"/>
                <w:lang w:eastAsia="en-AU"/>
              </w:rPr>
              <w:t>Source: Department of Treasury and Finance</w:t>
            </w:r>
          </w:p>
        </w:tc>
      </w:tr>
    </w:tbl>
    <w:p w:rsidR="00965D85" w:rsidRPr="0027082E" w:rsidRDefault="00965D85" w:rsidP="008B46DF">
      <w:pPr>
        <w:pStyle w:val="Notes"/>
        <w:rPr>
          <w:lang w:eastAsia="en-AU"/>
        </w:rPr>
      </w:pPr>
      <w:r w:rsidRPr="0027082E">
        <w:rPr>
          <w:lang w:eastAsia="en-AU"/>
        </w:rPr>
        <w:t>Note:</w:t>
      </w:r>
    </w:p>
    <w:p w:rsidR="00965D85" w:rsidRDefault="00965D85" w:rsidP="008B46DF">
      <w:pPr>
        <w:pStyle w:val="Notes"/>
        <w:rPr>
          <w:lang w:eastAsia="en-AU"/>
        </w:rPr>
      </w:pPr>
      <w:r>
        <w:rPr>
          <w:lang w:eastAsia="en-AU"/>
        </w:rPr>
        <w:t>(a)</w:t>
      </w:r>
      <w:r>
        <w:rPr>
          <w:lang w:eastAsia="en-AU"/>
        </w:rPr>
        <w:tab/>
        <w:t>Balances represent actual opening balances at 1 July 2015 plus 2015</w:t>
      </w:r>
      <w:r>
        <w:rPr>
          <w:lang w:eastAsia="en-AU"/>
        </w:rPr>
        <w:noBreakHyphen/>
        <w:t>16 budgeted movements.</w:t>
      </w:r>
    </w:p>
    <w:p w:rsidR="00965D85" w:rsidRDefault="00965D85" w:rsidP="008B46DF">
      <w:pPr>
        <w:rPr>
          <w:rFonts w:ascii="Tms Rmn" w:hAnsi="Tms Rmn" w:cs="Tms Rmn"/>
          <w:color w:val="000000"/>
          <w:sz w:val="18"/>
          <w:szCs w:val="18"/>
          <w:lang w:eastAsia="en-AU"/>
        </w:rPr>
      </w:pPr>
    </w:p>
    <w:p w:rsidR="00965D85" w:rsidRDefault="00965D85">
      <w:pPr>
        <w:spacing w:after="0"/>
        <w:rPr>
          <w:rFonts w:ascii="Calibri" w:hAnsi="Calibri"/>
          <w:b/>
          <w:lang w:eastAsia="en-AU"/>
        </w:rPr>
      </w:pPr>
      <w:r>
        <w:rPr>
          <w:lang w:eastAsia="en-AU"/>
        </w:rPr>
        <w:br w:type="page"/>
      </w:r>
    </w:p>
    <w:p w:rsidR="00965D85" w:rsidRPr="001E7FA9" w:rsidRDefault="00965D85" w:rsidP="008B46DF">
      <w:pPr>
        <w:pStyle w:val="Tableheading"/>
        <w:rPr>
          <w:rFonts w:ascii="Times New Roman" w:hAnsi="Times New Roman"/>
          <w:b w:val="0"/>
          <w:sz w:val="20"/>
          <w:lang w:eastAsia="en-AU"/>
        </w:rPr>
      </w:pPr>
      <w:r w:rsidRPr="00065F5F">
        <w:rPr>
          <w:lang w:eastAsia="en-AU"/>
        </w:rPr>
        <w:lastRenderedPageBreak/>
        <w:t>Table 5.21:</w:t>
      </w:r>
      <w:r w:rsidRPr="00065F5F">
        <w:rPr>
          <w:lang w:eastAsia="en-AU"/>
        </w:rPr>
        <w:tab/>
        <w:t xml:space="preserve">State of Victoria cash flow statement </w:t>
      </w:r>
      <w:r>
        <w:rPr>
          <w:lang w:eastAsia="en-AU"/>
        </w:rPr>
        <w:t>for the financial year ended 30 </w:t>
      </w:r>
      <w:r w:rsidRPr="00065F5F">
        <w:rPr>
          <w:lang w:eastAsia="en-AU"/>
        </w:rPr>
        <w:t>June</w:t>
      </w:r>
      <w:r w:rsidRPr="00065F5F">
        <w:rPr>
          <w:vertAlign w:val="superscript"/>
          <w:lang w:eastAsia="en-AU"/>
        </w:rPr>
        <w:t>(a)</w:t>
      </w:r>
    </w:p>
    <w:tbl>
      <w:tblPr>
        <w:tblW w:w="7767" w:type="dxa"/>
        <w:tblInd w:w="45" w:type="dxa"/>
        <w:tblLayout w:type="fixed"/>
        <w:tblCellMar>
          <w:left w:w="45" w:type="dxa"/>
          <w:right w:w="45" w:type="dxa"/>
        </w:tblCellMar>
        <w:tblLook w:val="0000" w:firstRow="0" w:lastRow="0" w:firstColumn="0" w:lastColumn="0" w:noHBand="0" w:noVBand="0"/>
      </w:tblPr>
      <w:tblGrid>
        <w:gridCol w:w="2946"/>
        <w:gridCol w:w="313"/>
        <w:gridCol w:w="142"/>
        <w:gridCol w:w="510"/>
        <w:gridCol w:w="964"/>
        <w:gridCol w:w="964"/>
        <w:gridCol w:w="964"/>
        <w:gridCol w:w="964"/>
      </w:tblGrid>
      <w:tr w:rsidR="00965D85" w:rsidRPr="001E7FA9" w:rsidTr="008B46DF">
        <w:trPr>
          <w:tblHeader/>
        </w:trPr>
        <w:tc>
          <w:tcPr>
            <w:tcW w:w="7767" w:type="dxa"/>
            <w:gridSpan w:val="8"/>
            <w:tcBorders>
              <w:top w:val="nil"/>
              <w:left w:val="nil"/>
              <w:bottom w:val="nil"/>
              <w:right w:val="nil"/>
            </w:tcBorders>
          </w:tcPr>
          <w:p w:rsidR="00965D85" w:rsidRPr="001E7FA9" w:rsidRDefault="00965D85" w:rsidP="008B46DF">
            <w:pPr>
              <w:pStyle w:val="million"/>
              <w:rPr>
                <w:rFonts w:eastAsiaTheme="minorEastAsia"/>
                <w:lang w:eastAsia="en-AU"/>
              </w:rPr>
            </w:pPr>
            <w:r w:rsidRPr="001E7FA9">
              <w:rPr>
                <w:rFonts w:eastAsiaTheme="minorEastAsia"/>
                <w:lang w:eastAsia="en-AU"/>
              </w:rPr>
              <w:t>($ million)</w:t>
            </w:r>
          </w:p>
        </w:tc>
      </w:tr>
      <w:tr w:rsidR="00965D85" w:rsidRPr="001E7FA9" w:rsidTr="008B46DF">
        <w:trPr>
          <w:trHeight w:val="464"/>
          <w:tblHeader/>
        </w:trPr>
        <w:tc>
          <w:tcPr>
            <w:tcW w:w="2946" w:type="dxa"/>
            <w:tcBorders>
              <w:top w:val="nil"/>
              <w:left w:val="nil"/>
              <w:right w:val="nil"/>
            </w:tcBorders>
            <w:shd w:val="solid" w:color="000000" w:fill="auto"/>
          </w:tcPr>
          <w:p w:rsidR="00965D85" w:rsidRPr="001E7FA9" w:rsidRDefault="00965D85" w:rsidP="008B46DF">
            <w:pPr>
              <w:autoSpaceDE w:val="0"/>
              <w:autoSpaceDN w:val="0"/>
              <w:adjustRightInd w:val="0"/>
              <w:spacing w:after="0"/>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 xml:space="preserve"> </w:t>
            </w:r>
          </w:p>
          <w:p w:rsidR="00965D85" w:rsidRPr="001E7FA9" w:rsidRDefault="00965D85" w:rsidP="008B46DF">
            <w:pPr>
              <w:autoSpaceDE w:val="0"/>
              <w:autoSpaceDN w:val="0"/>
              <w:adjustRightInd w:val="0"/>
              <w:spacing w:after="0"/>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 xml:space="preserve"> </w:t>
            </w:r>
          </w:p>
        </w:tc>
        <w:tc>
          <w:tcPr>
            <w:tcW w:w="965" w:type="dxa"/>
            <w:gridSpan w:val="3"/>
            <w:tcBorders>
              <w:top w:val="nil"/>
              <w:left w:val="nil"/>
              <w:right w:val="nil"/>
            </w:tcBorders>
            <w:shd w:val="solid" w:color="000000" w:fill="auto"/>
          </w:tcPr>
          <w:p w:rsidR="00965D85" w:rsidRPr="001E7FA9" w:rsidRDefault="00965D85" w:rsidP="008B46DF">
            <w:pPr>
              <w:autoSpaceDE w:val="0"/>
              <w:autoSpaceDN w:val="0"/>
              <w:adjustRightInd w:val="0"/>
              <w:spacing w:after="0"/>
              <w:jc w:val="right"/>
              <w:rPr>
                <w:rFonts w:ascii="Calibri" w:eastAsiaTheme="minorEastAsia" w:hAnsi="Calibri" w:cs="Calibri"/>
                <w:i/>
                <w:iCs/>
                <w:color w:val="FFFFFF"/>
                <w:sz w:val="19"/>
                <w:lang w:eastAsia="en-AU"/>
              </w:rPr>
            </w:pPr>
            <w:r w:rsidRPr="001E7FA9">
              <w:rPr>
                <w:rFonts w:ascii="Calibri" w:eastAsiaTheme="minorEastAsia" w:hAnsi="Calibri" w:cs="Calibri"/>
                <w:i/>
                <w:iCs/>
                <w:color w:val="FFFFFF"/>
                <w:sz w:val="19"/>
                <w:lang w:eastAsia="en-AU"/>
              </w:rPr>
              <w:t>2015</w:t>
            </w:r>
            <w:r>
              <w:rPr>
                <w:rFonts w:ascii="Calibri" w:eastAsiaTheme="minorEastAsia" w:hAnsi="Calibri" w:cs="Calibri"/>
                <w:i/>
                <w:iCs/>
                <w:color w:val="FFFFFF"/>
                <w:sz w:val="19"/>
                <w:lang w:eastAsia="en-AU"/>
              </w:rPr>
              <w:noBreakHyphen/>
            </w:r>
            <w:r w:rsidRPr="001E7FA9">
              <w:rPr>
                <w:rFonts w:ascii="Calibri" w:eastAsiaTheme="minorEastAsia" w:hAnsi="Calibri" w:cs="Calibri"/>
                <w:i/>
                <w:iCs/>
                <w:color w:val="FFFFFF"/>
                <w:sz w:val="19"/>
                <w:lang w:eastAsia="en-AU"/>
              </w:rPr>
              <w:t xml:space="preserve">16 </w:t>
            </w:r>
          </w:p>
          <w:p w:rsidR="00965D85" w:rsidRPr="001E7FA9" w:rsidRDefault="00965D85" w:rsidP="008B46DF">
            <w:pPr>
              <w:autoSpaceDE w:val="0"/>
              <w:autoSpaceDN w:val="0"/>
              <w:adjustRightInd w:val="0"/>
              <w:spacing w:after="0"/>
              <w:jc w:val="right"/>
              <w:rPr>
                <w:rFonts w:ascii="Calibri" w:eastAsiaTheme="minorEastAsia" w:hAnsi="Calibri" w:cs="Calibri"/>
                <w:i/>
                <w:iCs/>
                <w:color w:val="FFFFFF"/>
                <w:sz w:val="19"/>
                <w:lang w:eastAsia="en-AU"/>
              </w:rPr>
            </w:pPr>
            <w:r w:rsidRPr="001E7FA9">
              <w:rPr>
                <w:rFonts w:ascii="Calibri" w:eastAsiaTheme="minorEastAsia" w:hAnsi="Calibri" w:cs="Calibri"/>
                <w:i/>
                <w:iCs/>
                <w:color w:val="FFFFFF"/>
                <w:sz w:val="19"/>
                <w:lang w:eastAsia="en-AU"/>
              </w:rPr>
              <w:t>budget</w:t>
            </w:r>
          </w:p>
        </w:tc>
        <w:tc>
          <w:tcPr>
            <w:tcW w:w="964" w:type="dxa"/>
            <w:tcBorders>
              <w:top w:val="nil"/>
              <w:left w:val="nil"/>
              <w:right w:val="nil"/>
            </w:tcBorders>
            <w:shd w:val="solid" w:color="000000" w:fill="auto"/>
          </w:tcPr>
          <w:p w:rsidR="00965D85" w:rsidRPr="001E7FA9" w:rsidRDefault="00965D85" w:rsidP="008B46DF">
            <w:pPr>
              <w:autoSpaceDE w:val="0"/>
              <w:autoSpaceDN w:val="0"/>
              <w:adjustRightInd w:val="0"/>
              <w:spacing w:after="0"/>
              <w:jc w:val="right"/>
              <w:rPr>
                <w:rFonts w:ascii="Calibri" w:eastAsiaTheme="minorEastAsia" w:hAnsi="Calibri" w:cs="Calibri"/>
                <w:i/>
                <w:iCs/>
                <w:color w:val="FFFFFF"/>
                <w:sz w:val="19"/>
                <w:lang w:eastAsia="en-AU"/>
              </w:rPr>
            </w:pPr>
            <w:r w:rsidRPr="001E7FA9">
              <w:rPr>
                <w:rFonts w:ascii="Calibri" w:eastAsiaTheme="minorEastAsia" w:hAnsi="Calibri" w:cs="Calibri"/>
                <w:i/>
                <w:iCs/>
                <w:color w:val="FFFFFF"/>
                <w:sz w:val="19"/>
                <w:lang w:eastAsia="en-AU"/>
              </w:rPr>
              <w:t>2015</w:t>
            </w:r>
            <w:r>
              <w:rPr>
                <w:rFonts w:ascii="Calibri" w:eastAsiaTheme="minorEastAsia" w:hAnsi="Calibri" w:cs="Calibri"/>
                <w:i/>
                <w:iCs/>
                <w:color w:val="FFFFFF"/>
                <w:sz w:val="19"/>
                <w:lang w:eastAsia="en-AU"/>
              </w:rPr>
              <w:noBreakHyphen/>
            </w:r>
            <w:r w:rsidRPr="001E7FA9">
              <w:rPr>
                <w:rFonts w:ascii="Calibri" w:eastAsiaTheme="minorEastAsia" w:hAnsi="Calibri" w:cs="Calibri"/>
                <w:i/>
                <w:iCs/>
                <w:color w:val="FFFFFF"/>
                <w:sz w:val="19"/>
                <w:lang w:eastAsia="en-AU"/>
              </w:rPr>
              <w:t xml:space="preserve">16 </w:t>
            </w:r>
          </w:p>
          <w:p w:rsidR="00965D85" w:rsidRPr="001E7FA9" w:rsidRDefault="00965D85" w:rsidP="008B46DF">
            <w:pPr>
              <w:autoSpaceDE w:val="0"/>
              <w:autoSpaceDN w:val="0"/>
              <w:adjustRightInd w:val="0"/>
              <w:spacing w:after="0"/>
              <w:jc w:val="right"/>
              <w:rPr>
                <w:rFonts w:ascii="Calibri" w:eastAsiaTheme="minorEastAsia" w:hAnsi="Calibri" w:cs="Calibri"/>
                <w:i/>
                <w:iCs/>
                <w:color w:val="FFFFFF"/>
                <w:sz w:val="19"/>
                <w:lang w:eastAsia="en-AU"/>
              </w:rPr>
            </w:pPr>
            <w:r w:rsidRPr="001E7FA9">
              <w:rPr>
                <w:rFonts w:ascii="Calibri" w:eastAsiaTheme="minorEastAsia" w:hAnsi="Calibri" w:cs="Calibri"/>
                <w:i/>
                <w:iCs/>
                <w:color w:val="FFFFFF"/>
                <w:sz w:val="19"/>
                <w:lang w:eastAsia="en-AU"/>
              </w:rPr>
              <w:t>revised</w:t>
            </w:r>
          </w:p>
        </w:tc>
        <w:tc>
          <w:tcPr>
            <w:tcW w:w="964" w:type="dxa"/>
            <w:tcBorders>
              <w:top w:val="nil"/>
              <w:left w:val="nil"/>
              <w:right w:val="nil"/>
            </w:tcBorders>
            <w:shd w:val="solid" w:color="000000" w:fill="auto"/>
          </w:tcPr>
          <w:p w:rsidR="00965D85" w:rsidRPr="001E7FA9" w:rsidRDefault="00965D85" w:rsidP="008B46DF">
            <w:pPr>
              <w:autoSpaceDE w:val="0"/>
              <w:autoSpaceDN w:val="0"/>
              <w:adjustRightInd w:val="0"/>
              <w:spacing w:after="0"/>
              <w:jc w:val="right"/>
              <w:rPr>
                <w:rFonts w:ascii="Calibri" w:eastAsiaTheme="minorEastAsia" w:hAnsi="Calibri" w:cs="Calibri"/>
                <w:i/>
                <w:iCs/>
                <w:color w:val="FFFFFF"/>
                <w:sz w:val="19"/>
                <w:lang w:eastAsia="en-AU"/>
              </w:rPr>
            </w:pPr>
            <w:r w:rsidRPr="001E7FA9">
              <w:rPr>
                <w:rFonts w:ascii="Calibri" w:eastAsiaTheme="minorEastAsia" w:hAnsi="Calibri" w:cs="Calibri"/>
                <w:i/>
                <w:iCs/>
                <w:color w:val="FFFFFF"/>
                <w:sz w:val="19"/>
                <w:lang w:eastAsia="en-AU"/>
              </w:rPr>
              <w:t>2016</w:t>
            </w:r>
            <w:r>
              <w:rPr>
                <w:rFonts w:ascii="Calibri" w:eastAsiaTheme="minorEastAsia" w:hAnsi="Calibri" w:cs="Calibri"/>
                <w:i/>
                <w:iCs/>
                <w:color w:val="FFFFFF"/>
                <w:sz w:val="19"/>
                <w:lang w:eastAsia="en-AU"/>
              </w:rPr>
              <w:noBreakHyphen/>
            </w:r>
            <w:r w:rsidRPr="001E7FA9">
              <w:rPr>
                <w:rFonts w:ascii="Calibri" w:eastAsiaTheme="minorEastAsia" w:hAnsi="Calibri" w:cs="Calibri"/>
                <w:i/>
                <w:iCs/>
                <w:color w:val="FFFFFF"/>
                <w:sz w:val="19"/>
                <w:lang w:eastAsia="en-AU"/>
              </w:rPr>
              <w:t xml:space="preserve">17 </w:t>
            </w:r>
          </w:p>
          <w:p w:rsidR="00965D85" w:rsidRPr="001E7FA9" w:rsidRDefault="00965D85" w:rsidP="008B46DF">
            <w:pPr>
              <w:autoSpaceDE w:val="0"/>
              <w:autoSpaceDN w:val="0"/>
              <w:adjustRightInd w:val="0"/>
              <w:spacing w:after="0"/>
              <w:jc w:val="right"/>
              <w:rPr>
                <w:rFonts w:ascii="Calibri" w:eastAsiaTheme="minorEastAsia" w:hAnsi="Calibri" w:cs="Calibri"/>
                <w:i/>
                <w:iCs/>
                <w:color w:val="FFFFFF"/>
                <w:sz w:val="19"/>
                <w:lang w:eastAsia="en-AU"/>
              </w:rPr>
            </w:pPr>
            <w:r w:rsidRPr="001E7FA9">
              <w:rPr>
                <w:rFonts w:ascii="Calibri" w:eastAsiaTheme="minorEastAsia" w:hAnsi="Calibri" w:cs="Calibri"/>
                <w:i/>
                <w:iCs/>
                <w:color w:val="FFFFFF"/>
                <w:sz w:val="19"/>
                <w:lang w:eastAsia="en-AU"/>
              </w:rPr>
              <w:t>estimate</w:t>
            </w:r>
          </w:p>
        </w:tc>
        <w:tc>
          <w:tcPr>
            <w:tcW w:w="964" w:type="dxa"/>
            <w:tcBorders>
              <w:top w:val="nil"/>
              <w:left w:val="nil"/>
              <w:right w:val="nil"/>
            </w:tcBorders>
            <w:shd w:val="solid" w:color="000000" w:fill="auto"/>
          </w:tcPr>
          <w:p w:rsidR="00965D85" w:rsidRPr="001E7FA9" w:rsidRDefault="00965D85" w:rsidP="008B46DF">
            <w:pPr>
              <w:autoSpaceDE w:val="0"/>
              <w:autoSpaceDN w:val="0"/>
              <w:adjustRightInd w:val="0"/>
              <w:spacing w:after="0"/>
              <w:jc w:val="right"/>
              <w:rPr>
                <w:rFonts w:ascii="Calibri" w:eastAsiaTheme="minorEastAsia" w:hAnsi="Calibri" w:cs="Calibri"/>
                <w:i/>
                <w:iCs/>
                <w:color w:val="FFFFFF"/>
                <w:sz w:val="19"/>
                <w:lang w:eastAsia="en-AU"/>
              </w:rPr>
            </w:pPr>
            <w:r w:rsidRPr="001E7FA9">
              <w:rPr>
                <w:rFonts w:ascii="Calibri" w:eastAsiaTheme="minorEastAsia" w:hAnsi="Calibri" w:cs="Calibri"/>
                <w:i/>
                <w:iCs/>
                <w:color w:val="FFFFFF"/>
                <w:sz w:val="19"/>
                <w:lang w:eastAsia="en-AU"/>
              </w:rPr>
              <w:t>2017</w:t>
            </w:r>
            <w:r>
              <w:rPr>
                <w:rFonts w:ascii="Calibri" w:eastAsiaTheme="minorEastAsia" w:hAnsi="Calibri" w:cs="Calibri"/>
                <w:i/>
                <w:iCs/>
                <w:color w:val="FFFFFF"/>
                <w:sz w:val="19"/>
                <w:lang w:eastAsia="en-AU"/>
              </w:rPr>
              <w:noBreakHyphen/>
            </w:r>
            <w:r w:rsidRPr="001E7FA9">
              <w:rPr>
                <w:rFonts w:ascii="Calibri" w:eastAsiaTheme="minorEastAsia" w:hAnsi="Calibri" w:cs="Calibri"/>
                <w:i/>
                <w:iCs/>
                <w:color w:val="FFFFFF"/>
                <w:sz w:val="19"/>
                <w:lang w:eastAsia="en-AU"/>
              </w:rPr>
              <w:t xml:space="preserve">18 </w:t>
            </w:r>
          </w:p>
          <w:p w:rsidR="00965D85" w:rsidRPr="001E7FA9" w:rsidRDefault="00965D85" w:rsidP="008B46DF">
            <w:pPr>
              <w:autoSpaceDE w:val="0"/>
              <w:autoSpaceDN w:val="0"/>
              <w:adjustRightInd w:val="0"/>
              <w:spacing w:after="0"/>
              <w:jc w:val="right"/>
              <w:rPr>
                <w:rFonts w:ascii="Calibri" w:eastAsiaTheme="minorEastAsia" w:hAnsi="Calibri" w:cs="Calibri"/>
                <w:i/>
                <w:iCs/>
                <w:color w:val="FFFFFF"/>
                <w:sz w:val="19"/>
                <w:lang w:eastAsia="en-AU"/>
              </w:rPr>
            </w:pPr>
            <w:r w:rsidRPr="001E7FA9">
              <w:rPr>
                <w:rFonts w:ascii="Calibri" w:eastAsiaTheme="minorEastAsia" w:hAnsi="Calibri" w:cs="Calibri"/>
                <w:i/>
                <w:iCs/>
                <w:color w:val="FFFFFF"/>
                <w:sz w:val="19"/>
                <w:lang w:eastAsia="en-AU"/>
              </w:rPr>
              <w:t>estimate</w:t>
            </w:r>
          </w:p>
        </w:tc>
        <w:tc>
          <w:tcPr>
            <w:tcW w:w="964" w:type="dxa"/>
            <w:tcBorders>
              <w:top w:val="nil"/>
              <w:left w:val="nil"/>
              <w:right w:val="nil"/>
            </w:tcBorders>
            <w:shd w:val="solid" w:color="000000" w:fill="auto"/>
          </w:tcPr>
          <w:p w:rsidR="00965D85" w:rsidRPr="001E7FA9" w:rsidRDefault="00965D85" w:rsidP="008B46DF">
            <w:pPr>
              <w:autoSpaceDE w:val="0"/>
              <w:autoSpaceDN w:val="0"/>
              <w:adjustRightInd w:val="0"/>
              <w:spacing w:after="0"/>
              <w:jc w:val="right"/>
              <w:rPr>
                <w:rFonts w:ascii="Calibri" w:eastAsiaTheme="minorEastAsia" w:hAnsi="Calibri" w:cs="Calibri"/>
                <w:i/>
                <w:iCs/>
                <w:color w:val="FFFFFF"/>
                <w:sz w:val="19"/>
                <w:lang w:eastAsia="en-AU"/>
              </w:rPr>
            </w:pPr>
            <w:r w:rsidRPr="001E7FA9">
              <w:rPr>
                <w:rFonts w:ascii="Calibri" w:eastAsiaTheme="minorEastAsia" w:hAnsi="Calibri" w:cs="Calibri"/>
                <w:i/>
                <w:iCs/>
                <w:color w:val="FFFFFF"/>
                <w:sz w:val="19"/>
                <w:lang w:eastAsia="en-AU"/>
              </w:rPr>
              <w:t>2018</w:t>
            </w:r>
            <w:r>
              <w:rPr>
                <w:rFonts w:ascii="Calibri" w:eastAsiaTheme="minorEastAsia" w:hAnsi="Calibri" w:cs="Calibri"/>
                <w:i/>
                <w:iCs/>
                <w:color w:val="FFFFFF"/>
                <w:sz w:val="19"/>
                <w:lang w:eastAsia="en-AU"/>
              </w:rPr>
              <w:noBreakHyphen/>
            </w:r>
            <w:r w:rsidRPr="001E7FA9">
              <w:rPr>
                <w:rFonts w:ascii="Calibri" w:eastAsiaTheme="minorEastAsia" w:hAnsi="Calibri" w:cs="Calibri"/>
                <w:i/>
                <w:iCs/>
                <w:color w:val="FFFFFF"/>
                <w:sz w:val="19"/>
                <w:lang w:eastAsia="en-AU"/>
              </w:rPr>
              <w:t xml:space="preserve">19 </w:t>
            </w:r>
          </w:p>
          <w:p w:rsidR="00965D85" w:rsidRPr="001E7FA9" w:rsidRDefault="00965D85" w:rsidP="008B46DF">
            <w:pPr>
              <w:autoSpaceDE w:val="0"/>
              <w:autoSpaceDN w:val="0"/>
              <w:adjustRightInd w:val="0"/>
              <w:spacing w:after="0"/>
              <w:jc w:val="right"/>
              <w:rPr>
                <w:rFonts w:ascii="Calibri" w:eastAsiaTheme="minorEastAsia" w:hAnsi="Calibri" w:cs="Calibri"/>
                <w:i/>
                <w:iCs/>
                <w:color w:val="FFFFFF"/>
                <w:sz w:val="19"/>
                <w:lang w:eastAsia="en-AU"/>
              </w:rPr>
            </w:pPr>
            <w:r w:rsidRPr="001E7FA9">
              <w:rPr>
                <w:rFonts w:ascii="Calibri" w:eastAsiaTheme="minorEastAsia" w:hAnsi="Calibri" w:cs="Calibri"/>
                <w:i/>
                <w:iCs/>
                <w:color w:val="FFFFFF"/>
                <w:sz w:val="19"/>
                <w:lang w:eastAsia="en-AU"/>
              </w:rPr>
              <w:t>estimate</w:t>
            </w:r>
          </w:p>
        </w:tc>
      </w:tr>
      <w:tr w:rsidR="00965D85" w:rsidRPr="001E7FA9" w:rsidTr="008B46DF">
        <w:tc>
          <w:tcPr>
            <w:tcW w:w="3401" w:type="dxa"/>
            <w:gridSpan w:val="3"/>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b/>
                <w:bCs/>
                <w:color w:val="000000"/>
                <w:sz w:val="19"/>
                <w:lang w:eastAsia="en-AU"/>
              </w:rPr>
            </w:pPr>
            <w:r w:rsidRPr="001E7FA9">
              <w:rPr>
                <w:rFonts w:ascii="Calibri" w:eastAsiaTheme="minorEastAsia" w:hAnsi="Calibri" w:cs="Calibri"/>
                <w:b/>
                <w:bCs/>
                <w:color w:val="000000"/>
                <w:sz w:val="19"/>
                <w:lang w:eastAsia="en-AU"/>
              </w:rPr>
              <w:t>Cash flows from operating activities</w:t>
            </w:r>
          </w:p>
        </w:tc>
        <w:tc>
          <w:tcPr>
            <w:tcW w:w="510"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r>
      <w:tr w:rsidR="00965D85" w:rsidRPr="001E7FA9" w:rsidTr="008B46DF">
        <w:tc>
          <w:tcPr>
            <w:tcW w:w="2946" w:type="dxa"/>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b/>
                <w:bCs/>
                <w:color w:val="000000"/>
                <w:sz w:val="19"/>
                <w:lang w:eastAsia="en-AU"/>
              </w:rPr>
            </w:pPr>
            <w:r w:rsidRPr="001E7FA9">
              <w:rPr>
                <w:rFonts w:ascii="Calibri" w:eastAsiaTheme="minorEastAsia" w:hAnsi="Calibri" w:cs="Calibri"/>
                <w:b/>
                <w:bCs/>
                <w:color w:val="000000"/>
                <w:sz w:val="19"/>
                <w:lang w:eastAsia="en-AU"/>
              </w:rPr>
              <w:t>Receipts</w:t>
            </w:r>
          </w:p>
        </w:tc>
        <w:tc>
          <w:tcPr>
            <w:tcW w:w="965" w:type="dxa"/>
            <w:gridSpan w:val="3"/>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r>
      <w:tr w:rsidR="00965D85" w:rsidRPr="001E7FA9" w:rsidTr="008B46DF">
        <w:tc>
          <w:tcPr>
            <w:tcW w:w="2946" w:type="dxa"/>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Taxes received</w:t>
            </w:r>
          </w:p>
        </w:tc>
        <w:tc>
          <w:tcPr>
            <w:tcW w:w="965" w:type="dxa"/>
            <w:gridSpan w:val="3"/>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18 563.3</w:t>
            </w: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18 968.2</w:t>
            </w: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19 707.7</w:t>
            </w: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20 185.0</w:t>
            </w: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21 021.5</w:t>
            </w:r>
          </w:p>
        </w:tc>
      </w:tr>
      <w:tr w:rsidR="00965D85" w:rsidRPr="001E7FA9" w:rsidTr="008B46DF">
        <w:tc>
          <w:tcPr>
            <w:tcW w:w="2946" w:type="dxa"/>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Grants</w:t>
            </w:r>
          </w:p>
        </w:tc>
        <w:tc>
          <w:tcPr>
            <w:tcW w:w="965" w:type="dxa"/>
            <w:gridSpan w:val="3"/>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25 525.1</w:t>
            </w: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25 407.4</w:t>
            </w: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25 889.3</w:t>
            </w: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27 682.2</w:t>
            </w: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28 233.2</w:t>
            </w:r>
          </w:p>
        </w:tc>
      </w:tr>
      <w:tr w:rsidR="00965D85" w:rsidRPr="001E7FA9" w:rsidTr="008B46DF">
        <w:tc>
          <w:tcPr>
            <w:tcW w:w="2946" w:type="dxa"/>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color w:val="000000"/>
                <w:sz w:val="19"/>
                <w:vertAlign w:val="superscript"/>
                <w:lang w:eastAsia="en-AU"/>
              </w:rPr>
            </w:pPr>
            <w:r w:rsidRPr="001E7FA9">
              <w:rPr>
                <w:rFonts w:ascii="Calibri" w:eastAsiaTheme="minorEastAsia" w:hAnsi="Calibri" w:cs="Calibri"/>
                <w:color w:val="000000"/>
                <w:sz w:val="19"/>
                <w:lang w:eastAsia="en-AU"/>
              </w:rPr>
              <w:t xml:space="preserve">Sales of goods and services </w:t>
            </w:r>
            <w:r w:rsidRPr="001E7FA9">
              <w:rPr>
                <w:rFonts w:ascii="Calibri" w:eastAsiaTheme="minorEastAsia" w:hAnsi="Calibri" w:cs="Calibri"/>
                <w:color w:val="000000"/>
                <w:sz w:val="19"/>
                <w:vertAlign w:val="superscript"/>
                <w:lang w:eastAsia="en-AU"/>
              </w:rPr>
              <w:t>(b)</w:t>
            </w:r>
          </w:p>
        </w:tc>
        <w:tc>
          <w:tcPr>
            <w:tcW w:w="965" w:type="dxa"/>
            <w:gridSpan w:val="3"/>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15 914.1</w:t>
            </w: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15 970.0</w:t>
            </w: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15 955.1</w:t>
            </w: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16 419.9</w:t>
            </w: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16 776.4</w:t>
            </w:r>
          </w:p>
        </w:tc>
      </w:tr>
      <w:tr w:rsidR="00965D85" w:rsidRPr="001E7FA9" w:rsidTr="008B46DF">
        <w:tc>
          <w:tcPr>
            <w:tcW w:w="2946" w:type="dxa"/>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Interest received</w:t>
            </w:r>
          </w:p>
        </w:tc>
        <w:tc>
          <w:tcPr>
            <w:tcW w:w="965" w:type="dxa"/>
            <w:gridSpan w:val="3"/>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734.8</w:t>
            </w: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541.2</w:t>
            </w: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706.8</w:t>
            </w: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749.3</w:t>
            </w: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751.8</w:t>
            </w:r>
          </w:p>
        </w:tc>
      </w:tr>
      <w:tr w:rsidR="00965D85" w:rsidRPr="001E7FA9" w:rsidTr="008B46DF">
        <w:tc>
          <w:tcPr>
            <w:tcW w:w="2946" w:type="dxa"/>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Dividends and income tax equivalent and rate equivalent receipts</w:t>
            </w:r>
          </w:p>
        </w:tc>
        <w:tc>
          <w:tcPr>
            <w:tcW w:w="965" w:type="dxa"/>
            <w:gridSpan w:val="3"/>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1 079.0</w:t>
            </w: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519.4</w:t>
            </w: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1 212.9</w:t>
            </w: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1 164.1</w:t>
            </w: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1 124.6</w:t>
            </w:r>
          </w:p>
        </w:tc>
      </w:tr>
      <w:tr w:rsidR="00965D85" w:rsidRPr="001E7FA9" w:rsidTr="008B46DF">
        <w:tc>
          <w:tcPr>
            <w:tcW w:w="2946" w:type="dxa"/>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Other receipts</w:t>
            </w:r>
          </w:p>
        </w:tc>
        <w:tc>
          <w:tcPr>
            <w:tcW w:w="965" w:type="dxa"/>
            <w:gridSpan w:val="3"/>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2 062.1</w:t>
            </w:r>
          </w:p>
        </w:tc>
        <w:tc>
          <w:tcPr>
            <w:tcW w:w="964" w:type="dxa"/>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2 246.9</w:t>
            </w:r>
          </w:p>
        </w:tc>
        <w:tc>
          <w:tcPr>
            <w:tcW w:w="964" w:type="dxa"/>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2 236.7</w:t>
            </w:r>
          </w:p>
        </w:tc>
        <w:tc>
          <w:tcPr>
            <w:tcW w:w="964" w:type="dxa"/>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2 331.6</w:t>
            </w:r>
          </w:p>
        </w:tc>
        <w:tc>
          <w:tcPr>
            <w:tcW w:w="964" w:type="dxa"/>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2 323.9</w:t>
            </w:r>
          </w:p>
        </w:tc>
      </w:tr>
      <w:tr w:rsidR="00965D85" w:rsidRPr="001E7FA9" w:rsidTr="008B46DF">
        <w:tc>
          <w:tcPr>
            <w:tcW w:w="2946" w:type="dxa"/>
            <w:tcBorders>
              <w:top w:val="single" w:sz="6" w:space="0" w:color="000000"/>
              <w:left w:val="nil"/>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b/>
                <w:bCs/>
                <w:color w:val="000000"/>
                <w:sz w:val="19"/>
                <w:lang w:eastAsia="en-AU"/>
              </w:rPr>
            </w:pPr>
            <w:r w:rsidRPr="001E7FA9">
              <w:rPr>
                <w:rFonts w:ascii="Calibri" w:eastAsiaTheme="minorEastAsia" w:hAnsi="Calibri" w:cs="Calibri"/>
                <w:b/>
                <w:bCs/>
                <w:color w:val="000000"/>
                <w:sz w:val="19"/>
                <w:lang w:eastAsia="en-AU"/>
              </w:rPr>
              <w:t>Total receipts</w:t>
            </w:r>
          </w:p>
        </w:tc>
        <w:tc>
          <w:tcPr>
            <w:tcW w:w="965" w:type="dxa"/>
            <w:gridSpan w:val="3"/>
            <w:tcBorders>
              <w:top w:val="single" w:sz="6" w:space="0" w:color="000000"/>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19"/>
                <w:lang w:eastAsia="en-AU"/>
              </w:rPr>
            </w:pPr>
            <w:r w:rsidRPr="001E7FA9">
              <w:rPr>
                <w:rFonts w:ascii="Calibri" w:eastAsiaTheme="minorEastAsia" w:hAnsi="Calibri" w:cs="Calibri"/>
                <w:b/>
                <w:bCs/>
                <w:color w:val="000000"/>
                <w:sz w:val="19"/>
                <w:lang w:eastAsia="en-AU"/>
              </w:rPr>
              <w:t>63 878.4</w:t>
            </w:r>
          </w:p>
        </w:tc>
        <w:tc>
          <w:tcPr>
            <w:tcW w:w="964" w:type="dxa"/>
            <w:tcBorders>
              <w:top w:val="single" w:sz="6" w:space="0" w:color="000000"/>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19"/>
                <w:lang w:eastAsia="en-AU"/>
              </w:rPr>
            </w:pPr>
            <w:r w:rsidRPr="001E7FA9">
              <w:rPr>
                <w:rFonts w:ascii="Calibri" w:eastAsiaTheme="minorEastAsia" w:hAnsi="Calibri" w:cs="Calibri"/>
                <w:b/>
                <w:bCs/>
                <w:color w:val="000000"/>
                <w:sz w:val="19"/>
                <w:lang w:eastAsia="en-AU"/>
              </w:rPr>
              <w:t>63 653.1</w:t>
            </w:r>
          </w:p>
        </w:tc>
        <w:tc>
          <w:tcPr>
            <w:tcW w:w="964" w:type="dxa"/>
            <w:tcBorders>
              <w:top w:val="single" w:sz="6" w:space="0" w:color="000000"/>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19"/>
                <w:lang w:eastAsia="en-AU"/>
              </w:rPr>
            </w:pPr>
            <w:r w:rsidRPr="001E7FA9">
              <w:rPr>
                <w:rFonts w:ascii="Calibri" w:eastAsiaTheme="minorEastAsia" w:hAnsi="Calibri" w:cs="Calibri"/>
                <w:b/>
                <w:bCs/>
                <w:color w:val="000000"/>
                <w:sz w:val="19"/>
                <w:lang w:eastAsia="en-AU"/>
              </w:rPr>
              <w:t>65 708.5</w:t>
            </w:r>
          </w:p>
        </w:tc>
        <w:tc>
          <w:tcPr>
            <w:tcW w:w="964" w:type="dxa"/>
            <w:tcBorders>
              <w:top w:val="single" w:sz="6" w:space="0" w:color="000000"/>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19"/>
                <w:lang w:eastAsia="en-AU"/>
              </w:rPr>
            </w:pPr>
            <w:r w:rsidRPr="001E7FA9">
              <w:rPr>
                <w:rFonts w:ascii="Calibri" w:eastAsiaTheme="minorEastAsia" w:hAnsi="Calibri" w:cs="Calibri"/>
                <w:b/>
                <w:bCs/>
                <w:color w:val="000000"/>
                <w:sz w:val="19"/>
                <w:lang w:eastAsia="en-AU"/>
              </w:rPr>
              <w:t>68 532.0</w:t>
            </w:r>
          </w:p>
        </w:tc>
        <w:tc>
          <w:tcPr>
            <w:tcW w:w="964" w:type="dxa"/>
            <w:tcBorders>
              <w:top w:val="single" w:sz="6" w:space="0" w:color="000000"/>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19"/>
                <w:lang w:eastAsia="en-AU"/>
              </w:rPr>
            </w:pPr>
            <w:r w:rsidRPr="001E7FA9">
              <w:rPr>
                <w:rFonts w:ascii="Calibri" w:eastAsiaTheme="minorEastAsia" w:hAnsi="Calibri" w:cs="Calibri"/>
                <w:b/>
                <w:bCs/>
                <w:color w:val="000000"/>
                <w:sz w:val="19"/>
                <w:lang w:eastAsia="en-AU"/>
              </w:rPr>
              <w:t>70 231.4</w:t>
            </w:r>
          </w:p>
        </w:tc>
      </w:tr>
      <w:tr w:rsidR="00965D85" w:rsidRPr="001E7FA9" w:rsidTr="008B46DF">
        <w:tc>
          <w:tcPr>
            <w:tcW w:w="2946" w:type="dxa"/>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b/>
                <w:bCs/>
                <w:color w:val="000000"/>
                <w:sz w:val="19"/>
                <w:lang w:eastAsia="en-AU"/>
              </w:rPr>
            </w:pPr>
            <w:r w:rsidRPr="001E7FA9">
              <w:rPr>
                <w:rFonts w:ascii="Calibri" w:eastAsiaTheme="minorEastAsia" w:hAnsi="Calibri" w:cs="Calibri"/>
                <w:b/>
                <w:bCs/>
                <w:color w:val="000000"/>
                <w:sz w:val="19"/>
                <w:lang w:eastAsia="en-AU"/>
              </w:rPr>
              <w:t>Payments</w:t>
            </w:r>
          </w:p>
        </w:tc>
        <w:tc>
          <w:tcPr>
            <w:tcW w:w="965" w:type="dxa"/>
            <w:gridSpan w:val="3"/>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r>
      <w:tr w:rsidR="00965D85" w:rsidRPr="001E7FA9" w:rsidTr="008B46DF">
        <w:tc>
          <w:tcPr>
            <w:tcW w:w="2946" w:type="dxa"/>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Payments for employees</w:t>
            </w:r>
          </w:p>
        </w:tc>
        <w:tc>
          <w:tcPr>
            <w:tcW w:w="965" w:type="dxa"/>
            <w:gridSpan w:val="3"/>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(20 651.3)</w:t>
            </w: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(20 880.3)</w:t>
            </w: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(21 541.5)</w:t>
            </w: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(22 496.0)</w:t>
            </w: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(23 420.2)</w:t>
            </w:r>
          </w:p>
        </w:tc>
      </w:tr>
      <w:tr w:rsidR="00965D85" w:rsidRPr="001E7FA9" w:rsidTr="008B46DF">
        <w:tc>
          <w:tcPr>
            <w:tcW w:w="2946" w:type="dxa"/>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Superannuation</w:t>
            </w:r>
          </w:p>
        </w:tc>
        <w:tc>
          <w:tcPr>
            <w:tcW w:w="965" w:type="dxa"/>
            <w:gridSpan w:val="3"/>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(3 101.4)</w:t>
            </w: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(2 920.8)</w:t>
            </w: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(2 959.6)</w:t>
            </w: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(2 989.7)</w:t>
            </w: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(3 069.8)</w:t>
            </w:r>
          </w:p>
        </w:tc>
      </w:tr>
      <w:tr w:rsidR="00965D85" w:rsidRPr="001E7FA9" w:rsidTr="008B46DF">
        <w:tc>
          <w:tcPr>
            <w:tcW w:w="2946" w:type="dxa"/>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Interest paid</w:t>
            </w:r>
          </w:p>
        </w:tc>
        <w:tc>
          <w:tcPr>
            <w:tcW w:w="965" w:type="dxa"/>
            <w:gridSpan w:val="3"/>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(2 830.7)</w:t>
            </w: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(2 801.7)</w:t>
            </w: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(2 760.9)</w:t>
            </w: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(2 793.5)</w:t>
            </w: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(2 782.2)</w:t>
            </w:r>
          </w:p>
        </w:tc>
      </w:tr>
      <w:tr w:rsidR="00965D85" w:rsidRPr="001E7FA9" w:rsidTr="008B46DF">
        <w:tc>
          <w:tcPr>
            <w:tcW w:w="2946" w:type="dxa"/>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Grants and subsidies</w:t>
            </w:r>
          </w:p>
        </w:tc>
        <w:tc>
          <w:tcPr>
            <w:tcW w:w="965" w:type="dxa"/>
            <w:gridSpan w:val="3"/>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(5 836.7)</w:t>
            </w: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(5 516.7)</w:t>
            </w: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(6 171.0)</w:t>
            </w: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(6 389.1)</w:t>
            </w: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(6 701.9)</w:t>
            </w:r>
          </w:p>
        </w:tc>
      </w:tr>
      <w:tr w:rsidR="00965D85" w:rsidRPr="001E7FA9" w:rsidTr="008B46DF">
        <w:tc>
          <w:tcPr>
            <w:tcW w:w="2946" w:type="dxa"/>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color w:val="000000"/>
                <w:sz w:val="19"/>
                <w:vertAlign w:val="superscript"/>
                <w:lang w:eastAsia="en-AU"/>
              </w:rPr>
            </w:pPr>
            <w:r w:rsidRPr="001E7FA9">
              <w:rPr>
                <w:rFonts w:ascii="Calibri" w:eastAsiaTheme="minorEastAsia" w:hAnsi="Calibri" w:cs="Calibri"/>
                <w:color w:val="000000"/>
                <w:sz w:val="19"/>
                <w:lang w:eastAsia="en-AU"/>
              </w:rPr>
              <w:t xml:space="preserve">Goods and services </w:t>
            </w:r>
            <w:r w:rsidRPr="001E7FA9">
              <w:rPr>
                <w:rFonts w:ascii="Calibri" w:eastAsiaTheme="minorEastAsia" w:hAnsi="Calibri" w:cs="Calibri"/>
                <w:color w:val="000000"/>
                <w:sz w:val="19"/>
                <w:vertAlign w:val="superscript"/>
                <w:lang w:eastAsia="en-AU"/>
              </w:rPr>
              <w:t>(b)</w:t>
            </w:r>
          </w:p>
        </w:tc>
        <w:tc>
          <w:tcPr>
            <w:tcW w:w="965" w:type="dxa"/>
            <w:gridSpan w:val="3"/>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(25 290.6)</w:t>
            </w: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(25 814.8)</w:t>
            </w: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(25 418.0)</w:t>
            </w: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(26 456.5)</w:t>
            </w: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(26 610.3)</w:t>
            </w:r>
          </w:p>
        </w:tc>
      </w:tr>
      <w:tr w:rsidR="00965D85" w:rsidRPr="001E7FA9" w:rsidTr="008B46DF">
        <w:tc>
          <w:tcPr>
            <w:tcW w:w="2946" w:type="dxa"/>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Other payments</w:t>
            </w:r>
          </w:p>
        </w:tc>
        <w:tc>
          <w:tcPr>
            <w:tcW w:w="965" w:type="dxa"/>
            <w:gridSpan w:val="3"/>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(765.0)</w:t>
            </w:r>
          </w:p>
        </w:tc>
        <w:tc>
          <w:tcPr>
            <w:tcW w:w="964" w:type="dxa"/>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(791.8)</w:t>
            </w:r>
          </w:p>
        </w:tc>
        <w:tc>
          <w:tcPr>
            <w:tcW w:w="964" w:type="dxa"/>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(634.0)</w:t>
            </w:r>
          </w:p>
        </w:tc>
        <w:tc>
          <w:tcPr>
            <w:tcW w:w="964" w:type="dxa"/>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(726.7)</w:t>
            </w:r>
          </w:p>
        </w:tc>
        <w:tc>
          <w:tcPr>
            <w:tcW w:w="964" w:type="dxa"/>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(802.8)</w:t>
            </w:r>
          </w:p>
        </w:tc>
      </w:tr>
      <w:tr w:rsidR="00965D85" w:rsidRPr="001E7FA9" w:rsidTr="008B46DF">
        <w:tc>
          <w:tcPr>
            <w:tcW w:w="2946" w:type="dxa"/>
            <w:tcBorders>
              <w:top w:val="single" w:sz="6" w:space="0" w:color="000000"/>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b/>
                <w:bCs/>
                <w:color w:val="000000"/>
                <w:sz w:val="19"/>
                <w:lang w:eastAsia="en-AU"/>
              </w:rPr>
            </w:pPr>
            <w:r w:rsidRPr="001E7FA9">
              <w:rPr>
                <w:rFonts w:ascii="Calibri" w:eastAsiaTheme="minorEastAsia" w:hAnsi="Calibri" w:cs="Calibri"/>
                <w:b/>
                <w:bCs/>
                <w:color w:val="000000"/>
                <w:sz w:val="19"/>
                <w:lang w:eastAsia="en-AU"/>
              </w:rPr>
              <w:t>Total payments</w:t>
            </w:r>
          </w:p>
        </w:tc>
        <w:tc>
          <w:tcPr>
            <w:tcW w:w="965" w:type="dxa"/>
            <w:gridSpan w:val="3"/>
            <w:tcBorders>
              <w:top w:val="single" w:sz="6" w:space="0" w:color="000000"/>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19"/>
                <w:lang w:eastAsia="en-AU"/>
              </w:rPr>
              <w:t>(58 475.8)</w:t>
            </w:r>
          </w:p>
        </w:tc>
        <w:tc>
          <w:tcPr>
            <w:tcW w:w="964" w:type="dxa"/>
            <w:tcBorders>
              <w:top w:val="single" w:sz="6" w:space="0" w:color="000000"/>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19"/>
                <w:lang w:eastAsia="en-AU"/>
              </w:rPr>
              <w:t>(58 726.1)</w:t>
            </w:r>
          </w:p>
        </w:tc>
        <w:tc>
          <w:tcPr>
            <w:tcW w:w="964" w:type="dxa"/>
            <w:tcBorders>
              <w:top w:val="single" w:sz="6" w:space="0" w:color="000000"/>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19"/>
                <w:lang w:eastAsia="en-AU"/>
              </w:rPr>
              <w:t>(59 485.0)</w:t>
            </w:r>
          </w:p>
        </w:tc>
        <w:tc>
          <w:tcPr>
            <w:tcW w:w="964" w:type="dxa"/>
            <w:tcBorders>
              <w:top w:val="single" w:sz="6" w:space="0" w:color="000000"/>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19"/>
                <w:lang w:eastAsia="en-AU"/>
              </w:rPr>
              <w:t>(61 851.6)</w:t>
            </w:r>
          </w:p>
        </w:tc>
        <w:tc>
          <w:tcPr>
            <w:tcW w:w="964" w:type="dxa"/>
            <w:tcBorders>
              <w:top w:val="single" w:sz="6" w:space="0" w:color="000000"/>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19"/>
                <w:lang w:eastAsia="en-AU"/>
              </w:rPr>
              <w:t>(63 387.1)</w:t>
            </w:r>
          </w:p>
        </w:tc>
      </w:tr>
      <w:tr w:rsidR="00965D85" w:rsidRPr="001E7FA9" w:rsidTr="008B46DF">
        <w:tc>
          <w:tcPr>
            <w:tcW w:w="2946" w:type="dxa"/>
            <w:tcBorders>
              <w:top w:val="single" w:sz="6" w:space="0" w:color="000000"/>
              <w:left w:val="nil"/>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b/>
                <w:bCs/>
                <w:color w:val="000000"/>
                <w:sz w:val="19"/>
                <w:lang w:eastAsia="en-AU"/>
              </w:rPr>
            </w:pPr>
            <w:r w:rsidRPr="001E7FA9">
              <w:rPr>
                <w:rFonts w:ascii="Calibri" w:eastAsiaTheme="minorEastAsia" w:hAnsi="Calibri" w:cs="Calibri"/>
                <w:b/>
                <w:bCs/>
                <w:color w:val="000000"/>
                <w:sz w:val="19"/>
                <w:lang w:eastAsia="en-AU"/>
              </w:rPr>
              <w:t>Net cash flows from operating activities</w:t>
            </w:r>
          </w:p>
        </w:tc>
        <w:tc>
          <w:tcPr>
            <w:tcW w:w="965" w:type="dxa"/>
            <w:gridSpan w:val="3"/>
            <w:tcBorders>
              <w:top w:val="single" w:sz="6" w:space="0" w:color="000000"/>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19"/>
                <w:lang w:eastAsia="en-AU"/>
              </w:rPr>
            </w:pPr>
            <w:r w:rsidRPr="001E7FA9">
              <w:rPr>
                <w:rFonts w:ascii="Calibri" w:eastAsiaTheme="minorEastAsia" w:hAnsi="Calibri" w:cs="Calibri"/>
                <w:b/>
                <w:bCs/>
                <w:color w:val="000000"/>
                <w:sz w:val="19"/>
                <w:lang w:eastAsia="en-AU"/>
              </w:rPr>
              <w:t>5 402.7</w:t>
            </w:r>
          </w:p>
        </w:tc>
        <w:tc>
          <w:tcPr>
            <w:tcW w:w="964" w:type="dxa"/>
            <w:tcBorders>
              <w:top w:val="single" w:sz="6" w:space="0" w:color="000000"/>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19"/>
                <w:lang w:eastAsia="en-AU"/>
              </w:rPr>
            </w:pPr>
            <w:r w:rsidRPr="001E7FA9">
              <w:rPr>
                <w:rFonts w:ascii="Calibri" w:eastAsiaTheme="minorEastAsia" w:hAnsi="Calibri" w:cs="Calibri"/>
                <w:b/>
                <w:bCs/>
                <w:color w:val="000000"/>
                <w:sz w:val="19"/>
                <w:lang w:eastAsia="en-AU"/>
              </w:rPr>
              <w:t>4 926.9</w:t>
            </w:r>
          </w:p>
        </w:tc>
        <w:tc>
          <w:tcPr>
            <w:tcW w:w="964" w:type="dxa"/>
            <w:tcBorders>
              <w:top w:val="single" w:sz="6" w:space="0" w:color="000000"/>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19"/>
                <w:lang w:eastAsia="en-AU"/>
              </w:rPr>
            </w:pPr>
            <w:r w:rsidRPr="001E7FA9">
              <w:rPr>
                <w:rFonts w:ascii="Calibri" w:eastAsiaTheme="minorEastAsia" w:hAnsi="Calibri" w:cs="Calibri"/>
                <w:b/>
                <w:bCs/>
                <w:color w:val="000000"/>
                <w:sz w:val="19"/>
                <w:lang w:eastAsia="en-AU"/>
              </w:rPr>
              <w:t>6 223.4</w:t>
            </w:r>
          </w:p>
        </w:tc>
        <w:tc>
          <w:tcPr>
            <w:tcW w:w="964" w:type="dxa"/>
            <w:tcBorders>
              <w:top w:val="single" w:sz="6" w:space="0" w:color="000000"/>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19"/>
                <w:lang w:eastAsia="en-AU"/>
              </w:rPr>
            </w:pPr>
            <w:r w:rsidRPr="001E7FA9">
              <w:rPr>
                <w:rFonts w:ascii="Calibri" w:eastAsiaTheme="minorEastAsia" w:hAnsi="Calibri" w:cs="Calibri"/>
                <w:b/>
                <w:bCs/>
                <w:color w:val="000000"/>
                <w:sz w:val="19"/>
                <w:lang w:eastAsia="en-AU"/>
              </w:rPr>
              <w:t>6 680.4</w:t>
            </w:r>
          </w:p>
        </w:tc>
        <w:tc>
          <w:tcPr>
            <w:tcW w:w="964" w:type="dxa"/>
            <w:tcBorders>
              <w:top w:val="single" w:sz="6" w:space="0" w:color="000000"/>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19"/>
                <w:lang w:eastAsia="en-AU"/>
              </w:rPr>
            </w:pPr>
            <w:r w:rsidRPr="001E7FA9">
              <w:rPr>
                <w:rFonts w:ascii="Calibri" w:eastAsiaTheme="minorEastAsia" w:hAnsi="Calibri" w:cs="Calibri"/>
                <w:b/>
                <w:bCs/>
                <w:color w:val="000000"/>
                <w:sz w:val="19"/>
                <w:lang w:eastAsia="en-AU"/>
              </w:rPr>
              <w:t>6 844.3</w:t>
            </w:r>
          </w:p>
        </w:tc>
      </w:tr>
      <w:tr w:rsidR="00965D85" w:rsidRPr="001E7FA9" w:rsidTr="008B46DF">
        <w:tc>
          <w:tcPr>
            <w:tcW w:w="3259" w:type="dxa"/>
            <w:gridSpan w:val="2"/>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b/>
                <w:bCs/>
                <w:color w:val="000000"/>
                <w:sz w:val="19"/>
                <w:lang w:eastAsia="en-AU"/>
              </w:rPr>
            </w:pPr>
            <w:r w:rsidRPr="001E7FA9">
              <w:rPr>
                <w:rFonts w:ascii="Calibri" w:eastAsiaTheme="minorEastAsia" w:hAnsi="Calibri" w:cs="Calibri"/>
                <w:b/>
                <w:bCs/>
                <w:color w:val="000000"/>
                <w:sz w:val="19"/>
                <w:lang w:eastAsia="en-AU"/>
              </w:rPr>
              <w:t>Cash flows from investing activities</w:t>
            </w:r>
          </w:p>
        </w:tc>
        <w:tc>
          <w:tcPr>
            <w:tcW w:w="652" w:type="dxa"/>
            <w:gridSpan w:val="2"/>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r>
      <w:tr w:rsidR="00965D85" w:rsidRPr="001E7FA9" w:rsidTr="008B46DF">
        <w:tc>
          <w:tcPr>
            <w:tcW w:w="2946" w:type="dxa"/>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Net cash flows from investments in non</w:t>
            </w:r>
            <w:r>
              <w:rPr>
                <w:rFonts w:ascii="Calibri" w:eastAsiaTheme="minorEastAsia" w:hAnsi="Calibri" w:cs="Calibri"/>
                <w:color w:val="000000"/>
                <w:sz w:val="19"/>
                <w:lang w:eastAsia="en-AU"/>
              </w:rPr>
              <w:noBreakHyphen/>
            </w:r>
            <w:r w:rsidRPr="001E7FA9">
              <w:rPr>
                <w:rFonts w:ascii="Calibri" w:eastAsiaTheme="minorEastAsia" w:hAnsi="Calibri" w:cs="Calibri"/>
                <w:color w:val="000000"/>
                <w:sz w:val="19"/>
                <w:lang w:eastAsia="en-AU"/>
              </w:rPr>
              <w:t>financial assets</w:t>
            </w:r>
          </w:p>
        </w:tc>
        <w:tc>
          <w:tcPr>
            <w:tcW w:w="965" w:type="dxa"/>
            <w:gridSpan w:val="3"/>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459.1</w:t>
            </w: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825.9</w:t>
            </w: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(7 445.1)</w:t>
            </w: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(7 147.6)</w:t>
            </w: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(7 036.0)</w:t>
            </w:r>
          </w:p>
        </w:tc>
      </w:tr>
      <w:tr w:rsidR="00965D85" w:rsidRPr="001E7FA9" w:rsidTr="008B46DF">
        <w:tc>
          <w:tcPr>
            <w:tcW w:w="2946" w:type="dxa"/>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Net cash flows from investments in financial assets for policy purposes</w:t>
            </w:r>
          </w:p>
        </w:tc>
        <w:tc>
          <w:tcPr>
            <w:tcW w:w="965" w:type="dxa"/>
            <w:gridSpan w:val="3"/>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(40.5)</w:t>
            </w: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(165.9)</w:t>
            </w: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73.5</w:t>
            </w: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58.7</w:t>
            </w: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79.2</w:t>
            </w:r>
          </w:p>
        </w:tc>
      </w:tr>
      <w:tr w:rsidR="00965D85" w:rsidRPr="001E7FA9" w:rsidTr="008B46DF">
        <w:tc>
          <w:tcPr>
            <w:tcW w:w="2946" w:type="dxa"/>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Net cash flows from investment in financial assets for liquidity management purposes</w:t>
            </w:r>
          </w:p>
        </w:tc>
        <w:tc>
          <w:tcPr>
            <w:tcW w:w="965" w:type="dxa"/>
            <w:gridSpan w:val="3"/>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(1 219.1)</w:t>
            </w:r>
          </w:p>
        </w:tc>
        <w:tc>
          <w:tcPr>
            <w:tcW w:w="964" w:type="dxa"/>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(292.8)</w:t>
            </w:r>
          </w:p>
        </w:tc>
        <w:tc>
          <w:tcPr>
            <w:tcW w:w="964" w:type="dxa"/>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(510.9)</w:t>
            </w:r>
          </w:p>
        </w:tc>
        <w:tc>
          <w:tcPr>
            <w:tcW w:w="964" w:type="dxa"/>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522.6</w:t>
            </w:r>
          </w:p>
        </w:tc>
        <w:tc>
          <w:tcPr>
            <w:tcW w:w="964" w:type="dxa"/>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(946.9)</w:t>
            </w:r>
          </w:p>
        </w:tc>
      </w:tr>
      <w:tr w:rsidR="00965D85" w:rsidRPr="001E7FA9" w:rsidTr="008B46DF">
        <w:tc>
          <w:tcPr>
            <w:tcW w:w="2946" w:type="dxa"/>
            <w:tcBorders>
              <w:top w:val="single" w:sz="6" w:space="0" w:color="000000"/>
              <w:left w:val="nil"/>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b/>
                <w:bCs/>
                <w:color w:val="000000"/>
                <w:sz w:val="19"/>
                <w:lang w:eastAsia="en-AU"/>
              </w:rPr>
            </w:pPr>
            <w:r w:rsidRPr="001E7FA9">
              <w:rPr>
                <w:rFonts w:ascii="Calibri" w:eastAsiaTheme="minorEastAsia" w:hAnsi="Calibri" w:cs="Calibri"/>
                <w:b/>
                <w:bCs/>
                <w:color w:val="000000"/>
                <w:sz w:val="19"/>
                <w:lang w:eastAsia="en-AU"/>
              </w:rPr>
              <w:t>Net cash flows from investing activities</w:t>
            </w:r>
          </w:p>
        </w:tc>
        <w:tc>
          <w:tcPr>
            <w:tcW w:w="965" w:type="dxa"/>
            <w:gridSpan w:val="3"/>
            <w:tcBorders>
              <w:top w:val="single" w:sz="6" w:space="0" w:color="000000"/>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19"/>
                <w:lang w:eastAsia="en-AU"/>
              </w:rPr>
              <w:t>(800.5)</w:t>
            </w:r>
          </w:p>
        </w:tc>
        <w:tc>
          <w:tcPr>
            <w:tcW w:w="964" w:type="dxa"/>
            <w:tcBorders>
              <w:top w:val="single" w:sz="6" w:space="0" w:color="000000"/>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19"/>
                <w:lang w:eastAsia="en-AU"/>
              </w:rPr>
              <w:t>367.2</w:t>
            </w:r>
          </w:p>
        </w:tc>
        <w:tc>
          <w:tcPr>
            <w:tcW w:w="964" w:type="dxa"/>
            <w:tcBorders>
              <w:top w:val="single" w:sz="6" w:space="0" w:color="000000"/>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19"/>
                <w:lang w:eastAsia="en-AU"/>
              </w:rPr>
              <w:t>(7 882.5)</w:t>
            </w:r>
          </w:p>
        </w:tc>
        <w:tc>
          <w:tcPr>
            <w:tcW w:w="964" w:type="dxa"/>
            <w:tcBorders>
              <w:top w:val="single" w:sz="6" w:space="0" w:color="000000"/>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19"/>
                <w:lang w:eastAsia="en-AU"/>
              </w:rPr>
              <w:t>(6 566.2)</w:t>
            </w:r>
          </w:p>
        </w:tc>
        <w:tc>
          <w:tcPr>
            <w:tcW w:w="964" w:type="dxa"/>
            <w:tcBorders>
              <w:top w:val="single" w:sz="6" w:space="0" w:color="000000"/>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19"/>
                <w:lang w:eastAsia="en-AU"/>
              </w:rPr>
              <w:t>(7 903.7)</w:t>
            </w:r>
          </w:p>
        </w:tc>
      </w:tr>
      <w:tr w:rsidR="00965D85" w:rsidRPr="001E7FA9" w:rsidTr="008B46DF">
        <w:tc>
          <w:tcPr>
            <w:tcW w:w="2946" w:type="dxa"/>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Advances received (net)</w:t>
            </w:r>
          </w:p>
        </w:tc>
        <w:tc>
          <w:tcPr>
            <w:tcW w:w="965" w:type="dxa"/>
            <w:gridSpan w:val="3"/>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1.3</w:t>
            </w: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(78.0)</w:t>
            </w: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0.7</w:t>
            </w: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0.8</w:t>
            </w: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0.8</w:t>
            </w:r>
          </w:p>
        </w:tc>
      </w:tr>
      <w:tr w:rsidR="00965D85" w:rsidRPr="001E7FA9" w:rsidTr="008B46DF">
        <w:tc>
          <w:tcPr>
            <w:tcW w:w="2946" w:type="dxa"/>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Net borrowings</w:t>
            </w:r>
          </w:p>
        </w:tc>
        <w:tc>
          <w:tcPr>
            <w:tcW w:w="965" w:type="dxa"/>
            <w:gridSpan w:val="3"/>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(4 280.3)</w:t>
            </w: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(5 919.1)</w:t>
            </w: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2 107.6</w:t>
            </w: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173.8</w:t>
            </w: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1 480.6</w:t>
            </w:r>
          </w:p>
        </w:tc>
      </w:tr>
      <w:tr w:rsidR="00965D85" w:rsidRPr="001E7FA9" w:rsidTr="008B46DF">
        <w:tc>
          <w:tcPr>
            <w:tcW w:w="2946" w:type="dxa"/>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Deposits received (net)</w:t>
            </w:r>
          </w:p>
        </w:tc>
        <w:tc>
          <w:tcPr>
            <w:tcW w:w="965" w:type="dxa"/>
            <w:gridSpan w:val="3"/>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0.3</w:t>
            </w:r>
          </w:p>
        </w:tc>
        <w:tc>
          <w:tcPr>
            <w:tcW w:w="964" w:type="dxa"/>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0.7</w:t>
            </w:r>
          </w:p>
        </w:tc>
        <w:tc>
          <w:tcPr>
            <w:tcW w:w="964" w:type="dxa"/>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0.9</w:t>
            </w:r>
          </w:p>
        </w:tc>
        <w:tc>
          <w:tcPr>
            <w:tcW w:w="964" w:type="dxa"/>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0.6</w:t>
            </w:r>
          </w:p>
        </w:tc>
        <w:tc>
          <w:tcPr>
            <w:tcW w:w="964" w:type="dxa"/>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2.0</w:t>
            </w:r>
          </w:p>
        </w:tc>
      </w:tr>
      <w:tr w:rsidR="00965D85" w:rsidRPr="001E7FA9" w:rsidTr="008B46DF">
        <w:tc>
          <w:tcPr>
            <w:tcW w:w="2946" w:type="dxa"/>
            <w:tcBorders>
              <w:top w:val="single" w:sz="6" w:space="0" w:color="000000"/>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b/>
                <w:bCs/>
                <w:color w:val="000000"/>
                <w:sz w:val="19"/>
                <w:lang w:eastAsia="en-AU"/>
              </w:rPr>
            </w:pPr>
            <w:r w:rsidRPr="001E7FA9">
              <w:rPr>
                <w:rFonts w:ascii="Calibri" w:eastAsiaTheme="minorEastAsia" w:hAnsi="Calibri" w:cs="Calibri"/>
                <w:b/>
                <w:bCs/>
                <w:color w:val="000000"/>
                <w:sz w:val="19"/>
                <w:lang w:eastAsia="en-AU"/>
              </w:rPr>
              <w:t>Net cash flows from financing activities</w:t>
            </w:r>
          </w:p>
        </w:tc>
        <w:tc>
          <w:tcPr>
            <w:tcW w:w="965" w:type="dxa"/>
            <w:gridSpan w:val="3"/>
            <w:tcBorders>
              <w:top w:val="single" w:sz="6" w:space="0" w:color="000000"/>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19"/>
                <w:lang w:eastAsia="en-AU"/>
              </w:rPr>
              <w:t>(4 278.7)</w:t>
            </w:r>
          </w:p>
        </w:tc>
        <w:tc>
          <w:tcPr>
            <w:tcW w:w="964" w:type="dxa"/>
            <w:tcBorders>
              <w:top w:val="single" w:sz="6" w:space="0" w:color="000000"/>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19"/>
                <w:lang w:eastAsia="en-AU"/>
              </w:rPr>
              <w:t>(5 996.5)</w:t>
            </w:r>
          </w:p>
        </w:tc>
        <w:tc>
          <w:tcPr>
            <w:tcW w:w="964" w:type="dxa"/>
            <w:tcBorders>
              <w:top w:val="single" w:sz="6" w:space="0" w:color="000000"/>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19"/>
                <w:lang w:eastAsia="en-AU"/>
              </w:rPr>
            </w:pPr>
            <w:r w:rsidRPr="001E7FA9">
              <w:rPr>
                <w:rFonts w:ascii="Calibri" w:eastAsiaTheme="minorEastAsia" w:hAnsi="Calibri" w:cs="Calibri"/>
                <w:b/>
                <w:bCs/>
                <w:color w:val="000000"/>
                <w:sz w:val="19"/>
                <w:lang w:eastAsia="en-AU"/>
              </w:rPr>
              <w:t>2 109.2</w:t>
            </w:r>
          </w:p>
        </w:tc>
        <w:tc>
          <w:tcPr>
            <w:tcW w:w="964" w:type="dxa"/>
            <w:tcBorders>
              <w:top w:val="single" w:sz="6" w:space="0" w:color="000000"/>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19"/>
                <w:lang w:eastAsia="en-AU"/>
              </w:rPr>
              <w:t>175.1</w:t>
            </w:r>
          </w:p>
        </w:tc>
        <w:tc>
          <w:tcPr>
            <w:tcW w:w="964" w:type="dxa"/>
            <w:tcBorders>
              <w:top w:val="single" w:sz="6" w:space="0" w:color="000000"/>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19"/>
                <w:lang w:eastAsia="en-AU"/>
              </w:rPr>
            </w:pPr>
            <w:r w:rsidRPr="001E7FA9">
              <w:rPr>
                <w:rFonts w:ascii="Calibri" w:eastAsiaTheme="minorEastAsia" w:hAnsi="Calibri" w:cs="Calibri"/>
                <w:b/>
                <w:bCs/>
                <w:color w:val="000000"/>
                <w:sz w:val="19"/>
                <w:lang w:eastAsia="en-AU"/>
              </w:rPr>
              <w:t>1 483.3</w:t>
            </w:r>
          </w:p>
        </w:tc>
      </w:tr>
      <w:tr w:rsidR="00965D85" w:rsidRPr="001E7FA9" w:rsidTr="008B46DF">
        <w:tc>
          <w:tcPr>
            <w:tcW w:w="2946" w:type="dxa"/>
            <w:tcBorders>
              <w:top w:val="single" w:sz="6" w:space="0" w:color="000000"/>
              <w:left w:val="nil"/>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b/>
                <w:bCs/>
                <w:color w:val="000000"/>
                <w:sz w:val="19"/>
                <w:lang w:eastAsia="en-AU"/>
              </w:rPr>
            </w:pPr>
            <w:r w:rsidRPr="001E7FA9">
              <w:rPr>
                <w:rFonts w:ascii="Calibri" w:eastAsiaTheme="minorEastAsia" w:hAnsi="Calibri" w:cs="Calibri"/>
                <w:b/>
                <w:bCs/>
                <w:color w:val="000000"/>
                <w:sz w:val="19"/>
                <w:lang w:eastAsia="en-AU"/>
              </w:rPr>
              <w:t>Net increase/(decrease) in cash and cash equivalents</w:t>
            </w:r>
          </w:p>
        </w:tc>
        <w:tc>
          <w:tcPr>
            <w:tcW w:w="965" w:type="dxa"/>
            <w:gridSpan w:val="3"/>
            <w:tcBorders>
              <w:top w:val="single" w:sz="6" w:space="0" w:color="000000"/>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19"/>
                <w:lang w:eastAsia="en-AU"/>
              </w:rPr>
              <w:t>323.5</w:t>
            </w:r>
          </w:p>
        </w:tc>
        <w:tc>
          <w:tcPr>
            <w:tcW w:w="964" w:type="dxa"/>
            <w:tcBorders>
              <w:top w:val="single" w:sz="6" w:space="0" w:color="000000"/>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19"/>
                <w:lang w:eastAsia="en-AU"/>
              </w:rPr>
              <w:t>(702.3)</w:t>
            </w:r>
          </w:p>
        </w:tc>
        <w:tc>
          <w:tcPr>
            <w:tcW w:w="964" w:type="dxa"/>
            <w:tcBorders>
              <w:top w:val="single" w:sz="6" w:space="0" w:color="000000"/>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19"/>
                <w:lang w:eastAsia="en-AU"/>
              </w:rPr>
              <w:t>450.1</w:t>
            </w:r>
          </w:p>
        </w:tc>
        <w:tc>
          <w:tcPr>
            <w:tcW w:w="964" w:type="dxa"/>
            <w:tcBorders>
              <w:top w:val="single" w:sz="6" w:space="0" w:color="000000"/>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19"/>
                <w:lang w:eastAsia="en-AU"/>
              </w:rPr>
              <w:t>289.3</w:t>
            </w:r>
          </w:p>
        </w:tc>
        <w:tc>
          <w:tcPr>
            <w:tcW w:w="964" w:type="dxa"/>
            <w:tcBorders>
              <w:top w:val="single" w:sz="6" w:space="0" w:color="000000"/>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19"/>
                <w:lang w:eastAsia="en-AU"/>
              </w:rPr>
              <w:t>423.9</w:t>
            </w:r>
          </w:p>
        </w:tc>
      </w:tr>
      <w:tr w:rsidR="00965D85" w:rsidRPr="001E7FA9" w:rsidTr="008B46DF">
        <w:tc>
          <w:tcPr>
            <w:tcW w:w="2946" w:type="dxa"/>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color w:val="000000"/>
                <w:sz w:val="19"/>
                <w:vertAlign w:val="superscript"/>
                <w:lang w:eastAsia="en-AU"/>
              </w:rPr>
            </w:pPr>
            <w:r w:rsidRPr="001E7FA9">
              <w:rPr>
                <w:rFonts w:ascii="Calibri" w:eastAsiaTheme="minorEastAsia" w:hAnsi="Calibri" w:cs="Calibri"/>
                <w:color w:val="000000"/>
                <w:sz w:val="19"/>
                <w:lang w:eastAsia="en-AU"/>
              </w:rPr>
              <w:t xml:space="preserve">Cash and cash equivalents at beginning of reporting period </w:t>
            </w:r>
            <w:r w:rsidRPr="001E7FA9">
              <w:rPr>
                <w:rFonts w:ascii="Calibri" w:eastAsiaTheme="minorEastAsia" w:hAnsi="Calibri" w:cs="Calibri"/>
                <w:color w:val="000000"/>
                <w:sz w:val="19"/>
                <w:vertAlign w:val="superscript"/>
                <w:lang w:eastAsia="en-AU"/>
              </w:rPr>
              <w:t>(c)</w:t>
            </w:r>
          </w:p>
        </w:tc>
        <w:tc>
          <w:tcPr>
            <w:tcW w:w="965" w:type="dxa"/>
            <w:gridSpan w:val="3"/>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6 510.3</w:t>
            </w:r>
          </w:p>
        </w:tc>
        <w:tc>
          <w:tcPr>
            <w:tcW w:w="964" w:type="dxa"/>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6 510.3</w:t>
            </w:r>
          </w:p>
        </w:tc>
        <w:tc>
          <w:tcPr>
            <w:tcW w:w="964" w:type="dxa"/>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5 807.9</w:t>
            </w:r>
          </w:p>
        </w:tc>
        <w:tc>
          <w:tcPr>
            <w:tcW w:w="964" w:type="dxa"/>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6 258.1</w:t>
            </w:r>
          </w:p>
        </w:tc>
        <w:tc>
          <w:tcPr>
            <w:tcW w:w="964" w:type="dxa"/>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6 547.4</w:t>
            </w:r>
          </w:p>
        </w:tc>
      </w:tr>
      <w:tr w:rsidR="00965D85" w:rsidRPr="001E7FA9" w:rsidTr="008B46DF">
        <w:tc>
          <w:tcPr>
            <w:tcW w:w="2946" w:type="dxa"/>
            <w:tcBorders>
              <w:top w:val="single" w:sz="6" w:space="0" w:color="000000"/>
              <w:left w:val="nil"/>
              <w:bottom w:val="single" w:sz="12" w:space="0" w:color="000000"/>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b/>
                <w:bCs/>
                <w:color w:val="000000"/>
                <w:sz w:val="19"/>
                <w:vertAlign w:val="superscript"/>
                <w:lang w:eastAsia="en-AU"/>
              </w:rPr>
            </w:pPr>
            <w:r w:rsidRPr="001E7FA9">
              <w:rPr>
                <w:rFonts w:ascii="Calibri" w:eastAsiaTheme="minorEastAsia" w:hAnsi="Calibri" w:cs="Calibri"/>
                <w:b/>
                <w:bCs/>
                <w:color w:val="000000"/>
                <w:sz w:val="19"/>
                <w:lang w:eastAsia="en-AU"/>
              </w:rPr>
              <w:t xml:space="preserve">Cash and cash equivalents at end of reporting period </w:t>
            </w:r>
            <w:r w:rsidRPr="001E7FA9">
              <w:rPr>
                <w:rFonts w:ascii="Calibri" w:eastAsiaTheme="minorEastAsia" w:hAnsi="Calibri" w:cs="Calibri"/>
                <w:b/>
                <w:bCs/>
                <w:color w:val="000000"/>
                <w:sz w:val="19"/>
                <w:vertAlign w:val="superscript"/>
                <w:lang w:eastAsia="en-AU"/>
              </w:rPr>
              <w:t>(c)(d)</w:t>
            </w:r>
          </w:p>
        </w:tc>
        <w:tc>
          <w:tcPr>
            <w:tcW w:w="965" w:type="dxa"/>
            <w:gridSpan w:val="3"/>
            <w:tcBorders>
              <w:top w:val="single" w:sz="6" w:space="0" w:color="000000"/>
              <w:left w:val="nil"/>
              <w:bottom w:val="single" w:sz="12"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19"/>
                <w:lang w:eastAsia="en-AU"/>
              </w:rPr>
            </w:pPr>
            <w:r w:rsidRPr="001E7FA9">
              <w:rPr>
                <w:rFonts w:ascii="Calibri" w:eastAsiaTheme="minorEastAsia" w:hAnsi="Calibri" w:cs="Calibri"/>
                <w:b/>
                <w:bCs/>
                <w:color w:val="000000"/>
                <w:sz w:val="19"/>
                <w:lang w:eastAsia="en-AU"/>
              </w:rPr>
              <w:t>6 833.7</w:t>
            </w:r>
          </w:p>
        </w:tc>
        <w:tc>
          <w:tcPr>
            <w:tcW w:w="964" w:type="dxa"/>
            <w:tcBorders>
              <w:top w:val="single" w:sz="6" w:space="0" w:color="000000"/>
              <w:left w:val="nil"/>
              <w:bottom w:val="single" w:sz="12"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19"/>
                <w:lang w:eastAsia="en-AU"/>
              </w:rPr>
            </w:pPr>
            <w:r w:rsidRPr="001E7FA9">
              <w:rPr>
                <w:rFonts w:ascii="Calibri" w:eastAsiaTheme="minorEastAsia" w:hAnsi="Calibri" w:cs="Calibri"/>
                <w:b/>
                <w:bCs/>
                <w:color w:val="000000"/>
                <w:sz w:val="19"/>
                <w:lang w:eastAsia="en-AU"/>
              </w:rPr>
              <w:t>5 807.9</w:t>
            </w:r>
          </w:p>
        </w:tc>
        <w:tc>
          <w:tcPr>
            <w:tcW w:w="964" w:type="dxa"/>
            <w:tcBorders>
              <w:top w:val="single" w:sz="6" w:space="0" w:color="000000"/>
              <w:left w:val="nil"/>
              <w:bottom w:val="single" w:sz="12"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19"/>
                <w:lang w:eastAsia="en-AU"/>
              </w:rPr>
            </w:pPr>
            <w:r w:rsidRPr="001E7FA9">
              <w:rPr>
                <w:rFonts w:ascii="Calibri" w:eastAsiaTheme="minorEastAsia" w:hAnsi="Calibri" w:cs="Calibri"/>
                <w:b/>
                <w:bCs/>
                <w:color w:val="000000"/>
                <w:sz w:val="19"/>
                <w:lang w:eastAsia="en-AU"/>
              </w:rPr>
              <w:t>6 258.1</w:t>
            </w:r>
          </w:p>
        </w:tc>
        <w:tc>
          <w:tcPr>
            <w:tcW w:w="964" w:type="dxa"/>
            <w:tcBorders>
              <w:top w:val="single" w:sz="6" w:space="0" w:color="000000"/>
              <w:left w:val="nil"/>
              <w:bottom w:val="single" w:sz="12"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19"/>
                <w:lang w:eastAsia="en-AU"/>
              </w:rPr>
            </w:pPr>
            <w:r w:rsidRPr="001E7FA9">
              <w:rPr>
                <w:rFonts w:ascii="Calibri" w:eastAsiaTheme="minorEastAsia" w:hAnsi="Calibri" w:cs="Calibri"/>
                <w:b/>
                <w:bCs/>
                <w:color w:val="000000"/>
                <w:sz w:val="19"/>
                <w:lang w:eastAsia="en-AU"/>
              </w:rPr>
              <w:t>6 547.4</w:t>
            </w:r>
          </w:p>
        </w:tc>
        <w:tc>
          <w:tcPr>
            <w:tcW w:w="964" w:type="dxa"/>
            <w:tcBorders>
              <w:top w:val="single" w:sz="6" w:space="0" w:color="000000"/>
              <w:left w:val="nil"/>
              <w:bottom w:val="single" w:sz="12"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19"/>
                <w:lang w:eastAsia="en-AU"/>
              </w:rPr>
            </w:pPr>
            <w:r w:rsidRPr="001E7FA9">
              <w:rPr>
                <w:rFonts w:ascii="Calibri" w:eastAsiaTheme="minorEastAsia" w:hAnsi="Calibri" w:cs="Calibri"/>
                <w:b/>
                <w:bCs/>
                <w:color w:val="000000"/>
                <w:sz w:val="19"/>
                <w:lang w:eastAsia="en-AU"/>
              </w:rPr>
              <w:t>6 971.2</w:t>
            </w:r>
          </w:p>
        </w:tc>
      </w:tr>
      <w:tr w:rsidR="00965D85" w:rsidRPr="001E7FA9" w:rsidTr="008B46DF">
        <w:tc>
          <w:tcPr>
            <w:tcW w:w="2946" w:type="dxa"/>
            <w:tcBorders>
              <w:top w:val="single" w:sz="12" w:space="0" w:color="000000"/>
              <w:left w:val="nil"/>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 xml:space="preserve"> </w:t>
            </w:r>
          </w:p>
        </w:tc>
        <w:tc>
          <w:tcPr>
            <w:tcW w:w="965" w:type="dxa"/>
            <w:gridSpan w:val="3"/>
            <w:tcBorders>
              <w:top w:val="single" w:sz="12" w:space="0" w:color="000000"/>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p>
        </w:tc>
        <w:tc>
          <w:tcPr>
            <w:tcW w:w="964" w:type="dxa"/>
            <w:tcBorders>
              <w:top w:val="single" w:sz="12" w:space="0" w:color="000000"/>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p>
        </w:tc>
        <w:tc>
          <w:tcPr>
            <w:tcW w:w="964" w:type="dxa"/>
            <w:tcBorders>
              <w:top w:val="single" w:sz="12" w:space="0" w:color="000000"/>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p>
        </w:tc>
        <w:tc>
          <w:tcPr>
            <w:tcW w:w="964" w:type="dxa"/>
            <w:tcBorders>
              <w:top w:val="single" w:sz="12" w:space="0" w:color="000000"/>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p>
        </w:tc>
        <w:tc>
          <w:tcPr>
            <w:tcW w:w="964" w:type="dxa"/>
            <w:tcBorders>
              <w:top w:val="single" w:sz="12" w:space="0" w:color="000000"/>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p>
        </w:tc>
      </w:tr>
    </w:tbl>
    <w:p w:rsidR="00965D85" w:rsidRDefault="00965D85"/>
    <w:p w:rsidR="00965D85" w:rsidRPr="001E7FA9" w:rsidRDefault="00965D85" w:rsidP="008B46DF">
      <w:pPr>
        <w:pStyle w:val="Tableheading"/>
        <w:rPr>
          <w:rFonts w:ascii="Times New Roman" w:hAnsi="Times New Roman"/>
          <w:b w:val="0"/>
          <w:sz w:val="20"/>
          <w:lang w:eastAsia="en-AU"/>
        </w:rPr>
      </w:pPr>
      <w:r w:rsidRPr="00065F5F">
        <w:rPr>
          <w:lang w:eastAsia="en-AU"/>
        </w:rPr>
        <w:lastRenderedPageBreak/>
        <w:t>Table 5.21:</w:t>
      </w:r>
      <w:r w:rsidRPr="00065F5F">
        <w:rPr>
          <w:lang w:eastAsia="en-AU"/>
        </w:rPr>
        <w:tab/>
        <w:t xml:space="preserve">State of Victoria cash flow statement </w:t>
      </w:r>
      <w:r>
        <w:rPr>
          <w:lang w:eastAsia="en-AU"/>
        </w:rPr>
        <w:t>for the financial year ended 30 </w:t>
      </w:r>
      <w:r w:rsidRPr="00065F5F">
        <w:rPr>
          <w:lang w:eastAsia="en-AU"/>
        </w:rPr>
        <w:t>June</w:t>
      </w:r>
      <w:r w:rsidRPr="00065F5F">
        <w:rPr>
          <w:vertAlign w:val="superscript"/>
          <w:lang w:eastAsia="en-AU"/>
        </w:rPr>
        <w:t>(a)</w:t>
      </w:r>
      <w:r>
        <w:rPr>
          <w:vertAlign w:val="superscript"/>
          <w:lang w:eastAsia="en-AU"/>
        </w:rPr>
        <w:t xml:space="preserve"> </w:t>
      </w:r>
      <w:r w:rsidRPr="00C761B2">
        <w:rPr>
          <w:i/>
          <w:lang w:eastAsia="en-AU"/>
        </w:rPr>
        <w:t>(continued)</w:t>
      </w:r>
    </w:p>
    <w:tbl>
      <w:tblPr>
        <w:tblW w:w="7767" w:type="dxa"/>
        <w:tblInd w:w="45" w:type="dxa"/>
        <w:tblLayout w:type="fixed"/>
        <w:tblCellMar>
          <w:left w:w="45" w:type="dxa"/>
          <w:right w:w="45" w:type="dxa"/>
        </w:tblCellMar>
        <w:tblLook w:val="0000" w:firstRow="0" w:lastRow="0" w:firstColumn="0" w:lastColumn="0" w:noHBand="0" w:noVBand="0"/>
      </w:tblPr>
      <w:tblGrid>
        <w:gridCol w:w="2946"/>
        <w:gridCol w:w="965"/>
        <w:gridCol w:w="964"/>
        <w:gridCol w:w="964"/>
        <w:gridCol w:w="964"/>
        <w:gridCol w:w="964"/>
      </w:tblGrid>
      <w:tr w:rsidR="00965D85" w:rsidRPr="001E7FA9" w:rsidTr="008B46DF">
        <w:trPr>
          <w:tblHeader/>
        </w:trPr>
        <w:tc>
          <w:tcPr>
            <w:tcW w:w="7767" w:type="dxa"/>
            <w:gridSpan w:val="6"/>
            <w:tcBorders>
              <w:top w:val="nil"/>
              <w:left w:val="nil"/>
              <w:bottom w:val="nil"/>
              <w:right w:val="nil"/>
            </w:tcBorders>
          </w:tcPr>
          <w:p w:rsidR="00965D85" w:rsidRPr="001E7FA9" w:rsidRDefault="00965D85" w:rsidP="008B46DF">
            <w:pPr>
              <w:pStyle w:val="million"/>
              <w:rPr>
                <w:rFonts w:eastAsiaTheme="minorEastAsia"/>
                <w:lang w:eastAsia="en-AU"/>
              </w:rPr>
            </w:pPr>
            <w:r w:rsidRPr="001E7FA9">
              <w:rPr>
                <w:rFonts w:eastAsiaTheme="minorEastAsia"/>
                <w:lang w:eastAsia="en-AU"/>
              </w:rPr>
              <w:t>($ million)</w:t>
            </w:r>
          </w:p>
        </w:tc>
      </w:tr>
      <w:tr w:rsidR="00965D85" w:rsidRPr="001E7FA9" w:rsidTr="008B46DF">
        <w:trPr>
          <w:trHeight w:val="464"/>
          <w:tblHeader/>
        </w:trPr>
        <w:tc>
          <w:tcPr>
            <w:tcW w:w="2946" w:type="dxa"/>
            <w:tcBorders>
              <w:top w:val="nil"/>
              <w:left w:val="nil"/>
              <w:right w:val="nil"/>
            </w:tcBorders>
            <w:shd w:val="solid" w:color="000000" w:fill="auto"/>
          </w:tcPr>
          <w:p w:rsidR="00965D85" w:rsidRPr="001E7FA9" w:rsidRDefault="00965D85" w:rsidP="008B46DF">
            <w:pPr>
              <w:autoSpaceDE w:val="0"/>
              <w:autoSpaceDN w:val="0"/>
              <w:adjustRightInd w:val="0"/>
              <w:spacing w:after="0"/>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 xml:space="preserve"> </w:t>
            </w:r>
          </w:p>
          <w:p w:rsidR="00965D85" w:rsidRPr="001E7FA9" w:rsidRDefault="00965D85" w:rsidP="008B46DF">
            <w:pPr>
              <w:autoSpaceDE w:val="0"/>
              <w:autoSpaceDN w:val="0"/>
              <w:adjustRightInd w:val="0"/>
              <w:spacing w:after="0"/>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 xml:space="preserve"> </w:t>
            </w:r>
          </w:p>
        </w:tc>
        <w:tc>
          <w:tcPr>
            <w:tcW w:w="965" w:type="dxa"/>
            <w:tcBorders>
              <w:top w:val="nil"/>
              <w:left w:val="nil"/>
              <w:right w:val="nil"/>
            </w:tcBorders>
            <w:shd w:val="solid" w:color="000000" w:fill="auto"/>
          </w:tcPr>
          <w:p w:rsidR="00965D85" w:rsidRPr="001E7FA9" w:rsidRDefault="00965D85" w:rsidP="008B46DF">
            <w:pPr>
              <w:autoSpaceDE w:val="0"/>
              <w:autoSpaceDN w:val="0"/>
              <w:adjustRightInd w:val="0"/>
              <w:spacing w:after="0"/>
              <w:jc w:val="right"/>
              <w:rPr>
                <w:rFonts w:ascii="Calibri" w:eastAsiaTheme="minorEastAsia" w:hAnsi="Calibri" w:cs="Calibri"/>
                <w:i/>
                <w:iCs/>
                <w:color w:val="FFFFFF"/>
                <w:sz w:val="19"/>
                <w:lang w:eastAsia="en-AU"/>
              </w:rPr>
            </w:pPr>
            <w:r w:rsidRPr="001E7FA9">
              <w:rPr>
                <w:rFonts w:ascii="Calibri" w:eastAsiaTheme="minorEastAsia" w:hAnsi="Calibri" w:cs="Calibri"/>
                <w:i/>
                <w:iCs/>
                <w:color w:val="FFFFFF"/>
                <w:sz w:val="19"/>
                <w:lang w:eastAsia="en-AU"/>
              </w:rPr>
              <w:t>2015</w:t>
            </w:r>
            <w:r>
              <w:rPr>
                <w:rFonts w:ascii="Calibri" w:eastAsiaTheme="minorEastAsia" w:hAnsi="Calibri" w:cs="Calibri"/>
                <w:i/>
                <w:iCs/>
                <w:color w:val="FFFFFF"/>
                <w:sz w:val="19"/>
                <w:lang w:eastAsia="en-AU"/>
              </w:rPr>
              <w:noBreakHyphen/>
            </w:r>
            <w:r w:rsidRPr="001E7FA9">
              <w:rPr>
                <w:rFonts w:ascii="Calibri" w:eastAsiaTheme="minorEastAsia" w:hAnsi="Calibri" w:cs="Calibri"/>
                <w:i/>
                <w:iCs/>
                <w:color w:val="FFFFFF"/>
                <w:sz w:val="19"/>
                <w:lang w:eastAsia="en-AU"/>
              </w:rPr>
              <w:t xml:space="preserve">16 </w:t>
            </w:r>
          </w:p>
          <w:p w:rsidR="00965D85" w:rsidRPr="001E7FA9" w:rsidRDefault="00965D85" w:rsidP="008B46DF">
            <w:pPr>
              <w:autoSpaceDE w:val="0"/>
              <w:autoSpaceDN w:val="0"/>
              <w:adjustRightInd w:val="0"/>
              <w:spacing w:after="0"/>
              <w:jc w:val="right"/>
              <w:rPr>
                <w:rFonts w:ascii="Calibri" w:eastAsiaTheme="minorEastAsia" w:hAnsi="Calibri" w:cs="Calibri"/>
                <w:i/>
                <w:iCs/>
                <w:color w:val="FFFFFF"/>
                <w:sz w:val="19"/>
                <w:lang w:eastAsia="en-AU"/>
              </w:rPr>
            </w:pPr>
            <w:r w:rsidRPr="001E7FA9">
              <w:rPr>
                <w:rFonts w:ascii="Calibri" w:eastAsiaTheme="minorEastAsia" w:hAnsi="Calibri" w:cs="Calibri"/>
                <w:i/>
                <w:iCs/>
                <w:color w:val="FFFFFF"/>
                <w:sz w:val="19"/>
                <w:lang w:eastAsia="en-AU"/>
              </w:rPr>
              <w:t>budget</w:t>
            </w:r>
          </w:p>
        </w:tc>
        <w:tc>
          <w:tcPr>
            <w:tcW w:w="964" w:type="dxa"/>
            <w:tcBorders>
              <w:top w:val="nil"/>
              <w:left w:val="nil"/>
              <w:right w:val="nil"/>
            </w:tcBorders>
            <w:shd w:val="solid" w:color="000000" w:fill="auto"/>
          </w:tcPr>
          <w:p w:rsidR="00965D85" w:rsidRPr="001E7FA9" w:rsidRDefault="00965D85" w:rsidP="008B46DF">
            <w:pPr>
              <w:autoSpaceDE w:val="0"/>
              <w:autoSpaceDN w:val="0"/>
              <w:adjustRightInd w:val="0"/>
              <w:spacing w:after="0"/>
              <w:jc w:val="right"/>
              <w:rPr>
                <w:rFonts w:ascii="Calibri" w:eastAsiaTheme="minorEastAsia" w:hAnsi="Calibri" w:cs="Calibri"/>
                <w:i/>
                <w:iCs/>
                <w:color w:val="FFFFFF"/>
                <w:sz w:val="19"/>
                <w:lang w:eastAsia="en-AU"/>
              </w:rPr>
            </w:pPr>
            <w:r w:rsidRPr="001E7FA9">
              <w:rPr>
                <w:rFonts w:ascii="Calibri" w:eastAsiaTheme="minorEastAsia" w:hAnsi="Calibri" w:cs="Calibri"/>
                <w:i/>
                <w:iCs/>
                <w:color w:val="FFFFFF"/>
                <w:sz w:val="19"/>
                <w:lang w:eastAsia="en-AU"/>
              </w:rPr>
              <w:t>2015</w:t>
            </w:r>
            <w:r>
              <w:rPr>
                <w:rFonts w:ascii="Calibri" w:eastAsiaTheme="minorEastAsia" w:hAnsi="Calibri" w:cs="Calibri"/>
                <w:i/>
                <w:iCs/>
                <w:color w:val="FFFFFF"/>
                <w:sz w:val="19"/>
                <w:lang w:eastAsia="en-AU"/>
              </w:rPr>
              <w:noBreakHyphen/>
            </w:r>
            <w:r w:rsidRPr="001E7FA9">
              <w:rPr>
                <w:rFonts w:ascii="Calibri" w:eastAsiaTheme="minorEastAsia" w:hAnsi="Calibri" w:cs="Calibri"/>
                <w:i/>
                <w:iCs/>
                <w:color w:val="FFFFFF"/>
                <w:sz w:val="19"/>
                <w:lang w:eastAsia="en-AU"/>
              </w:rPr>
              <w:t xml:space="preserve">16 </w:t>
            </w:r>
          </w:p>
          <w:p w:rsidR="00965D85" w:rsidRPr="001E7FA9" w:rsidRDefault="00965D85" w:rsidP="008B46DF">
            <w:pPr>
              <w:autoSpaceDE w:val="0"/>
              <w:autoSpaceDN w:val="0"/>
              <w:adjustRightInd w:val="0"/>
              <w:spacing w:after="0"/>
              <w:jc w:val="right"/>
              <w:rPr>
                <w:rFonts w:ascii="Calibri" w:eastAsiaTheme="minorEastAsia" w:hAnsi="Calibri" w:cs="Calibri"/>
                <w:i/>
                <w:iCs/>
                <w:color w:val="FFFFFF"/>
                <w:sz w:val="19"/>
                <w:lang w:eastAsia="en-AU"/>
              </w:rPr>
            </w:pPr>
            <w:r w:rsidRPr="001E7FA9">
              <w:rPr>
                <w:rFonts w:ascii="Calibri" w:eastAsiaTheme="minorEastAsia" w:hAnsi="Calibri" w:cs="Calibri"/>
                <w:i/>
                <w:iCs/>
                <w:color w:val="FFFFFF"/>
                <w:sz w:val="19"/>
                <w:lang w:eastAsia="en-AU"/>
              </w:rPr>
              <w:t>revised</w:t>
            </w:r>
          </w:p>
        </w:tc>
        <w:tc>
          <w:tcPr>
            <w:tcW w:w="964" w:type="dxa"/>
            <w:tcBorders>
              <w:top w:val="nil"/>
              <w:left w:val="nil"/>
              <w:right w:val="nil"/>
            </w:tcBorders>
            <w:shd w:val="solid" w:color="000000" w:fill="auto"/>
          </w:tcPr>
          <w:p w:rsidR="00965D85" w:rsidRPr="001E7FA9" w:rsidRDefault="00965D85" w:rsidP="008B46DF">
            <w:pPr>
              <w:autoSpaceDE w:val="0"/>
              <w:autoSpaceDN w:val="0"/>
              <w:adjustRightInd w:val="0"/>
              <w:spacing w:after="0"/>
              <w:jc w:val="right"/>
              <w:rPr>
                <w:rFonts w:ascii="Calibri" w:eastAsiaTheme="minorEastAsia" w:hAnsi="Calibri" w:cs="Calibri"/>
                <w:i/>
                <w:iCs/>
                <w:color w:val="FFFFFF"/>
                <w:sz w:val="19"/>
                <w:lang w:eastAsia="en-AU"/>
              </w:rPr>
            </w:pPr>
            <w:r w:rsidRPr="001E7FA9">
              <w:rPr>
                <w:rFonts w:ascii="Calibri" w:eastAsiaTheme="minorEastAsia" w:hAnsi="Calibri" w:cs="Calibri"/>
                <w:i/>
                <w:iCs/>
                <w:color w:val="FFFFFF"/>
                <w:sz w:val="19"/>
                <w:lang w:eastAsia="en-AU"/>
              </w:rPr>
              <w:t>2016</w:t>
            </w:r>
            <w:r>
              <w:rPr>
                <w:rFonts w:ascii="Calibri" w:eastAsiaTheme="minorEastAsia" w:hAnsi="Calibri" w:cs="Calibri"/>
                <w:i/>
                <w:iCs/>
                <w:color w:val="FFFFFF"/>
                <w:sz w:val="19"/>
                <w:lang w:eastAsia="en-AU"/>
              </w:rPr>
              <w:noBreakHyphen/>
            </w:r>
            <w:r w:rsidRPr="001E7FA9">
              <w:rPr>
                <w:rFonts w:ascii="Calibri" w:eastAsiaTheme="minorEastAsia" w:hAnsi="Calibri" w:cs="Calibri"/>
                <w:i/>
                <w:iCs/>
                <w:color w:val="FFFFFF"/>
                <w:sz w:val="19"/>
                <w:lang w:eastAsia="en-AU"/>
              </w:rPr>
              <w:t xml:space="preserve">17 </w:t>
            </w:r>
          </w:p>
          <w:p w:rsidR="00965D85" w:rsidRPr="001E7FA9" w:rsidRDefault="00965D85" w:rsidP="008B46DF">
            <w:pPr>
              <w:autoSpaceDE w:val="0"/>
              <w:autoSpaceDN w:val="0"/>
              <w:adjustRightInd w:val="0"/>
              <w:spacing w:after="0"/>
              <w:jc w:val="right"/>
              <w:rPr>
                <w:rFonts w:ascii="Calibri" w:eastAsiaTheme="minorEastAsia" w:hAnsi="Calibri" w:cs="Calibri"/>
                <w:i/>
                <w:iCs/>
                <w:color w:val="FFFFFF"/>
                <w:sz w:val="19"/>
                <w:lang w:eastAsia="en-AU"/>
              </w:rPr>
            </w:pPr>
            <w:r w:rsidRPr="001E7FA9">
              <w:rPr>
                <w:rFonts w:ascii="Calibri" w:eastAsiaTheme="minorEastAsia" w:hAnsi="Calibri" w:cs="Calibri"/>
                <w:i/>
                <w:iCs/>
                <w:color w:val="FFFFFF"/>
                <w:sz w:val="19"/>
                <w:lang w:eastAsia="en-AU"/>
              </w:rPr>
              <w:t>estimate</w:t>
            </w:r>
          </w:p>
        </w:tc>
        <w:tc>
          <w:tcPr>
            <w:tcW w:w="964" w:type="dxa"/>
            <w:tcBorders>
              <w:top w:val="nil"/>
              <w:left w:val="nil"/>
              <w:right w:val="nil"/>
            </w:tcBorders>
            <w:shd w:val="solid" w:color="000000" w:fill="auto"/>
          </w:tcPr>
          <w:p w:rsidR="00965D85" w:rsidRPr="001E7FA9" w:rsidRDefault="00965D85" w:rsidP="008B46DF">
            <w:pPr>
              <w:autoSpaceDE w:val="0"/>
              <w:autoSpaceDN w:val="0"/>
              <w:adjustRightInd w:val="0"/>
              <w:spacing w:after="0"/>
              <w:jc w:val="right"/>
              <w:rPr>
                <w:rFonts w:ascii="Calibri" w:eastAsiaTheme="minorEastAsia" w:hAnsi="Calibri" w:cs="Calibri"/>
                <w:i/>
                <w:iCs/>
                <w:color w:val="FFFFFF"/>
                <w:sz w:val="19"/>
                <w:lang w:eastAsia="en-AU"/>
              </w:rPr>
            </w:pPr>
            <w:r w:rsidRPr="001E7FA9">
              <w:rPr>
                <w:rFonts w:ascii="Calibri" w:eastAsiaTheme="minorEastAsia" w:hAnsi="Calibri" w:cs="Calibri"/>
                <w:i/>
                <w:iCs/>
                <w:color w:val="FFFFFF"/>
                <w:sz w:val="19"/>
                <w:lang w:eastAsia="en-AU"/>
              </w:rPr>
              <w:t>2017</w:t>
            </w:r>
            <w:r>
              <w:rPr>
                <w:rFonts w:ascii="Calibri" w:eastAsiaTheme="minorEastAsia" w:hAnsi="Calibri" w:cs="Calibri"/>
                <w:i/>
                <w:iCs/>
                <w:color w:val="FFFFFF"/>
                <w:sz w:val="19"/>
                <w:lang w:eastAsia="en-AU"/>
              </w:rPr>
              <w:noBreakHyphen/>
            </w:r>
            <w:r w:rsidRPr="001E7FA9">
              <w:rPr>
                <w:rFonts w:ascii="Calibri" w:eastAsiaTheme="minorEastAsia" w:hAnsi="Calibri" w:cs="Calibri"/>
                <w:i/>
                <w:iCs/>
                <w:color w:val="FFFFFF"/>
                <w:sz w:val="19"/>
                <w:lang w:eastAsia="en-AU"/>
              </w:rPr>
              <w:t xml:space="preserve">18 </w:t>
            </w:r>
          </w:p>
          <w:p w:rsidR="00965D85" w:rsidRPr="001E7FA9" w:rsidRDefault="00965D85" w:rsidP="008B46DF">
            <w:pPr>
              <w:autoSpaceDE w:val="0"/>
              <w:autoSpaceDN w:val="0"/>
              <w:adjustRightInd w:val="0"/>
              <w:spacing w:after="0"/>
              <w:jc w:val="right"/>
              <w:rPr>
                <w:rFonts w:ascii="Calibri" w:eastAsiaTheme="minorEastAsia" w:hAnsi="Calibri" w:cs="Calibri"/>
                <w:i/>
                <w:iCs/>
                <w:color w:val="FFFFFF"/>
                <w:sz w:val="19"/>
                <w:lang w:eastAsia="en-AU"/>
              </w:rPr>
            </w:pPr>
            <w:r w:rsidRPr="001E7FA9">
              <w:rPr>
                <w:rFonts w:ascii="Calibri" w:eastAsiaTheme="minorEastAsia" w:hAnsi="Calibri" w:cs="Calibri"/>
                <w:i/>
                <w:iCs/>
                <w:color w:val="FFFFFF"/>
                <w:sz w:val="19"/>
                <w:lang w:eastAsia="en-AU"/>
              </w:rPr>
              <w:t>estimate</w:t>
            </w:r>
          </w:p>
        </w:tc>
        <w:tc>
          <w:tcPr>
            <w:tcW w:w="964" w:type="dxa"/>
            <w:tcBorders>
              <w:top w:val="nil"/>
              <w:left w:val="nil"/>
              <w:right w:val="nil"/>
            </w:tcBorders>
            <w:shd w:val="solid" w:color="000000" w:fill="auto"/>
          </w:tcPr>
          <w:p w:rsidR="00965D85" w:rsidRPr="001E7FA9" w:rsidRDefault="00965D85" w:rsidP="008B46DF">
            <w:pPr>
              <w:autoSpaceDE w:val="0"/>
              <w:autoSpaceDN w:val="0"/>
              <w:adjustRightInd w:val="0"/>
              <w:spacing w:after="0"/>
              <w:jc w:val="right"/>
              <w:rPr>
                <w:rFonts w:ascii="Calibri" w:eastAsiaTheme="minorEastAsia" w:hAnsi="Calibri" w:cs="Calibri"/>
                <w:i/>
                <w:iCs/>
                <w:color w:val="FFFFFF"/>
                <w:sz w:val="19"/>
                <w:lang w:eastAsia="en-AU"/>
              </w:rPr>
            </w:pPr>
            <w:r w:rsidRPr="001E7FA9">
              <w:rPr>
                <w:rFonts w:ascii="Calibri" w:eastAsiaTheme="minorEastAsia" w:hAnsi="Calibri" w:cs="Calibri"/>
                <w:i/>
                <w:iCs/>
                <w:color w:val="FFFFFF"/>
                <w:sz w:val="19"/>
                <w:lang w:eastAsia="en-AU"/>
              </w:rPr>
              <w:t>2018</w:t>
            </w:r>
            <w:r>
              <w:rPr>
                <w:rFonts w:ascii="Calibri" w:eastAsiaTheme="minorEastAsia" w:hAnsi="Calibri" w:cs="Calibri"/>
                <w:i/>
                <w:iCs/>
                <w:color w:val="FFFFFF"/>
                <w:sz w:val="19"/>
                <w:lang w:eastAsia="en-AU"/>
              </w:rPr>
              <w:noBreakHyphen/>
            </w:r>
            <w:r w:rsidRPr="001E7FA9">
              <w:rPr>
                <w:rFonts w:ascii="Calibri" w:eastAsiaTheme="minorEastAsia" w:hAnsi="Calibri" w:cs="Calibri"/>
                <w:i/>
                <w:iCs/>
                <w:color w:val="FFFFFF"/>
                <w:sz w:val="19"/>
                <w:lang w:eastAsia="en-AU"/>
              </w:rPr>
              <w:t xml:space="preserve">19 </w:t>
            </w:r>
          </w:p>
          <w:p w:rsidR="00965D85" w:rsidRPr="001E7FA9" w:rsidRDefault="00965D85" w:rsidP="008B46DF">
            <w:pPr>
              <w:autoSpaceDE w:val="0"/>
              <w:autoSpaceDN w:val="0"/>
              <w:adjustRightInd w:val="0"/>
              <w:spacing w:after="0"/>
              <w:jc w:val="right"/>
              <w:rPr>
                <w:rFonts w:ascii="Calibri" w:eastAsiaTheme="minorEastAsia" w:hAnsi="Calibri" w:cs="Calibri"/>
                <w:i/>
                <w:iCs/>
                <w:color w:val="FFFFFF"/>
                <w:sz w:val="19"/>
                <w:lang w:eastAsia="en-AU"/>
              </w:rPr>
            </w:pPr>
            <w:r w:rsidRPr="001E7FA9">
              <w:rPr>
                <w:rFonts w:ascii="Calibri" w:eastAsiaTheme="minorEastAsia" w:hAnsi="Calibri" w:cs="Calibri"/>
                <w:i/>
                <w:iCs/>
                <w:color w:val="FFFFFF"/>
                <w:sz w:val="19"/>
                <w:lang w:eastAsia="en-AU"/>
              </w:rPr>
              <w:t>estimate</w:t>
            </w:r>
          </w:p>
        </w:tc>
      </w:tr>
      <w:tr w:rsidR="00965D85" w:rsidRPr="001E7FA9" w:rsidTr="008B46DF">
        <w:tc>
          <w:tcPr>
            <w:tcW w:w="2946" w:type="dxa"/>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b/>
                <w:bCs/>
                <w:color w:val="000000"/>
                <w:sz w:val="19"/>
                <w:lang w:eastAsia="en-AU"/>
              </w:rPr>
            </w:pPr>
            <w:r w:rsidRPr="001E7FA9">
              <w:rPr>
                <w:rFonts w:ascii="Calibri" w:eastAsiaTheme="minorEastAsia" w:hAnsi="Calibri" w:cs="Calibri"/>
                <w:b/>
                <w:bCs/>
                <w:color w:val="000000"/>
                <w:sz w:val="19"/>
                <w:lang w:eastAsia="en-AU"/>
              </w:rPr>
              <w:t>FISCAL AGGREGATES</w:t>
            </w:r>
          </w:p>
        </w:tc>
        <w:tc>
          <w:tcPr>
            <w:tcW w:w="965"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r>
      <w:tr w:rsidR="00965D85" w:rsidRPr="001E7FA9" w:rsidTr="008B46DF">
        <w:tc>
          <w:tcPr>
            <w:tcW w:w="2946" w:type="dxa"/>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Net cash flows from operating activities</w:t>
            </w:r>
          </w:p>
        </w:tc>
        <w:tc>
          <w:tcPr>
            <w:tcW w:w="965"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5 402.7</w:t>
            </w: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4 926.9</w:t>
            </w: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6 223.4</w:t>
            </w: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6 680.4</w:t>
            </w: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6 844.3</w:t>
            </w:r>
          </w:p>
        </w:tc>
      </w:tr>
      <w:tr w:rsidR="00965D85" w:rsidRPr="001E7FA9" w:rsidTr="008B46DF">
        <w:tc>
          <w:tcPr>
            <w:tcW w:w="2946" w:type="dxa"/>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color w:val="000000"/>
                <w:sz w:val="19"/>
                <w:lang w:eastAsia="en-AU"/>
              </w:rPr>
            </w:pPr>
            <w:r w:rsidRPr="001E7FA9">
              <w:rPr>
                <w:rFonts w:ascii="Calibri" w:eastAsiaTheme="minorEastAsia" w:hAnsi="Calibri" w:cs="Calibri"/>
                <w:color w:val="000000"/>
                <w:sz w:val="19"/>
                <w:lang w:eastAsia="en-AU"/>
              </w:rPr>
              <w:t>Net cash flows from investments in non</w:t>
            </w:r>
            <w:r>
              <w:rPr>
                <w:rFonts w:ascii="Calibri" w:eastAsiaTheme="minorEastAsia" w:hAnsi="Calibri" w:cs="Calibri"/>
                <w:color w:val="000000"/>
                <w:sz w:val="19"/>
                <w:lang w:eastAsia="en-AU"/>
              </w:rPr>
              <w:noBreakHyphen/>
            </w:r>
            <w:r w:rsidRPr="001E7FA9">
              <w:rPr>
                <w:rFonts w:ascii="Calibri" w:eastAsiaTheme="minorEastAsia" w:hAnsi="Calibri" w:cs="Calibri"/>
                <w:color w:val="000000"/>
                <w:sz w:val="19"/>
                <w:lang w:eastAsia="en-AU"/>
              </w:rPr>
              <w:t>financial assets</w:t>
            </w:r>
          </w:p>
        </w:tc>
        <w:tc>
          <w:tcPr>
            <w:tcW w:w="965" w:type="dxa"/>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459.1</w:t>
            </w:r>
          </w:p>
        </w:tc>
        <w:tc>
          <w:tcPr>
            <w:tcW w:w="964" w:type="dxa"/>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825.9</w:t>
            </w:r>
          </w:p>
        </w:tc>
        <w:tc>
          <w:tcPr>
            <w:tcW w:w="964" w:type="dxa"/>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(7 445.1)</w:t>
            </w:r>
          </w:p>
        </w:tc>
        <w:tc>
          <w:tcPr>
            <w:tcW w:w="964" w:type="dxa"/>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(7 147.6)</w:t>
            </w:r>
          </w:p>
        </w:tc>
        <w:tc>
          <w:tcPr>
            <w:tcW w:w="964" w:type="dxa"/>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(7 036.0)</w:t>
            </w:r>
          </w:p>
        </w:tc>
      </w:tr>
      <w:tr w:rsidR="00965D85" w:rsidRPr="001E7FA9" w:rsidTr="008B46DF">
        <w:tc>
          <w:tcPr>
            <w:tcW w:w="2946" w:type="dxa"/>
            <w:tcBorders>
              <w:top w:val="single" w:sz="6" w:space="0" w:color="000000"/>
              <w:left w:val="nil"/>
              <w:bottom w:val="single" w:sz="12" w:space="0" w:color="auto"/>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b/>
                <w:bCs/>
                <w:color w:val="000000"/>
                <w:sz w:val="19"/>
                <w:lang w:eastAsia="en-AU"/>
              </w:rPr>
            </w:pPr>
            <w:r w:rsidRPr="001E7FA9">
              <w:rPr>
                <w:rFonts w:ascii="Calibri" w:eastAsiaTheme="minorEastAsia" w:hAnsi="Calibri" w:cs="Calibri"/>
                <w:b/>
                <w:bCs/>
                <w:color w:val="000000"/>
                <w:sz w:val="19"/>
                <w:lang w:eastAsia="en-AU"/>
              </w:rPr>
              <w:t>Cash surplus/(deficit)</w:t>
            </w:r>
          </w:p>
        </w:tc>
        <w:tc>
          <w:tcPr>
            <w:tcW w:w="965" w:type="dxa"/>
            <w:tcBorders>
              <w:top w:val="single" w:sz="6" w:space="0" w:color="000000"/>
              <w:left w:val="nil"/>
              <w:bottom w:val="single" w:sz="12" w:space="0" w:color="auto"/>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19"/>
                <w:lang w:eastAsia="en-AU"/>
              </w:rPr>
            </w:pPr>
            <w:r w:rsidRPr="001E7FA9">
              <w:rPr>
                <w:rFonts w:ascii="Calibri" w:eastAsiaTheme="minorEastAsia" w:hAnsi="Calibri" w:cs="Calibri"/>
                <w:b/>
                <w:bCs/>
                <w:color w:val="000000"/>
                <w:sz w:val="19"/>
                <w:lang w:eastAsia="en-AU"/>
              </w:rPr>
              <w:t>5 861.7</w:t>
            </w:r>
          </w:p>
        </w:tc>
        <w:tc>
          <w:tcPr>
            <w:tcW w:w="964" w:type="dxa"/>
            <w:tcBorders>
              <w:top w:val="single" w:sz="6" w:space="0" w:color="000000"/>
              <w:left w:val="nil"/>
              <w:bottom w:val="single" w:sz="12" w:space="0" w:color="auto"/>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19"/>
                <w:lang w:eastAsia="en-AU"/>
              </w:rPr>
            </w:pPr>
            <w:r w:rsidRPr="001E7FA9">
              <w:rPr>
                <w:rFonts w:ascii="Calibri" w:eastAsiaTheme="minorEastAsia" w:hAnsi="Calibri" w:cs="Calibri"/>
                <w:b/>
                <w:bCs/>
                <w:color w:val="000000"/>
                <w:sz w:val="19"/>
                <w:lang w:eastAsia="en-AU"/>
              </w:rPr>
              <w:t>5 752.8</w:t>
            </w:r>
          </w:p>
        </w:tc>
        <w:tc>
          <w:tcPr>
            <w:tcW w:w="964" w:type="dxa"/>
            <w:tcBorders>
              <w:top w:val="single" w:sz="6" w:space="0" w:color="000000"/>
              <w:left w:val="nil"/>
              <w:bottom w:val="single" w:sz="12" w:space="0" w:color="auto"/>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19"/>
                <w:lang w:eastAsia="en-AU"/>
              </w:rPr>
              <w:t>(1 221.7)</w:t>
            </w:r>
          </w:p>
        </w:tc>
        <w:tc>
          <w:tcPr>
            <w:tcW w:w="964" w:type="dxa"/>
            <w:tcBorders>
              <w:top w:val="single" w:sz="6" w:space="0" w:color="000000"/>
              <w:left w:val="nil"/>
              <w:bottom w:val="single" w:sz="12" w:space="0" w:color="auto"/>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19"/>
                <w:lang w:eastAsia="en-AU"/>
              </w:rPr>
              <w:t>(467.1)</w:t>
            </w:r>
          </w:p>
        </w:tc>
        <w:tc>
          <w:tcPr>
            <w:tcW w:w="964" w:type="dxa"/>
            <w:tcBorders>
              <w:top w:val="single" w:sz="6" w:space="0" w:color="000000"/>
              <w:left w:val="nil"/>
              <w:bottom w:val="single" w:sz="12" w:space="0" w:color="auto"/>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19"/>
                <w:lang w:eastAsia="en-AU"/>
              </w:rPr>
              <w:t>(191.7)</w:t>
            </w:r>
          </w:p>
        </w:tc>
      </w:tr>
      <w:tr w:rsidR="00965D85" w:rsidRPr="001E7FA9" w:rsidTr="008B46DF">
        <w:tc>
          <w:tcPr>
            <w:tcW w:w="7767" w:type="dxa"/>
            <w:gridSpan w:val="6"/>
            <w:tcBorders>
              <w:top w:val="single" w:sz="12" w:space="0" w:color="auto"/>
              <w:left w:val="nil"/>
              <w:bottom w:val="nil"/>
              <w:right w:val="nil"/>
            </w:tcBorders>
            <w:shd w:val="clear" w:color="auto" w:fill="auto"/>
          </w:tcPr>
          <w:p w:rsidR="00965D85" w:rsidRPr="001E7FA9" w:rsidRDefault="00965D85" w:rsidP="008B46DF">
            <w:pPr>
              <w:pStyle w:val="Source"/>
              <w:rPr>
                <w:rFonts w:eastAsiaTheme="minorEastAsia"/>
                <w:lang w:eastAsia="en-AU"/>
              </w:rPr>
            </w:pPr>
            <w:r w:rsidRPr="001E7FA9">
              <w:rPr>
                <w:rFonts w:eastAsiaTheme="minorEastAsia"/>
                <w:lang w:eastAsia="en-AU"/>
              </w:rPr>
              <w:t>Source: Department of Treasury and Finance</w:t>
            </w:r>
          </w:p>
        </w:tc>
      </w:tr>
    </w:tbl>
    <w:p w:rsidR="00965D85" w:rsidRPr="0027082E" w:rsidRDefault="00965D85" w:rsidP="008B46DF">
      <w:pPr>
        <w:pStyle w:val="Notes"/>
        <w:rPr>
          <w:lang w:eastAsia="en-AU"/>
        </w:rPr>
      </w:pPr>
      <w:r w:rsidRPr="0027082E">
        <w:rPr>
          <w:lang w:eastAsia="en-AU"/>
        </w:rPr>
        <w:t>Note</w:t>
      </w:r>
      <w:r>
        <w:rPr>
          <w:lang w:eastAsia="en-AU"/>
        </w:rPr>
        <w:t>s</w:t>
      </w:r>
      <w:r w:rsidRPr="0027082E">
        <w:rPr>
          <w:lang w:eastAsia="en-AU"/>
        </w:rPr>
        <w:t>:</w:t>
      </w:r>
    </w:p>
    <w:p w:rsidR="00965D85" w:rsidRPr="000E2577" w:rsidRDefault="00965D85" w:rsidP="008B46DF">
      <w:pPr>
        <w:pStyle w:val="Notes"/>
      </w:pPr>
      <w:r>
        <w:t>(a)</w:t>
      </w:r>
      <w:r>
        <w:tab/>
      </w:r>
      <w:r w:rsidRPr="000E2577">
        <w:t>Certain line items have been aggregated in the table above due to commercial sensitivities of balances.</w:t>
      </w:r>
    </w:p>
    <w:p w:rsidR="00965D85" w:rsidRPr="000E2577" w:rsidRDefault="00965D85" w:rsidP="008B46DF">
      <w:pPr>
        <w:pStyle w:val="Notes"/>
      </w:pPr>
      <w:r>
        <w:t>(b)</w:t>
      </w:r>
      <w:r>
        <w:tab/>
      </w:r>
      <w:r w:rsidRPr="000E2577">
        <w:t>Inclusive of goods and services tax.</w:t>
      </w:r>
    </w:p>
    <w:p w:rsidR="00965D85" w:rsidRPr="000E2577" w:rsidRDefault="00965D85" w:rsidP="008B46DF">
      <w:pPr>
        <w:pStyle w:val="Notes"/>
      </w:pPr>
      <w:r>
        <w:t>(c)</w:t>
      </w:r>
      <w:r>
        <w:tab/>
      </w:r>
      <w:r w:rsidRPr="004D3C1E">
        <w:rPr>
          <w:i w:val="0"/>
        </w:rPr>
        <w:t>2015</w:t>
      </w:r>
      <w:r>
        <w:rPr>
          <w:i w:val="0"/>
        </w:rPr>
        <w:noBreakHyphen/>
      </w:r>
      <w:r w:rsidRPr="004D3C1E">
        <w:rPr>
          <w:i w:val="0"/>
        </w:rPr>
        <w:t>16 Budget</w:t>
      </w:r>
      <w:r w:rsidRPr="000E2577">
        <w:t xml:space="preserve"> figures have been restated to represent actual opening balances at 1 July 2015.</w:t>
      </w:r>
    </w:p>
    <w:p w:rsidR="00965D85" w:rsidRPr="000E2577" w:rsidRDefault="00965D85" w:rsidP="008B46DF">
      <w:pPr>
        <w:pStyle w:val="Notes"/>
      </w:pPr>
      <w:r>
        <w:t>(d)</w:t>
      </w:r>
      <w:r>
        <w:tab/>
      </w:r>
      <w:r w:rsidRPr="000E2577">
        <w:t xml:space="preserve">Cash and cash equivalents at the end of the reporting period </w:t>
      </w:r>
      <w:r>
        <w:t>in the 2015</w:t>
      </w:r>
      <w:r>
        <w:noBreakHyphen/>
        <w:t xml:space="preserve">16 budget year </w:t>
      </w:r>
      <w:r w:rsidRPr="000E2577">
        <w:t>does not equal cash and deposits on the balance sheet. This is due to the overdraft being included on the cash flow statement.</w:t>
      </w:r>
    </w:p>
    <w:p w:rsidR="00965D85" w:rsidRPr="009851E4" w:rsidRDefault="00965D85" w:rsidP="008B46DF">
      <w:pPr>
        <w:pStyle w:val="Notes"/>
      </w:pPr>
    </w:p>
    <w:p w:rsidR="00965D85" w:rsidRDefault="00965D85" w:rsidP="008B46DF">
      <w:pPr>
        <w:rPr>
          <w:lang w:eastAsia="en-AU"/>
        </w:rPr>
      </w:pPr>
    </w:p>
    <w:p w:rsidR="00965D85" w:rsidRDefault="00965D85" w:rsidP="008B46DF">
      <w:pPr>
        <w:rPr>
          <w:lang w:eastAsia="en-AU"/>
        </w:rPr>
      </w:pPr>
    </w:p>
    <w:p w:rsidR="00965D85" w:rsidRDefault="00965D85">
      <w:pPr>
        <w:spacing w:after="0"/>
        <w:rPr>
          <w:rFonts w:ascii="Calibri" w:hAnsi="Calibri"/>
          <w:b/>
          <w:lang w:eastAsia="en-AU"/>
        </w:rPr>
      </w:pPr>
      <w:r>
        <w:rPr>
          <w:lang w:eastAsia="en-AU"/>
        </w:rPr>
        <w:br w:type="page"/>
      </w:r>
    </w:p>
    <w:p w:rsidR="00965D85" w:rsidRDefault="00965D85" w:rsidP="008B46DF">
      <w:pPr>
        <w:pStyle w:val="Tableheading"/>
        <w:rPr>
          <w:rFonts w:ascii="Times New Roman" w:hAnsi="Times New Roman"/>
          <w:b w:val="0"/>
          <w:sz w:val="20"/>
          <w:lang w:eastAsia="en-AU"/>
        </w:rPr>
      </w:pPr>
      <w:r w:rsidRPr="00AA0031">
        <w:rPr>
          <w:lang w:eastAsia="en-AU"/>
        </w:rPr>
        <w:lastRenderedPageBreak/>
        <w:t>Table 5.22:</w:t>
      </w:r>
      <w:r w:rsidRPr="00AA0031">
        <w:rPr>
          <w:lang w:eastAsia="en-AU"/>
        </w:rPr>
        <w:tab/>
        <w:t>State of Victoria statement of changes in equity</w:t>
      </w:r>
    </w:p>
    <w:tbl>
      <w:tblPr>
        <w:tblW w:w="7797" w:type="dxa"/>
        <w:tblInd w:w="45" w:type="dxa"/>
        <w:tblLayout w:type="fixed"/>
        <w:tblCellMar>
          <w:left w:w="45" w:type="dxa"/>
          <w:right w:w="45" w:type="dxa"/>
        </w:tblCellMar>
        <w:tblLook w:val="0000" w:firstRow="0" w:lastRow="0" w:firstColumn="0" w:lastColumn="0" w:noHBand="0" w:noVBand="0"/>
      </w:tblPr>
      <w:tblGrid>
        <w:gridCol w:w="4678"/>
        <w:gridCol w:w="1559"/>
        <w:gridCol w:w="1560"/>
      </w:tblGrid>
      <w:tr w:rsidR="00965D85" w:rsidRPr="00427006" w:rsidTr="008B46DF">
        <w:trPr>
          <w:cantSplit/>
          <w:tblHeader/>
        </w:trPr>
        <w:tc>
          <w:tcPr>
            <w:tcW w:w="7797" w:type="dxa"/>
            <w:gridSpan w:val="3"/>
            <w:tcBorders>
              <w:top w:val="nil"/>
              <w:left w:val="nil"/>
              <w:bottom w:val="nil"/>
              <w:right w:val="nil"/>
            </w:tcBorders>
          </w:tcPr>
          <w:p w:rsidR="00965D85" w:rsidRPr="00427006" w:rsidRDefault="00965D85" w:rsidP="008B46DF">
            <w:pPr>
              <w:pStyle w:val="million"/>
              <w:rPr>
                <w:rFonts w:eastAsiaTheme="minorEastAsia"/>
                <w:lang w:eastAsia="en-AU"/>
              </w:rPr>
            </w:pPr>
            <w:r w:rsidRPr="00427006">
              <w:rPr>
                <w:rFonts w:eastAsiaTheme="minorEastAsia"/>
                <w:lang w:eastAsia="en-AU"/>
              </w:rPr>
              <w:t>($ million)</w:t>
            </w:r>
          </w:p>
        </w:tc>
      </w:tr>
      <w:tr w:rsidR="00965D85" w:rsidRPr="00427006" w:rsidTr="008B46DF">
        <w:trPr>
          <w:cantSplit/>
          <w:tblHeader/>
        </w:trPr>
        <w:tc>
          <w:tcPr>
            <w:tcW w:w="4678" w:type="dxa"/>
            <w:tcBorders>
              <w:top w:val="single" w:sz="6" w:space="0" w:color="auto"/>
              <w:left w:val="single" w:sz="6" w:space="0" w:color="auto"/>
              <w:bottom w:val="single" w:sz="6" w:space="0" w:color="auto"/>
              <w:right w:val="nil"/>
            </w:tcBorders>
            <w:shd w:val="solid" w:color="000000" w:fill="auto"/>
          </w:tcPr>
          <w:p w:rsidR="00965D85" w:rsidRPr="00427006" w:rsidRDefault="00965D85" w:rsidP="008B46DF">
            <w:pPr>
              <w:pStyle w:val="million"/>
              <w:rPr>
                <w:rFonts w:eastAsiaTheme="minorEastAsia"/>
                <w:sz w:val="20"/>
                <w:lang w:eastAsia="en-AU"/>
              </w:rPr>
            </w:pPr>
            <w:r w:rsidRPr="00427006">
              <w:rPr>
                <w:rFonts w:eastAsiaTheme="minorEastAsia"/>
                <w:sz w:val="20"/>
                <w:lang w:eastAsia="en-AU"/>
              </w:rPr>
              <w:t xml:space="preserve"> </w:t>
            </w:r>
          </w:p>
        </w:tc>
        <w:tc>
          <w:tcPr>
            <w:tcW w:w="1559" w:type="dxa"/>
            <w:tcBorders>
              <w:top w:val="single" w:sz="6" w:space="0" w:color="auto"/>
              <w:left w:val="nil"/>
              <w:bottom w:val="single" w:sz="6" w:space="0" w:color="auto"/>
              <w:right w:val="nil"/>
            </w:tcBorders>
            <w:shd w:val="solid" w:color="000000" w:fill="auto"/>
          </w:tcPr>
          <w:p w:rsidR="00965D85" w:rsidRPr="00427006" w:rsidRDefault="00965D85" w:rsidP="008B46DF">
            <w:pPr>
              <w:pStyle w:val="million"/>
              <w:jc w:val="right"/>
              <w:rPr>
                <w:rFonts w:eastAsiaTheme="minorEastAsia"/>
                <w:sz w:val="20"/>
                <w:lang w:eastAsia="en-AU"/>
              </w:rPr>
            </w:pPr>
          </w:p>
          <w:p w:rsidR="00965D85" w:rsidRPr="00427006" w:rsidRDefault="00965D85" w:rsidP="008B46DF">
            <w:pPr>
              <w:pStyle w:val="million"/>
              <w:jc w:val="right"/>
              <w:rPr>
                <w:rFonts w:eastAsiaTheme="minorEastAsia"/>
                <w:sz w:val="20"/>
                <w:lang w:eastAsia="en-AU"/>
              </w:rPr>
            </w:pPr>
            <w:r w:rsidRPr="00427006">
              <w:rPr>
                <w:rFonts w:eastAsiaTheme="minorEastAsia"/>
                <w:sz w:val="20"/>
                <w:lang w:eastAsia="en-AU"/>
              </w:rPr>
              <w:t>Accumulated surplus/(deficit)</w:t>
            </w:r>
          </w:p>
        </w:tc>
        <w:tc>
          <w:tcPr>
            <w:tcW w:w="1560" w:type="dxa"/>
            <w:tcBorders>
              <w:top w:val="single" w:sz="6" w:space="0" w:color="auto"/>
              <w:left w:val="nil"/>
              <w:bottom w:val="single" w:sz="6" w:space="0" w:color="auto"/>
              <w:right w:val="nil"/>
            </w:tcBorders>
            <w:shd w:val="solid" w:color="000000" w:fill="auto"/>
          </w:tcPr>
          <w:p w:rsidR="00965D85" w:rsidRPr="00427006" w:rsidRDefault="00965D85" w:rsidP="008B46DF">
            <w:pPr>
              <w:pStyle w:val="million"/>
              <w:jc w:val="right"/>
              <w:rPr>
                <w:rFonts w:eastAsiaTheme="minorEastAsia"/>
                <w:sz w:val="20"/>
                <w:lang w:eastAsia="en-AU"/>
              </w:rPr>
            </w:pPr>
            <w:r w:rsidRPr="00427006">
              <w:rPr>
                <w:rFonts w:eastAsiaTheme="minorEastAsia"/>
                <w:sz w:val="20"/>
                <w:lang w:eastAsia="en-AU"/>
              </w:rPr>
              <w:t>Non</w:t>
            </w:r>
            <w:r>
              <w:rPr>
                <w:rFonts w:eastAsiaTheme="minorEastAsia"/>
                <w:sz w:val="20"/>
                <w:lang w:eastAsia="en-AU"/>
              </w:rPr>
              <w:noBreakHyphen/>
            </w:r>
          </w:p>
          <w:p w:rsidR="00965D85" w:rsidRPr="00427006" w:rsidRDefault="00965D85" w:rsidP="008B46DF">
            <w:pPr>
              <w:pStyle w:val="million"/>
              <w:jc w:val="right"/>
              <w:rPr>
                <w:rFonts w:eastAsiaTheme="minorEastAsia"/>
                <w:sz w:val="20"/>
                <w:lang w:eastAsia="en-AU"/>
              </w:rPr>
            </w:pPr>
            <w:r w:rsidRPr="00427006">
              <w:rPr>
                <w:rFonts w:eastAsiaTheme="minorEastAsia"/>
                <w:sz w:val="20"/>
                <w:lang w:eastAsia="en-AU"/>
              </w:rPr>
              <w:t xml:space="preserve">controlling </w:t>
            </w:r>
          </w:p>
          <w:p w:rsidR="00965D85" w:rsidRPr="00427006" w:rsidRDefault="00965D85" w:rsidP="008B46DF">
            <w:pPr>
              <w:pStyle w:val="million"/>
              <w:jc w:val="right"/>
              <w:rPr>
                <w:rFonts w:eastAsiaTheme="minorEastAsia"/>
                <w:sz w:val="20"/>
                <w:lang w:eastAsia="en-AU"/>
              </w:rPr>
            </w:pPr>
            <w:r w:rsidRPr="00427006">
              <w:rPr>
                <w:rFonts w:eastAsiaTheme="minorEastAsia"/>
                <w:sz w:val="20"/>
                <w:lang w:eastAsia="en-AU"/>
              </w:rPr>
              <w:t>interest</w:t>
            </w:r>
          </w:p>
        </w:tc>
      </w:tr>
      <w:tr w:rsidR="00965D85" w:rsidRPr="00427006" w:rsidTr="008B46DF">
        <w:trPr>
          <w:cantSplit/>
        </w:trPr>
        <w:tc>
          <w:tcPr>
            <w:tcW w:w="4678" w:type="dxa"/>
            <w:tcBorders>
              <w:top w:val="single" w:sz="6" w:space="0" w:color="auto"/>
              <w:left w:val="nil"/>
              <w:right w:val="nil"/>
            </w:tcBorders>
            <w:shd w:val="clear" w:color="auto" w:fill="FFFFFF"/>
          </w:tcPr>
          <w:p w:rsidR="00965D85" w:rsidRPr="00427006" w:rsidRDefault="00965D85" w:rsidP="008B46DF">
            <w:pPr>
              <w:autoSpaceDE w:val="0"/>
              <w:autoSpaceDN w:val="0"/>
              <w:adjustRightInd w:val="0"/>
              <w:spacing w:after="0"/>
              <w:ind w:left="227" w:hanging="227"/>
              <w:rPr>
                <w:rFonts w:ascii="Calibri" w:eastAsiaTheme="minorEastAsia" w:hAnsi="Calibri" w:cs="Calibri"/>
                <w:b/>
                <w:bCs/>
                <w:color w:val="000000"/>
                <w:sz w:val="20"/>
                <w:vertAlign w:val="superscript"/>
                <w:lang w:eastAsia="en-AU"/>
              </w:rPr>
            </w:pPr>
            <w:r w:rsidRPr="00427006">
              <w:rPr>
                <w:rFonts w:ascii="Calibri" w:eastAsiaTheme="minorEastAsia" w:hAnsi="Calibri" w:cs="Calibri"/>
                <w:b/>
                <w:bCs/>
                <w:color w:val="000000"/>
                <w:sz w:val="20"/>
                <w:lang w:eastAsia="en-AU"/>
              </w:rPr>
              <w:t>2015</w:t>
            </w:r>
            <w:r>
              <w:rPr>
                <w:rFonts w:ascii="Calibri" w:eastAsiaTheme="minorEastAsia" w:hAnsi="Calibri" w:cs="Calibri"/>
                <w:b/>
                <w:bCs/>
                <w:color w:val="000000"/>
                <w:sz w:val="20"/>
                <w:lang w:eastAsia="en-AU"/>
              </w:rPr>
              <w:noBreakHyphen/>
            </w:r>
            <w:r w:rsidRPr="00427006">
              <w:rPr>
                <w:rFonts w:ascii="Calibri" w:eastAsiaTheme="minorEastAsia" w:hAnsi="Calibri" w:cs="Calibri"/>
                <w:b/>
                <w:bCs/>
                <w:color w:val="000000"/>
                <w:sz w:val="20"/>
                <w:lang w:eastAsia="en-AU"/>
              </w:rPr>
              <w:t>16 budget</w:t>
            </w:r>
            <w:r w:rsidRPr="00427006">
              <w:rPr>
                <w:rFonts w:ascii="Calibri" w:eastAsiaTheme="minorEastAsia" w:hAnsi="Calibri" w:cs="Calibri"/>
                <w:b/>
                <w:bCs/>
                <w:color w:val="000000"/>
                <w:sz w:val="20"/>
                <w:vertAlign w:val="superscript"/>
                <w:lang w:eastAsia="en-AU"/>
              </w:rPr>
              <w:t>(a)</w:t>
            </w:r>
          </w:p>
        </w:tc>
        <w:tc>
          <w:tcPr>
            <w:tcW w:w="1559" w:type="dxa"/>
            <w:tcBorders>
              <w:top w:val="single" w:sz="6" w:space="0" w:color="auto"/>
              <w:left w:val="nil"/>
              <w:right w:val="nil"/>
            </w:tcBorders>
            <w:shd w:val="clear" w:color="auto" w:fill="FFFFFF"/>
          </w:tcPr>
          <w:p w:rsidR="00965D85" w:rsidRPr="00427006"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1560" w:type="dxa"/>
            <w:tcBorders>
              <w:top w:val="single" w:sz="6" w:space="0" w:color="auto"/>
              <w:left w:val="nil"/>
              <w:right w:val="nil"/>
            </w:tcBorders>
            <w:shd w:val="clear" w:color="auto" w:fill="FFFFFF"/>
          </w:tcPr>
          <w:p w:rsidR="00965D85" w:rsidRPr="00427006"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r>
      <w:tr w:rsidR="00965D85" w:rsidRPr="00427006" w:rsidTr="008B46DF">
        <w:trPr>
          <w:cantSplit/>
        </w:trPr>
        <w:tc>
          <w:tcPr>
            <w:tcW w:w="4678" w:type="dxa"/>
            <w:tcBorders>
              <w:top w:val="nil"/>
              <w:left w:val="nil"/>
              <w:right w:val="nil"/>
            </w:tcBorders>
            <w:shd w:val="clear" w:color="auto" w:fill="FFFFFF"/>
          </w:tcPr>
          <w:p w:rsidR="00965D85" w:rsidRPr="00427006"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427006">
              <w:rPr>
                <w:rFonts w:ascii="Calibri" w:eastAsiaTheme="minorEastAsia" w:hAnsi="Calibri" w:cs="Calibri"/>
                <w:color w:val="000000"/>
                <w:sz w:val="20"/>
                <w:lang w:eastAsia="en-AU"/>
              </w:rPr>
              <w:t>Balance at 1 July 2015</w:t>
            </w:r>
          </w:p>
        </w:tc>
        <w:tc>
          <w:tcPr>
            <w:tcW w:w="1559" w:type="dxa"/>
            <w:tcBorders>
              <w:top w:val="nil"/>
              <w:left w:val="nil"/>
              <w:right w:val="nil"/>
            </w:tcBorders>
            <w:shd w:val="clear" w:color="auto" w:fill="FFFFFF"/>
          </w:tcPr>
          <w:p w:rsidR="00965D85" w:rsidRPr="00427006"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427006">
              <w:rPr>
                <w:rFonts w:ascii="Calibri" w:eastAsiaTheme="minorEastAsia" w:hAnsi="Calibri" w:cs="Calibri"/>
                <w:color w:val="000000"/>
                <w:sz w:val="20"/>
                <w:lang w:eastAsia="en-AU"/>
              </w:rPr>
              <w:t>61 228.8</w:t>
            </w:r>
          </w:p>
        </w:tc>
        <w:tc>
          <w:tcPr>
            <w:tcW w:w="1560" w:type="dxa"/>
            <w:tcBorders>
              <w:top w:val="nil"/>
              <w:left w:val="nil"/>
              <w:right w:val="nil"/>
            </w:tcBorders>
            <w:shd w:val="clear" w:color="auto" w:fill="FFFFFF"/>
          </w:tcPr>
          <w:p w:rsidR="00965D85" w:rsidRPr="00427006"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427006">
              <w:rPr>
                <w:rFonts w:ascii="Calibri" w:eastAsiaTheme="minorEastAsia" w:hAnsi="Calibri" w:cs="Calibri"/>
                <w:color w:val="000000"/>
                <w:sz w:val="20"/>
                <w:lang w:eastAsia="en-AU"/>
              </w:rPr>
              <w:t>50.0</w:t>
            </w:r>
          </w:p>
        </w:tc>
      </w:tr>
      <w:tr w:rsidR="00965D85" w:rsidRPr="00427006" w:rsidTr="008B46DF">
        <w:trPr>
          <w:cantSplit/>
        </w:trPr>
        <w:tc>
          <w:tcPr>
            <w:tcW w:w="4678" w:type="dxa"/>
            <w:tcBorders>
              <w:top w:val="nil"/>
              <w:left w:val="nil"/>
              <w:right w:val="nil"/>
            </w:tcBorders>
            <w:shd w:val="clear" w:color="auto" w:fill="FFFFFF"/>
          </w:tcPr>
          <w:p w:rsidR="00965D85" w:rsidRPr="00427006"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427006">
              <w:rPr>
                <w:rFonts w:ascii="Calibri" w:eastAsiaTheme="minorEastAsia" w:hAnsi="Calibri" w:cs="Calibri"/>
                <w:color w:val="000000"/>
                <w:sz w:val="20"/>
                <w:lang w:eastAsia="en-AU"/>
              </w:rPr>
              <w:t>Net result</w:t>
            </w:r>
          </w:p>
        </w:tc>
        <w:tc>
          <w:tcPr>
            <w:tcW w:w="1559" w:type="dxa"/>
            <w:tcBorders>
              <w:top w:val="nil"/>
              <w:left w:val="nil"/>
              <w:right w:val="nil"/>
            </w:tcBorders>
            <w:shd w:val="clear" w:color="auto" w:fill="FFFFFF"/>
          </w:tcPr>
          <w:p w:rsidR="00965D85" w:rsidRPr="00427006"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427006">
              <w:rPr>
                <w:rFonts w:ascii="Calibri" w:eastAsiaTheme="minorEastAsia" w:hAnsi="Calibri" w:cs="Calibri"/>
                <w:color w:val="000000"/>
                <w:sz w:val="20"/>
                <w:lang w:eastAsia="en-AU"/>
              </w:rPr>
              <w:t>4 342.1</w:t>
            </w:r>
          </w:p>
        </w:tc>
        <w:tc>
          <w:tcPr>
            <w:tcW w:w="1560" w:type="dxa"/>
            <w:tcBorders>
              <w:top w:val="nil"/>
              <w:left w:val="nil"/>
              <w:right w:val="nil"/>
            </w:tcBorders>
            <w:shd w:val="clear" w:color="auto" w:fill="FFFFFF"/>
          </w:tcPr>
          <w:p w:rsidR="00965D85" w:rsidRPr="00427006"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427006">
              <w:rPr>
                <w:rFonts w:ascii="Calibri" w:eastAsiaTheme="minorEastAsia" w:hAnsi="Calibri" w:cs="Calibri"/>
                <w:color w:val="000000"/>
                <w:sz w:val="20"/>
                <w:lang w:eastAsia="en-AU"/>
              </w:rPr>
              <w:t>..</w:t>
            </w:r>
          </w:p>
        </w:tc>
      </w:tr>
      <w:tr w:rsidR="00965D85" w:rsidRPr="00427006" w:rsidTr="008B46DF">
        <w:trPr>
          <w:cantSplit/>
        </w:trPr>
        <w:tc>
          <w:tcPr>
            <w:tcW w:w="4678" w:type="dxa"/>
            <w:tcBorders>
              <w:top w:val="nil"/>
              <w:left w:val="nil"/>
              <w:right w:val="nil"/>
            </w:tcBorders>
            <w:shd w:val="clear" w:color="auto" w:fill="FFFFFF"/>
          </w:tcPr>
          <w:p w:rsidR="00965D85" w:rsidRPr="00427006"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427006">
              <w:rPr>
                <w:rFonts w:ascii="Calibri" w:eastAsiaTheme="minorEastAsia" w:hAnsi="Calibri" w:cs="Calibri"/>
                <w:color w:val="000000"/>
                <w:sz w:val="20"/>
                <w:lang w:eastAsia="en-AU"/>
              </w:rPr>
              <w:t>Other comprehensive income for the year</w:t>
            </w:r>
          </w:p>
        </w:tc>
        <w:tc>
          <w:tcPr>
            <w:tcW w:w="1559" w:type="dxa"/>
            <w:tcBorders>
              <w:top w:val="nil"/>
              <w:left w:val="nil"/>
              <w:right w:val="nil"/>
            </w:tcBorders>
            <w:shd w:val="clear" w:color="auto" w:fill="FFFFFF"/>
          </w:tcPr>
          <w:p w:rsidR="00965D85" w:rsidRPr="00427006"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427006">
              <w:rPr>
                <w:rFonts w:ascii="Calibri" w:eastAsiaTheme="minorEastAsia" w:hAnsi="Calibri" w:cs="Calibri"/>
                <w:color w:val="000000"/>
                <w:sz w:val="20"/>
                <w:lang w:eastAsia="en-AU"/>
              </w:rPr>
              <w:t>1 395.9</w:t>
            </w:r>
          </w:p>
        </w:tc>
        <w:tc>
          <w:tcPr>
            <w:tcW w:w="1560" w:type="dxa"/>
            <w:tcBorders>
              <w:top w:val="nil"/>
              <w:left w:val="nil"/>
              <w:right w:val="nil"/>
            </w:tcBorders>
            <w:shd w:val="clear" w:color="auto" w:fill="FFFFFF"/>
          </w:tcPr>
          <w:p w:rsidR="00965D85" w:rsidRPr="00427006"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427006">
              <w:rPr>
                <w:rFonts w:ascii="Calibri" w:eastAsiaTheme="minorEastAsia" w:hAnsi="Calibri" w:cs="Calibri"/>
                <w:color w:val="000000"/>
                <w:sz w:val="20"/>
                <w:lang w:eastAsia="en-AU"/>
              </w:rPr>
              <w:t>..</w:t>
            </w:r>
          </w:p>
        </w:tc>
      </w:tr>
      <w:tr w:rsidR="00965D85" w:rsidRPr="00427006" w:rsidTr="008B46DF">
        <w:trPr>
          <w:cantSplit/>
        </w:trPr>
        <w:tc>
          <w:tcPr>
            <w:tcW w:w="4678" w:type="dxa"/>
            <w:tcBorders>
              <w:top w:val="nil"/>
              <w:left w:val="nil"/>
              <w:bottom w:val="single" w:sz="6" w:space="0" w:color="auto"/>
              <w:right w:val="nil"/>
            </w:tcBorders>
            <w:shd w:val="clear" w:color="auto" w:fill="FFFFFF"/>
          </w:tcPr>
          <w:p w:rsidR="00965D85" w:rsidRPr="00427006"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427006">
              <w:rPr>
                <w:rFonts w:ascii="Calibri" w:eastAsiaTheme="minorEastAsia" w:hAnsi="Calibri" w:cs="Calibri"/>
                <w:color w:val="000000"/>
                <w:sz w:val="20"/>
                <w:lang w:eastAsia="en-AU"/>
              </w:rPr>
              <w:t>Transactions with owners in their capacity as owners</w:t>
            </w:r>
          </w:p>
        </w:tc>
        <w:tc>
          <w:tcPr>
            <w:tcW w:w="1559" w:type="dxa"/>
            <w:tcBorders>
              <w:top w:val="nil"/>
              <w:left w:val="nil"/>
              <w:bottom w:val="single" w:sz="6" w:space="0" w:color="auto"/>
              <w:right w:val="nil"/>
            </w:tcBorders>
            <w:shd w:val="clear" w:color="auto" w:fill="FFFFFF"/>
          </w:tcPr>
          <w:p w:rsidR="00965D85" w:rsidRPr="00427006"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427006">
              <w:rPr>
                <w:rFonts w:ascii="Calibri" w:eastAsiaTheme="minorEastAsia" w:hAnsi="Calibri" w:cs="Calibri"/>
                <w:color w:val="000000"/>
                <w:sz w:val="20"/>
                <w:lang w:eastAsia="en-AU"/>
              </w:rPr>
              <w:t>..</w:t>
            </w:r>
          </w:p>
        </w:tc>
        <w:tc>
          <w:tcPr>
            <w:tcW w:w="1560" w:type="dxa"/>
            <w:tcBorders>
              <w:top w:val="nil"/>
              <w:left w:val="nil"/>
              <w:bottom w:val="single" w:sz="6" w:space="0" w:color="auto"/>
              <w:right w:val="nil"/>
            </w:tcBorders>
            <w:shd w:val="clear" w:color="auto" w:fill="FFFFFF"/>
          </w:tcPr>
          <w:p w:rsidR="00965D85" w:rsidRPr="00427006"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427006">
              <w:rPr>
                <w:rFonts w:ascii="Calibri" w:eastAsiaTheme="minorEastAsia" w:hAnsi="Calibri" w:cs="Calibri"/>
                <w:color w:val="000000"/>
                <w:sz w:val="20"/>
                <w:lang w:eastAsia="en-AU"/>
              </w:rPr>
              <w:t>..</w:t>
            </w:r>
          </w:p>
        </w:tc>
      </w:tr>
      <w:tr w:rsidR="00965D85" w:rsidRPr="00427006" w:rsidTr="008B46DF">
        <w:trPr>
          <w:cantSplit/>
        </w:trPr>
        <w:tc>
          <w:tcPr>
            <w:tcW w:w="4678" w:type="dxa"/>
            <w:tcBorders>
              <w:top w:val="single" w:sz="6" w:space="0" w:color="auto"/>
              <w:left w:val="nil"/>
              <w:bottom w:val="single" w:sz="12" w:space="0" w:color="auto"/>
              <w:right w:val="nil"/>
            </w:tcBorders>
            <w:shd w:val="clear" w:color="auto" w:fill="FFFFFF"/>
          </w:tcPr>
          <w:p w:rsidR="00965D85" w:rsidRPr="00427006" w:rsidRDefault="00965D85" w:rsidP="008B46DF">
            <w:pPr>
              <w:autoSpaceDE w:val="0"/>
              <w:autoSpaceDN w:val="0"/>
              <w:adjustRightInd w:val="0"/>
              <w:spacing w:after="0"/>
              <w:ind w:left="227" w:hanging="227"/>
              <w:rPr>
                <w:rFonts w:ascii="Calibri" w:eastAsiaTheme="minorEastAsia" w:hAnsi="Calibri" w:cs="Calibri"/>
                <w:b/>
                <w:bCs/>
                <w:color w:val="000000"/>
                <w:sz w:val="20"/>
                <w:lang w:eastAsia="en-AU"/>
              </w:rPr>
            </w:pPr>
            <w:r w:rsidRPr="00427006">
              <w:rPr>
                <w:rFonts w:ascii="Calibri" w:eastAsiaTheme="minorEastAsia" w:hAnsi="Calibri" w:cs="Calibri"/>
                <w:b/>
                <w:bCs/>
                <w:color w:val="000000"/>
                <w:sz w:val="20"/>
                <w:lang w:eastAsia="en-AU"/>
              </w:rPr>
              <w:t>Total equity at end of period</w:t>
            </w:r>
          </w:p>
        </w:tc>
        <w:tc>
          <w:tcPr>
            <w:tcW w:w="1559" w:type="dxa"/>
            <w:tcBorders>
              <w:top w:val="single" w:sz="6" w:space="0" w:color="auto"/>
              <w:left w:val="nil"/>
              <w:bottom w:val="single" w:sz="12" w:space="0" w:color="auto"/>
              <w:right w:val="nil"/>
            </w:tcBorders>
            <w:shd w:val="clear" w:color="auto" w:fill="FFFFFF"/>
          </w:tcPr>
          <w:p w:rsidR="00965D85" w:rsidRPr="00427006"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427006">
              <w:rPr>
                <w:rFonts w:ascii="Calibri" w:eastAsiaTheme="minorEastAsia" w:hAnsi="Calibri" w:cs="Calibri"/>
                <w:b/>
                <w:bCs/>
                <w:color w:val="000000"/>
                <w:sz w:val="20"/>
                <w:lang w:eastAsia="en-AU"/>
              </w:rPr>
              <w:t>66 966.8</w:t>
            </w:r>
          </w:p>
        </w:tc>
        <w:tc>
          <w:tcPr>
            <w:tcW w:w="1560" w:type="dxa"/>
            <w:tcBorders>
              <w:top w:val="single" w:sz="6" w:space="0" w:color="auto"/>
              <w:left w:val="nil"/>
              <w:bottom w:val="single" w:sz="12" w:space="0" w:color="auto"/>
              <w:right w:val="nil"/>
            </w:tcBorders>
            <w:shd w:val="clear" w:color="auto" w:fill="FFFFFF"/>
          </w:tcPr>
          <w:p w:rsidR="00965D85" w:rsidRPr="00427006"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427006">
              <w:rPr>
                <w:rFonts w:ascii="Calibri" w:eastAsiaTheme="minorEastAsia" w:hAnsi="Calibri" w:cs="Calibri"/>
                <w:b/>
                <w:bCs/>
                <w:color w:val="000000"/>
                <w:sz w:val="20"/>
                <w:lang w:eastAsia="en-AU"/>
              </w:rPr>
              <w:t>50.0</w:t>
            </w:r>
          </w:p>
        </w:tc>
      </w:tr>
      <w:tr w:rsidR="00965D85" w:rsidRPr="00427006" w:rsidTr="008B46DF">
        <w:trPr>
          <w:cantSplit/>
        </w:trPr>
        <w:tc>
          <w:tcPr>
            <w:tcW w:w="4678" w:type="dxa"/>
            <w:tcBorders>
              <w:top w:val="single" w:sz="12" w:space="0" w:color="auto"/>
              <w:left w:val="nil"/>
              <w:right w:val="nil"/>
            </w:tcBorders>
            <w:shd w:val="clear" w:color="auto" w:fill="FFFFFF"/>
          </w:tcPr>
          <w:p w:rsidR="00965D85" w:rsidRPr="00427006" w:rsidRDefault="00965D85" w:rsidP="008B46DF">
            <w:pPr>
              <w:autoSpaceDE w:val="0"/>
              <w:autoSpaceDN w:val="0"/>
              <w:adjustRightInd w:val="0"/>
              <w:spacing w:after="0"/>
              <w:ind w:left="227" w:hanging="227"/>
              <w:rPr>
                <w:rFonts w:ascii="Calibri" w:eastAsiaTheme="minorEastAsia" w:hAnsi="Calibri" w:cs="Calibri"/>
                <w:b/>
                <w:bCs/>
                <w:color w:val="000000"/>
                <w:sz w:val="20"/>
                <w:lang w:eastAsia="en-AU"/>
              </w:rPr>
            </w:pPr>
            <w:r w:rsidRPr="00427006">
              <w:rPr>
                <w:rFonts w:ascii="Calibri" w:eastAsiaTheme="minorEastAsia" w:hAnsi="Calibri" w:cs="Calibri"/>
                <w:b/>
                <w:bCs/>
                <w:color w:val="000000"/>
                <w:sz w:val="20"/>
                <w:lang w:eastAsia="en-AU"/>
              </w:rPr>
              <w:t>2015</w:t>
            </w:r>
            <w:r>
              <w:rPr>
                <w:rFonts w:ascii="Calibri" w:eastAsiaTheme="minorEastAsia" w:hAnsi="Calibri" w:cs="Calibri"/>
                <w:b/>
                <w:bCs/>
                <w:color w:val="000000"/>
                <w:sz w:val="20"/>
                <w:lang w:eastAsia="en-AU"/>
              </w:rPr>
              <w:noBreakHyphen/>
            </w:r>
            <w:r w:rsidRPr="00427006">
              <w:rPr>
                <w:rFonts w:ascii="Calibri" w:eastAsiaTheme="minorEastAsia" w:hAnsi="Calibri" w:cs="Calibri"/>
                <w:b/>
                <w:bCs/>
                <w:color w:val="000000"/>
                <w:sz w:val="20"/>
                <w:lang w:eastAsia="en-AU"/>
              </w:rPr>
              <w:t>16 revised</w:t>
            </w:r>
          </w:p>
        </w:tc>
        <w:tc>
          <w:tcPr>
            <w:tcW w:w="1559" w:type="dxa"/>
            <w:tcBorders>
              <w:top w:val="single" w:sz="12" w:space="0" w:color="auto"/>
              <w:left w:val="nil"/>
              <w:right w:val="nil"/>
            </w:tcBorders>
            <w:shd w:val="clear" w:color="auto" w:fill="FFFFFF"/>
          </w:tcPr>
          <w:p w:rsidR="00965D85" w:rsidRPr="00427006"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1560" w:type="dxa"/>
            <w:tcBorders>
              <w:top w:val="single" w:sz="12" w:space="0" w:color="auto"/>
              <w:left w:val="nil"/>
              <w:right w:val="nil"/>
            </w:tcBorders>
            <w:shd w:val="clear" w:color="auto" w:fill="FFFFFF"/>
          </w:tcPr>
          <w:p w:rsidR="00965D85" w:rsidRPr="00427006"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r>
      <w:tr w:rsidR="00965D85" w:rsidRPr="00427006" w:rsidTr="008B46DF">
        <w:trPr>
          <w:cantSplit/>
        </w:trPr>
        <w:tc>
          <w:tcPr>
            <w:tcW w:w="4678" w:type="dxa"/>
            <w:tcBorders>
              <w:top w:val="nil"/>
              <w:left w:val="nil"/>
              <w:right w:val="nil"/>
            </w:tcBorders>
            <w:shd w:val="clear" w:color="auto" w:fill="FFFFFF"/>
          </w:tcPr>
          <w:p w:rsidR="00965D85" w:rsidRPr="00427006"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427006">
              <w:rPr>
                <w:rFonts w:ascii="Calibri" w:eastAsiaTheme="minorEastAsia" w:hAnsi="Calibri" w:cs="Calibri"/>
                <w:color w:val="000000"/>
                <w:sz w:val="20"/>
                <w:lang w:eastAsia="en-AU"/>
              </w:rPr>
              <w:t>Balance at 1 July 2015</w:t>
            </w:r>
          </w:p>
        </w:tc>
        <w:tc>
          <w:tcPr>
            <w:tcW w:w="1559" w:type="dxa"/>
            <w:tcBorders>
              <w:top w:val="nil"/>
              <w:left w:val="nil"/>
              <w:right w:val="nil"/>
            </w:tcBorders>
            <w:shd w:val="clear" w:color="auto" w:fill="FFFFFF"/>
          </w:tcPr>
          <w:p w:rsidR="00965D85" w:rsidRPr="00427006"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427006">
              <w:rPr>
                <w:rFonts w:ascii="Calibri" w:eastAsiaTheme="minorEastAsia" w:hAnsi="Calibri" w:cs="Calibri"/>
                <w:color w:val="000000"/>
                <w:sz w:val="20"/>
                <w:lang w:eastAsia="en-AU"/>
              </w:rPr>
              <w:t>61 228.8</w:t>
            </w:r>
          </w:p>
        </w:tc>
        <w:tc>
          <w:tcPr>
            <w:tcW w:w="1560" w:type="dxa"/>
            <w:tcBorders>
              <w:top w:val="nil"/>
              <w:left w:val="nil"/>
              <w:right w:val="nil"/>
            </w:tcBorders>
            <w:shd w:val="clear" w:color="auto" w:fill="FFFFFF"/>
          </w:tcPr>
          <w:p w:rsidR="00965D85" w:rsidRPr="00427006"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427006">
              <w:rPr>
                <w:rFonts w:ascii="Calibri" w:eastAsiaTheme="minorEastAsia" w:hAnsi="Calibri" w:cs="Calibri"/>
                <w:color w:val="000000"/>
                <w:sz w:val="20"/>
                <w:lang w:eastAsia="en-AU"/>
              </w:rPr>
              <w:t>50.0</w:t>
            </w:r>
          </w:p>
        </w:tc>
      </w:tr>
      <w:tr w:rsidR="00965D85" w:rsidRPr="00427006" w:rsidTr="008B46DF">
        <w:trPr>
          <w:cantSplit/>
        </w:trPr>
        <w:tc>
          <w:tcPr>
            <w:tcW w:w="4678" w:type="dxa"/>
            <w:tcBorders>
              <w:top w:val="nil"/>
              <w:left w:val="nil"/>
              <w:right w:val="nil"/>
            </w:tcBorders>
            <w:shd w:val="clear" w:color="auto" w:fill="FFFFFF"/>
          </w:tcPr>
          <w:p w:rsidR="00965D85" w:rsidRPr="00427006"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427006">
              <w:rPr>
                <w:rFonts w:ascii="Calibri" w:eastAsiaTheme="minorEastAsia" w:hAnsi="Calibri" w:cs="Calibri"/>
                <w:color w:val="000000"/>
                <w:sz w:val="20"/>
                <w:lang w:eastAsia="en-AU"/>
              </w:rPr>
              <w:t>Net result</w:t>
            </w:r>
          </w:p>
        </w:tc>
        <w:tc>
          <w:tcPr>
            <w:tcW w:w="1559" w:type="dxa"/>
            <w:tcBorders>
              <w:top w:val="nil"/>
              <w:left w:val="nil"/>
              <w:right w:val="nil"/>
            </w:tcBorders>
            <w:shd w:val="clear" w:color="auto" w:fill="FFFFFF"/>
          </w:tcPr>
          <w:p w:rsidR="00965D85" w:rsidRPr="00427006"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427006">
              <w:rPr>
                <w:rFonts w:ascii="Calibri" w:eastAsiaTheme="minorEastAsia" w:hAnsi="Calibri" w:cs="Calibri"/>
                <w:color w:val="000000"/>
                <w:sz w:val="20"/>
                <w:lang w:eastAsia="en-AU"/>
              </w:rPr>
              <w:t>2 192.9</w:t>
            </w:r>
          </w:p>
        </w:tc>
        <w:tc>
          <w:tcPr>
            <w:tcW w:w="1560" w:type="dxa"/>
            <w:tcBorders>
              <w:top w:val="nil"/>
              <w:left w:val="nil"/>
              <w:right w:val="nil"/>
            </w:tcBorders>
            <w:shd w:val="clear" w:color="auto" w:fill="FFFFFF"/>
          </w:tcPr>
          <w:p w:rsidR="00965D85" w:rsidRPr="00427006"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427006">
              <w:rPr>
                <w:rFonts w:ascii="Calibri" w:eastAsiaTheme="minorEastAsia" w:hAnsi="Calibri" w:cs="Calibri"/>
                <w:color w:val="000000"/>
                <w:sz w:val="20"/>
                <w:lang w:eastAsia="en-AU"/>
              </w:rPr>
              <w:t>..</w:t>
            </w:r>
          </w:p>
        </w:tc>
      </w:tr>
      <w:tr w:rsidR="00965D85" w:rsidRPr="00427006" w:rsidTr="008B46DF">
        <w:trPr>
          <w:cantSplit/>
        </w:trPr>
        <w:tc>
          <w:tcPr>
            <w:tcW w:w="4678" w:type="dxa"/>
            <w:tcBorders>
              <w:top w:val="nil"/>
              <w:left w:val="nil"/>
              <w:right w:val="nil"/>
            </w:tcBorders>
            <w:shd w:val="clear" w:color="auto" w:fill="FFFFFF"/>
          </w:tcPr>
          <w:p w:rsidR="00965D85" w:rsidRPr="00427006"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427006">
              <w:rPr>
                <w:rFonts w:ascii="Calibri" w:eastAsiaTheme="minorEastAsia" w:hAnsi="Calibri" w:cs="Calibri"/>
                <w:color w:val="000000"/>
                <w:sz w:val="20"/>
                <w:lang w:eastAsia="en-AU"/>
              </w:rPr>
              <w:t>Other comprehensive income for the year</w:t>
            </w:r>
          </w:p>
        </w:tc>
        <w:tc>
          <w:tcPr>
            <w:tcW w:w="1559" w:type="dxa"/>
            <w:tcBorders>
              <w:top w:val="nil"/>
              <w:left w:val="nil"/>
              <w:right w:val="nil"/>
            </w:tcBorders>
            <w:shd w:val="clear" w:color="auto" w:fill="FFFFFF"/>
          </w:tcPr>
          <w:p w:rsidR="00965D85" w:rsidRPr="00427006"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427006">
              <w:rPr>
                <w:rFonts w:ascii="Calibri" w:eastAsiaTheme="minorEastAsia" w:hAnsi="Calibri" w:cs="Calibri"/>
                <w:color w:val="000000"/>
                <w:sz w:val="20"/>
                <w:lang w:eastAsia="en-AU"/>
              </w:rPr>
              <w:t>(1 796.8)</w:t>
            </w:r>
          </w:p>
        </w:tc>
        <w:tc>
          <w:tcPr>
            <w:tcW w:w="1560" w:type="dxa"/>
            <w:tcBorders>
              <w:top w:val="nil"/>
              <w:left w:val="nil"/>
              <w:right w:val="nil"/>
            </w:tcBorders>
            <w:shd w:val="clear" w:color="auto" w:fill="FFFFFF"/>
          </w:tcPr>
          <w:p w:rsidR="00965D85" w:rsidRPr="00427006"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427006">
              <w:rPr>
                <w:rFonts w:ascii="Calibri" w:eastAsiaTheme="minorEastAsia" w:hAnsi="Calibri" w:cs="Calibri"/>
                <w:color w:val="000000"/>
                <w:sz w:val="20"/>
                <w:lang w:eastAsia="en-AU"/>
              </w:rPr>
              <w:t>..</w:t>
            </w:r>
          </w:p>
        </w:tc>
      </w:tr>
      <w:tr w:rsidR="00965D85" w:rsidRPr="00427006" w:rsidTr="008B46DF">
        <w:trPr>
          <w:cantSplit/>
        </w:trPr>
        <w:tc>
          <w:tcPr>
            <w:tcW w:w="4678" w:type="dxa"/>
            <w:tcBorders>
              <w:top w:val="nil"/>
              <w:left w:val="nil"/>
              <w:bottom w:val="single" w:sz="6" w:space="0" w:color="auto"/>
              <w:right w:val="nil"/>
            </w:tcBorders>
            <w:shd w:val="clear" w:color="auto" w:fill="FFFFFF"/>
          </w:tcPr>
          <w:p w:rsidR="00965D85" w:rsidRPr="00427006"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427006">
              <w:rPr>
                <w:rFonts w:ascii="Calibri" w:eastAsiaTheme="minorEastAsia" w:hAnsi="Calibri" w:cs="Calibri"/>
                <w:color w:val="000000"/>
                <w:sz w:val="20"/>
                <w:lang w:eastAsia="en-AU"/>
              </w:rPr>
              <w:t>Transfer to accumulated surplus</w:t>
            </w:r>
          </w:p>
        </w:tc>
        <w:tc>
          <w:tcPr>
            <w:tcW w:w="1559" w:type="dxa"/>
            <w:tcBorders>
              <w:top w:val="nil"/>
              <w:left w:val="nil"/>
              <w:bottom w:val="single" w:sz="6" w:space="0" w:color="auto"/>
              <w:right w:val="nil"/>
            </w:tcBorders>
            <w:shd w:val="clear" w:color="auto" w:fill="FFFFFF"/>
          </w:tcPr>
          <w:p w:rsidR="00965D85" w:rsidRPr="00427006"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427006">
              <w:rPr>
                <w:rFonts w:ascii="Calibri" w:eastAsiaTheme="minorEastAsia" w:hAnsi="Calibri" w:cs="Calibri"/>
                <w:color w:val="000000"/>
                <w:sz w:val="20"/>
                <w:lang w:eastAsia="en-AU"/>
              </w:rPr>
              <w:t>1 158.3</w:t>
            </w:r>
          </w:p>
        </w:tc>
        <w:tc>
          <w:tcPr>
            <w:tcW w:w="1560" w:type="dxa"/>
            <w:tcBorders>
              <w:top w:val="nil"/>
              <w:left w:val="nil"/>
              <w:bottom w:val="single" w:sz="6" w:space="0" w:color="auto"/>
              <w:right w:val="nil"/>
            </w:tcBorders>
            <w:shd w:val="clear" w:color="auto" w:fill="FFFFFF"/>
          </w:tcPr>
          <w:p w:rsidR="00965D85" w:rsidRPr="00427006"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427006">
              <w:rPr>
                <w:rFonts w:ascii="Calibri" w:eastAsiaTheme="minorEastAsia" w:hAnsi="Calibri" w:cs="Calibri"/>
                <w:color w:val="000000"/>
                <w:sz w:val="20"/>
                <w:lang w:eastAsia="en-AU"/>
              </w:rPr>
              <w:t>..</w:t>
            </w:r>
          </w:p>
        </w:tc>
      </w:tr>
      <w:tr w:rsidR="00965D85" w:rsidRPr="00427006" w:rsidTr="008B46DF">
        <w:trPr>
          <w:cantSplit/>
        </w:trPr>
        <w:tc>
          <w:tcPr>
            <w:tcW w:w="4678" w:type="dxa"/>
            <w:tcBorders>
              <w:top w:val="single" w:sz="6" w:space="0" w:color="auto"/>
              <w:left w:val="nil"/>
              <w:bottom w:val="single" w:sz="12" w:space="0" w:color="auto"/>
              <w:right w:val="nil"/>
            </w:tcBorders>
            <w:shd w:val="clear" w:color="auto" w:fill="FFFFFF"/>
          </w:tcPr>
          <w:p w:rsidR="00965D85" w:rsidRPr="00427006" w:rsidRDefault="00965D85" w:rsidP="008B46DF">
            <w:pPr>
              <w:autoSpaceDE w:val="0"/>
              <w:autoSpaceDN w:val="0"/>
              <w:adjustRightInd w:val="0"/>
              <w:spacing w:after="0"/>
              <w:ind w:left="227" w:hanging="227"/>
              <w:rPr>
                <w:rFonts w:ascii="Calibri" w:eastAsiaTheme="minorEastAsia" w:hAnsi="Calibri" w:cs="Calibri"/>
                <w:b/>
                <w:bCs/>
                <w:color w:val="000000"/>
                <w:sz w:val="20"/>
                <w:lang w:eastAsia="en-AU"/>
              </w:rPr>
            </w:pPr>
            <w:r w:rsidRPr="00427006">
              <w:rPr>
                <w:rFonts w:ascii="Calibri" w:eastAsiaTheme="minorEastAsia" w:hAnsi="Calibri" w:cs="Calibri"/>
                <w:b/>
                <w:bCs/>
                <w:color w:val="000000"/>
                <w:sz w:val="20"/>
                <w:lang w:eastAsia="en-AU"/>
              </w:rPr>
              <w:t>Total equity at end of period</w:t>
            </w:r>
          </w:p>
        </w:tc>
        <w:tc>
          <w:tcPr>
            <w:tcW w:w="1559" w:type="dxa"/>
            <w:tcBorders>
              <w:top w:val="single" w:sz="6" w:space="0" w:color="auto"/>
              <w:left w:val="nil"/>
              <w:bottom w:val="single" w:sz="12" w:space="0" w:color="auto"/>
              <w:right w:val="nil"/>
            </w:tcBorders>
            <w:shd w:val="clear" w:color="auto" w:fill="FFFFFF"/>
          </w:tcPr>
          <w:p w:rsidR="00965D85" w:rsidRPr="00427006"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427006">
              <w:rPr>
                <w:rFonts w:ascii="Calibri" w:eastAsiaTheme="minorEastAsia" w:hAnsi="Calibri" w:cs="Calibri"/>
                <w:b/>
                <w:bCs/>
                <w:color w:val="000000"/>
                <w:sz w:val="20"/>
                <w:lang w:eastAsia="en-AU"/>
              </w:rPr>
              <w:t>62 783.2</w:t>
            </w:r>
          </w:p>
        </w:tc>
        <w:tc>
          <w:tcPr>
            <w:tcW w:w="1560" w:type="dxa"/>
            <w:tcBorders>
              <w:top w:val="single" w:sz="6" w:space="0" w:color="auto"/>
              <w:left w:val="nil"/>
              <w:bottom w:val="single" w:sz="12" w:space="0" w:color="auto"/>
              <w:right w:val="nil"/>
            </w:tcBorders>
            <w:shd w:val="clear" w:color="auto" w:fill="FFFFFF"/>
          </w:tcPr>
          <w:p w:rsidR="00965D85" w:rsidRPr="00427006"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427006">
              <w:rPr>
                <w:rFonts w:ascii="Calibri" w:eastAsiaTheme="minorEastAsia" w:hAnsi="Calibri" w:cs="Calibri"/>
                <w:b/>
                <w:bCs/>
                <w:color w:val="000000"/>
                <w:sz w:val="20"/>
                <w:lang w:eastAsia="en-AU"/>
              </w:rPr>
              <w:t>50.0</w:t>
            </w:r>
          </w:p>
        </w:tc>
      </w:tr>
      <w:tr w:rsidR="00965D85" w:rsidRPr="00427006" w:rsidTr="008B46DF">
        <w:trPr>
          <w:cantSplit/>
        </w:trPr>
        <w:tc>
          <w:tcPr>
            <w:tcW w:w="4678" w:type="dxa"/>
            <w:tcBorders>
              <w:top w:val="single" w:sz="12" w:space="0" w:color="auto"/>
              <w:left w:val="nil"/>
              <w:right w:val="nil"/>
            </w:tcBorders>
            <w:shd w:val="clear" w:color="auto" w:fill="FFFFFF"/>
          </w:tcPr>
          <w:p w:rsidR="00965D85" w:rsidRPr="00427006" w:rsidRDefault="00965D85" w:rsidP="008B46DF">
            <w:pPr>
              <w:autoSpaceDE w:val="0"/>
              <w:autoSpaceDN w:val="0"/>
              <w:adjustRightInd w:val="0"/>
              <w:spacing w:after="0"/>
              <w:ind w:left="227" w:hanging="227"/>
              <w:rPr>
                <w:rFonts w:ascii="Calibri" w:eastAsiaTheme="minorEastAsia" w:hAnsi="Calibri" w:cs="Calibri"/>
                <w:b/>
                <w:bCs/>
                <w:color w:val="000000"/>
                <w:sz w:val="20"/>
                <w:lang w:eastAsia="en-AU"/>
              </w:rPr>
            </w:pPr>
            <w:r w:rsidRPr="00427006">
              <w:rPr>
                <w:rFonts w:ascii="Calibri" w:eastAsiaTheme="minorEastAsia" w:hAnsi="Calibri" w:cs="Calibri"/>
                <w:b/>
                <w:bCs/>
                <w:color w:val="000000"/>
                <w:sz w:val="20"/>
                <w:lang w:eastAsia="en-AU"/>
              </w:rPr>
              <w:t>2016</w:t>
            </w:r>
            <w:r>
              <w:rPr>
                <w:rFonts w:ascii="Calibri" w:eastAsiaTheme="minorEastAsia" w:hAnsi="Calibri" w:cs="Calibri"/>
                <w:b/>
                <w:bCs/>
                <w:color w:val="000000"/>
                <w:sz w:val="20"/>
                <w:lang w:eastAsia="en-AU"/>
              </w:rPr>
              <w:noBreakHyphen/>
            </w:r>
            <w:r w:rsidRPr="00427006">
              <w:rPr>
                <w:rFonts w:ascii="Calibri" w:eastAsiaTheme="minorEastAsia" w:hAnsi="Calibri" w:cs="Calibri"/>
                <w:b/>
                <w:bCs/>
                <w:color w:val="000000"/>
                <w:sz w:val="20"/>
                <w:lang w:eastAsia="en-AU"/>
              </w:rPr>
              <w:t>17 estimate</w:t>
            </w:r>
          </w:p>
        </w:tc>
        <w:tc>
          <w:tcPr>
            <w:tcW w:w="1559" w:type="dxa"/>
            <w:tcBorders>
              <w:top w:val="single" w:sz="12" w:space="0" w:color="auto"/>
              <w:left w:val="nil"/>
              <w:right w:val="nil"/>
            </w:tcBorders>
            <w:shd w:val="clear" w:color="auto" w:fill="FFFFFF"/>
          </w:tcPr>
          <w:p w:rsidR="00965D85" w:rsidRPr="00427006"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1560" w:type="dxa"/>
            <w:tcBorders>
              <w:top w:val="single" w:sz="12" w:space="0" w:color="auto"/>
              <w:left w:val="nil"/>
              <w:right w:val="nil"/>
            </w:tcBorders>
            <w:shd w:val="clear" w:color="auto" w:fill="FFFFFF"/>
          </w:tcPr>
          <w:p w:rsidR="00965D85" w:rsidRPr="00427006"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r>
      <w:tr w:rsidR="00965D85" w:rsidRPr="00427006" w:rsidTr="008B46DF">
        <w:trPr>
          <w:cantSplit/>
        </w:trPr>
        <w:tc>
          <w:tcPr>
            <w:tcW w:w="4678" w:type="dxa"/>
            <w:tcBorders>
              <w:top w:val="nil"/>
              <w:left w:val="nil"/>
              <w:right w:val="nil"/>
            </w:tcBorders>
            <w:shd w:val="clear" w:color="auto" w:fill="FFFFFF"/>
          </w:tcPr>
          <w:p w:rsidR="00965D85" w:rsidRPr="00427006"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427006">
              <w:rPr>
                <w:rFonts w:ascii="Calibri" w:eastAsiaTheme="minorEastAsia" w:hAnsi="Calibri" w:cs="Calibri"/>
                <w:color w:val="000000"/>
                <w:sz w:val="20"/>
                <w:lang w:eastAsia="en-AU"/>
              </w:rPr>
              <w:t>Balance at 1 July 2016</w:t>
            </w:r>
          </w:p>
        </w:tc>
        <w:tc>
          <w:tcPr>
            <w:tcW w:w="1559" w:type="dxa"/>
            <w:tcBorders>
              <w:top w:val="nil"/>
              <w:left w:val="nil"/>
              <w:right w:val="nil"/>
            </w:tcBorders>
            <w:shd w:val="clear" w:color="auto" w:fill="FFFFFF"/>
          </w:tcPr>
          <w:p w:rsidR="00965D85" w:rsidRPr="00427006"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427006">
              <w:rPr>
                <w:rFonts w:ascii="Calibri" w:eastAsiaTheme="minorEastAsia" w:hAnsi="Calibri" w:cs="Calibri"/>
                <w:color w:val="000000"/>
                <w:sz w:val="20"/>
                <w:lang w:eastAsia="en-AU"/>
              </w:rPr>
              <w:t>62 783.2</w:t>
            </w:r>
          </w:p>
        </w:tc>
        <w:tc>
          <w:tcPr>
            <w:tcW w:w="1560" w:type="dxa"/>
            <w:tcBorders>
              <w:top w:val="nil"/>
              <w:left w:val="nil"/>
              <w:right w:val="nil"/>
            </w:tcBorders>
            <w:shd w:val="clear" w:color="auto" w:fill="FFFFFF"/>
          </w:tcPr>
          <w:p w:rsidR="00965D85" w:rsidRPr="00427006"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427006">
              <w:rPr>
                <w:rFonts w:ascii="Calibri" w:eastAsiaTheme="minorEastAsia" w:hAnsi="Calibri" w:cs="Calibri"/>
                <w:color w:val="000000"/>
                <w:sz w:val="20"/>
                <w:lang w:eastAsia="en-AU"/>
              </w:rPr>
              <w:t>50.0</w:t>
            </w:r>
          </w:p>
        </w:tc>
      </w:tr>
      <w:tr w:rsidR="00965D85" w:rsidRPr="00427006" w:rsidTr="008B46DF">
        <w:trPr>
          <w:cantSplit/>
        </w:trPr>
        <w:tc>
          <w:tcPr>
            <w:tcW w:w="4678" w:type="dxa"/>
            <w:tcBorders>
              <w:top w:val="nil"/>
              <w:left w:val="nil"/>
              <w:right w:val="nil"/>
            </w:tcBorders>
            <w:shd w:val="clear" w:color="auto" w:fill="FFFFFF"/>
          </w:tcPr>
          <w:p w:rsidR="00965D85" w:rsidRPr="00427006"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427006">
              <w:rPr>
                <w:rFonts w:ascii="Calibri" w:eastAsiaTheme="minorEastAsia" w:hAnsi="Calibri" w:cs="Calibri"/>
                <w:color w:val="000000"/>
                <w:sz w:val="20"/>
                <w:lang w:eastAsia="en-AU"/>
              </w:rPr>
              <w:t>Net result</w:t>
            </w:r>
          </w:p>
        </w:tc>
        <w:tc>
          <w:tcPr>
            <w:tcW w:w="1559" w:type="dxa"/>
            <w:tcBorders>
              <w:top w:val="nil"/>
              <w:left w:val="nil"/>
              <w:right w:val="nil"/>
            </w:tcBorders>
            <w:shd w:val="clear" w:color="auto" w:fill="FFFFFF"/>
          </w:tcPr>
          <w:p w:rsidR="00965D85" w:rsidRPr="00427006"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427006">
              <w:rPr>
                <w:rFonts w:ascii="Calibri" w:eastAsiaTheme="minorEastAsia" w:hAnsi="Calibri" w:cs="Calibri"/>
                <w:color w:val="000000"/>
                <w:sz w:val="20"/>
                <w:lang w:eastAsia="en-AU"/>
              </w:rPr>
              <w:t>898.3</w:t>
            </w:r>
          </w:p>
        </w:tc>
        <w:tc>
          <w:tcPr>
            <w:tcW w:w="1560" w:type="dxa"/>
            <w:tcBorders>
              <w:top w:val="nil"/>
              <w:left w:val="nil"/>
              <w:right w:val="nil"/>
            </w:tcBorders>
            <w:shd w:val="clear" w:color="auto" w:fill="FFFFFF"/>
          </w:tcPr>
          <w:p w:rsidR="00965D85" w:rsidRPr="00427006"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427006">
              <w:rPr>
                <w:rFonts w:ascii="Calibri" w:eastAsiaTheme="minorEastAsia" w:hAnsi="Calibri" w:cs="Calibri"/>
                <w:color w:val="000000"/>
                <w:sz w:val="20"/>
                <w:lang w:eastAsia="en-AU"/>
              </w:rPr>
              <w:t>..</w:t>
            </w:r>
          </w:p>
        </w:tc>
      </w:tr>
      <w:tr w:rsidR="00965D85" w:rsidRPr="00427006" w:rsidTr="008B46DF">
        <w:trPr>
          <w:cantSplit/>
        </w:trPr>
        <w:tc>
          <w:tcPr>
            <w:tcW w:w="4678" w:type="dxa"/>
            <w:tcBorders>
              <w:top w:val="nil"/>
              <w:left w:val="nil"/>
              <w:right w:val="nil"/>
            </w:tcBorders>
            <w:shd w:val="clear" w:color="auto" w:fill="FFFFFF"/>
          </w:tcPr>
          <w:p w:rsidR="00965D85" w:rsidRPr="00427006"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427006">
              <w:rPr>
                <w:rFonts w:ascii="Calibri" w:eastAsiaTheme="minorEastAsia" w:hAnsi="Calibri" w:cs="Calibri"/>
                <w:color w:val="000000"/>
                <w:sz w:val="20"/>
                <w:lang w:eastAsia="en-AU"/>
              </w:rPr>
              <w:t>Other comprehensive income for the year</w:t>
            </w:r>
          </w:p>
        </w:tc>
        <w:tc>
          <w:tcPr>
            <w:tcW w:w="1559" w:type="dxa"/>
            <w:tcBorders>
              <w:top w:val="nil"/>
              <w:left w:val="nil"/>
              <w:right w:val="nil"/>
            </w:tcBorders>
            <w:shd w:val="clear" w:color="auto" w:fill="FFFFFF"/>
          </w:tcPr>
          <w:p w:rsidR="00965D85" w:rsidRPr="00427006"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427006">
              <w:rPr>
                <w:rFonts w:ascii="Calibri" w:eastAsiaTheme="minorEastAsia" w:hAnsi="Calibri" w:cs="Calibri"/>
                <w:color w:val="000000"/>
                <w:sz w:val="20"/>
                <w:lang w:eastAsia="en-AU"/>
              </w:rPr>
              <w:t>945.1</w:t>
            </w:r>
          </w:p>
        </w:tc>
        <w:tc>
          <w:tcPr>
            <w:tcW w:w="1560" w:type="dxa"/>
            <w:tcBorders>
              <w:top w:val="nil"/>
              <w:left w:val="nil"/>
              <w:right w:val="nil"/>
            </w:tcBorders>
            <w:shd w:val="clear" w:color="auto" w:fill="FFFFFF"/>
          </w:tcPr>
          <w:p w:rsidR="00965D85" w:rsidRPr="00427006"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427006">
              <w:rPr>
                <w:rFonts w:ascii="Calibri" w:eastAsiaTheme="minorEastAsia" w:hAnsi="Calibri" w:cs="Calibri"/>
                <w:color w:val="000000"/>
                <w:sz w:val="20"/>
                <w:lang w:eastAsia="en-AU"/>
              </w:rPr>
              <w:t>..</w:t>
            </w:r>
          </w:p>
        </w:tc>
      </w:tr>
      <w:tr w:rsidR="00965D85" w:rsidRPr="00427006" w:rsidTr="008B46DF">
        <w:trPr>
          <w:cantSplit/>
        </w:trPr>
        <w:tc>
          <w:tcPr>
            <w:tcW w:w="4678" w:type="dxa"/>
            <w:tcBorders>
              <w:top w:val="nil"/>
              <w:left w:val="nil"/>
              <w:bottom w:val="single" w:sz="6" w:space="0" w:color="auto"/>
              <w:right w:val="nil"/>
            </w:tcBorders>
            <w:shd w:val="clear" w:color="auto" w:fill="FFFFFF"/>
          </w:tcPr>
          <w:p w:rsidR="00965D85" w:rsidRPr="00427006"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427006">
              <w:rPr>
                <w:rFonts w:ascii="Calibri" w:eastAsiaTheme="minorEastAsia" w:hAnsi="Calibri" w:cs="Calibri"/>
                <w:color w:val="000000"/>
                <w:sz w:val="20"/>
                <w:lang w:eastAsia="en-AU"/>
              </w:rPr>
              <w:t>Transfer to accumulated surplus</w:t>
            </w:r>
          </w:p>
        </w:tc>
        <w:tc>
          <w:tcPr>
            <w:tcW w:w="1559" w:type="dxa"/>
            <w:tcBorders>
              <w:top w:val="nil"/>
              <w:left w:val="nil"/>
              <w:bottom w:val="single" w:sz="6" w:space="0" w:color="auto"/>
              <w:right w:val="nil"/>
            </w:tcBorders>
            <w:shd w:val="clear" w:color="auto" w:fill="FFFFFF"/>
          </w:tcPr>
          <w:p w:rsidR="00965D85" w:rsidRPr="00427006"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427006">
              <w:rPr>
                <w:rFonts w:ascii="Calibri" w:eastAsiaTheme="minorEastAsia" w:hAnsi="Calibri" w:cs="Calibri"/>
                <w:color w:val="000000"/>
                <w:sz w:val="20"/>
                <w:lang w:eastAsia="en-AU"/>
              </w:rPr>
              <w:t>..</w:t>
            </w:r>
          </w:p>
        </w:tc>
        <w:tc>
          <w:tcPr>
            <w:tcW w:w="1560" w:type="dxa"/>
            <w:tcBorders>
              <w:top w:val="nil"/>
              <w:left w:val="nil"/>
              <w:bottom w:val="single" w:sz="6" w:space="0" w:color="auto"/>
              <w:right w:val="nil"/>
            </w:tcBorders>
            <w:shd w:val="clear" w:color="auto" w:fill="FFFFFF"/>
          </w:tcPr>
          <w:p w:rsidR="00965D85" w:rsidRPr="00427006"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427006">
              <w:rPr>
                <w:rFonts w:ascii="Calibri" w:eastAsiaTheme="minorEastAsia" w:hAnsi="Calibri" w:cs="Calibri"/>
                <w:color w:val="000000"/>
                <w:sz w:val="20"/>
                <w:lang w:eastAsia="en-AU"/>
              </w:rPr>
              <w:t>..</w:t>
            </w:r>
          </w:p>
        </w:tc>
      </w:tr>
      <w:tr w:rsidR="00965D85" w:rsidRPr="00427006" w:rsidTr="008B46DF">
        <w:trPr>
          <w:cantSplit/>
        </w:trPr>
        <w:tc>
          <w:tcPr>
            <w:tcW w:w="4678" w:type="dxa"/>
            <w:tcBorders>
              <w:top w:val="single" w:sz="6" w:space="0" w:color="auto"/>
              <w:left w:val="nil"/>
              <w:bottom w:val="single" w:sz="12" w:space="0" w:color="auto"/>
              <w:right w:val="nil"/>
            </w:tcBorders>
            <w:shd w:val="clear" w:color="auto" w:fill="FFFFFF"/>
          </w:tcPr>
          <w:p w:rsidR="00965D85" w:rsidRPr="00427006" w:rsidRDefault="00965D85" w:rsidP="008B46DF">
            <w:pPr>
              <w:autoSpaceDE w:val="0"/>
              <w:autoSpaceDN w:val="0"/>
              <w:adjustRightInd w:val="0"/>
              <w:spacing w:after="0"/>
              <w:ind w:left="227" w:hanging="227"/>
              <w:rPr>
                <w:rFonts w:ascii="Calibri" w:eastAsiaTheme="minorEastAsia" w:hAnsi="Calibri" w:cs="Calibri"/>
                <w:b/>
                <w:bCs/>
                <w:color w:val="000000"/>
                <w:sz w:val="20"/>
                <w:lang w:eastAsia="en-AU"/>
              </w:rPr>
            </w:pPr>
            <w:r w:rsidRPr="00427006">
              <w:rPr>
                <w:rFonts w:ascii="Calibri" w:eastAsiaTheme="minorEastAsia" w:hAnsi="Calibri" w:cs="Calibri"/>
                <w:b/>
                <w:bCs/>
                <w:color w:val="000000"/>
                <w:sz w:val="20"/>
                <w:lang w:eastAsia="en-AU"/>
              </w:rPr>
              <w:t>Total equity at end of period</w:t>
            </w:r>
          </w:p>
        </w:tc>
        <w:tc>
          <w:tcPr>
            <w:tcW w:w="1559" w:type="dxa"/>
            <w:tcBorders>
              <w:top w:val="single" w:sz="6" w:space="0" w:color="auto"/>
              <w:left w:val="nil"/>
              <w:bottom w:val="single" w:sz="12" w:space="0" w:color="auto"/>
              <w:right w:val="nil"/>
            </w:tcBorders>
            <w:shd w:val="clear" w:color="auto" w:fill="FFFFFF"/>
          </w:tcPr>
          <w:p w:rsidR="00965D85" w:rsidRPr="00427006"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427006">
              <w:rPr>
                <w:rFonts w:ascii="Calibri" w:eastAsiaTheme="minorEastAsia" w:hAnsi="Calibri" w:cs="Calibri"/>
                <w:b/>
                <w:bCs/>
                <w:color w:val="000000"/>
                <w:sz w:val="20"/>
                <w:lang w:eastAsia="en-AU"/>
              </w:rPr>
              <w:t>64 626.5</w:t>
            </w:r>
          </w:p>
        </w:tc>
        <w:tc>
          <w:tcPr>
            <w:tcW w:w="1560" w:type="dxa"/>
            <w:tcBorders>
              <w:top w:val="single" w:sz="6" w:space="0" w:color="auto"/>
              <w:left w:val="nil"/>
              <w:bottom w:val="single" w:sz="12" w:space="0" w:color="auto"/>
              <w:right w:val="nil"/>
            </w:tcBorders>
            <w:shd w:val="clear" w:color="auto" w:fill="FFFFFF"/>
          </w:tcPr>
          <w:p w:rsidR="00965D85" w:rsidRPr="00427006"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427006">
              <w:rPr>
                <w:rFonts w:ascii="Calibri" w:eastAsiaTheme="minorEastAsia" w:hAnsi="Calibri" w:cs="Calibri"/>
                <w:b/>
                <w:bCs/>
                <w:color w:val="000000"/>
                <w:sz w:val="20"/>
                <w:lang w:eastAsia="en-AU"/>
              </w:rPr>
              <w:t>50.0</w:t>
            </w:r>
          </w:p>
        </w:tc>
      </w:tr>
      <w:tr w:rsidR="00965D85" w:rsidRPr="00427006" w:rsidTr="008B46DF">
        <w:trPr>
          <w:cantSplit/>
        </w:trPr>
        <w:tc>
          <w:tcPr>
            <w:tcW w:w="4678" w:type="dxa"/>
            <w:tcBorders>
              <w:top w:val="single" w:sz="12" w:space="0" w:color="auto"/>
              <w:left w:val="nil"/>
              <w:right w:val="nil"/>
            </w:tcBorders>
            <w:shd w:val="clear" w:color="auto" w:fill="FFFFFF"/>
          </w:tcPr>
          <w:p w:rsidR="00965D85" w:rsidRPr="00427006" w:rsidRDefault="00965D85" w:rsidP="008B46DF">
            <w:pPr>
              <w:autoSpaceDE w:val="0"/>
              <w:autoSpaceDN w:val="0"/>
              <w:adjustRightInd w:val="0"/>
              <w:spacing w:after="0"/>
              <w:ind w:left="227" w:hanging="227"/>
              <w:rPr>
                <w:rFonts w:ascii="Calibri" w:eastAsiaTheme="minorEastAsia" w:hAnsi="Calibri" w:cs="Calibri"/>
                <w:b/>
                <w:bCs/>
                <w:color w:val="000000"/>
                <w:sz w:val="20"/>
                <w:lang w:eastAsia="en-AU"/>
              </w:rPr>
            </w:pPr>
            <w:r w:rsidRPr="00427006">
              <w:rPr>
                <w:rFonts w:ascii="Calibri" w:eastAsiaTheme="minorEastAsia" w:hAnsi="Calibri" w:cs="Calibri"/>
                <w:b/>
                <w:bCs/>
                <w:color w:val="000000"/>
                <w:sz w:val="20"/>
                <w:lang w:eastAsia="en-AU"/>
              </w:rPr>
              <w:t>2017</w:t>
            </w:r>
            <w:r>
              <w:rPr>
                <w:rFonts w:ascii="Calibri" w:eastAsiaTheme="minorEastAsia" w:hAnsi="Calibri" w:cs="Calibri"/>
                <w:b/>
                <w:bCs/>
                <w:color w:val="000000"/>
                <w:sz w:val="20"/>
                <w:lang w:eastAsia="en-AU"/>
              </w:rPr>
              <w:noBreakHyphen/>
            </w:r>
            <w:r w:rsidRPr="00427006">
              <w:rPr>
                <w:rFonts w:ascii="Calibri" w:eastAsiaTheme="minorEastAsia" w:hAnsi="Calibri" w:cs="Calibri"/>
                <w:b/>
                <w:bCs/>
                <w:color w:val="000000"/>
                <w:sz w:val="20"/>
                <w:lang w:eastAsia="en-AU"/>
              </w:rPr>
              <w:t>18 estimate</w:t>
            </w:r>
          </w:p>
        </w:tc>
        <w:tc>
          <w:tcPr>
            <w:tcW w:w="1559" w:type="dxa"/>
            <w:tcBorders>
              <w:top w:val="single" w:sz="12" w:space="0" w:color="auto"/>
              <w:left w:val="nil"/>
              <w:right w:val="nil"/>
            </w:tcBorders>
            <w:shd w:val="clear" w:color="auto" w:fill="FFFFFF"/>
          </w:tcPr>
          <w:p w:rsidR="00965D85" w:rsidRPr="00427006"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1560" w:type="dxa"/>
            <w:tcBorders>
              <w:top w:val="single" w:sz="12" w:space="0" w:color="auto"/>
              <w:left w:val="nil"/>
              <w:right w:val="nil"/>
            </w:tcBorders>
            <w:shd w:val="clear" w:color="auto" w:fill="FFFFFF"/>
          </w:tcPr>
          <w:p w:rsidR="00965D85" w:rsidRPr="00427006"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r>
      <w:tr w:rsidR="00965D85" w:rsidRPr="00427006" w:rsidTr="008B46DF">
        <w:trPr>
          <w:cantSplit/>
        </w:trPr>
        <w:tc>
          <w:tcPr>
            <w:tcW w:w="4678" w:type="dxa"/>
            <w:tcBorders>
              <w:top w:val="nil"/>
              <w:left w:val="nil"/>
              <w:right w:val="nil"/>
            </w:tcBorders>
            <w:shd w:val="clear" w:color="auto" w:fill="FFFFFF"/>
          </w:tcPr>
          <w:p w:rsidR="00965D85" w:rsidRPr="00427006"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427006">
              <w:rPr>
                <w:rFonts w:ascii="Calibri" w:eastAsiaTheme="minorEastAsia" w:hAnsi="Calibri" w:cs="Calibri"/>
                <w:color w:val="000000"/>
                <w:sz w:val="20"/>
                <w:lang w:eastAsia="en-AU"/>
              </w:rPr>
              <w:t>Balance at 1 July 2017</w:t>
            </w:r>
          </w:p>
        </w:tc>
        <w:tc>
          <w:tcPr>
            <w:tcW w:w="1559" w:type="dxa"/>
            <w:tcBorders>
              <w:top w:val="nil"/>
              <w:left w:val="nil"/>
              <w:right w:val="nil"/>
            </w:tcBorders>
            <w:shd w:val="clear" w:color="auto" w:fill="FFFFFF"/>
          </w:tcPr>
          <w:p w:rsidR="00965D85" w:rsidRPr="00427006"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427006">
              <w:rPr>
                <w:rFonts w:ascii="Calibri" w:eastAsiaTheme="minorEastAsia" w:hAnsi="Calibri" w:cs="Calibri"/>
                <w:color w:val="000000"/>
                <w:sz w:val="20"/>
                <w:lang w:eastAsia="en-AU"/>
              </w:rPr>
              <w:t>64 626.5</w:t>
            </w:r>
          </w:p>
        </w:tc>
        <w:tc>
          <w:tcPr>
            <w:tcW w:w="1560" w:type="dxa"/>
            <w:tcBorders>
              <w:top w:val="nil"/>
              <w:left w:val="nil"/>
              <w:right w:val="nil"/>
            </w:tcBorders>
            <w:shd w:val="clear" w:color="auto" w:fill="FFFFFF"/>
          </w:tcPr>
          <w:p w:rsidR="00965D85" w:rsidRPr="00427006"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427006">
              <w:rPr>
                <w:rFonts w:ascii="Calibri" w:eastAsiaTheme="minorEastAsia" w:hAnsi="Calibri" w:cs="Calibri"/>
                <w:color w:val="000000"/>
                <w:sz w:val="20"/>
                <w:lang w:eastAsia="en-AU"/>
              </w:rPr>
              <w:t>50.0</w:t>
            </w:r>
          </w:p>
        </w:tc>
      </w:tr>
      <w:tr w:rsidR="00965D85" w:rsidRPr="00427006" w:rsidTr="008B46DF">
        <w:trPr>
          <w:cantSplit/>
        </w:trPr>
        <w:tc>
          <w:tcPr>
            <w:tcW w:w="4678" w:type="dxa"/>
            <w:tcBorders>
              <w:top w:val="nil"/>
              <w:left w:val="nil"/>
              <w:right w:val="nil"/>
            </w:tcBorders>
            <w:shd w:val="clear" w:color="auto" w:fill="FFFFFF"/>
          </w:tcPr>
          <w:p w:rsidR="00965D85" w:rsidRPr="00427006"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427006">
              <w:rPr>
                <w:rFonts w:ascii="Calibri" w:eastAsiaTheme="minorEastAsia" w:hAnsi="Calibri" w:cs="Calibri"/>
                <w:color w:val="000000"/>
                <w:sz w:val="20"/>
                <w:lang w:eastAsia="en-AU"/>
              </w:rPr>
              <w:t>Net result</w:t>
            </w:r>
          </w:p>
        </w:tc>
        <w:tc>
          <w:tcPr>
            <w:tcW w:w="1559" w:type="dxa"/>
            <w:tcBorders>
              <w:top w:val="nil"/>
              <w:left w:val="nil"/>
              <w:right w:val="nil"/>
            </w:tcBorders>
            <w:shd w:val="clear" w:color="auto" w:fill="FFFFFF"/>
          </w:tcPr>
          <w:p w:rsidR="00965D85" w:rsidRPr="00427006"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427006">
              <w:rPr>
                <w:rFonts w:ascii="Calibri" w:eastAsiaTheme="minorEastAsia" w:hAnsi="Calibri" w:cs="Calibri"/>
                <w:color w:val="000000"/>
                <w:sz w:val="20"/>
                <w:lang w:eastAsia="en-AU"/>
              </w:rPr>
              <w:t>1 266.9</w:t>
            </w:r>
          </w:p>
        </w:tc>
        <w:tc>
          <w:tcPr>
            <w:tcW w:w="1560" w:type="dxa"/>
            <w:tcBorders>
              <w:top w:val="nil"/>
              <w:left w:val="nil"/>
              <w:right w:val="nil"/>
            </w:tcBorders>
            <w:shd w:val="clear" w:color="auto" w:fill="FFFFFF"/>
          </w:tcPr>
          <w:p w:rsidR="00965D85" w:rsidRPr="00427006"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427006">
              <w:rPr>
                <w:rFonts w:ascii="Calibri" w:eastAsiaTheme="minorEastAsia" w:hAnsi="Calibri" w:cs="Calibri"/>
                <w:color w:val="000000"/>
                <w:sz w:val="20"/>
                <w:lang w:eastAsia="en-AU"/>
              </w:rPr>
              <w:t>..</w:t>
            </w:r>
          </w:p>
        </w:tc>
      </w:tr>
      <w:tr w:rsidR="00965D85" w:rsidRPr="00427006" w:rsidTr="008B46DF">
        <w:trPr>
          <w:cantSplit/>
        </w:trPr>
        <w:tc>
          <w:tcPr>
            <w:tcW w:w="4678" w:type="dxa"/>
            <w:tcBorders>
              <w:top w:val="nil"/>
              <w:left w:val="nil"/>
              <w:right w:val="nil"/>
            </w:tcBorders>
            <w:shd w:val="clear" w:color="auto" w:fill="FFFFFF"/>
          </w:tcPr>
          <w:p w:rsidR="00965D85" w:rsidRPr="00427006"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427006">
              <w:rPr>
                <w:rFonts w:ascii="Calibri" w:eastAsiaTheme="minorEastAsia" w:hAnsi="Calibri" w:cs="Calibri"/>
                <w:color w:val="000000"/>
                <w:sz w:val="20"/>
                <w:lang w:eastAsia="en-AU"/>
              </w:rPr>
              <w:t>Other comprehensive income for the year</w:t>
            </w:r>
          </w:p>
        </w:tc>
        <w:tc>
          <w:tcPr>
            <w:tcW w:w="1559" w:type="dxa"/>
            <w:tcBorders>
              <w:top w:val="nil"/>
              <w:left w:val="nil"/>
              <w:right w:val="nil"/>
            </w:tcBorders>
            <w:shd w:val="clear" w:color="auto" w:fill="FFFFFF"/>
          </w:tcPr>
          <w:p w:rsidR="00965D85" w:rsidRPr="00427006"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427006">
              <w:rPr>
                <w:rFonts w:ascii="Calibri" w:eastAsiaTheme="minorEastAsia" w:hAnsi="Calibri" w:cs="Calibri"/>
                <w:color w:val="000000"/>
                <w:sz w:val="20"/>
                <w:lang w:eastAsia="en-AU"/>
              </w:rPr>
              <w:t>786.8</w:t>
            </w:r>
          </w:p>
        </w:tc>
        <w:tc>
          <w:tcPr>
            <w:tcW w:w="1560" w:type="dxa"/>
            <w:tcBorders>
              <w:top w:val="nil"/>
              <w:left w:val="nil"/>
              <w:right w:val="nil"/>
            </w:tcBorders>
            <w:shd w:val="clear" w:color="auto" w:fill="FFFFFF"/>
          </w:tcPr>
          <w:p w:rsidR="00965D85" w:rsidRPr="00427006"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427006">
              <w:rPr>
                <w:rFonts w:ascii="Calibri" w:eastAsiaTheme="minorEastAsia" w:hAnsi="Calibri" w:cs="Calibri"/>
                <w:color w:val="000000"/>
                <w:sz w:val="20"/>
                <w:lang w:eastAsia="en-AU"/>
              </w:rPr>
              <w:t>..</w:t>
            </w:r>
          </w:p>
        </w:tc>
      </w:tr>
      <w:tr w:rsidR="00965D85" w:rsidRPr="00427006" w:rsidTr="008B46DF">
        <w:trPr>
          <w:cantSplit/>
        </w:trPr>
        <w:tc>
          <w:tcPr>
            <w:tcW w:w="4678" w:type="dxa"/>
            <w:tcBorders>
              <w:top w:val="nil"/>
              <w:left w:val="nil"/>
              <w:bottom w:val="single" w:sz="6" w:space="0" w:color="auto"/>
              <w:right w:val="nil"/>
            </w:tcBorders>
            <w:shd w:val="clear" w:color="auto" w:fill="FFFFFF"/>
          </w:tcPr>
          <w:p w:rsidR="00965D85" w:rsidRPr="00427006"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427006">
              <w:rPr>
                <w:rFonts w:ascii="Calibri" w:eastAsiaTheme="minorEastAsia" w:hAnsi="Calibri" w:cs="Calibri"/>
                <w:color w:val="000000"/>
                <w:sz w:val="20"/>
                <w:lang w:eastAsia="en-AU"/>
              </w:rPr>
              <w:t>Transfer to accumulated surplus</w:t>
            </w:r>
          </w:p>
        </w:tc>
        <w:tc>
          <w:tcPr>
            <w:tcW w:w="1559" w:type="dxa"/>
            <w:tcBorders>
              <w:top w:val="nil"/>
              <w:left w:val="nil"/>
              <w:bottom w:val="single" w:sz="6" w:space="0" w:color="auto"/>
              <w:right w:val="nil"/>
            </w:tcBorders>
            <w:shd w:val="clear" w:color="auto" w:fill="FFFFFF"/>
          </w:tcPr>
          <w:p w:rsidR="00965D85" w:rsidRPr="00427006"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427006">
              <w:rPr>
                <w:rFonts w:ascii="Calibri" w:eastAsiaTheme="minorEastAsia" w:hAnsi="Calibri" w:cs="Calibri"/>
                <w:color w:val="000000"/>
                <w:sz w:val="20"/>
                <w:lang w:eastAsia="en-AU"/>
              </w:rPr>
              <w:t>(89.5)</w:t>
            </w:r>
          </w:p>
        </w:tc>
        <w:tc>
          <w:tcPr>
            <w:tcW w:w="1560" w:type="dxa"/>
            <w:tcBorders>
              <w:top w:val="nil"/>
              <w:left w:val="nil"/>
              <w:bottom w:val="single" w:sz="6" w:space="0" w:color="auto"/>
              <w:right w:val="nil"/>
            </w:tcBorders>
            <w:shd w:val="clear" w:color="auto" w:fill="FFFFFF"/>
          </w:tcPr>
          <w:p w:rsidR="00965D85" w:rsidRPr="00427006"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427006">
              <w:rPr>
                <w:rFonts w:ascii="Calibri" w:eastAsiaTheme="minorEastAsia" w:hAnsi="Calibri" w:cs="Calibri"/>
                <w:color w:val="000000"/>
                <w:sz w:val="20"/>
                <w:lang w:eastAsia="en-AU"/>
              </w:rPr>
              <w:t>..</w:t>
            </w:r>
          </w:p>
        </w:tc>
      </w:tr>
      <w:tr w:rsidR="00965D85" w:rsidRPr="00427006" w:rsidTr="008B46DF">
        <w:trPr>
          <w:cantSplit/>
        </w:trPr>
        <w:tc>
          <w:tcPr>
            <w:tcW w:w="4678" w:type="dxa"/>
            <w:tcBorders>
              <w:top w:val="single" w:sz="6" w:space="0" w:color="auto"/>
              <w:left w:val="nil"/>
              <w:bottom w:val="single" w:sz="12" w:space="0" w:color="auto"/>
              <w:right w:val="nil"/>
            </w:tcBorders>
            <w:shd w:val="clear" w:color="auto" w:fill="FFFFFF"/>
          </w:tcPr>
          <w:p w:rsidR="00965D85" w:rsidRPr="00427006" w:rsidRDefault="00965D85" w:rsidP="008B46DF">
            <w:pPr>
              <w:autoSpaceDE w:val="0"/>
              <w:autoSpaceDN w:val="0"/>
              <w:adjustRightInd w:val="0"/>
              <w:spacing w:after="0"/>
              <w:ind w:left="227" w:hanging="227"/>
              <w:rPr>
                <w:rFonts w:ascii="Calibri" w:eastAsiaTheme="minorEastAsia" w:hAnsi="Calibri" w:cs="Calibri"/>
                <w:b/>
                <w:bCs/>
                <w:color w:val="000000"/>
                <w:sz w:val="20"/>
                <w:lang w:eastAsia="en-AU"/>
              </w:rPr>
            </w:pPr>
            <w:r w:rsidRPr="00427006">
              <w:rPr>
                <w:rFonts w:ascii="Calibri" w:eastAsiaTheme="minorEastAsia" w:hAnsi="Calibri" w:cs="Calibri"/>
                <w:b/>
                <w:bCs/>
                <w:color w:val="000000"/>
                <w:sz w:val="20"/>
                <w:lang w:eastAsia="en-AU"/>
              </w:rPr>
              <w:t>Total equity at end of period</w:t>
            </w:r>
          </w:p>
        </w:tc>
        <w:tc>
          <w:tcPr>
            <w:tcW w:w="1559" w:type="dxa"/>
            <w:tcBorders>
              <w:top w:val="single" w:sz="6" w:space="0" w:color="auto"/>
              <w:left w:val="nil"/>
              <w:bottom w:val="single" w:sz="12" w:space="0" w:color="auto"/>
              <w:right w:val="nil"/>
            </w:tcBorders>
            <w:shd w:val="clear" w:color="auto" w:fill="FFFFFF"/>
          </w:tcPr>
          <w:p w:rsidR="00965D85" w:rsidRPr="00427006"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427006">
              <w:rPr>
                <w:rFonts w:ascii="Calibri" w:eastAsiaTheme="minorEastAsia" w:hAnsi="Calibri" w:cs="Calibri"/>
                <w:b/>
                <w:bCs/>
                <w:color w:val="000000"/>
                <w:sz w:val="20"/>
                <w:lang w:eastAsia="en-AU"/>
              </w:rPr>
              <w:t>66 590.7</w:t>
            </w:r>
          </w:p>
        </w:tc>
        <w:tc>
          <w:tcPr>
            <w:tcW w:w="1560" w:type="dxa"/>
            <w:tcBorders>
              <w:top w:val="single" w:sz="6" w:space="0" w:color="auto"/>
              <w:left w:val="nil"/>
              <w:bottom w:val="single" w:sz="12" w:space="0" w:color="auto"/>
              <w:right w:val="nil"/>
            </w:tcBorders>
            <w:shd w:val="clear" w:color="auto" w:fill="FFFFFF"/>
          </w:tcPr>
          <w:p w:rsidR="00965D85" w:rsidRPr="00427006"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427006">
              <w:rPr>
                <w:rFonts w:ascii="Calibri" w:eastAsiaTheme="minorEastAsia" w:hAnsi="Calibri" w:cs="Calibri"/>
                <w:b/>
                <w:bCs/>
                <w:color w:val="000000"/>
                <w:sz w:val="20"/>
                <w:lang w:eastAsia="en-AU"/>
              </w:rPr>
              <w:t>50.0</w:t>
            </w:r>
          </w:p>
        </w:tc>
      </w:tr>
      <w:tr w:rsidR="00965D85" w:rsidRPr="00427006" w:rsidTr="008B46DF">
        <w:trPr>
          <w:cantSplit/>
        </w:trPr>
        <w:tc>
          <w:tcPr>
            <w:tcW w:w="4678" w:type="dxa"/>
            <w:tcBorders>
              <w:top w:val="single" w:sz="12" w:space="0" w:color="auto"/>
              <w:left w:val="nil"/>
              <w:right w:val="nil"/>
            </w:tcBorders>
            <w:shd w:val="clear" w:color="auto" w:fill="FFFFFF"/>
          </w:tcPr>
          <w:p w:rsidR="00965D85" w:rsidRPr="00427006" w:rsidRDefault="00965D85" w:rsidP="008B46DF">
            <w:pPr>
              <w:autoSpaceDE w:val="0"/>
              <w:autoSpaceDN w:val="0"/>
              <w:adjustRightInd w:val="0"/>
              <w:spacing w:after="0"/>
              <w:ind w:left="227" w:hanging="227"/>
              <w:rPr>
                <w:rFonts w:ascii="Calibri" w:eastAsiaTheme="minorEastAsia" w:hAnsi="Calibri" w:cs="Calibri"/>
                <w:b/>
                <w:bCs/>
                <w:color w:val="000000"/>
                <w:sz w:val="20"/>
                <w:lang w:eastAsia="en-AU"/>
              </w:rPr>
            </w:pPr>
            <w:r w:rsidRPr="00427006">
              <w:rPr>
                <w:rFonts w:ascii="Calibri" w:eastAsiaTheme="minorEastAsia" w:hAnsi="Calibri" w:cs="Calibri"/>
                <w:b/>
                <w:bCs/>
                <w:color w:val="000000"/>
                <w:sz w:val="20"/>
                <w:lang w:eastAsia="en-AU"/>
              </w:rPr>
              <w:t>2018</w:t>
            </w:r>
            <w:r>
              <w:rPr>
                <w:rFonts w:ascii="Calibri" w:eastAsiaTheme="minorEastAsia" w:hAnsi="Calibri" w:cs="Calibri"/>
                <w:b/>
                <w:bCs/>
                <w:color w:val="000000"/>
                <w:sz w:val="20"/>
                <w:lang w:eastAsia="en-AU"/>
              </w:rPr>
              <w:noBreakHyphen/>
            </w:r>
            <w:r w:rsidRPr="00427006">
              <w:rPr>
                <w:rFonts w:ascii="Calibri" w:eastAsiaTheme="minorEastAsia" w:hAnsi="Calibri" w:cs="Calibri"/>
                <w:b/>
                <w:bCs/>
                <w:color w:val="000000"/>
                <w:sz w:val="20"/>
                <w:lang w:eastAsia="en-AU"/>
              </w:rPr>
              <w:t>19 estimate</w:t>
            </w:r>
          </w:p>
        </w:tc>
        <w:tc>
          <w:tcPr>
            <w:tcW w:w="1559" w:type="dxa"/>
            <w:tcBorders>
              <w:top w:val="single" w:sz="12" w:space="0" w:color="auto"/>
              <w:left w:val="nil"/>
              <w:right w:val="nil"/>
            </w:tcBorders>
            <w:shd w:val="clear" w:color="auto" w:fill="FFFFFF"/>
          </w:tcPr>
          <w:p w:rsidR="00965D85" w:rsidRPr="00427006"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1560" w:type="dxa"/>
            <w:tcBorders>
              <w:top w:val="single" w:sz="12" w:space="0" w:color="auto"/>
              <w:left w:val="nil"/>
              <w:right w:val="nil"/>
            </w:tcBorders>
            <w:shd w:val="clear" w:color="auto" w:fill="FFFFFF"/>
          </w:tcPr>
          <w:p w:rsidR="00965D85" w:rsidRPr="00427006"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r>
      <w:tr w:rsidR="00965D85" w:rsidRPr="00427006" w:rsidTr="008B46DF">
        <w:trPr>
          <w:cantSplit/>
        </w:trPr>
        <w:tc>
          <w:tcPr>
            <w:tcW w:w="4678" w:type="dxa"/>
            <w:tcBorders>
              <w:top w:val="nil"/>
              <w:left w:val="nil"/>
              <w:right w:val="nil"/>
            </w:tcBorders>
            <w:shd w:val="clear" w:color="auto" w:fill="FFFFFF"/>
          </w:tcPr>
          <w:p w:rsidR="00965D85" w:rsidRPr="00427006"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427006">
              <w:rPr>
                <w:rFonts w:ascii="Calibri" w:eastAsiaTheme="minorEastAsia" w:hAnsi="Calibri" w:cs="Calibri"/>
                <w:color w:val="000000"/>
                <w:sz w:val="20"/>
                <w:lang w:eastAsia="en-AU"/>
              </w:rPr>
              <w:t>Balance at 1 July 2018</w:t>
            </w:r>
          </w:p>
        </w:tc>
        <w:tc>
          <w:tcPr>
            <w:tcW w:w="1559" w:type="dxa"/>
            <w:tcBorders>
              <w:top w:val="nil"/>
              <w:left w:val="nil"/>
              <w:right w:val="nil"/>
            </w:tcBorders>
            <w:shd w:val="clear" w:color="auto" w:fill="FFFFFF"/>
          </w:tcPr>
          <w:p w:rsidR="00965D85" w:rsidRPr="00427006"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427006">
              <w:rPr>
                <w:rFonts w:ascii="Calibri" w:eastAsiaTheme="minorEastAsia" w:hAnsi="Calibri" w:cs="Calibri"/>
                <w:color w:val="000000"/>
                <w:sz w:val="20"/>
                <w:lang w:eastAsia="en-AU"/>
              </w:rPr>
              <w:t>66 590.7</w:t>
            </w:r>
          </w:p>
        </w:tc>
        <w:tc>
          <w:tcPr>
            <w:tcW w:w="1560" w:type="dxa"/>
            <w:tcBorders>
              <w:top w:val="nil"/>
              <w:left w:val="nil"/>
              <w:right w:val="nil"/>
            </w:tcBorders>
            <w:shd w:val="clear" w:color="auto" w:fill="FFFFFF"/>
          </w:tcPr>
          <w:p w:rsidR="00965D85" w:rsidRPr="00427006"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427006">
              <w:rPr>
                <w:rFonts w:ascii="Calibri" w:eastAsiaTheme="minorEastAsia" w:hAnsi="Calibri" w:cs="Calibri"/>
                <w:color w:val="000000"/>
                <w:sz w:val="20"/>
                <w:lang w:eastAsia="en-AU"/>
              </w:rPr>
              <w:t>50.0</w:t>
            </w:r>
          </w:p>
        </w:tc>
      </w:tr>
      <w:tr w:rsidR="00965D85" w:rsidRPr="00427006" w:rsidTr="008B46DF">
        <w:trPr>
          <w:cantSplit/>
        </w:trPr>
        <w:tc>
          <w:tcPr>
            <w:tcW w:w="4678" w:type="dxa"/>
            <w:tcBorders>
              <w:top w:val="nil"/>
              <w:left w:val="nil"/>
              <w:right w:val="nil"/>
            </w:tcBorders>
            <w:shd w:val="clear" w:color="auto" w:fill="FFFFFF"/>
          </w:tcPr>
          <w:p w:rsidR="00965D85" w:rsidRPr="00427006"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427006">
              <w:rPr>
                <w:rFonts w:ascii="Calibri" w:eastAsiaTheme="minorEastAsia" w:hAnsi="Calibri" w:cs="Calibri"/>
                <w:color w:val="000000"/>
                <w:sz w:val="20"/>
                <w:lang w:eastAsia="en-AU"/>
              </w:rPr>
              <w:t>Net result</w:t>
            </w:r>
          </w:p>
        </w:tc>
        <w:tc>
          <w:tcPr>
            <w:tcW w:w="1559" w:type="dxa"/>
            <w:tcBorders>
              <w:top w:val="nil"/>
              <w:left w:val="nil"/>
              <w:right w:val="nil"/>
            </w:tcBorders>
            <w:shd w:val="clear" w:color="auto" w:fill="FFFFFF"/>
          </w:tcPr>
          <w:p w:rsidR="00965D85" w:rsidRPr="00427006"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427006">
              <w:rPr>
                <w:rFonts w:ascii="Calibri" w:eastAsiaTheme="minorEastAsia" w:hAnsi="Calibri" w:cs="Calibri"/>
                <w:color w:val="000000"/>
                <w:sz w:val="20"/>
                <w:lang w:eastAsia="en-AU"/>
              </w:rPr>
              <w:t>1 269.7</w:t>
            </w:r>
          </w:p>
        </w:tc>
        <w:tc>
          <w:tcPr>
            <w:tcW w:w="1560" w:type="dxa"/>
            <w:tcBorders>
              <w:top w:val="nil"/>
              <w:left w:val="nil"/>
              <w:right w:val="nil"/>
            </w:tcBorders>
            <w:shd w:val="clear" w:color="auto" w:fill="FFFFFF"/>
          </w:tcPr>
          <w:p w:rsidR="00965D85" w:rsidRPr="00427006"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427006">
              <w:rPr>
                <w:rFonts w:ascii="Calibri" w:eastAsiaTheme="minorEastAsia" w:hAnsi="Calibri" w:cs="Calibri"/>
                <w:color w:val="000000"/>
                <w:sz w:val="20"/>
                <w:lang w:eastAsia="en-AU"/>
              </w:rPr>
              <w:t>..</w:t>
            </w:r>
          </w:p>
        </w:tc>
      </w:tr>
      <w:tr w:rsidR="00965D85" w:rsidRPr="00427006" w:rsidTr="008B46DF">
        <w:trPr>
          <w:cantSplit/>
        </w:trPr>
        <w:tc>
          <w:tcPr>
            <w:tcW w:w="4678" w:type="dxa"/>
            <w:tcBorders>
              <w:top w:val="nil"/>
              <w:left w:val="nil"/>
              <w:right w:val="nil"/>
            </w:tcBorders>
            <w:shd w:val="clear" w:color="auto" w:fill="FFFFFF"/>
          </w:tcPr>
          <w:p w:rsidR="00965D85" w:rsidRPr="00427006"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427006">
              <w:rPr>
                <w:rFonts w:ascii="Calibri" w:eastAsiaTheme="minorEastAsia" w:hAnsi="Calibri" w:cs="Calibri"/>
                <w:color w:val="000000"/>
                <w:sz w:val="20"/>
                <w:lang w:eastAsia="en-AU"/>
              </w:rPr>
              <w:t>Other comprehensive income for the year</w:t>
            </w:r>
          </w:p>
        </w:tc>
        <w:tc>
          <w:tcPr>
            <w:tcW w:w="1559" w:type="dxa"/>
            <w:tcBorders>
              <w:top w:val="nil"/>
              <w:left w:val="nil"/>
              <w:right w:val="nil"/>
            </w:tcBorders>
            <w:shd w:val="clear" w:color="auto" w:fill="FFFFFF"/>
          </w:tcPr>
          <w:p w:rsidR="00965D85" w:rsidRPr="00427006"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427006">
              <w:rPr>
                <w:rFonts w:ascii="Calibri" w:eastAsiaTheme="minorEastAsia" w:hAnsi="Calibri" w:cs="Calibri"/>
                <w:color w:val="000000"/>
                <w:sz w:val="20"/>
                <w:lang w:eastAsia="en-AU"/>
              </w:rPr>
              <w:t>796.8</w:t>
            </w:r>
          </w:p>
        </w:tc>
        <w:tc>
          <w:tcPr>
            <w:tcW w:w="1560" w:type="dxa"/>
            <w:tcBorders>
              <w:top w:val="nil"/>
              <w:left w:val="nil"/>
              <w:right w:val="nil"/>
            </w:tcBorders>
            <w:shd w:val="clear" w:color="auto" w:fill="FFFFFF"/>
          </w:tcPr>
          <w:p w:rsidR="00965D85" w:rsidRPr="00427006"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427006">
              <w:rPr>
                <w:rFonts w:ascii="Calibri" w:eastAsiaTheme="minorEastAsia" w:hAnsi="Calibri" w:cs="Calibri"/>
                <w:color w:val="000000"/>
                <w:sz w:val="20"/>
                <w:lang w:eastAsia="en-AU"/>
              </w:rPr>
              <w:t>..</w:t>
            </w:r>
          </w:p>
        </w:tc>
      </w:tr>
      <w:tr w:rsidR="00965D85" w:rsidRPr="00427006" w:rsidTr="008B46DF">
        <w:trPr>
          <w:cantSplit/>
        </w:trPr>
        <w:tc>
          <w:tcPr>
            <w:tcW w:w="4678" w:type="dxa"/>
            <w:tcBorders>
              <w:top w:val="nil"/>
              <w:left w:val="nil"/>
              <w:bottom w:val="single" w:sz="6" w:space="0" w:color="auto"/>
              <w:right w:val="nil"/>
            </w:tcBorders>
            <w:shd w:val="clear" w:color="auto" w:fill="FFFFFF"/>
          </w:tcPr>
          <w:p w:rsidR="00965D85" w:rsidRPr="00427006"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427006">
              <w:rPr>
                <w:rFonts w:ascii="Calibri" w:eastAsiaTheme="minorEastAsia" w:hAnsi="Calibri" w:cs="Calibri"/>
                <w:color w:val="000000"/>
                <w:sz w:val="20"/>
                <w:lang w:eastAsia="en-AU"/>
              </w:rPr>
              <w:t>Transfer to accumulated surplus</w:t>
            </w:r>
          </w:p>
        </w:tc>
        <w:tc>
          <w:tcPr>
            <w:tcW w:w="1559" w:type="dxa"/>
            <w:tcBorders>
              <w:top w:val="nil"/>
              <w:left w:val="nil"/>
              <w:bottom w:val="single" w:sz="6" w:space="0" w:color="auto"/>
              <w:right w:val="nil"/>
            </w:tcBorders>
            <w:shd w:val="clear" w:color="auto" w:fill="FFFFFF"/>
          </w:tcPr>
          <w:p w:rsidR="00965D85" w:rsidRPr="00427006"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427006">
              <w:rPr>
                <w:rFonts w:ascii="Calibri" w:eastAsiaTheme="minorEastAsia" w:hAnsi="Calibri" w:cs="Calibri"/>
                <w:color w:val="000000"/>
                <w:sz w:val="20"/>
                <w:lang w:eastAsia="en-AU"/>
              </w:rPr>
              <w:t>(98.9)</w:t>
            </w:r>
          </w:p>
        </w:tc>
        <w:tc>
          <w:tcPr>
            <w:tcW w:w="1560" w:type="dxa"/>
            <w:tcBorders>
              <w:top w:val="nil"/>
              <w:left w:val="nil"/>
              <w:bottom w:val="single" w:sz="6" w:space="0" w:color="auto"/>
              <w:right w:val="nil"/>
            </w:tcBorders>
            <w:shd w:val="clear" w:color="auto" w:fill="FFFFFF"/>
          </w:tcPr>
          <w:p w:rsidR="00965D85" w:rsidRPr="00427006"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427006">
              <w:rPr>
                <w:rFonts w:ascii="Calibri" w:eastAsiaTheme="minorEastAsia" w:hAnsi="Calibri" w:cs="Calibri"/>
                <w:color w:val="000000"/>
                <w:sz w:val="20"/>
                <w:lang w:eastAsia="en-AU"/>
              </w:rPr>
              <w:t>..</w:t>
            </w:r>
          </w:p>
        </w:tc>
      </w:tr>
      <w:tr w:rsidR="00965D85" w:rsidRPr="00427006" w:rsidTr="008B46DF">
        <w:trPr>
          <w:cantSplit/>
        </w:trPr>
        <w:tc>
          <w:tcPr>
            <w:tcW w:w="4678" w:type="dxa"/>
            <w:tcBorders>
              <w:top w:val="single" w:sz="6" w:space="0" w:color="auto"/>
              <w:left w:val="nil"/>
              <w:right w:val="nil"/>
            </w:tcBorders>
            <w:shd w:val="clear" w:color="auto" w:fill="FFFFFF"/>
          </w:tcPr>
          <w:p w:rsidR="00965D85" w:rsidRPr="00427006" w:rsidRDefault="00965D85" w:rsidP="008B46DF">
            <w:pPr>
              <w:autoSpaceDE w:val="0"/>
              <w:autoSpaceDN w:val="0"/>
              <w:adjustRightInd w:val="0"/>
              <w:spacing w:after="0"/>
              <w:ind w:left="227" w:hanging="227"/>
              <w:rPr>
                <w:rFonts w:ascii="Calibri" w:eastAsiaTheme="minorEastAsia" w:hAnsi="Calibri" w:cs="Calibri"/>
                <w:b/>
                <w:bCs/>
                <w:color w:val="000000"/>
                <w:sz w:val="20"/>
                <w:lang w:eastAsia="en-AU"/>
              </w:rPr>
            </w:pPr>
            <w:r w:rsidRPr="00427006">
              <w:rPr>
                <w:rFonts w:ascii="Calibri" w:eastAsiaTheme="minorEastAsia" w:hAnsi="Calibri" w:cs="Calibri"/>
                <w:b/>
                <w:bCs/>
                <w:color w:val="000000"/>
                <w:sz w:val="20"/>
                <w:lang w:eastAsia="en-AU"/>
              </w:rPr>
              <w:t>Total equity at end of period</w:t>
            </w:r>
          </w:p>
        </w:tc>
        <w:tc>
          <w:tcPr>
            <w:tcW w:w="1559" w:type="dxa"/>
            <w:tcBorders>
              <w:top w:val="single" w:sz="6" w:space="0" w:color="auto"/>
              <w:left w:val="nil"/>
              <w:right w:val="nil"/>
            </w:tcBorders>
            <w:shd w:val="clear" w:color="auto" w:fill="FFFFFF"/>
          </w:tcPr>
          <w:p w:rsidR="00965D85" w:rsidRPr="00427006"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427006">
              <w:rPr>
                <w:rFonts w:ascii="Calibri" w:eastAsiaTheme="minorEastAsia" w:hAnsi="Calibri" w:cs="Calibri"/>
                <w:b/>
                <w:bCs/>
                <w:color w:val="000000"/>
                <w:sz w:val="20"/>
                <w:lang w:eastAsia="en-AU"/>
              </w:rPr>
              <w:t>68 558.2</w:t>
            </w:r>
          </w:p>
        </w:tc>
        <w:tc>
          <w:tcPr>
            <w:tcW w:w="1560" w:type="dxa"/>
            <w:tcBorders>
              <w:top w:val="single" w:sz="6" w:space="0" w:color="auto"/>
              <w:left w:val="nil"/>
              <w:right w:val="nil"/>
            </w:tcBorders>
            <w:shd w:val="clear" w:color="auto" w:fill="FFFFFF"/>
          </w:tcPr>
          <w:p w:rsidR="00965D85" w:rsidRPr="00427006"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20"/>
                <w:lang w:eastAsia="en-AU"/>
              </w:rPr>
              <w:t>50.0</w:t>
            </w:r>
          </w:p>
        </w:tc>
      </w:tr>
      <w:tr w:rsidR="00965D85" w:rsidRPr="00427006" w:rsidTr="008B46DF">
        <w:trPr>
          <w:cantSplit/>
        </w:trPr>
        <w:tc>
          <w:tcPr>
            <w:tcW w:w="7797" w:type="dxa"/>
            <w:gridSpan w:val="3"/>
            <w:tcBorders>
              <w:top w:val="single" w:sz="12" w:space="0" w:color="auto"/>
              <w:left w:val="nil"/>
              <w:bottom w:val="nil"/>
              <w:right w:val="nil"/>
            </w:tcBorders>
            <w:shd w:val="clear" w:color="auto" w:fill="auto"/>
          </w:tcPr>
          <w:p w:rsidR="00965D85" w:rsidRPr="00427006" w:rsidRDefault="00965D85" w:rsidP="008B46DF">
            <w:pPr>
              <w:pStyle w:val="Source"/>
              <w:rPr>
                <w:rFonts w:eastAsiaTheme="minorEastAsia"/>
                <w:lang w:eastAsia="en-AU"/>
              </w:rPr>
            </w:pPr>
            <w:r w:rsidRPr="00427006">
              <w:rPr>
                <w:rFonts w:eastAsiaTheme="minorEastAsia"/>
                <w:lang w:eastAsia="en-AU"/>
              </w:rPr>
              <w:t>Source: Department of Treasury and Finance</w:t>
            </w:r>
          </w:p>
        </w:tc>
      </w:tr>
    </w:tbl>
    <w:p w:rsidR="00965D85" w:rsidRPr="0027082E" w:rsidRDefault="00965D85" w:rsidP="008B46DF">
      <w:pPr>
        <w:pStyle w:val="Notes"/>
        <w:rPr>
          <w:lang w:eastAsia="en-AU"/>
        </w:rPr>
      </w:pPr>
      <w:r w:rsidRPr="0027082E">
        <w:rPr>
          <w:lang w:eastAsia="en-AU"/>
        </w:rPr>
        <w:t>Note:</w:t>
      </w:r>
    </w:p>
    <w:p w:rsidR="00965D85" w:rsidRDefault="00965D85" w:rsidP="008B46DF">
      <w:pPr>
        <w:pStyle w:val="Notes"/>
        <w:rPr>
          <w:lang w:eastAsia="en-AU"/>
        </w:rPr>
      </w:pPr>
      <w:r>
        <w:rPr>
          <w:lang w:eastAsia="en-AU"/>
        </w:rPr>
        <w:t>(a)</w:t>
      </w:r>
      <w:r>
        <w:rPr>
          <w:lang w:eastAsia="en-AU"/>
        </w:rPr>
        <w:tab/>
        <w:t>Balances represent actual opening balances at 1 July 2015 plus 2015</w:t>
      </w:r>
      <w:r>
        <w:rPr>
          <w:lang w:eastAsia="en-AU"/>
        </w:rPr>
        <w:noBreakHyphen/>
        <w:t>16 budgeted movements.</w:t>
      </w:r>
    </w:p>
    <w:p w:rsidR="00965D85" w:rsidRDefault="00965D85" w:rsidP="008B46DF">
      <w:pPr>
        <w:rPr>
          <w:rFonts w:ascii="Tms Rmn" w:hAnsi="Tms Rmn" w:cs="Tms Rmn"/>
          <w:color w:val="000000"/>
          <w:sz w:val="18"/>
          <w:szCs w:val="18"/>
          <w:lang w:eastAsia="en-AU"/>
        </w:rPr>
      </w:pPr>
    </w:p>
    <w:p w:rsidR="00965D85" w:rsidRDefault="00965D85">
      <w:pPr>
        <w:spacing w:after="0"/>
        <w:rPr>
          <w:rFonts w:ascii="Tms Rmn" w:hAnsi="Tms Rmn" w:cs="Tms Rmn"/>
          <w:color w:val="000000"/>
          <w:sz w:val="18"/>
          <w:szCs w:val="18"/>
          <w:lang w:eastAsia="en-AU"/>
        </w:rPr>
      </w:pPr>
      <w:r>
        <w:rPr>
          <w:rFonts w:ascii="Tms Rmn" w:hAnsi="Tms Rmn" w:cs="Tms Rmn"/>
          <w:color w:val="000000"/>
          <w:sz w:val="18"/>
          <w:szCs w:val="18"/>
          <w:lang w:eastAsia="en-AU"/>
        </w:rPr>
        <w:br w:type="page"/>
      </w:r>
    </w:p>
    <w:p w:rsidR="00965D85" w:rsidRDefault="00965D85" w:rsidP="008B46DF">
      <w:pPr>
        <w:pStyle w:val="Tableheading"/>
        <w:rPr>
          <w:rFonts w:ascii="Times New Roman" w:hAnsi="Times New Roman"/>
          <w:sz w:val="20"/>
          <w:lang w:eastAsia="en-AU"/>
        </w:rPr>
      </w:pPr>
    </w:p>
    <w:tbl>
      <w:tblPr>
        <w:tblW w:w="7766" w:type="dxa"/>
        <w:tblInd w:w="45" w:type="dxa"/>
        <w:tblLayout w:type="fixed"/>
        <w:tblCellMar>
          <w:left w:w="45" w:type="dxa"/>
          <w:right w:w="45" w:type="dxa"/>
        </w:tblCellMar>
        <w:tblLook w:val="0000" w:firstRow="0" w:lastRow="0" w:firstColumn="0" w:lastColumn="0" w:noHBand="0" w:noVBand="0"/>
      </w:tblPr>
      <w:tblGrid>
        <w:gridCol w:w="2977"/>
        <w:gridCol w:w="2394"/>
        <w:gridCol w:w="2395"/>
      </w:tblGrid>
      <w:tr w:rsidR="00965D85" w:rsidRPr="00427006" w:rsidTr="008B46DF">
        <w:trPr>
          <w:cantSplit/>
          <w:tblHeader/>
        </w:trPr>
        <w:tc>
          <w:tcPr>
            <w:tcW w:w="7766" w:type="dxa"/>
            <w:gridSpan w:val="3"/>
            <w:tcBorders>
              <w:top w:val="nil"/>
              <w:left w:val="nil"/>
              <w:bottom w:val="nil"/>
              <w:right w:val="nil"/>
            </w:tcBorders>
          </w:tcPr>
          <w:p w:rsidR="00965D85" w:rsidRPr="00427006" w:rsidRDefault="00965D85" w:rsidP="008B46DF">
            <w:pPr>
              <w:pStyle w:val="million"/>
              <w:rPr>
                <w:rFonts w:eastAsiaTheme="minorEastAsia"/>
                <w:lang w:eastAsia="en-AU"/>
              </w:rPr>
            </w:pPr>
            <w:r w:rsidRPr="00427006">
              <w:rPr>
                <w:rFonts w:eastAsiaTheme="minorEastAsia"/>
                <w:lang w:eastAsia="en-AU"/>
              </w:rPr>
              <w:t xml:space="preserve"> </w:t>
            </w:r>
          </w:p>
        </w:tc>
      </w:tr>
      <w:tr w:rsidR="00965D85" w:rsidRPr="00427006" w:rsidTr="008B46DF">
        <w:trPr>
          <w:cantSplit/>
          <w:tblHeader/>
        </w:trPr>
        <w:tc>
          <w:tcPr>
            <w:tcW w:w="2977" w:type="dxa"/>
            <w:tcBorders>
              <w:top w:val="single" w:sz="6" w:space="0" w:color="auto"/>
              <w:left w:val="nil"/>
              <w:bottom w:val="single" w:sz="6" w:space="0" w:color="auto"/>
              <w:right w:val="nil"/>
            </w:tcBorders>
            <w:shd w:val="solid" w:color="000000" w:fill="auto"/>
          </w:tcPr>
          <w:p w:rsidR="00965D85" w:rsidRPr="00427006"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427006">
              <w:rPr>
                <w:rFonts w:ascii="Calibri" w:eastAsiaTheme="minorEastAsia" w:hAnsi="Calibri" w:cs="Calibri"/>
                <w:i/>
                <w:iCs/>
                <w:color w:val="FFFFFF"/>
                <w:sz w:val="20"/>
                <w:lang w:eastAsia="en-AU"/>
              </w:rPr>
              <w:t>Land, buildings, infrastructure,</w:t>
            </w:r>
          </w:p>
          <w:p w:rsidR="00965D85" w:rsidRPr="00427006"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427006">
              <w:rPr>
                <w:rFonts w:ascii="Calibri" w:eastAsiaTheme="minorEastAsia" w:hAnsi="Calibri" w:cs="Calibri"/>
                <w:i/>
                <w:iCs/>
                <w:color w:val="FFFFFF"/>
                <w:sz w:val="20"/>
                <w:lang w:eastAsia="en-AU"/>
              </w:rPr>
              <w:t xml:space="preserve"> plant and equipment</w:t>
            </w:r>
          </w:p>
          <w:p w:rsidR="00965D85" w:rsidRPr="00427006"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427006">
              <w:rPr>
                <w:rFonts w:ascii="Calibri" w:eastAsiaTheme="minorEastAsia" w:hAnsi="Calibri" w:cs="Calibri"/>
                <w:i/>
                <w:iCs/>
                <w:color w:val="FFFFFF"/>
                <w:sz w:val="20"/>
                <w:lang w:eastAsia="en-AU"/>
              </w:rPr>
              <w:t xml:space="preserve"> revaluation surplus</w:t>
            </w:r>
          </w:p>
        </w:tc>
        <w:tc>
          <w:tcPr>
            <w:tcW w:w="2394" w:type="dxa"/>
            <w:tcBorders>
              <w:top w:val="single" w:sz="6" w:space="0" w:color="auto"/>
              <w:left w:val="nil"/>
              <w:bottom w:val="single" w:sz="6" w:space="0" w:color="auto"/>
              <w:right w:val="nil"/>
            </w:tcBorders>
            <w:shd w:val="solid" w:color="000000" w:fill="auto"/>
          </w:tcPr>
          <w:p w:rsidR="00965D85" w:rsidRPr="00427006"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p>
          <w:p w:rsidR="00965D85" w:rsidRPr="00427006"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427006">
              <w:rPr>
                <w:rFonts w:ascii="Calibri" w:eastAsiaTheme="minorEastAsia" w:hAnsi="Calibri" w:cs="Calibri"/>
                <w:i/>
                <w:iCs/>
                <w:color w:val="FFFFFF"/>
                <w:sz w:val="20"/>
                <w:lang w:eastAsia="en-AU"/>
              </w:rPr>
              <w:t>Other</w:t>
            </w:r>
          </w:p>
          <w:p w:rsidR="00965D85" w:rsidRPr="00427006"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427006">
              <w:rPr>
                <w:rFonts w:ascii="Calibri" w:eastAsiaTheme="minorEastAsia" w:hAnsi="Calibri" w:cs="Calibri"/>
                <w:i/>
                <w:iCs/>
                <w:color w:val="FFFFFF"/>
                <w:sz w:val="20"/>
                <w:lang w:eastAsia="en-AU"/>
              </w:rPr>
              <w:t xml:space="preserve"> reserves</w:t>
            </w:r>
          </w:p>
        </w:tc>
        <w:tc>
          <w:tcPr>
            <w:tcW w:w="2395" w:type="dxa"/>
            <w:tcBorders>
              <w:top w:val="single" w:sz="6" w:space="0" w:color="auto"/>
              <w:left w:val="nil"/>
              <w:bottom w:val="single" w:sz="6" w:space="0" w:color="auto"/>
              <w:right w:val="single" w:sz="6" w:space="0" w:color="auto"/>
            </w:tcBorders>
            <w:shd w:val="solid" w:color="000000" w:fill="auto"/>
          </w:tcPr>
          <w:p w:rsidR="00965D85" w:rsidRPr="00427006"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p>
          <w:p w:rsidR="00965D85" w:rsidRPr="00427006"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p>
          <w:p w:rsidR="00965D85" w:rsidRPr="00427006"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427006">
              <w:rPr>
                <w:rFonts w:ascii="Calibri" w:eastAsiaTheme="minorEastAsia" w:hAnsi="Calibri" w:cs="Calibri"/>
                <w:i/>
                <w:iCs/>
                <w:color w:val="FFFFFF"/>
                <w:sz w:val="20"/>
                <w:lang w:eastAsia="en-AU"/>
              </w:rPr>
              <w:t>Total</w:t>
            </w:r>
          </w:p>
        </w:tc>
      </w:tr>
      <w:tr w:rsidR="00965D85" w:rsidRPr="00427006" w:rsidTr="008B46DF">
        <w:trPr>
          <w:cantSplit/>
        </w:trPr>
        <w:tc>
          <w:tcPr>
            <w:tcW w:w="2977" w:type="dxa"/>
            <w:tcBorders>
              <w:top w:val="single" w:sz="6" w:space="0" w:color="auto"/>
              <w:left w:val="nil"/>
              <w:right w:val="nil"/>
            </w:tcBorders>
            <w:shd w:val="clear" w:color="auto" w:fill="FFFFFF"/>
          </w:tcPr>
          <w:p w:rsidR="00965D85" w:rsidRPr="00427006" w:rsidRDefault="00965D85" w:rsidP="008B46DF">
            <w:pPr>
              <w:autoSpaceDE w:val="0"/>
              <w:autoSpaceDN w:val="0"/>
              <w:adjustRightInd w:val="0"/>
              <w:spacing w:after="0"/>
              <w:ind w:left="227" w:hanging="227"/>
              <w:jc w:val="right"/>
              <w:rPr>
                <w:rFonts w:ascii="Calibri" w:eastAsiaTheme="minorEastAsia" w:hAnsi="Calibri" w:cs="Calibri"/>
                <w:b/>
                <w:bCs/>
                <w:color w:val="000000"/>
                <w:sz w:val="20"/>
                <w:lang w:eastAsia="en-AU"/>
              </w:rPr>
            </w:pPr>
            <w:r w:rsidRPr="00427006">
              <w:rPr>
                <w:rFonts w:ascii="Calibri" w:eastAsiaTheme="minorEastAsia" w:hAnsi="Calibri" w:cs="Calibri"/>
                <w:b/>
                <w:bCs/>
                <w:color w:val="000000"/>
                <w:sz w:val="20"/>
                <w:lang w:eastAsia="en-AU"/>
              </w:rPr>
              <w:t xml:space="preserve"> </w:t>
            </w:r>
          </w:p>
        </w:tc>
        <w:tc>
          <w:tcPr>
            <w:tcW w:w="2394" w:type="dxa"/>
            <w:tcBorders>
              <w:top w:val="single" w:sz="6" w:space="0" w:color="auto"/>
              <w:left w:val="nil"/>
              <w:right w:val="nil"/>
            </w:tcBorders>
            <w:shd w:val="clear" w:color="auto" w:fill="FFFFFF"/>
          </w:tcPr>
          <w:p w:rsidR="00965D85" w:rsidRPr="00427006"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2395" w:type="dxa"/>
            <w:tcBorders>
              <w:top w:val="single" w:sz="6" w:space="0" w:color="auto"/>
              <w:left w:val="nil"/>
              <w:right w:val="nil"/>
            </w:tcBorders>
            <w:shd w:val="clear" w:color="auto" w:fill="FFFFFF"/>
          </w:tcPr>
          <w:p w:rsidR="00965D85" w:rsidRPr="00427006"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r>
      <w:tr w:rsidR="00965D85" w:rsidRPr="00427006" w:rsidTr="008B46DF">
        <w:trPr>
          <w:cantSplit/>
        </w:trPr>
        <w:tc>
          <w:tcPr>
            <w:tcW w:w="2977" w:type="dxa"/>
            <w:tcBorders>
              <w:top w:val="nil"/>
              <w:left w:val="nil"/>
              <w:right w:val="nil"/>
            </w:tcBorders>
            <w:shd w:val="clear" w:color="auto" w:fill="FFFFFF"/>
          </w:tcPr>
          <w:p w:rsidR="00965D85" w:rsidRPr="00427006" w:rsidRDefault="00965D85" w:rsidP="008B46DF">
            <w:pPr>
              <w:autoSpaceDE w:val="0"/>
              <w:autoSpaceDN w:val="0"/>
              <w:adjustRightInd w:val="0"/>
              <w:spacing w:after="0"/>
              <w:ind w:left="227" w:hanging="227"/>
              <w:jc w:val="right"/>
              <w:rPr>
                <w:rFonts w:ascii="Calibri" w:eastAsiaTheme="minorEastAsia" w:hAnsi="Calibri" w:cs="Calibri"/>
                <w:color w:val="000000"/>
                <w:sz w:val="20"/>
                <w:lang w:eastAsia="en-AU"/>
              </w:rPr>
            </w:pPr>
            <w:r w:rsidRPr="00427006">
              <w:rPr>
                <w:rFonts w:ascii="Calibri" w:eastAsiaTheme="minorEastAsia" w:hAnsi="Calibri" w:cs="Calibri"/>
                <w:color w:val="000000"/>
                <w:sz w:val="20"/>
                <w:lang w:eastAsia="en-AU"/>
              </w:rPr>
              <w:t>77 429.5</w:t>
            </w:r>
          </w:p>
        </w:tc>
        <w:tc>
          <w:tcPr>
            <w:tcW w:w="2394" w:type="dxa"/>
            <w:tcBorders>
              <w:top w:val="nil"/>
              <w:left w:val="nil"/>
              <w:right w:val="nil"/>
            </w:tcBorders>
            <w:shd w:val="clear" w:color="auto" w:fill="FFFFFF"/>
          </w:tcPr>
          <w:p w:rsidR="00965D85" w:rsidRPr="00427006"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427006">
              <w:rPr>
                <w:rFonts w:ascii="Calibri" w:eastAsiaTheme="minorEastAsia" w:hAnsi="Calibri" w:cs="Calibri"/>
                <w:color w:val="000000"/>
                <w:sz w:val="20"/>
                <w:lang w:eastAsia="en-AU"/>
              </w:rPr>
              <w:t>1 200.9</w:t>
            </w:r>
          </w:p>
        </w:tc>
        <w:tc>
          <w:tcPr>
            <w:tcW w:w="2395" w:type="dxa"/>
            <w:tcBorders>
              <w:top w:val="nil"/>
              <w:left w:val="nil"/>
              <w:right w:val="nil"/>
            </w:tcBorders>
            <w:shd w:val="clear" w:color="auto" w:fill="FFFFFF"/>
          </w:tcPr>
          <w:p w:rsidR="00965D85" w:rsidRPr="00427006"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427006">
              <w:rPr>
                <w:rFonts w:ascii="Calibri" w:eastAsiaTheme="minorEastAsia" w:hAnsi="Calibri" w:cs="Calibri"/>
                <w:color w:val="000000"/>
                <w:sz w:val="20"/>
                <w:lang w:eastAsia="en-AU"/>
              </w:rPr>
              <w:t>139 909.2</w:t>
            </w:r>
          </w:p>
        </w:tc>
      </w:tr>
      <w:tr w:rsidR="00965D85" w:rsidRPr="00427006" w:rsidTr="008B46DF">
        <w:trPr>
          <w:cantSplit/>
        </w:trPr>
        <w:tc>
          <w:tcPr>
            <w:tcW w:w="2977" w:type="dxa"/>
            <w:tcBorders>
              <w:top w:val="nil"/>
              <w:left w:val="nil"/>
              <w:right w:val="nil"/>
            </w:tcBorders>
            <w:shd w:val="clear" w:color="auto" w:fill="FFFFFF"/>
          </w:tcPr>
          <w:p w:rsidR="00965D85" w:rsidRPr="00427006" w:rsidRDefault="00965D85" w:rsidP="008B46DF">
            <w:pPr>
              <w:autoSpaceDE w:val="0"/>
              <w:autoSpaceDN w:val="0"/>
              <w:adjustRightInd w:val="0"/>
              <w:spacing w:after="0"/>
              <w:ind w:left="227" w:hanging="227"/>
              <w:jc w:val="right"/>
              <w:rPr>
                <w:rFonts w:ascii="Calibri" w:eastAsiaTheme="minorEastAsia" w:hAnsi="Calibri" w:cs="Calibri"/>
                <w:color w:val="000000"/>
                <w:sz w:val="20"/>
                <w:lang w:eastAsia="en-AU"/>
              </w:rPr>
            </w:pPr>
            <w:r w:rsidRPr="00427006">
              <w:rPr>
                <w:rFonts w:ascii="Calibri" w:eastAsiaTheme="minorEastAsia" w:hAnsi="Calibri" w:cs="Calibri"/>
                <w:color w:val="000000"/>
                <w:sz w:val="20"/>
                <w:lang w:eastAsia="en-AU"/>
              </w:rPr>
              <w:t>..</w:t>
            </w:r>
          </w:p>
        </w:tc>
        <w:tc>
          <w:tcPr>
            <w:tcW w:w="2394" w:type="dxa"/>
            <w:tcBorders>
              <w:top w:val="nil"/>
              <w:left w:val="nil"/>
              <w:right w:val="nil"/>
            </w:tcBorders>
            <w:shd w:val="clear" w:color="auto" w:fill="FFFFFF"/>
          </w:tcPr>
          <w:p w:rsidR="00965D85" w:rsidRPr="00427006"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427006">
              <w:rPr>
                <w:rFonts w:ascii="Calibri" w:eastAsiaTheme="minorEastAsia" w:hAnsi="Calibri" w:cs="Calibri"/>
                <w:color w:val="000000"/>
                <w:sz w:val="20"/>
                <w:lang w:eastAsia="en-AU"/>
              </w:rPr>
              <w:t>..</w:t>
            </w:r>
          </w:p>
        </w:tc>
        <w:tc>
          <w:tcPr>
            <w:tcW w:w="2395" w:type="dxa"/>
            <w:tcBorders>
              <w:top w:val="nil"/>
              <w:left w:val="nil"/>
              <w:right w:val="nil"/>
            </w:tcBorders>
            <w:shd w:val="clear" w:color="auto" w:fill="FFFFFF"/>
          </w:tcPr>
          <w:p w:rsidR="00965D85" w:rsidRPr="00427006"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427006">
              <w:rPr>
                <w:rFonts w:ascii="Calibri" w:eastAsiaTheme="minorEastAsia" w:hAnsi="Calibri" w:cs="Calibri"/>
                <w:color w:val="000000"/>
                <w:sz w:val="20"/>
                <w:lang w:eastAsia="en-AU"/>
              </w:rPr>
              <w:t>4 342.1</w:t>
            </w:r>
          </w:p>
        </w:tc>
      </w:tr>
      <w:tr w:rsidR="00965D85" w:rsidRPr="00427006" w:rsidTr="008B46DF">
        <w:trPr>
          <w:cantSplit/>
        </w:trPr>
        <w:tc>
          <w:tcPr>
            <w:tcW w:w="2977" w:type="dxa"/>
            <w:tcBorders>
              <w:top w:val="nil"/>
              <w:left w:val="nil"/>
              <w:right w:val="nil"/>
            </w:tcBorders>
            <w:shd w:val="clear" w:color="auto" w:fill="FFFFFF"/>
          </w:tcPr>
          <w:p w:rsidR="00965D85" w:rsidRPr="00427006" w:rsidRDefault="00965D85" w:rsidP="008B46DF">
            <w:pPr>
              <w:autoSpaceDE w:val="0"/>
              <w:autoSpaceDN w:val="0"/>
              <w:adjustRightInd w:val="0"/>
              <w:spacing w:after="0"/>
              <w:ind w:left="227" w:hanging="227"/>
              <w:jc w:val="right"/>
              <w:rPr>
                <w:rFonts w:ascii="Calibri" w:eastAsiaTheme="minorEastAsia" w:hAnsi="Calibri" w:cs="Calibri"/>
                <w:color w:val="000000"/>
                <w:sz w:val="20"/>
                <w:lang w:eastAsia="en-AU"/>
              </w:rPr>
            </w:pPr>
            <w:r w:rsidRPr="00427006">
              <w:rPr>
                <w:rFonts w:ascii="Calibri" w:eastAsiaTheme="minorEastAsia" w:hAnsi="Calibri" w:cs="Calibri"/>
                <w:color w:val="000000"/>
                <w:sz w:val="20"/>
                <w:lang w:eastAsia="en-AU"/>
              </w:rPr>
              <w:t>2 165.1</w:t>
            </w:r>
          </w:p>
        </w:tc>
        <w:tc>
          <w:tcPr>
            <w:tcW w:w="2394" w:type="dxa"/>
            <w:tcBorders>
              <w:top w:val="nil"/>
              <w:left w:val="nil"/>
              <w:right w:val="nil"/>
            </w:tcBorders>
            <w:shd w:val="clear" w:color="auto" w:fill="FFFFFF"/>
          </w:tcPr>
          <w:p w:rsidR="00965D85" w:rsidRPr="00427006"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427006">
              <w:rPr>
                <w:rFonts w:ascii="Calibri" w:eastAsiaTheme="minorEastAsia" w:hAnsi="Calibri" w:cs="Calibri"/>
                <w:color w:val="000000"/>
                <w:sz w:val="20"/>
                <w:lang w:eastAsia="en-AU"/>
              </w:rPr>
              <w:t>77.8</w:t>
            </w:r>
          </w:p>
        </w:tc>
        <w:tc>
          <w:tcPr>
            <w:tcW w:w="2395" w:type="dxa"/>
            <w:tcBorders>
              <w:top w:val="nil"/>
              <w:left w:val="nil"/>
              <w:right w:val="nil"/>
            </w:tcBorders>
            <w:shd w:val="clear" w:color="auto" w:fill="FFFFFF"/>
          </w:tcPr>
          <w:p w:rsidR="00965D85" w:rsidRPr="00427006"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427006">
              <w:rPr>
                <w:rFonts w:ascii="Calibri" w:eastAsiaTheme="minorEastAsia" w:hAnsi="Calibri" w:cs="Calibri"/>
                <w:color w:val="000000"/>
                <w:sz w:val="20"/>
                <w:lang w:eastAsia="en-AU"/>
              </w:rPr>
              <w:t>3 638.8</w:t>
            </w:r>
          </w:p>
        </w:tc>
      </w:tr>
      <w:tr w:rsidR="00965D85" w:rsidRPr="00427006" w:rsidTr="008B46DF">
        <w:trPr>
          <w:cantSplit/>
        </w:trPr>
        <w:tc>
          <w:tcPr>
            <w:tcW w:w="2977" w:type="dxa"/>
            <w:tcBorders>
              <w:top w:val="nil"/>
              <w:left w:val="nil"/>
              <w:bottom w:val="single" w:sz="6" w:space="0" w:color="auto"/>
              <w:right w:val="nil"/>
            </w:tcBorders>
            <w:shd w:val="clear" w:color="auto" w:fill="FFFFFF"/>
          </w:tcPr>
          <w:p w:rsidR="00965D85" w:rsidRPr="00427006" w:rsidRDefault="00965D85" w:rsidP="008B46DF">
            <w:pPr>
              <w:autoSpaceDE w:val="0"/>
              <w:autoSpaceDN w:val="0"/>
              <w:adjustRightInd w:val="0"/>
              <w:spacing w:after="0"/>
              <w:ind w:left="227" w:hanging="227"/>
              <w:jc w:val="right"/>
              <w:rPr>
                <w:rFonts w:ascii="Calibri" w:eastAsiaTheme="minorEastAsia" w:hAnsi="Calibri" w:cs="Calibri"/>
                <w:color w:val="000000"/>
                <w:sz w:val="20"/>
                <w:lang w:eastAsia="en-AU"/>
              </w:rPr>
            </w:pPr>
            <w:r w:rsidRPr="00427006">
              <w:rPr>
                <w:rFonts w:ascii="Calibri" w:eastAsiaTheme="minorEastAsia" w:hAnsi="Calibri" w:cs="Calibri"/>
                <w:color w:val="000000"/>
                <w:sz w:val="20"/>
                <w:lang w:eastAsia="en-AU"/>
              </w:rPr>
              <w:t>..</w:t>
            </w:r>
          </w:p>
        </w:tc>
        <w:tc>
          <w:tcPr>
            <w:tcW w:w="2394" w:type="dxa"/>
            <w:tcBorders>
              <w:top w:val="nil"/>
              <w:left w:val="nil"/>
              <w:bottom w:val="single" w:sz="6" w:space="0" w:color="auto"/>
              <w:right w:val="nil"/>
            </w:tcBorders>
            <w:shd w:val="clear" w:color="auto" w:fill="FFFFFF"/>
          </w:tcPr>
          <w:p w:rsidR="00965D85" w:rsidRPr="00427006"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427006">
              <w:rPr>
                <w:rFonts w:ascii="Calibri" w:eastAsiaTheme="minorEastAsia" w:hAnsi="Calibri" w:cs="Calibri"/>
                <w:color w:val="000000"/>
                <w:sz w:val="20"/>
                <w:lang w:eastAsia="en-AU"/>
              </w:rPr>
              <w:t>..</w:t>
            </w:r>
          </w:p>
        </w:tc>
        <w:tc>
          <w:tcPr>
            <w:tcW w:w="2395" w:type="dxa"/>
            <w:tcBorders>
              <w:top w:val="nil"/>
              <w:left w:val="nil"/>
              <w:bottom w:val="single" w:sz="6" w:space="0" w:color="auto"/>
              <w:right w:val="nil"/>
            </w:tcBorders>
            <w:shd w:val="clear" w:color="auto" w:fill="FFFFFF"/>
          </w:tcPr>
          <w:p w:rsidR="00965D85" w:rsidRPr="00427006"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427006">
              <w:rPr>
                <w:rFonts w:ascii="Calibri" w:eastAsiaTheme="minorEastAsia" w:hAnsi="Calibri" w:cs="Calibri"/>
                <w:color w:val="000000"/>
                <w:sz w:val="20"/>
                <w:lang w:eastAsia="en-AU"/>
              </w:rPr>
              <w:t>..</w:t>
            </w:r>
          </w:p>
        </w:tc>
      </w:tr>
      <w:tr w:rsidR="00965D85" w:rsidRPr="00427006" w:rsidTr="008B46DF">
        <w:trPr>
          <w:cantSplit/>
        </w:trPr>
        <w:tc>
          <w:tcPr>
            <w:tcW w:w="2977" w:type="dxa"/>
            <w:tcBorders>
              <w:top w:val="single" w:sz="6" w:space="0" w:color="auto"/>
              <w:left w:val="nil"/>
              <w:bottom w:val="single" w:sz="12" w:space="0" w:color="auto"/>
              <w:right w:val="nil"/>
            </w:tcBorders>
            <w:shd w:val="clear" w:color="auto" w:fill="FFFFFF"/>
          </w:tcPr>
          <w:p w:rsidR="00965D85" w:rsidRPr="00427006" w:rsidRDefault="00965D85" w:rsidP="008B46DF">
            <w:pPr>
              <w:autoSpaceDE w:val="0"/>
              <w:autoSpaceDN w:val="0"/>
              <w:adjustRightInd w:val="0"/>
              <w:spacing w:after="0"/>
              <w:ind w:left="227" w:hanging="227"/>
              <w:jc w:val="right"/>
              <w:rPr>
                <w:rFonts w:ascii="Calibri" w:eastAsiaTheme="minorEastAsia" w:hAnsi="Calibri" w:cs="Calibri"/>
                <w:b/>
                <w:bCs/>
                <w:color w:val="000000"/>
                <w:sz w:val="20"/>
                <w:lang w:eastAsia="en-AU"/>
              </w:rPr>
            </w:pPr>
            <w:r w:rsidRPr="00427006">
              <w:rPr>
                <w:rFonts w:ascii="Calibri" w:eastAsiaTheme="minorEastAsia" w:hAnsi="Calibri" w:cs="Calibri"/>
                <w:b/>
                <w:bCs/>
                <w:color w:val="000000"/>
                <w:sz w:val="20"/>
                <w:lang w:eastAsia="en-AU"/>
              </w:rPr>
              <w:t>79 594.6</w:t>
            </w:r>
          </w:p>
        </w:tc>
        <w:tc>
          <w:tcPr>
            <w:tcW w:w="2394" w:type="dxa"/>
            <w:tcBorders>
              <w:top w:val="single" w:sz="6" w:space="0" w:color="auto"/>
              <w:left w:val="nil"/>
              <w:bottom w:val="single" w:sz="12" w:space="0" w:color="auto"/>
              <w:right w:val="nil"/>
            </w:tcBorders>
            <w:shd w:val="clear" w:color="auto" w:fill="FFFFFF"/>
          </w:tcPr>
          <w:p w:rsidR="00965D85" w:rsidRPr="00427006"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427006">
              <w:rPr>
                <w:rFonts w:ascii="Calibri" w:eastAsiaTheme="minorEastAsia" w:hAnsi="Calibri" w:cs="Calibri"/>
                <w:b/>
                <w:bCs/>
                <w:color w:val="000000"/>
                <w:sz w:val="20"/>
                <w:lang w:eastAsia="en-AU"/>
              </w:rPr>
              <w:t>1 278.7</w:t>
            </w:r>
          </w:p>
        </w:tc>
        <w:tc>
          <w:tcPr>
            <w:tcW w:w="2395" w:type="dxa"/>
            <w:tcBorders>
              <w:top w:val="single" w:sz="6" w:space="0" w:color="auto"/>
              <w:left w:val="nil"/>
              <w:bottom w:val="single" w:sz="12" w:space="0" w:color="auto"/>
              <w:right w:val="nil"/>
            </w:tcBorders>
            <w:shd w:val="clear" w:color="auto" w:fill="FFFFFF"/>
          </w:tcPr>
          <w:p w:rsidR="00965D85" w:rsidRPr="00427006"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427006">
              <w:rPr>
                <w:rFonts w:ascii="Calibri" w:eastAsiaTheme="minorEastAsia" w:hAnsi="Calibri" w:cs="Calibri"/>
                <w:b/>
                <w:bCs/>
                <w:color w:val="000000"/>
                <w:sz w:val="20"/>
                <w:lang w:eastAsia="en-AU"/>
              </w:rPr>
              <w:t>147 890.1</w:t>
            </w:r>
          </w:p>
        </w:tc>
      </w:tr>
      <w:tr w:rsidR="00965D85" w:rsidRPr="00427006" w:rsidTr="008B46DF">
        <w:trPr>
          <w:cantSplit/>
        </w:trPr>
        <w:tc>
          <w:tcPr>
            <w:tcW w:w="2977" w:type="dxa"/>
            <w:tcBorders>
              <w:top w:val="single" w:sz="12" w:space="0" w:color="auto"/>
              <w:left w:val="nil"/>
              <w:right w:val="nil"/>
            </w:tcBorders>
            <w:shd w:val="clear" w:color="auto" w:fill="FFFFFF"/>
          </w:tcPr>
          <w:p w:rsidR="00965D85" w:rsidRPr="00427006" w:rsidRDefault="00965D85" w:rsidP="008B46DF">
            <w:pPr>
              <w:autoSpaceDE w:val="0"/>
              <w:autoSpaceDN w:val="0"/>
              <w:adjustRightInd w:val="0"/>
              <w:spacing w:after="0"/>
              <w:ind w:left="227" w:hanging="227"/>
              <w:jc w:val="right"/>
              <w:rPr>
                <w:rFonts w:ascii="Calibri" w:eastAsiaTheme="minorEastAsia" w:hAnsi="Calibri" w:cs="Calibri"/>
                <w:b/>
                <w:bCs/>
                <w:color w:val="000000"/>
                <w:sz w:val="20"/>
                <w:lang w:eastAsia="en-AU"/>
              </w:rPr>
            </w:pPr>
            <w:r w:rsidRPr="00427006">
              <w:rPr>
                <w:rFonts w:ascii="Calibri" w:eastAsiaTheme="minorEastAsia" w:hAnsi="Calibri" w:cs="Calibri"/>
                <w:b/>
                <w:bCs/>
                <w:color w:val="000000"/>
                <w:sz w:val="20"/>
                <w:lang w:eastAsia="en-AU"/>
              </w:rPr>
              <w:t xml:space="preserve"> </w:t>
            </w:r>
          </w:p>
        </w:tc>
        <w:tc>
          <w:tcPr>
            <w:tcW w:w="2394" w:type="dxa"/>
            <w:tcBorders>
              <w:top w:val="single" w:sz="12" w:space="0" w:color="auto"/>
              <w:left w:val="nil"/>
              <w:right w:val="nil"/>
            </w:tcBorders>
            <w:shd w:val="clear" w:color="auto" w:fill="FFFFFF"/>
          </w:tcPr>
          <w:p w:rsidR="00965D85" w:rsidRPr="00427006"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2395" w:type="dxa"/>
            <w:tcBorders>
              <w:top w:val="single" w:sz="12" w:space="0" w:color="auto"/>
              <w:left w:val="nil"/>
              <w:right w:val="nil"/>
            </w:tcBorders>
            <w:shd w:val="clear" w:color="auto" w:fill="FFFFFF"/>
          </w:tcPr>
          <w:p w:rsidR="00965D85" w:rsidRPr="00427006"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r>
      <w:tr w:rsidR="00965D85" w:rsidRPr="00427006" w:rsidTr="008B46DF">
        <w:trPr>
          <w:cantSplit/>
        </w:trPr>
        <w:tc>
          <w:tcPr>
            <w:tcW w:w="2977" w:type="dxa"/>
            <w:tcBorders>
              <w:top w:val="nil"/>
              <w:left w:val="nil"/>
              <w:right w:val="nil"/>
            </w:tcBorders>
            <w:shd w:val="clear" w:color="auto" w:fill="FFFFFF"/>
          </w:tcPr>
          <w:p w:rsidR="00965D85" w:rsidRPr="00427006" w:rsidRDefault="00965D85" w:rsidP="008B46DF">
            <w:pPr>
              <w:autoSpaceDE w:val="0"/>
              <w:autoSpaceDN w:val="0"/>
              <w:adjustRightInd w:val="0"/>
              <w:spacing w:after="0"/>
              <w:ind w:left="227" w:hanging="227"/>
              <w:jc w:val="right"/>
              <w:rPr>
                <w:rFonts w:ascii="Calibri" w:eastAsiaTheme="minorEastAsia" w:hAnsi="Calibri" w:cs="Calibri"/>
                <w:color w:val="000000"/>
                <w:sz w:val="20"/>
                <w:lang w:eastAsia="en-AU"/>
              </w:rPr>
            </w:pPr>
            <w:r w:rsidRPr="00427006">
              <w:rPr>
                <w:rFonts w:ascii="Calibri" w:eastAsiaTheme="minorEastAsia" w:hAnsi="Calibri" w:cs="Calibri"/>
                <w:color w:val="000000"/>
                <w:sz w:val="20"/>
                <w:lang w:eastAsia="en-AU"/>
              </w:rPr>
              <w:t>77 429.5</w:t>
            </w:r>
          </w:p>
        </w:tc>
        <w:tc>
          <w:tcPr>
            <w:tcW w:w="2394" w:type="dxa"/>
            <w:tcBorders>
              <w:top w:val="nil"/>
              <w:left w:val="nil"/>
              <w:right w:val="nil"/>
            </w:tcBorders>
            <w:shd w:val="clear" w:color="auto" w:fill="FFFFFF"/>
          </w:tcPr>
          <w:p w:rsidR="00965D85" w:rsidRPr="00427006"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427006">
              <w:rPr>
                <w:rFonts w:ascii="Calibri" w:eastAsiaTheme="minorEastAsia" w:hAnsi="Calibri" w:cs="Calibri"/>
                <w:color w:val="000000"/>
                <w:sz w:val="20"/>
                <w:lang w:eastAsia="en-AU"/>
              </w:rPr>
              <w:t>1 200.9</w:t>
            </w:r>
          </w:p>
        </w:tc>
        <w:tc>
          <w:tcPr>
            <w:tcW w:w="2395" w:type="dxa"/>
            <w:tcBorders>
              <w:top w:val="nil"/>
              <w:left w:val="nil"/>
              <w:right w:val="nil"/>
            </w:tcBorders>
            <w:shd w:val="clear" w:color="auto" w:fill="FFFFFF"/>
          </w:tcPr>
          <w:p w:rsidR="00965D85" w:rsidRPr="00427006"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427006">
              <w:rPr>
                <w:rFonts w:ascii="Calibri" w:eastAsiaTheme="minorEastAsia" w:hAnsi="Calibri" w:cs="Calibri"/>
                <w:color w:val="000000"/>
                <w:sz w:val="20"/>
                <w:lang w:eastAsia="en-AU"/>
              </w:rPr>
              <w:t>139 909.2</w:t>
            </w:r>
          </w:p>
        </w:tc>
      </w:tr>
      <w:tr w:rsidR="00965D85" w:rsidRPr="00427006" w:rsidTr="008B46DF">
        <w:trPr>
          <w:cantSplit/>
        </w:trPr>
        <w:tc>
          <w:tcPr>
            <w:tcW w:w="2977" w:type="dxa"/>
            <w:tcBorders>
              <w:top w:val="nil"/>
              <w:left w:val="nil"/>
              <w:right w:val="nil"/>
            </w:tcBorders>
            <w:shd w:val="clear" w:color="auto" w:fill="FFFFFF"/>
          </w:tcPr>
          <w:p w:rsidR="00965D85" w:rsidRPr="00427006" w:rsidRDefault="00965D85" w:rsidP="008B46DF">
            <w:pPr>
              <w:autoSpaceDE w:val="0"/>
              <w:autoSpaceDN w:val="0"/>
              <w:adjustRightInd w:val="0"/>
              <w:spacing w:after="0"/>
              <w:ind w:left="227" w:hanging="227"/>
              <w:jc w:val="right"/>
              <w:rPr>
                <w:rFonts w:ascii="Calibri" w:eastAsiaTheme="minorEastAsia" w:hAnsi="Calibri" w:cs="Calibri"/>
                <w:color w:val="000000"/>
                <w:sz w:val="20"/>
                <w:lang w:eastAsia="en-AU"/>
              </w:rPr>
            </w:pPr>
            <w:r w:rsidRPr="00427006">
              <w:rPr>
                <w:rFonts w:ascii="Calibri" w:eastAsiaTheme="minorEastAsia" w:hAnsi="Calibri" w:cs="Calibri"/>
                <w:color w:val="000000"/>
                <w:sz w:val="20"/>
                <w:lang w:eastAsia="en-AU"/>
              </w:rPr>
              <w:t>..</w:t>
            </w:r>
          </w:p>
        </w:tc>
        <w:tc>
          <w:tcPr>
            <w:tcW w:w="2394" w:type="dxa"/>
            <w:tcBorders>
              <w:top w:val="nil"/>
              <w:left w:val="nil"/>
              <w:right w:val="nil"/>
            </w:tcBorders>
            <w:shd w:val="clear" w:color="auto" w:fill="FFFFFF"/>
          </w:tcPr>
          <w:p w:rsidR="00965D85" w:rsidRPr="00427006"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427006">
              <w:rPr>
                <w:rFonts w:ascii="Calibri" w:eastAsiaTheme="minorEastAsia" w:hAnsi="Calibri" w:cs="Calibri"/>
                <w:color w:val="000000"/>
                <w:sz w:val="20"/>
                <w:lang w:eastAsia="en-AU"/>
              </w:rPr>
              <w:t>..</w:t>
            </w:r>
          </w:p>
        </w:tc>
        <w:tc>
          <w:tcPr>
            <w:tcW w:w="2395" w:type="dxa"/>
            <w:tcBorders>
              <w:top w:val="nil"/>
              <w:left w:val="nil"/>
              <w:right w:val="nil"/>
            </w:tcBorders>
            <w:shd w:val="clear" w:color="auto" w:fill="FFFFFF"/>
          </w:tcPr>
          <w:p w:rsidR="00965D85" w:rsidRPr="00427006"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427006">
              <w:rPr>
                <w:rFonts w:ascii="Calibri" w:eastAsiaTheme="minorEastAsia" w:hAnsi="Calibri" w:cs="Calibri"/>
                <w:color w:val="000000"/>
                <w:sz w:val="20"/>
                <w:lang w:eastAsia="en-AU"/>
              </w:rPr>
              <w:t>2 192.9</w:t>
            </w:r>
          </w:p>
        </w:tc>
      </w:tr>
      <w:tr w:rsidR="00965D85" w:rsidRPr="00427006" w:rsidTr="008B46DF">
        <w:trPr>
          <w:cantSplit/>
        </w:trPr>
        <w:tc>
          <w:tcPr>
            <w:tcW w:w="2977" w:type="dxa"/>
            <w:tcBorders>
              <w:top w:val="nil"/>
              <w:left w:val="nil"/>
              <w:right w:val="nil"/>
            </w:tcBorders>
            <w:shd w:val="clear" w:color="auto" w:fill="FFFFFF"/>
          </w:tcPr>
          <w:p w:rsidR="00965D85" w:rsidRPr="00427006" w:rsidRDefault="00965D85" w:rsidP="008B46DF">
            <w:pPr>
              <w:autoSpaceDE w:val="0"/>
              <w:autoSpaceDN w:val="0"/>
              <w:adjustRightInd w:val="0"/>
              <w:spacing w:after="0"/>
              <w:ind w:left="227" w:hanging="227"/>
              <w:jc w:val="right"/>
              <w:rPr>
                <w:rFonts w:ascii="Calibri" w:eastAsiaTheme="minorEastAsia" w:hAnsi="Calibri" w:cs="Calibri"/>
                <w:color w:val="000000"/>
                <w:sz w:val="20"/>
                <w:lang w:eastAsia="en-AU"/>
              </w:rPr>
            </w:pPr>
            <w:r w:rsidRPr="00427006">
              <w:rPr>
                <w:rFonts w:ascii="Calibri" w:eastAsiaTheme="minorEastAsia" w:hAnsi="Calibri" w:cs="Calibri"/>
                <w:color w:val="000000"/>
                <w:sz w:val="20"/>
                <w:lang w:eastAsia="en-AU"/>
              </w:rPr>
              <w:t>2 169.7</w:t>
            </w:r>
          </w:p>
        </w:tc>
        <w:tc>
          <w:tcPr>
            <w:tcW w:w="2394" w:type="dxa"/>
            <w:tcBorders>
              <w:top w:val="nil"/>
              <w:left w:val="nil"/>
              <w:right w:val="nil"/>
            </w:tcBorders>
            <w:shd w:val="clear" w:color="auto" w:fill="FFFFFF"/>
          </w:tcPr>
          <w:p w:rsidR="00965D85" w:rsidRPr="00427006"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427006">
              <w:rPr>
                <w:rFonts w:ascii="Calibri" w:eastAsiaTheme="minorEastAsia" w:hAnsi="Calibri" w:cs="Calibri"/>
                <w:color w:val="000000"/>
                <w:sz w:val="20"/>
                <w:lang w:eastAsia="en-AU"/>
              </w:rPr>
              <w:t>65.4</w:t>
            </w:r>
          </w:p>
        </w:tc>
        <w:tc>
          <w:tcPr>
            <w:tcW w:w="2395" w:type="dxa"/>
            <w:tcBorders>
              <w:top w:val="nil"/>
              <w:left w:val="nil"/>
              <w:right w:val="nil"/>
            </w:tcBorders>
            <w:shd w:val="clear" w:color="auto" w:fill="FFFFFF"/>
          </w:tcPr>
          <w:p w:rsidR="00965D85" w:rsidRPr="00427006"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427006">
              <w:rPr>
                <w:rFonts w:ascii="Calibri" w:eastAsiaTheme="minorEastAsia" w:hAnsi="Calibri" w:cs="Calibri"/>
                <w:color w:val="000000"/>
                <w:sz w:val="20"/>
                <w:lang w:eastAsia="en-AU"/>
              </w:rPr>
              <w:t>438.3</w:t>
            </w:r>
          </w:p>
        </w:tc>
      </w:tr>
      <w:tr w:rsidR="00965D85" w:rsidRPr="00427006" w:rsidTr="008B46DF">
        <w:trPr>
          <w:cantSplit/>
        </w:trPr>
        <w:tc>
          <w:tcPr>
            <w:tcW w:w="2977" w:type="dxa"/>
            <w:tcBorders>
              <w:top w:val="nil"/>
              <w:left w:val="nil"/>
              <w:bottom w:val="single" w:sz="6" w:space="0" w:color="auto"/>
              <w:right w:val="nil"/>
            </w:tcBorders>
            <w:shd w:val="clear" w:color="auto" w:fill="FFFFFF"/>
          </w:tcPr>
          <w:p w:rsidR="00965D85" w:rsidRPr="00427006" w:rsidRDefault="00965D85" w:rsidP="008B46DF">
            <w:pPr>
              <w:autoSpaceDE w:val="0"/>
              <w:autoSpaceDN w:val="0"/>
              <w:adjustRightInd w:val="0"/>
              <w:spacing w:after="0"/>
              <w:ind w:left="227" w:hanging="227"/>
              <w:jc w:val="right"/>
              <w:rPr>
                <w:rFonts w:ascii="Calibri" w:eastAsiaTheme="minorEastAsia" w:hAnsi="Calibri" w:cs="Calibri"/>
                <w:color w:val="000000"/>
                <w:sz w:val="20"/>
                <w:lang w:eastAsia="en-AU"/>
              </w:rPr>
            </w:pPr>
            <w:r w:rsidRPr="00427006">
              <w:rPr>
                <w:rFonts w:ascii="Calibri" w:eastAsiaTheme="minorEastAsia" w:hAnsi="Calibri" w:cs="Calibri"/>
                <w:color w:val="000000"/>
                <w:sz w:val="20"/>
                <w:lang w:eastAsia="en-AU"/>
              </w:rPr>
              <w:t>(1 590.4)</w:t>
            </w:r>
          </w:p>
        </w:tc>
        <w:tc>
          <w:tcPr>
            <w:tcW w:w="2394" w:type="dxa"/>
            <w:tcBorders>
              <w:top w:val="nil"/>
              <w:left w:val="nil"/>
              <w:bottom w:val="single" w:sz="6" w:space="0" w:color="auto"/>
              <w:right w:val="nil"/>
            </w:tcBorders>
            <w:shd w:val="clear" w:color="auto" w:fill="FFFFFF"/>
          </w:tcPr>
          <w:p w:rsidR="00965D85" w:rsidRPr="00427006"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427006">
              <w:rPr>
                <w:rFonts w:ascii="Calibri" w:eastAsiaTheme="minorEastAsia" w:hAnsi="Calibri" w:cs="Calibri"/>
                <w:color w:val="000000"/>
                <w:sz w:val="20"/>
                <w:lang w:eastAsia="en-AU"/>
              </w:rPr>
              <w:t>..</w:t>
            </w:r>
          </w:p>
        </w:tc>
        <w:tc>
          <w:tcPr>
            <w:tcW w:w="2395" w:type="dxa"/>
            <w:tcBorders>
              <w:top w:val="nil"/>
              <w:left w:val="nil"/>
              <w:bottom w:val="single" w:sz="6" w:space="0" w:color="auto"/>
              <w:right w:val="nil"/>
            </w:tcBorders>
            <w:shd w:val="clear" w:color="auto" w:fill="FFFFFF"/>
          </w:tcPr>
          <w:p w:rsidR="00965D85" w:rsidRPr="00427006"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427006">
              <w:rPr>
                <w:rFonts w:ascii="Calibri" w:eastAsiaTheme="minorEastAsia" w:hAnsi="Calibri" w:cs="Calibri"/>
                <w:color w:val="000000"/>
                <w:sz w:val="20"/>
                <w:lang w:eastAsia="en-AU"/>
              </w:rPr>
              <w:t>(432.1)</w:t>
            </w:r>
          </w:p>
        </w:tc>
      </w:tr>
      <w:tr w:rsidR="00965D85" w:rsidRPr="00427006" w:rsidTr="008B46DF">
        <w:trPr>
          <w:cantSplit/>
        </w:trPr>
        <w:tc>
          <w:tcPr>
            <w:tcW w:w="2977" w:type="dxa"/>
            <w:tcBorders>
              <w:top w:val="single" w:sz="6" w:space="0" w:color="auto"/>
              <w:left w:val="nil"/>
              <w:bottom w:val="single" w:sz="12" w:space="0" w:color="auto"/>
              <w:right w:val="nil"/>
            </w:tcBorders>
            <w:shd w:val="clear" w:color="auto" w:fill="FFFFFF"/>
          </w:tcPr>
          <w:p w:rsidR="00965D85" w:rsidRPr="00427006" w:rsidRDefault="00965D85" w:rsidP="008B46DF">
            <w:pPr>
              <w:autoSpaceDE w:val="0"/>
              <w:autoSpaceDN w:val="0"/>
              <w:adjustRightInd w:val="0"/>
              <w:spacing w:after="0"/>
              <w:ind w:left="227" w:hanging="227"/>
              <w:jc w:val="right"/>
              <w:rPr>
                <w:rFonts w:ascii="Calibri" w:eastAsiaTheme="minorEastAsia" w:hAnsi="Calibri" w:cs="Calibri"/>
                <w:b/>
                <w:bCs/>
                <w:color w:val="000000"/>
                <w:sz w:val="20"/>
                <w:lang w:eastAsia="en-AU"/>
              </w:rPr>
            </w:pPr>
            <w:r w:rsidRPr="00427006">
              <w:rPr>
                <w:rFonts w:ascii="Calibri" w:eastAsiaTheme="minorEastAsia" w:hAnsi="Calibri" w:cs="Calibri"/>
                <w:b/>
                <w:bCs/>
                <w:color w:val="000000"/>
                <w:sz w:val="20"/>
                <w:lang w:eastAsia="en-AU"/>
              </w:rPr>
              <w:t>78 008.7</w:t>
            </w:r>
          </w:p>
        </w:tc>
        <w:tc>
          <w:tcPr>
            <w:tcW w:w="2394" w:type="dxa"/>
            <w:tcBorders>
              <w:top w:val="single" w:sz="6" w:space="0" w:color="auto"/>
              <w:left w:val="nil"/>
              <w:bottom w:val="single" w:sz="12" w:space="0" w:color="auto"/>
              <w:right w:val="nil"/>
            </w:tcBorders>
            <w:shd w:val="clear" w:color="auto" w:fill="FFFFFF"/>
          </w:tcPr>
          <w:p w:rsidR="00965D85" w:rsidRPr="00427006"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427006">
              <w:rPr>
                <w:rFonts w:ascii="Calibri" w:eastAsiaTheme="minorEastAsia" w:hAnsi="Calibri" w:cs="Calibri"/>
                <w:b/>
                <w:bCs/>
                <w:color w:val="000000"/>
                <w:sz w:val="20"/>
                <w:lang w:eastAsia="en-AU"/>
              </w:rPr>
              <w:t>1 266.3</w:t>
            </w:r>
          </w:p>
        </w:tc>
        <w:tc>
          <w:tcPr>
            <w:tcW w:w="2395" w:type="dxa"/>
            <w:tcBorders>
              <w:top w:val="single" w:sz="6" w:space="0" w:color="auto"/>
              <w:left w:val="nil"/>
              <w:bottom w:val="single" w:sz="12" w:space="0" w:color="auto"/>
              <w:right w:val="nil"/>
            </w:tcBorders>
            <w:shd w:val="clear" w:color="auto" w:fill="FFFFFF"/>
          </w:tcPr>
          <w:p w:rsidR="00965D85" w:rsidRPr="00427006"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427006">
              <w:rPr>
                <w:rFonts w:ascii="Calibri" w:eastAsiaTheme="minorEastAsia" w:hAnsi="Calibri" w:cs="Calibri"/>
                <w:b/>
                <w:bCs/>
                <w:color w:val="000000"/>
                <w:sz w:val="20"/>
                <w:lang w:eastAsia="en-AU"/>
              </w:rPr>
              <w:t>142 108.2</w:t>
            </w:r>
          </w:p>
        </w:tc>
      </w:tr>
      <w:tr w:rsidR="00965D85" w:rsidRPr="00427006" w:rsidTr="008B46DF">
        <w:trPr>
          <w:cantSplit/>
        </w:trPr>
        <w:tc>
          <w:tcPr>
            <w:tcW w:w="2977" w:type="dxa"/>
            <w:tcBorders>
              <w:top w:val="single" w:sz="12" w:space="0" w:color="auto"/>
              <w:left w:val="nil"/>
              <w:right w:val="nil"/>
            </w:tcBorders>
            <w:shd w:val="clear" w:color="auto" w:fill="FFFFFF"/>
          </w:tcPr>
          <w:p w:rsidR="00965D85" w:rsidRPr="00427006" w:rsidRDefault="00965D85" w:rsidP="008B46DF">
            <w:pPr>
              <w:autoSpaceDE w:val="0"/>
              <w:autoSpaceDN w:val="0"/>
              <w:adjustRightInd w:val="0"/>
              <w:spacing w:after="0"/>
              <w:ind w:left="227" w:hanging="227"/>
              <w:jc w:val="right"/>
              <w:rPr>
                <w:rFonts w:ascii="Calibri" w:eastAsiaTheme="minorEastAsia" w:hAnsi="Calibri" w:cs="Calibri"/>
                <w:b/>
                <w:bCs/>
                <w:color w:val="000000"/>
                <w:sz w:val="20"/>
                <w:lang w:eastAsia="en-AU"/>
              </w:rPr>
            </w:pPr>
            <w:r w:rsidRPr="00427006">
              <w:rPr>
                <w:rFonts w:ascii="Calibri" w:eastAsiaTheme="minorEastAsia" w:hAnsi="Calibri" w:cs="Calibri"/>
                <w:b/>
                <w:bCs/>
                <w:color w:val="000000"/>
                <w:sz w:val="20"/>
                <w:lang w:eastAsia="en-AU"/>
              </w:rPr>
              <w:t xml:space="preserve"> </w:t>
            </w:r>
          </w:p>
        </w:tc>
        <w:tc>
          <w:tcPr>
            <w:tcW w:w="2394" w:type="dxa"/>
            <w:tcBorders>
              <w:top w:val="single" w:sz="12" w:space="0" w:color="auto"/>
              <w:left w:val="nil"/>
              <w:right w:val="nil"/>
            </w:tcBorders>
            <w:shd w:val="clear" w:color="auto" w:fill="FFFFFF"/>
          </w:tcPr>
          <w:p w:rsidR="00965D85" w:rsidRPr="00427006"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2395" w:type="dxa"/>
            <w:tcBorders>
              <w:top w:val="single" w:sz="12" w:space="0" w:color="auto"/>
              <w:left w:val="nil"/>
              <w:right w:val="nil"/>
            </w:tcBorders>
            <w:shd w:val="clear" w:color="auto" w:fill="FFFFFF"/>
          </w:tcPr>
          <w:p w:rsidR="00965D85" w:rsidRPr="00427006"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r>
      <w:tr w:rsidR="00965D85" w:rsidRPr="00427006" w:rsidTr="008B46DF">
        <w:trPr>
          <w:cantSplit/>
        </w:trPr>
        <w:tc>
          <w:tcPr>
            <w:tcW w:w="2977" w:type="dxa"/>
            <w:tcBorders>
              <w:top w:val="nil"/>
              <w:left w:val="nil"/>
              <w:right w:val="nil"/>
            </w:tcBorders>
            <w:shd w:val="clear" w:color="auto" w:fill="FFFFFF"/>
          </w:tcPr>
          <w:p w:rsidR="00965D85" w:rsidRPr="00427006" w:rsidRDefault="00965D85" w:rsidP="008B46DF">
            <w:pPr>
              <w:autoSpaceDE w:val="0"/>
              <w:autoSpaceDN w:val="0"/>
              <w:adjustRightInd w:val="0"/>
              <w:spacing w:after="0"/>
              <w:ind w:left="227" w:hanging="227"/>
              <w:jc w:val="right"/>
              <w:rPr>
                <w:rFonts w:ascii="Calibri" w:eastAsiaTheme="minorEastAsia" w:hAnsi="Calibri" w:cs="Calibri"/>
                <w:color w:val="000000"/>
                <w:sz w:val="20"/>
                <w:lang w:eastAsia="en-AU"/>
              </w:rPr>
            </w:pPr>
            <w:r w:rsidRPr="00427006">
              <w:rPr>
                <w:rFonts w:ascii="Calibri" w:eastAsiaTheme="minorEastAsia" w:hAnsi="Calibri" w:cs="Calibri"/>
                <w:color w:val="000000"/>
                <w:sz w:val="20"/>
                <w:lang w:eastAsia="en-AU"/>
              </w:rPr>
              <w:t>78 008.7</w:t>
            </w:r>
          </w:p>
        </w:tc>
        <w:tc>
          <w:tcPr>
            <w:tcW w:w="2394" w:type="dxa"/>
            <w:tcBorders>
              <w:top w:val="nil"/>
              <w:left w:val="nil"/>
              <w:right w:val="nil"/>
            </w:tcBorders>
            <w:shd w:val="clear" w:color="auto" w:fill="FFFFFF"/>
          </w:tcPr>
          <w:p w:rsidR="00965D85" w:rsidRPr="00427006"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427006">
              <w:rPr>
                <w:rFonts w:ascii="Calibri" w:eastAsiaTheme="minorEastAsia" w:hAnsi="Calibri" w:cs="Calibri"/>
                <w:color w:val="000000"/>
                <w:sz w:val="20"/>
                <w:lang w:eastAsia="en-AU"/>
              </w:rPr>
              <w:t>1 266.3</w:t>
            </w:r>
          </w:p>
        </w:tc>
        <w:tc>
          <w:tcPr>
            <w:tcW w:w="2395" w:type="dxa"/>
            <w:tcBorders>
              <w:top w:val="nil"/>
              <w:left w:val="nil"/>
              <w:right w:val="nil"/>
            </w:tcBorders>
            <w:shd w:val="clear" w:color="auto" w:fill="FFFFFF"/>
          </w:tcPr>
          <w:p w:rsidR="00965D85" w:rsidRPr="00427006"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427006">
              <w:rPr>
                <w:rFonts w:ascii="Calibri" w:eastAsiaTheme="minorEastAsia" w:hAnsi="Calibri" w:cs="Calibri"/>
                <w:color w:val="000000"/>
                <w:sz w:val="20"/>
                <w:lang w:eastAsia="en-AU"/>
              </w:rPr>
              <w:t>142 108.2</w:t>
            </w:r>
          </w:p>
        </w:tc>
      </w:tr>
      <w:tr w:rsidR="00965D85" w:rsidRPr="00427006" w:rsidTr="008B46DF">
        <w:trPr>
          <w:cantSplit/>
        </w:trPr>
        <w:tc>
          <w:tcPr>
            <w:tcW w:w="2977" w:type="dxa"/>
            <w:tcBorders>
              <w:top w:val="nil"/>
              <w:left w:val="nil"/>
              <w:right w:val="nil"/>
            </w:tcBorders>
            <w:shd w:val="clear" w:color="auto" w:fill="FFFFFF"/>
          </w:tcPr>
          <w:p w:rsidR="00965D85" w:rsidRPr="00427006" w:rsidRDefault="00965D85" w:rsidP="008B46DF">
            <w:pPr>
              <w:autoSpaceDE w:val="0"/>
              <w:autoSpaceDN w:val="0"/>
              <w:adjustRightInd w:val="0"/>
              <w:spacing w:after="0"/>
              <w:ind w:left="227" w:hanging="227"/>
              <w:jc w:val="right"/>
              <w:rPr>
                <w:rFonts w:ascii="Calibri" w:eastAsiaTheme="minorEastAsia" w:hAnsi="Calibri" w:cs="Calibri"/>
                <w:color w:val="000000"/>
                <w:sz w:val="20"/>
                <w:lang w:eastAsia="en-AU"/>
              </w:rPr>
            </w:pPr>
            <w:r w:rsidRPr="00427006">
              <w:rPr>
                <w:rFonts w:ascii="Calibri" w:eastAsiaTheme="minorEastAsia" w:hAnsi="Calibri" w:cs="Calibri"/>
                <w:color w:val="000000"/>
                <w:sz w:val="20"/>
                <w:lang w:eastAsia="en-AU"/>
              </w:rPr>
              <w:t>..</w:t>
            </w:r>
          </w:p>
        </w:tc>
        <w:tc>
          <w:tcPr>
            <w:tcW w:w="2394" w:type="dxa"/>
            <w:tcBorders>
              <w:top w:val="nil"/>
              <w:left w:val="nil"/>
              <w:right w:val="nil"/>
            </w:tcBorders>
            <w:shd w:val="clear" w:color="auto" w:fill="FFFFFF"/>
          </w:tcPr>
          <w:p w:rsidR="00965D85" w:rsidRPr="00427006"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427006">
              <w:rPr>
                <w:rFonts w:ascii="Calibri" w:eastAsiaTheme="minorEastAsia" w:hAnsi="Calibri" w:cs="Calibri"/>
                <w:color w:val="000000"/>
                <w:sz w:val="20"/>
                <w:lang w:eastAsia="en-AU"/>
              </w:rPr>
              <w:t>..</w:t>
            </w:r>
          </w:p>
        </w:tc>
        <w:tc>
          <w:tcPr>
            <w:tcW w:w="2395" w:type="dxa"/>
            <w:tcBorders>
              <w:top w:val="nil"/>
              <w:left w:val="nil"/>
              <w:right w:val="nil"/>
            </w:tcBorders>
            <w:shd w:val="clear" w:color="auto" w:fill="FFFFFF"/>
          </w:tcPr>
          <w:p w:rsidR="00965D85" w:rsidRPr="00427006"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427006">
              <w:rPr>
                <w:rFonts w:ascii="Calibri" w:eastAsiaTheme="minorEastAsia" w:hAnsi="Calibri" w:cs="Calibri"/>
                <w:color w:val="000000"/>
                <w:sz w:val="20"/>
                <w:lang w:eastAsia="en-AU"/>
              </w:rPr>
              <w:t>898.3</w:t>
            </w:r>
          </w:p>
        </w:tc>
      </w:tr>
      <w:tr w:rsidR="00965D85" w:rsidRPr="00427006" w:rsidTr="008B46DF">
        <w:trPr>
          <w:cantSplit/>
        </w:trPr>
        <w:tc>
          <w:tcPr>
            <w:tcW w:w="2977" w:type="dxa"/>
            <w:tcBorders>
              <w:top w:val="nil"/>
              <w:left w:val="nil"/>
              <w:right w:val="nil"/>
            </w:tcBorders>
            <w:shd w:val="clear" w:color="auto" w:fill="FFFFFF"/>
          </w:tcPr>
          <w:p w:rsidR="00965D85" w:rsidRPr="00427006" w:rsidRDefault="00965D85" w:rsidP="008B46DF">
            <w:pPr>
              <w:autoSpaceDE w:val="0"/>
              <w:autoSpaceDN w:val="0"/>
              <w:adjustRightInd w:val="0"/>
              <w:spacing w:after="0"/>
              <w:ind w:left="227" w:hanging="227"/>
              <w:jc w:val="right"/>
              <w:rPr>
                <w:rFonts w:ascii="Calibri" w:eastAsiaTheme="minorEastAsia" w:hAnsi="Calibri" w:cs="Calibri"/>
                <w:color w:val="000000"/>
                <w:sz w:val="20"/>
                <w:lang w:eastAsia="en-AU"/>
              </w:rPr>
            </w:pPr>
            <w:r w:rsidRPr="00427006">
              <w:rPr>
                <w:rFonts w:ascii="Calibri" w:eastAsiaTheme="minorEastAsia" w:hAnsi="Calibri" w:cs="Calibri"/>
                <w:color w:val="000000"/>
                <w:sz w:val="20"/>
                <w:lang w:eastAsia="en-AU"/>
              </w:rPr>
              <w:t xml:space="preserve"> 498.2</w:t>
            </w:r>
          </w:p>
        </w:tc>
        <w:tc>
          <w:tcPr>
            <w:tcW w:w="2394" w:type="dxa"/>
            <w:tcBorders>
              <w:top w:val="nil"/>
              <w:left w:val="nil"/>
              <w:right w:val="nil"/>
            </w:tcBorders>
            <w:shd w:val="clear" w:color="auto" w:fill="FFFFFF"/>
          </w:tcPr>
          <w:p w:rsidR="00965D85" w:rsidRPr="00427006"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427006">
              <w:rPr>
                <w:rFonts w:ascii="Calibri" w:eastAsiaTheme="minorEastAsia" w:hAnsi="Calibri" w:cs="Calibri"/>
                <w:color w:val="000000"/>
                <w:sz w:val="20"/>
                <w:lang w:eastAsia="en-AU"/>
              </w:rPr>
              <w:t>43.6</w:t>
            </w:r>
          </w:p>
        </w:tc>
        <w:tc>
          <w:tcPr>
            <w:tcW w:w="2395" w:type="dxa"/>
            <w:tcBorders>
              <w:top w:val="nil"/>
              <w:left w:val="nil"/>
              <w:right w:val="nil"/>
            </w:tcBorders>
            <w:shd w:val="clear" w:color="auto" w:fill="FFFFFF"/>
          </w:tcPr>
          <w:p w:rsidR="00965D85" w:rsidRPr="00427006"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427006">
              <w:rPr>
                <w:rFonts w:ascii="Calibri" w:eastAsiaTheme="minorEastAsia" w:hAnsi="Calibri" w:cs="Calibri"/>
                <w:color w:val="000000"/>
                <w:sz w:val="20"/>
                <w:lang w:eastAsia="en-AU"/>
              </w:rPr>
              <w:t>1 486.9</w:t>
            </w:r>
          </w:p>
        </w:tc>
      </w:tr>
      <w:tr w:rsidR="00965D85" w:rsidRPr="00427006" w:rsidTr="008B46DF">
        <w:trPr>
          <w:cantSplit/>
        </w:trPr>
        <w:tc>
          <w:tcPr>
            <w:tcW w:w="2977" w:type="dxa"/>
            <w:tcBorders>
              <w:top w:val="nil"/>
              <w:left w:val="nil"/>
              <w:bottom w:val="single" w:sz="6" w:space="0" w:color="auto"/>
              <w:right w:val="nil"/>
            </w:tcBorders>
            <w:shd w:val="clear" w:color="auto" w:fill="FFFFFF"/>
          </w:tcPr>
          <w:p w:rsidR="00965D85" w:rsidRPr="00427006" w:rsidRDefault="00965D85" w:rsidP="008B46DF">
            <w:pPr>
              <w:autoSpaceDE w:val="0"/>
              <w:autoSpaceDN w:val="0"/>
              <w:adjustRightInd w:val="0"/>
              <w:spacing w:after="0"/>
              <w:ind w:left="227" w:hanging="227"/>
              <w:jc w:val="right"/>
              <w:rPr>
                <w:rFonts w:ascii="Calibri" w:eastAsiaTheme="minorEastAsia" w:hAnsi="Calibri" w:cs="Calibri"/>
                <w:color w:val="000000"/>
                <w:sz w:val="20"/>
                <w:lang w:eastAsia="en-AU"/>
              </w:rPr>
            </w:pPr>
            <w:r w:rsidRPr="00427006">
              <w:rPr>
                <w:rFonts w:ascii="Calibri" w:eastAsiaTheme="minorEastAsia" w:hAnsi="Calibri" w:cs="Calibri"/>
                <w:color w:val="000000"/>
                <w:sz w:val="20"/>
                <w:lang w:eastAsia="en-AU"/>
              </w:rPr>
              <w:t>..</w:t>
            </w:r>
          </w:p>
        </w:tc>
        <w:tc>
          <w:tcPr>
            <w:tcW w:w="2394" w:type="dxa"/>
            <w:tcBorders>
              <w:top w:val="nil"/>
              <w:left w:val="nil"/>
              <w:bottom w:val="single" w:sz="6" w:space="0" w:color="auto"/>
              <w:right w:val="nil"/>
            </w:tcBorders>
            <w:shd w:val="clear" w:color="auto" w:fill="FFFFFF"/>
          </w:tcPr>
          <w:p w:rsidR="00965D85" w:rsidRPr="00427006"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427006">
              <w:rPr>
                <w:rFonts w:ascii="Calibri" w:eastAsiaTheme="minorEastAsia" w:hAnsi="Calibri" w:cs="Calibri"/>
                <w:color w:val="000000"/>
                <w:sz w:val="20"/>
                <w:lang w:eastAsia="en-AU"/>
              </w:rPr>
              <w:t>..</w:t>
            </w:r>
          </w:p>
        </w:tc>
        <w:tc>
          <w:tcPr>
            <w:tcW w:w="2395" w:type="dxa"/>
            <w:tcBorders>
              <w:top w:val="nil"/>
              <w:left w:val="nil"/>
              <w:bottom w:val="single" w:sz="6" w:space="0" w:color="auto"/>
              <w:right w:val="nil"/>
            </w:tcBorders>
            <w:shd w:val="clear" w:color="auto" w:fill="FFFFFF"/>
          </w:tcPr>
          <w:p w:rsidR="00965D85" w:rsidRPr="00427006"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427006">
              <w:rPr>
                <w:rFonts w:ascii="Calibri" w:eastAsiaTheme="minorEastAsia" w:hAnsi="Calibri" w:cs="Calibri"/>
                <w:color w:val="000000"/>
                <w:sz w:val="20"/>
                <w:lang w:eastAsia="en-AU"/>
              </w:rPr>
              <w:t>..</w:t>
            </w:r>
          </w:p>
        </w:tc>
      </w:tr>
      <w:tr w:rsidR="00965D85" w:rsidRPr="00427006" w:rsidTr="008B46DF">
        <w:trPr>
          <w:cantSplit/>
        </w:trPr>
        <w:tc>
          <w:tcPr>
            <w:tcW w:w="2977" w:type="dxa"/>
            <w:tcBorders>
              <w:top w:val="single" w:sz="6" w:space="0" w:color="auto"/>
              <w:left w:val="nil"/>
              <w:bottom w:val="single" w:sz="12" w:space="0" w:color="auto"/>
              <w:right w:val="nil"/>
            </w:tcBorders>
            <w:shd w:val="clear" w:color="auto" w:fill="FFFFFF"/>
          </w:tcPr>
          <w:p w:rsidR="00965D85" w:rsidRPr="00427006" w:rsidRDefault="00965D85" w:rsidP="008B46DF">
            <w:pPr>
              <w:autoSpaceDE w:val="0"/>
              <w:autoSpaceDN w:val="0"/>
              <w:adjustRightInd w:val="0"/>
              <w:spacing w:after="0"/>
              <w:ind w:left="227" w:hanging="227"/>
              <w:jc w:val="right"/>
              <w:rPr>
                <w:rFonts w:ascii="Calibri" w:eastAsiaTheme="minorEastAsia" w:hAnsi="Calibri" w:cs="Calibri"/>
                <w:b/>
                <w:bCs/>
                <w:color w:val="000000"/>
                <w:sz w:val="20"/>
                <w:lang w:eastAsia="en-AU"/>
              </w:rPr>
            </w:pPr>
            <w:r w:rsidRPr="00427006">
              <w:rPr>
                <w:rFonts w:ascii="Calibri" w:eastAsiaTheme="minorEastAsia" w:hAnsi="Calibri" w:cs="Calibri"/>
                <w:b/>
                <w:bCs/>
                <w:color w:val="000000"/>
                <w:sz w:val="20"/>
                <w:lang w:eastAsia="en-AU"/>
              </w:rPr>
              <w:t>78 506.9</w:t>
            </w:r>
          </w:p>
        </w:tc>
        <w:tc>
          <w:tcPr>
            <w:tcW w:w="2394" w:type="dxa"/>
            <w:tcBorders>
              <w:top w:val="single" w:sz="6" w:space="0" w:color="auto"/>
              <w:left w:val="nil"/>
              <w:bottom w:val="single" w:sz="12" w:space="0" w:color="auto"/>
              <w:right w:val="nil"/>
            </w:tcBorders>
            <w:shd w:val="clear" w:color="auto" w:fill="FFFFFF"/>
          </w:tcPr>
          <w:p w:rsidR="00965D85" w:rsidRPr="00427006"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427006">
              <w:rPr>
                <w:rFonts w:ascii="Calibri" w:eastAsiaTheme="minorEastAsia" w:hAnsi="Calibri" w:cs="Calibri"/>
                <w:b/>
                <w:bCs/>
                <w:color w:val="000000"/>
                <w:sz w:val="20"/>
                <w:lang w:eastAsia="en-AU"/>
              </w:rPr>
              <w:t>1 309.9</w:t>
            </w:r>
          </w:p>
        </w:tc>
        <w:tc>
          <w:tcPr>
            <w:tcW w:w="2395" w:type="dxa"/>
            <w:tcBorders>
              <w:top w:val="single" w:sz="6" w:space="0" w:color="auto"/>
              <w:left w:val="nil"/>
              <w:bottom w:val="single" w:sz="12" w:space="0" w:color="auto"/>
              <w:right w:val="nil"/>
            </w:tcBorders>
            <w:shd w:val="clear" w:color="auto" w:fill="FFFFFF"/>
          </w:tcPr>
          <w:p w:rsidR="00965D85" w:rsidRPr="00427006"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427006">
              <w:rPr>
                <w:rFonts w:ascii="Calibri" w:eastAsiaTheme="minorEastAsia" w:hAnsi="Calibri" w:cs="Calibri"/>
                <w:b/>
                <w:bCs/>
                <w:color w:val="000000"/>
                <w:sz w:val="20"/>
                <w:lang w:eastAsia="en-AU"/>
              </w:rPr>
              <w:t>144 493.3</w:t>
            </w:r>
          </w:p>
        </w:tc>
      </w:tr>
      <w:tr w:rsidR="00965D85" w:rsidRPr="00427006" w:rsidTr="008B46DF">
        <w:trPr>
          <w:cantSplit/>
        </w:trPr>
        <w:tc>
          <w:tcPr>
            <w:tcW w:w="2977" w:type="dxa"/>
            <w:tcBorders>
              <w:top w:val="single" w:sz="12" w:space="0" w:color="auto"/>
              <w:left w:val="nil"/>
              <w:right w:val="nil"/>
            </w:tcBorders>
            <w:shd w:val="clear" w:color="auto" w:fill="FFFFFF"/>
          </w:tcPr>
          <w:p w:rsidR="00965D85" w:rsidRPr="00427006" w:rsidRDefault="00965D85" w:rsidP="008B46DF">
            <w:pPr>
              <w:autoSpaceDE w:val="0"/>
              <w:autoSpaceDN w:val="0"/>
              <w:adjustRightInd w:val="0"/>
              <w:spacing w:after="0"/>
              <w:ind w:left="227" w:hanging="227"/>
              <w:jc w:val="right"/>
              <w:rPr>
                <w:rFonts w:ascii="Calibri" w:eastAsiaTheme="minorEastAsia" w:hAnsi="Calibri" w:cs="Calibri"/>
                <w:b/>
                <w:bCs/>
                <w:color w:val="000000"/>
                <w:sz w:val="20"/>
                <w:lang w:eastAsia="en-AU"/>
              </w:rPr>
            </w:pPr>
            <w:r w:rsidRPr="00427006">
              <w:rPr>
                <w:rFonts w:ascii="Calibri" w:eastAsiaTheme="minorEastAsia" w:hAnsi="Calibri" w:cs="Calibri"/>
                <w:b/>
                <w:bCs/>
                <w:color w:val="000000"/>
                <w:sz w:val="20"/>
                <w:lang w:eastAsia="en-AU"/>
              </w:rPr>
              <w:t xml:space="preserve"> </w:t>
            </w:r>
          </w:p>
        </w:tc>
        <w:tc>
          <w:tcPr>
            <w:tcW w:w="2394" w:type="dxa"/>
            <w:tcBorders>
              <w:top w:val="single" w:sz="12" w:space="0" w:color="auto"/>
              <w:left w:val="nil"/>
              <w:right w:val="nil"/>
            </w:tcBorders>
            <w:shd w:val="clear" w:color="auto" w:fill="FFFFFF"/>
          </w:tcPr>
          <w:p w:rsidR="00965D85" w:rsidRPr="00427006"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2395" w:type="dxa"/>
            <w:tcBorders>
              <w:top w:val="single" w:sz="12" w:space="0" w:color="auto"/>
              <w:left w:val="nil"/>
              <w:right w:val="nil"/>
            </w:tcBorders>
            <w:shd w:val="clear" w:color="auto" w:fill="FFFFFF"/>
          </w:tcPr>
          <w:p w:rsidR="00965D85" w:rsidRPr="00427006"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r>
      <w:tr w:rsidR="00965D85" w:rsidRPr="00427006" w:rsidTr="008B46DF">
        <w:trPr>
          <w:cantSplit/>
        </w:trPr>
        <w:tc>
          <w:tcPr>
            <w:tcW w:w="2977" w:type="dxa"/>
            <w:tcBorders>
              <w:top w:val="nil"/>
              <w:left w:val="nil"/>
              <w:right w:val="nil"/>
            </w:tcBorders>
            <w:shd w:val="clear" w:color="auto" w:fill="FFFFFF"/>
          </w:tcPr>
          <w:p w:rsidR="00965D85" w:rsidRPr="00427006" w:rsidRDefault="00965D85" w:rsidP="008B46DF">
            <w:pPr>
              <w:autoSpaceDE w:val="0"/>
              <w:autoSpaceDN w:val="0"/>
              <w:adjustRightInd w:val="0"/>
              <w:spacing w:after="0"/>
              <w:ind w:left="227" w:hanging="227"/>
              <w:jc w:val="right"/>
              <w:rPr>
                <w:rFonts w:ascii="Calibri" w:eastAsiaTheme="minorEastAsia" w:hAnsi="Calibri" w:cs="Calibri"/>
                <w:color w:val="000000"/>
                <w:sz w:val="20"/>
                <w:lang w:eastAsia="en-AU"/>
              </w:rPr>
            </w:pPr>
            <w:r w:rsidRPr="00427006">
              <w:rPr>
                <w:rFonts w:ascii="Calibri" w:eastAsiaTheme="minorEastAsia" w:hAnsi="Calibri" w:cs="Calibri"/>
                <w:color w:val="000000"/>
                <w:sz w:val="20"/>
                <w:lang w:eastAsia="en-AU"/>
              </w:rPr>
              <w:t>78 506.9</w:t>
            </w:r>
          </w:p>
        </w:tc>
        <w:tc>
          <w:tcPr>
            <w:tcW w:w="2394" w:type="dxa"/>
            <w:tcBorders>
              <w:top w:val="nil"/>
              <w:left w:val="nil"/>
              <w:right w:val="nil"/>
            </w:tcBorders>
            <w:shd w:val="clear" w:color="auto" w:fill="FFFFFF"/>
          </w:tcPr>
          <w:p w:rsidR="00965D85" w:rsidRPr="00427006"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427006">
              <w:rPr>
                <w:rFonts w:ascii="Calibri" w:eastAsiaTheme="minorEastAsia" w:hAnsi="Calibri" w:cs="Calibri"/>
                <w:color w:val="000000"/>
                <w:sz w:val="20"/>
                <w:lang w:eastAsia="en-AU"/>
              </w:rPr>
              <w:t>1 309.9</w:t>
            </w:r>
          </w:p>
        </w:tc>
        <w:tc>
          <w:tcPr>
            <w:tcW w:w="2395" w:type="dxa"/>
            <w:tcBorders>
              <w:top w:val="nil"/>
              <w:left w:val="nil"/>
              <w:right w:val="nil"/>
            </w:tcBorders>
            <w:shd w:val="clear" w:color="auto" w:fill="FFFFFF"/>
          </w:tcPr>
          <w:p w:rsidR="00965D85" w:rsidRPr="00427006"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427006">
              <w:rPr>
                <w:rFonts w:ascii="Calibri" w:eastAsiaTheme="minorEastAsia" w:hAnsi="Calibri" w:cs="Calibri"/>
                <w:color w:val="000000"/>
                <w:sz w:val="20"/>
                <w:lang w:eastAsia="en-AU"/>
              </w:rPr>
              <w:t>144 493.3</w:t>
            </w:r>
          </w:p>
        </w:tc>
      </w:tr>
      <w:tr w:rsidR="00965D85" w:rsidRPr="00427006" w:rsidTr="008B46DF">
        <w:trPr>
          <w:cantSplit/>
        </w:trPr>
        <w:tc>
          <w:tcPr>
            <w:tcW w:w="2977" w:type="dxa"/>
            <w:tcBorders>
              <w:top w:val="nil"/>
              <w:left w:val="nil"/>
              <w:right w:val="nil"/>
            </w:tcBorders>
            <w:shd w:val="clear" w:color="auto" w:fill="FFFFFF"/>
          </w:tcPr>
          <w:p w:rsidR="00965D85" w:rsidRPr="00427006" w:rsidRDefault="00965D85" w:rsidP="008B46DF">
            <w:pPr>
              <w:autoSpaceDE w:val="0"/>
              <w:autoSpaceDN w:val="0"/>
              <w:adjustRightInd w:val="0"/>
              <w:spacing w:after="0"/>
              <w:ind w:left="227" w:hanging="227"/>
              <w:jc w:val="right"/>
              <w:rPr>
                <w:rFonts w:ascii="Calibri" w:eastAsiaTheme="minorEastAsia" w:hAnsi="Calibri" w:cs="Calibri"/>
                <w:color w:val="000000"/>
                <w:sz w:val="20"/>
                <w:lang w:eastAsia="en-AU"/>
              </w:rPr>
            </w:pPr>
            <w:r w:rsidRPr="00427006">
              <w:rPr>
                <w:rFonts w:ascii="Calibri" w:eastAsiaTheme="minorEastAsia" w:hAnsi="Calibri" w:cs="Calibri"/>
                <w:color w:val="000000"/>
                <w:sz w:val="20"/>
                <w:lang w:eastAsia="en-AU"/>
              </w:rPr>
              <w:t>..</w:t>
            </w:r>
          </w:p>
        </w:tc>
        <w:tc>
          <w:tcPr>
            <w:tcW w:w="2394" w:type="dxa"/>
            <w:tcBorders>
              <w:top w:val="nil"/>
              <w:left w:val="nil"/>
              <w:right w:val="nil"/>
            </w:tcBorders>
            <w:shd w:val="clear" w:color="auto" w:fill="FFFFFF"/>
          </w:tcPr>
          <w:p w:rsidR="00965D85" w:rsidRPr="00427006"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427006">
              <w:rPr>
                <w:rFonts w:ascii="Calibri" w:eastAsiaTheme="minorEastAsia" w:hAnsi="Calibri" w:cs="Calibri"/>
                <w:color w:val="000000"/>
                <w:sz w:val="20"/>
                <w:lang w:eastAsia="en-AU"/>
              </w:rPr>
              <w:t>..</w:t>
            </w:r>
          </w:p>
        </w:tc>
        <w:tc>
          <w:tcPr>
            <w:tcW w:w="2395" w:type="dxa"/>
            <w:tcBorders>
              <w:top w:val="nil"/>
              <w:left w:val="nil"/>
              <w:right w:val="nil"/>
            </w:tcBorders>
            <w:shd w:val="clear" w:color="auto" w:fill="FFFFFF"/>
          </w:tcPr>
          <w:p w:rsidR="00965D85" w:rsidRPr="00427006"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427006">
              <w:rPr>
                <w:rFonts w:ascii="Calibri" w:eastAsiaTheme="minorEastAsia" w:hAnsi="Calibri" w:cs="Calibri"/>
                <w:color w:val="000000"/>
                <w:sz w:val="20"/>
                <w:lang w:eastAsia="en-AU"/>
              </w:rPr>
              <w:t>1 266.9</w:t>
            </w:r>
          </w:p>
        </w:tc>
      </w:tr>
      <w:tr w:rsidR="00965D85" w:rsidRPr="00427006" w:rsidTr="008B46DF">
        <w:trPr>
          <w:cantSplit/>
        </w:trPr>
        <w:tc>
          <w:tcPr>
            <w:tcW w:w="2977" w:type="dxa"/>
            <w:tcBorders>
              <w:top w:val="nil"/>
              <w:left w:val="nil"/>
              <w:right w:val="nil"/>
            </w:tcBorders>
            <w:shd w:val="clear" w:color="auto" w:fill="FFFFFF"/>
          </w:tcPr>
          <w:p w:rsidR="00965D85" w:rsidRPr="00427006" w:rsidRDefault="00965D85" w:rsidP="008B46DF">
            <w:pPr>
              <w:autoSpaceDE w:val="0"/>
              <w:autoSpaceDN w:val="0"/>
              <w:adjustRightInd w:val="0"/>
              <w:spacing w:after="0"/>
              <w:ind w:left="227" w:hanging="227"/>
              <w:jc w:val="right"/>
              <w:rPr>
                <w:rFonts w:ascii="Calibri" w:eastAsiaTheme="minorEastAsia" w:hAnsi="Calibri" w:cs="Calibri"/>
                <w:color w:val="000000"/>
                <w:sz w:val="20"/>
                <w:lang w:eastAsia="en-AU"/>
              </w:rPr>
            </w:pPr>
            <w:r w:rsidRPr="00427006">
              <w:rPr>
                <w:rFonts w:ascii="Calibri" w:eastAsiaTheme="minorEastAsia" w:hAnsi="Calibri" w:cs="Calibri"/>
                <w:color w:val="000000"/>
                <w:sz w:val="20"/>
                <w:lang w:eastAsia="en-AU"/>
              </w:rPr>
              <w:t>9 114.5</w:t>
            </w:r>
          </w:p>
        </w:tc>
        <w:tc>
          <w:tcPr>
            <w:tcW w:w="2394" w:type="dxa"/>
            <w:tcBorders>
              <w:top w:val="nil"/>
              <w:left w:val="nil"/>
              <w:right w:val="nil"/>
            </w:tcBorders>
            <w:shd w:val="clear" w:color="auto" w:fill="FFFFFF"/>
          </w:tcPr>
          <w:p w:rsidR="00965D85" w:rsidRPr="00427006"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427006">
              <w:rPr>
                <w:rFonts w:ascii="Calibri" w:eastAsiaTheme="minorEastAsia" w:hAnsi="Calibri" w:cs="Calibri"/>
                <w:color w:val="000000"/>
                <w:sz w:val="20"/>
                <w:lang w:eastAsia="en-AU"/>
              </w:rPr>
              <w:t>46.9</w:t>
            </w:r>
          </w:p>
        </w:tc>
        <w:tc>
          <w:tcPr>
            <w:tcW w:w="2395" w:type="dxa"/>
            <w:tcBorders>
              <w:top w:val="nil"/>
              <w:left w:val="nil"/>
              <w:right w:val="nil"/>
            </w:tcBorders>
            <w:shd w:val="clear" w:color="auto" w:fill="FFFFFF"/>
          </w:tcPr>
          <w:p w:rsidR="00965D85" w:rsidRPr="00427006"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427006">
              <w:rPr>
                <w:rFonts w:ascii="Calibri" w:eastAsiaTheme="minorEastAsia" w:hAnsi="Calibri" w:cs="Calibri"/>
                <w:color w:val="000000"/>
                <w:sz w:val="20"/>
                <w:lang w:eastAsia="en-AU"/>
              </w:rPr>
              <w:t>9 948.2</w:t>
            </w:r>
          </w:p>
        </w:tc>
      </w:tr>
      <w:tr w:rsidR="00965D85" w:rsidRPr="00427006" w:rsidTr="008B46DF">
        <w:trPr>
          <w:cantSplit/>
        </w:trPr>
        <w:tc>
          <w:tcPr>
            <w:tcW w:w="2977" w:type="dxa"/>
            <w:tcBorders>
              <w:top w:val="nil"/>
              <w:left w:val="nil"/>
              <w:bottom w:val="single" w:sz="6" w:space="0" w:color="auto"/>
              <w:right w:val="nil"/>
            </w:tcBorders>
            <w:shd w:val="clear" w:color="auto" w:fill="FFFFFF"/>
          </w:tcPr>
          <w:p w:rsidR="00965D85" w:rsidRPr="00427006" w:rsidRDefault="00965D85" w:rsidP="008B46DF">
            <w:pPr>
              <w:autoSpaceDE w:val="0"/>
              <w:autoSpaceDN w:val="0"/>
              <w:adjustRightInd w:val="0"/>
              <w:spacing w:after="0"/>
              <w:ind w:left="227" w:hanging="227"/>
              <w:jc w:val="right"/>
              <w:rPr>
                <w:rFonts w:ascii="Calibri" w:eastAsiaTheme="minorEastAsia" w:hAnsi="Calibri" w:cs="Calibri"/>
                <w:color w:val="000000"/>
                <w:sz w:val="20"/>
                <w:lang w:eastAsia="en-AU"/>
              </w:rPr>
            </w:pPr>
            <w:r w:rsidRPr="00427006">
              <w:rPr>
                <w:rFonts w:ascii="Calibri" w:eastAsiaTheme="minorEastAsia" w:hAnsi="Calibri" w:cs="Calibri"/>
                <w:color w:val="000000"/>
                <w:sz w:val="20"/>
                <w:lang w:eastAsia="en-AU"/>
              </w:rPr>
              <w:t>..</w:t>
            </w:r>
          </w:p>
        </w:tc>
        <w:tc>
          <w:tcPr>
            <w:tcW w:w="2394" w:type="dxa"/>
            <w:tcBorders>
              <w:top w:val="nil"/>
              <w:left w:val="nil"/>
              <w:bottom w:val="single" w:sz="6" w:space="0" w:color="auto"/>
              <w:right w:val="nil"/>
            </w:tcBorders>
            <w:shd w:val="clear" w:color="auto" w:fill="FFFFFF"/>
          </w:tcPr>
          <w:p w:rsidR="00965D85" w:rsidRPr="00427006"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427006">
              <w:rPr>
                <w:rFonts w:ascii="Calibri" w:eastAsiaTheme="minorEastAsia" w:hAnsi="Calibri" w:cs="Calibri"/>
                <w:color w:val="000000"/>
                <w:sz w:val="20"/>
                <w:lang w:eastAsia="en-AU"/>
              </w:rPr>
              <w:t>..</w:t>
            </w:r>
          </w:p>
        </w:tc>
        <w:tc>
          <w:tcPr>
            <w:tcW w:w="2395" w:type="dxa"/>
            <w:tcBorders>
              <w:top w:val="nil"/>
              <w:left w:val="nil"/>
              <w:bottom w:val="single" w:sz="6" w:space="0" w:color="auto"/>
              <w:right w:val="nil"/>
            </w:tcBorders>
            <w:shd w:val="clear" w:color="auto" w:fill="FFFFFF"/>
          </w:tcPr>
          <w:p w:rsidR="00965D85" w:rsidRPr="00427006"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427006">
              <w:rPr>
                <w:rFonts w:ascii="Calibri" w:eastAsiaTheme="minorEastAsia" w:hAnsi="Calibri" w:cs="Calibri"/>
                <w:color w:val="000000"/>
                <w:sz w:val="20"/>
                <w:lang w:eastAsia="en-AU"/>
              </w:rPr>
              <w:t>(89.5)</w:t>
            </w:r>
          </w:p>
        </w:tc>
      </w:tr>
      <w:tr w:rsidR="00965D85" w:rsidRPr="00427006" w:rsidTr="008B46DF">
        <w:trPr>
          <w:cantSplit/>
        </w:trPr>
        <w:tc>
          <w:tcPr>
            <w:tcW w:w="2977" w:type="dxa"/>
            <w:tcBorders>
              <w:top w:val="single" w:sz="6" w:space="0" w:color="auto"/>
              <w:left w:val="nil"/>
              <w:bottom w:val="single" w:sz="12" w:space="0" w:color="auto"/>
              <w:right w:val="nil"/>
            </w:tcBorders>
            <w:shd w:val="clear" w:color="auto" w:fill="FFFFFF"/>
          </w:tcPr>
          <w:p w:rsidR="00965D85" w:rsidRPr="00427006" w:rsidRDefault="00965D85" w:rsidP="008B46DF">
            <w:pPr>
              <w:autoSpaceDE w:val="0"/>
              <w:autoSpaceDN w:val="0"/>
              <w:adjustRightInd w:val="0"/>
              <w:spacing w:after="0"/>
              <w:ind w:left="227" w:hanging="227"/>
              <w:jc w:val="right"/>
              <w:rPr>
                <w:rFonts w:ascii="Calibri" w:eastAsiaTheme="minorEastAsia" w:hAnsi="Calibri" w:cs="Calibri"/>
                <w:b/>
                <w:bCs/>
                <w:color w:val="000000"/>
                <w:sz w:val="20"/>
                <w:lang w:eastAsia="en-AU"/>
              </w:rPr>
            </w:pPr>
            <w:r w:rsidRPr="00427006">
              <w:rPr>
                <w:rFonts w:ascii="Calibri" w:eastAsiaTheme="minorEastAsia" w:hAnsi="Calibri" w:cs="Calibri"/>
                <w:b/>
                <w:bCs/>
                <w:color w:val="000000"/>
                <w:sz w:val="20"/>
                <w:lang w:eastAsia="en-AU"/>
              </w:rPr>
              <w:t>87 621.4</w:t>
            </w:r>
          </w:p>
        </w:tc>
        <w:tc>
          <w:tcPr>
            <w:tcW w:w="2394" w:type="dxa"/>
            <w:tcBorders>
              <w:top w:val="single" w:sz="6" w:space="0" w:color="auto"/>
              <w:left w:val="nil"/>
              <w:bottom w:val="single" w:sz="12" w:space="0" w:color="auto"/>
              <w:right w:val="nil"/>
            </w:tcBorders>
            <w:shd w:val="clear" w:color="auto" w:fill="FFFFFF"/>
          </w:tcPr>
          <w:p w:rsidR="00965D85" w:rsidRPr="00427006"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427006">
              <w:rPr>
                <w:rFonts w:ascii="Calibri" w:eastAsiaTheme="minorEastAsia" w:hAnsi="Calibri" w:cs="Calibri"/>
                <w:b/>
                <w:bCs/>
                <w:color w:val="000000"/>
                <w:sz w:val="20"/>
                <w:lang w:eastAsia="en-AU"/>
              </w:rPr>
              <w:t>1 356.8</w:t>
            </w:r>
          </w:p>
        </w:tc>
        <w:tc>
          <w:tcPr>
            <w:tcW w:w="2395" w:type="dxa"/>
            <w:tcBorders>
              <w:top w:val="single" w:sz="6" w:space="0" w:color="auto"/>
              <w:left w:val="nil"/>
              <w:bottom w:val="single" w:sz="12" w:space="0" w:color="auto"/>
              <w:right w:val="nil"/>
            </w:tcBorders>
            <w:shd w:val="clear" w:color="auto" w:fill="FFFFFF"/>
          </w:tcPr>
          <w:p w:rsidR="00965D85" w:rsidRPr="00427006"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427006">
              <w:rPr>
                <w:rFonts w:ascii="Calibri" w:eastAsiaTheme="minorEastAsia" w:hAnsi="Calibri" w:cs="Calibri"/>
                <w:b/>
                <w:bCs/>
                <w:color w:val="000000"/>
                <w:sz w:val="20"/>
                <w:lang w:eastAsia="en-AU"/>
              </w:rPr>
              <w:t>155 618.9</w:t>
            </w:r>
          </w:p>
        </w:tc>
      </w:tr>
      <w:tr w:rsidR="00965D85" w:rsidRPr="00427006" w:rsidTr="008B46DF">
        <w:trPr>
          <w:cantSplit/>
        </w:trPr>
        <w:tc>
          <w:tcPr>
            <w:tcW w:w="2977" w:type="dxa"/>
            <w:tcBorders>
              <w:top w:val="single" w:sz="12" w:space="0" w:color="auto"/>
              <w:left w:val="nil"/>
              <w:right w:val="nil"/>
            </w:tcBorders>
            <w:shd w:val="clear" w:color="auto" w:fill="FFFFFF"/>
          </w:tcPr>
          <w:p w:rsidR="00965D85" w:rsidRPr="00427006" w:rsidRDefault="00965D85" w:rsidP="008B46DF">
            <w:pPr>
              <w:autoSpaceDE w:val="0"/>
              <w:autoSpaceDN w:val="0"/>
              <w:adjustRightInd w:val="0"/>
              <w:spacing w:after="0"/>
              <w:ind w:left="227" w:hanging="227"/>
              <w:jc w:val="right"/>
              <w:rPr>
                <w:rFonts w:ascii="Calibri" w:eastAsiaTheme="minorEastAsia" w:hAnsi="Calibri" w:cs="Calibri"/>
                <w:b/>
                <w:bCs/>
                <w:color w:val="000000"/>
                <w:sz w:val="20"/>
                <w:lang w:eastAsia="en-AU"/>
              </w:rPr>
            </w:pPr>
            <w:r w:rsidRPr="00427006">
              <w:rPr>
                <w:rFonts w:ascii="Calibri" w:eastAsiaTheme="minorEastAsia" w:hAnsi="Calibri" w:cs="Calibri"/>
                <w:b/>
                <w:bCs/>
                <w:color w:val="000000"/>
                <w:sz w:val="20"/>
                <w:lang w:eastAsia="en-AU"/>
              </w:rPr>
              <w:t xml:space="preserve"> </w:t>
            </w:r>
          </w:p>
        </w:tc>
        <w:tc>
          <w:tcPr>
            <w:tcW w:w="2394" w:type="dxa"/>
            <w:tcBorders>
              <w:top w:val="single" w:sz="12" w:space="0" w:color="auto"/>
              <w:left w:val="nil"/>
              <w:right w:val="nil"/>
            </w:tcBorders>
            <w:shd w:val="clear" w:color="auto" w:fill="FFFFFF"/>
          </w:tcPr>
          <w:p w:rsidR="00965D85" w:rsidRPr="00427006"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c>
          <w:tcPr>
            <w:tcW w:w="2395" w:type="dxa"/>
            <w:tcBorders>
              <w:top w:val="single" w:sz="12" w:space="0" w:color="auto"/>
              <w:left w:val="nil"/>
              <w:right w:val="nil"/>
            </w:tcBorders>
            <w:shd w:val="clear" w:color="auto" w:fill="FFFFFF"/>
          </w:tcPr>
          <w:p w:rsidR="00965D85" w:rsidRPr="00427006"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p>
        </w:tc>
      </w:tr>
      <w:tr w:rsidR="00965D85" w:rsidRPr="00427006" w:rsidTr="008B46DF">
        <w:trPr>
          <w:cantSplit/>
        </w:trPr>
        <w:tc>
          <w:tcPr>
            <w:tcW w:w="2977" w:type="dxa"/>
            <w:tcBorders>
              <w:top w:val="nil"/>
              <w:left w:val="nil"/>
              <w:right w:val="nil"/>
            </w:tcBorders>
            <w:shd w:val="clear" w:color="auto" w:fill="FFFFFF"/>
          </w:tcPr>
          <w:p w:rsidR="00965D85" w:rsidRPr="00427006" w:rsidRDefault="00965D85" w:rsidP="008B46DF">
            <w:pPr>
              <w:autoSpaceDE w:val="0"/>
              <w:autoSpaceDN w:val="0"/>
              <w:adjustRightInd w:val="0"/>
              <w:spacing w:after="0"/>
              <w:ind w:left="227" w:hanging="227"/>
              <w:jc w:val="right"/>
              <w:rPr>
                <w:rFonts w:ascii="Calibri" w:eastAsiaTheme="minorEastAsia" w:hAnsi="Calibri" w:cs="Calibri"/>
                <w:color w:val="000000"/>
                <w:sz w:val="20"/>
                <w:lang w:eastAsia="en-AU"/>
              </w:rPr>
            </w:pPr>
            <w:r w:rsidRPr="00427006">
              <w:rPr>
                <w:rFonts w:ascii="Calibri" w:eastAsiaTheme="minorEastAsia" w:hAnsi="Calibri" w:cs="Calibri"/>
                <w:color w:val="000000"/>
                <w:sz w:val="20"/>
                <w:lang w:eastAsia="en-AU"/>
              </w:rPr>
              <w:t>87 621.4</w:t>
            </w:r>
          </w:p>
        </w:tc>
        <w:tc>
          <w:tcPr>
            <w:tcW w:w="2394" w:type="dxa"/>
            <w:tcBorders>
              <w:top w:val="nil"/>
              <w:left w:val="nil"/>
              <w:right w:val="nil"/>
            </w:tcBorders>
            <w:shd w:val="clear" w:color="auto" w:fill="FFFFFF"/>
          </w:tcPr>
          <w:p w:rsidR="00965D85" w:rsidRPr="00427006"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427006">
              <w:rPr>
                <w:rFonts w:ascii="Calibri" w:eastAsiaTheme="minorEastAsia" w:hAnsi="Calibri" w:cs="Calibri"/>
                <w:color w:val="000000"/>
                <w:sz w:val="20"/>
                <w:lang w:eastAsia="en-AU"/>
              </w:rPr>
              <w:t>1 356.8</w:t>
            </w:r>
          </w:p>
        </w:tc>
        <w:tc>
          <w:tcPr>
            <w:tcW w:w="2395" w:type="dxa"/>
            <w:tcBorders>
              <w:top w:val="nil"/>
              <w:left w:val="nil"/>
              <w:right w:val="nil"/>
            </w:tcBorders>
            <w:shd w:val="clear" w:color="auto" w:fill="FFFFFF"/>
          </w:tcPr>
          <w:p w:rsidR="00965D85" w:rsidRPr="00427006"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427006">
              <w:rPr>
                <w:rFonts w:ascii="Calibri" w:eastAsiaTheme="minorEastAsia" w:hAnsi="Calibri" w:cs="Calibri"/>
                <w:color w:val="000000"/>
                <w:sz w:val="20"/>
                <w:lang w:eastAsia="en-AU"/>
              </w:rPr>
              <w:t>155 618.9</w:t>
            </w:r>
          </w:p>
        </w:tc>
      </w:tr>
      <w:tr w:rsidR="00965D85" w:rsidRPr="00427006" w:rsidTr="008B46DF">
        <w:trPr>
          <w:cantSplit/>
        </w:trPr>
        <w:tc>
          <w:tcPr>
            <w:tcW w:w="2977" w:type="dxa"/>
            <w:tcBorders>
              <w:top w:val="nil"/>
              <w:left w:val="nil"/>
              <w:right w:val="nil"/>
            </w:tcBorders>
            <w:shd w:val="clear" w:color="auto" w:fill="FFFFFF"/>
          </w:tcPr>
          <w:p w:rsidR="00965D85" w:rsidRPr="00427006" w:rsidRDefault="00965D85" w:rsidP="008B46DF">
            <w:pPr>
              <w:autoSpaceDE w:val="0"/>
              <w:autoSpaceDN w:val="0"/>
              <w:adjustRightInd w:val="0"/>
              <w:spacing w:after="0"/>
              <w:ind w:left="227" w:hanging="227"/>
              <w:jc w:val="right"/>
              <w:rPr>
                <w:rFonts w:ascii="Calibri" w:eastAsiaTheme="minorEastAsia" w:hAnsi="Calibri" w:cs="Calibri"/>
                <w:color w:val="000000"/>
                <w:sz w:val="20"/>
                <w:lang w:eastAsia="en-AU"/>
              </w:rPr>
            </w:pPr>
            <w:r w:rsidRPr="00427006">
              <w:rPr>
                <w:rFonts w:ascii="Calibri" w:eastAsiaTheme="minorEastAsia" w:hAnsi="Calibri" w:cs="Calibri"/>
                <w:color w:val="000000"/>
                <w:sz w:val="20"/>
                <w:lang w:eastAsia="en-AU"/>
              </w:rPr>
              <w:t>..</w:t>
            </w:r>
          </w:p>
        </w:tc>
        <w:tc>
          <w:tcPr>
            <w:tcW w:w="2394" w:type="dxa"/>
            <w:tcBorders>
              <w:top w:val="nil"/>
              <w:left w:val="nil"/>
              <w:right w:val="nil"/>
            </w:tcBorders>
            <w:shd w:val="clear" w:color="auto" w:fill="FFFFFF"/>
          </w:tcPr>
          <w:p w:rsidR="00965D85" w:rsidRPr="00427006"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427006">
              <w:rPr>
                <w:rFonts w:ascii="Calibri" w:eastAsiaTheme="minorEastAsia" w:hAnsi="Calibri" w:cs="Calibri"/>
                <w:color w:val="000000"/>
                <w:sz w:val="20"/>
                <w:lang w:eastAsia="en-AU"/>
              </w:rPr>
              <w:t>..</w:t>
            </w:r>
          </w:p>
        </w:tc>
        <w:tc>
          <w:tcPr>
            <w:tcW w:w="2395" w:type="dxa"/>
            <w:tcBorders>
              <w:top w:val="nil"/>
              <w:left w:val="nil"/>
              <w:right w:val="nil"/>
            </w:tcBorders>
            <w:shd w:val="clear" w:color="auto" w:fill="FFFFFF"/>
          </w:tcPr>
          <w:p w:rsidR="00965D85" w:rsidRPr="00427006"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427006">
              <w:rPr>
                <w:rFonts w:ascii="Calibri" w:eastAsiaTheme="minorEastAsia" w:hAnsi="Calibri" w:cs="Calibri"/>
                <w:color w:val="000000"/>
                <w:sz w:val="20"/>
                <w:lang w:eastAsia="en-AU"/>
              </w:rPr>
              <w:t>1 269.7</w:t>
            </w:r>
          </w:p>
        </w:tc>
      </w:tr>
      <w:tr w:rsidR="00965D85" w:rsidRPr="00427006" w:rsidTr="008B46DF">
        <w:trPr>
          <w:cantSplit/>
        </w:trPr>
        <w:tc>
          <w:tcPr>
            <w:tcW w:w="2977" w:type="dxa"/>
            <w:tcBorders>
              <w:top w:val="nil"/>
              <w:left w:val="nil"/>
              <w:right w:val="nil"/>
            </w:tcBorders>
            <w:shd w:val="clear" w:color="auto" w:fill="FFFFFF"/>
          </w:tcPr>
          <w:p w:rsidR="00965D85" w:rsidRPr="00427006" w:rsidRDefault="00965D85" w:rsidP="008B46DF">
            <w:pPr>
              <w:autoSpaceDE w:val="0"/>
              <w:autoSpaceDN w:val="0"/>
              <w:adjustRightInd w:val="0"/>
              <w:spacing w:after="0"/>
              <w:ind w:left="227" w:hanging="227"/>
              <w:jc w:val="right"/>
              <w:rPr>
                <w:rFonts w:ascii="Calibri" w:eastAsiaTheme="minorEastAsia" w:hAnsi="Calibri" w:cs="Calibri"/>
                <w:color w:val="000000"/>
                <w:sz w:val="20"/>
                <w:lang w:eastAsia="en-AU"/>
              </w:rPr>
            </w:pPr>
            <w:r w:rsidRPr="00427006">
              <w:rPr>
                <w:rFonts w:ascii="Calibri" w:eastAsiaTheme="minorEastAsia" w:hAnsi="Calibri" w:cs="Calibri"/>
                <w:color w:val="000000"/>
                <w:sz w:val="20"/>
                <w:lang w:eastAsia="en-AU"/>
              </w:rPr>
              <w:t xml:space="preserve"> 406.7</w:t>
            </w:r>
          </w:p>
        </w:tc>
        <w:tc>
          <w:tcPr>
            <w:tcW w:w="2394" w:type="dxa"/>
            <w:tcBorders>
              <w:top w:val="nil"/>
              <w:left w:val="nil"/>
              <w:right w:val="nil"/>
            </w:tcBorders>
            <w:shd w:val="clear" w:color="auto" w:fill="FFFFFF"/>
          </w:tcPr>
          <w:p w:rsidR="00965D85" w:rsidRPr="00427006"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427006">
              <w:rPr>
                <w:rFonts w:ascii="Calibri" w:eastAsiaTheme="minorEastAsia" w:hAnsi="Calibri" w:cs="Calibri"/>
                <w:color w:val="000000"/>
                <w:sz w:val="20"/>
                <w:lang w:eastAsia="en-AU"/>
              </w:rPr>
              <w:t>43.8</w:t>
            </w:r>
          </w:p>
        </w:tc>
        <w:tc>
          <w:tcPr>
            <w:tcW w:w="2395" w:type="dxa"/>
            <w:tcBorders>
              <w:top w:val="nil"/>
              <w:left w:val="nil"/>
              <w:right w:val="nil"/>
            </w:tcBorders>
            <w:shd w:val="clear" w:color="auto" w:fill="FFFFFF"/>
          </w:tcPr>
          <w:p w:rsidR="00965D85" w:rsidRPr="00427006"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427006">
              <w:rPr>
                <w:rFonts w:ascii="Calibri" w:eastAsiaTheme="minorEastAsia" w:hAnsi="Calibri" w:cs="Calibri"/>
                <w:color w:val="000000"/>
                <w:sz w:val="20"/>
                <w:lang w:eastAsia="en-AU"/>
              </w:rPr>
              <w:t>1 247.2</w:t>
            </w:r>
          </w:p>
        </w:tc>
      </w:tr>
      <w:tr w:rsidR="00965D85" w:rsidRPr="00427006" w:rsidTr="008B46DF">
        <w:trPr>
          <w:cantSplit/>
        </w:trPr>
        <w:tc>
          <w:tcPr>
            <w:tcW w:w="2977" w:type="dxa"/>
            <w:tcBorders>
              <w:top w:val="nil"/>
              <w:left w:val="nil"/>
              <w:bottom w:val="single" w:sz="6" w:space="0" w:color="auto"/>
              <w:right w:val="nil"/>
            </w:tcBorders>
            <w:shd w:val="clear" w:color="auto" w:fill="FFFFFF"/>
          </w:tcPr>
          <w:p w:rsidR="00965D85" w:rsidRPr="00427006" w:rsidRDefault="00965D85" w:rsidP="008B46DF">
            <w:pPr>
              <w:autoSpaceDE w:val="0"/>
              <w:autoSpaceDN w:val="0"/>
              <w:adjustRightInd w:val="0"/>
              <w:spacing w:after="0"/>
              <w:ind w:left="227" w:hanging="227"/>
              <w:jc w:val="right"/>
              <w:rPr>
                <w:rFonts w:ascii="Calibri" w:eastAsiaTheme="minorEastAsia" w:hAnsi="Calibri" w:cs="Calibri"/>
                <w:color w:val="000000"/>
                <w:sz w:val="20"/>
                <w:lang w:eastAsia="en-AU"/>
              </w:rPr>
            </w:pPr>
            <w:r w:rsidRPr="00427006">
              <w:rPr>
                <w:rFonts w:ascii="Calibri" w:eastAsiaTheme="minorEastAsia" w:hAnsi="Calibri" w:cs="Calibri"/>
                <w:color w:val="000000"/>
                <w:sz w:val="20"/>
                <w:lang w:eastAsia="en-AU"/>
              </w:rPr>
              <w:t>..</w:t>
            </w:r>
          </w:p>
        </w:tc>
        <w:tc>
          <w:tcPr>
            <w:tcW w:w="2394" w:type="dxa"/>
            <w:tcBorders>
              <w:top w:val="nil"/>
              <w:left w:val="nil"/>
              <w:bottom w:val="single" w:sz="6" w:space="0" w:color="auto"/>
              <w:right w:val="nil"/>
            </w:tcBorders>
            <w:shd w:val="clear" w:color="auto" w:fill="FFFFFF"/>
          </w:tcPr>
          <w:p w:rsidR="00965D85" w:rsidRPr="00427006"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427006">
              <w:rPr>
                <w:rFonts w:ascii="Calibri" w:eastAsiaTheme="minorEastAsia" w:hAnsi="Calibri" w:cs="Calibri"/>
                <w:color w:val="000000"/>
                <w:sz w:val="20"/>
                <w:lang w:eastAsia="en-AU"/>
              </w:rPr>
              <w:t>..</w:t>
            </w:r>
          </w:p>
        </w:tc>
        <w:tc>
          <w:tcPr>
            <w:tcW w:w="2395" w:type="dxa"/>
            <w:tcBorders>
              <w:top w:val="nil"/>
              <w:left w:val="nil"/>
              <w:bottom w:val="single" w:sz="6" w:space="0" w:color="auto"/>
              <w:right w:val="nil"/>
            </w:tcBorders>
            <w:shd w:val="clear" w:color="auto" w:fill="FFFFFF"/>
          </w:tcPr>
          <w:p w:rsidR="00965D85" w:rsidRPr="00427006"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427006">
              <w:rPr>
                <w:rFonts w:ascii="Calibri" w:eastAsiaTheme="minorEastAsia" w:hAnsi="Calibri" w:cs="Calibri"/>
                <w:color w:val="000000"/>
                <w:sz w:val="20"/>
                <w:lang w:eastAsia="en-AU"/>
              </w:rPr>
              <w:t>(98.9)</w:t>
            </w:r>
          </w:p>
        </w:tc>
      </w:tr>
      <w:tr w:rsidR="00965D85" w:rsidRPr="00427006" w:rsidTr="008B46DF">
        <w:trPr>
          <w:cantSplit/>
        </w:trPr>
        <w:tc>
          <w:tcPr>
            <w:tcW w:w="2977" w:type="dxa"/>
            <w:tcBorders>
              <w:top w:val="single" w:sz="6" w:space="0" w:color="auto"/>
              <w:left w:val="nil"/>
              <w:bottom w:val="single" w:sz="12" w:space="0" w:color="auto"/>
              <w:right w:val="nil"/>
            </w:tcBorders>
            <w:shd w:val="clear" w:color="auto" w:fill="FFFFFF"/>
          </w:tcPr>
          <w:p w:rsidR="00965D85" w:rsidRPr="00427006" w:rsidRDefault="00965D85" w:rsidP="008B46DF">
            <w:pPr>
              <w:autoSpaceDE w:val="0"/>
              <w:autoSpaceDN w:val="0"/>
              <w:adjustRightInd w:val="0"/>
              <w:spacing w:after="0"/>
              <w:ind w:left="227" w:hanging="227"/>
              <w:jc w:val="right"/>
              <w:rPr>
                <w:rFonts w:ascii="Calibri" w:eastAsiaTheme="minorEastAsia" w:hAnsi="Calibri" w:cs="Calibri"/>
                <w:b/>
                <w:bCs/>
                <w:color w:val="000000"/>
                <w:sz w:val="20"/>
                <w:lang w:eastAsia="en-AU"/>
              </w:rPr>
            </w:pPr>
            <w:r w:rsidRPr="00427006">
              <w:rPr>
                <w:rFonts w:ascii="Calibri" w:eastAsiaTheme="minorEastAsia" w:hAnsi="Calibri" w:cs="Calibri"/>
                <w:b/>
                <w:bCs/>
                <w:color w:val="000000"/>
                <w:sz w:val="20"/>
                <w:lang w:eastAsia="en-AU"/>
              </w:rPr>
              <w:t>88 028.1</w:t>
            </w:r>
          </w:p>
        </w:tc>
        <w:tc>
          <w:tcPr>
            <w:tcW w:w="2394" w:type="dxa"/>
            <w:tcBorders>
              <w:top w:val="single" w:sz="6" w:space="0" w:color="auto"/>
              <w:left w:val="nil"/>
              <w:bottom w:val="single" w:sz="12" w:space="0" w:color="auto"/>
              <w:right w:val="nil"/>
            </w:tcBorders>
            <w:shd w:val="clear" w:color="auto" w:fill="FFFFFF"/>
          </w:tcPr>
          <w:p w:rsidR="00965D85" w:rsidRPr="00427006"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427006">
              <w:rPr>
                <w:rFonts w:ascii="Calibri" w:eastAsiaTheme="minorEastAsia" w:hAnsi="Calibri" w:cs="Calibri"/>
                <w:b/>
                <w:bCs/>
                <w:color w:val="000000"/>
                <w:sz w:val="20"/>
                <w:lang w:eastAsia="en-AU"/>
              </w:rPr>
              <w:t>1 400.6</w:t>
            </w:r>
          </w:p>
        </w:tc>
        <w:tc>
          <w:tcPr>
            <w:tcW w:w="2395" w:type="dxa"/>
            <w:tcBorders>
              <w:top w:val="single" w:sz="6" w:space="0" w:color="auto"/>
              <w:left w:val="nil"/>
              <w:bottom w:val="single" w:sz="12" w:space="0" w:color="auto"/>
              <w:right w:val="nil"/>
            </w:tcBorders>
            <w:shd w:val="clear" w:color="auto" w:fill="FFFFFF"/>
          </w:tcPr>
          <w:p w:rsidR="00965D85" w:rsidRPr="00427006"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427006">
              <w:rPr>
                <w:rFonts w:ascii="Calibri" w:eastAsiaTheme="minorEastAsia" w:hAnsi="Calibri" w:cs="Calibri"/>
                <w:b/>
                <w:bCs/>
                <w:color w:val="000000"/>
                <w:sz w:val="20"/>
                <w:lang w:eastAsia="en-AU"/>
              </w:rPr>
              <w:t>158 036.9</w:t>
            </w:r>
          </w:p>
        </w:tc>
      </w:tr>
      <w:tr w:rsidR="00965D85" w:rsidRPr="00427006" w:rsidTr="008B46DF">
        <w:trPr>
          <w:cantSplit/>
        </w:trPr>
        <w:tc>
          <w:tcPr>
            <w:tcW w:w="7766" w:type="dxa"/>
            <w:gridSpan w:val="3"/>
            <w:tcBorders>
              <w:top w:val="single" w:sz="12" w:space="0" w:color="auto"/>
              <w:left w:val="nil"/>
              <w:bottom w:val="nil"/>
              <w:right w:val="nil"/>
            </w:tcBorders>
            <w:shd w:val="clear" w:color="auto" w:fill="auto"/>
          </w:tcPr>
          <w:p w:rsidR="00965D85" w:rsidRPr="00427006" w:rsidRDefault="00965D85" w:rsidP="008B46DF">
            <w:pPr>
              <w:tabs>
                <w:tab w:val="left" w:pos="454"/>
              </w:tabs>
              <w:autoSpaceDE w:val="0"/>
              <w:autoSpaceDN w:val="0"/>
              <w:adjustRightInd w:val="0"/>
              <w:spacing w:after="0"/>
              <w:jc w:val="right"/>
              <w:rPr>
                <w:rFonts w:ascii="Calibri" w:eastAsiaTheme="minorEastAsia" w:hAnsi="Calibri" w:cs="Calibri"/>
                <w:bCs/>
                <w:color w:val="000000"/>
                <w:sz w:val="16"/>
                <w:lang w:eastAsia="en-AU"/>
              </w:rPr>
            </w:pPr>
            <w:r w:rsidRPr="00427006">
              <w:rPr>
                <w:rFonts w:ascii="Calibri" w:eastAsiaTheme="minorEastAsia" w:hAnsi="Calibri" w:cs="Calibri"/>
                <w:bCs/>
                <w:color w:val="000000"/>
                <w:sz w:val="16"/>
                <w:lang w:eastAsia="en-AU"/>
              </w:rPr>
              <w:t xml:space="preserve"> </w:t>
            </w:r>
          </w:p>
        </w:tc>
      </w:tr>
    </w:tbl>
    <w:p w:rsidR="00965D85" w:rsidRDefault="00965D85" w:rsidP="008B46DF">
      <w:pPr>
        <w:rPr>
          <w:rFonts w:ascii="Tms Rmn" w:hAnsi="Tms Rmn" w:cs="Tms Rmn"/>
          <w:color w:val="000000"/>
          <w:sz w:val="18"/>
          <w:szCs w:val="18"/>
          <w:lang w:eastAsia="en-AU"/>
        </w:rPr>
      </w:pPr>
    </w:p>
    <w:p w:rsidR="00965D85" w:rsidRDefault="00965D85">
      <w:pPr>
        <w:spacing w:after="0"/>
        <w:rPr>
          <w:rFonts w:ascii="Calibri" w:hAnsi="Calibri"/>
          <w:b/>
          <w:lang w:eastAsia="en-AU"/>
        </w:rPr>
      </w:pPr>
      <w:r>
        <w:rPr>
          <w:lang w:eastAsia="en-AU"/>
        </w:rPr>
        <w:br w:type="page"/>
      </w:r>
    </w:p>
    <w:p w:rsidR="00965D85" w:rsidRDefault="00965D85" w:rsidP="008B46DF">
      <w:pPr>
        <w:pStyle w:val="Tableheading"/>
        <w:rPr>
          <w:rFonts w:ascii="Times New Roman" w:hAnsi="Times New Roman"/>
          <w:i/>
          <w:sz w:val="20"/>
          <w:lang w:eastAsia="en-AU"/>
        </w:rPr>
      </w:pPr>
      <w:r w:rsidRPr="00AA0031">
        <w:rPr>
          <w:lang w:eastAsia="en-AU"/>
        </w:rPr>
        <w:lastRenderedPageBreak/>
        <w:t>Table 5.23:</w:t>
      </w:r>
      <w:r w:rsidRPr="00AA0031">
        <w:rPr>
          <w:lang w:eastAsia="en-AU"/>
        </w:rPr>
        <w:tab/>
        <w:t>Derivation of whole of State GFS cash surplus/(deficit)</w:t>
      </w:r>
    </w:p>
    <w:tbl>
      <w:tblPr>
        <w:tblW w:w="7767" w:type="dxa"/>
        <w:tblInd w:w="28" w:type="dxa"/>
        <w:tblLayout w:type="fixed"/>
        <w:tblCellMar>
          <w:left w:w="28" w:type="dxa"/>
          <w:right w:w="28" w:type="dxa"/>
        </w:tblCellMar>
        <w:tblLook w:val="0000" w:firstRow="0" w:lastRow="0" w:firstColumn="0" w:lastColumn="0" w:noHBand="0" w:noVBand="0"/>
      </w:tblPr>
      <w:tblGrid>
        <w:gridCol w:w="2947"/>
        <w:gridCol w:w="964"/>
        <w:gridCol w:w="964"/>
        <w:gridCol w:w="964"/>
        <w:gridCol w:w="964"/>
        <w:gridCol w:w="964"/>
      </w:tblGrid>
      <w:tr w:rsidR="00965D85" w:rsidRPr="001E7FA9" w:rsidTr="008B46DF">
        <w:trPr>
          <w:tblHeader/>
        </w:trPr>
        <w:tc>
          <w:tcPr>
            <w:tcW w:w="7767" w:type="dxa"/>
            <w:gridSpan w:val="6"/>
            <w:tcBorders>
              <w:top w:val="nil"/>
              <w:left w:val="nil"/>
              <w:bottom w:val="nil"/>
              <w:right w:val="nil"/>
            </w:tcBorders>
          </w:tcPr>
          <w:p w:rsidR="00965D85" w:rsidRPr="001E7FA9" w:rsidRDefault="00965D85" w:rsidP="008B46DF">
            <w:pPr>
              <w:pStyle w:val="million"/>
              <w:rPr>
                <w:rFonts w:eastAsiaTheme="minorEastAsia" w:cs="Calibri"/>
                <w:iCs/>
                <w:color w:val="000000"/>
                <w:sz w:val="20"/>
                <w:lang w:eastAsia="en-AU"/>
              </w:rPr>
            </w:pPr>
            <w:r w:rsidRPr="001E7FA9">
              <w:rPr>
                <w:rFonts w:eastAsiaTheme="minorEastAsia"/>
                <w:lang w:eastAsia="en-AU"/>
              </w:rPr>
              <w:t>($ million</w:t>
            </w:r>
            <w:r w:rsidRPr="001E7FA9">
              <w:rPr>
                <w:rFonts w:eastAsiaTheme="minorEastAsia" w:cs="Calibri"/>
                <w:iCs/>
                <w:color w:val="000000"/>
                <w:sz w:val="20"/>
                <w:lang w:eastAsia="en-AU"/>
              </w:rPr>
              <w:t>)</w:t>
            </w:r>
          </w:p>
        </w:tc>
      </w:tr>
      <w:tr w:rsidR="00965D85" w:rsidRPr="001E7FA9" w:rsidTr="008B46DF">
        <w:trPr>
          <w:trHeight w:val="488"/>
          <w:tblHeader/>
        </w:trPr>
        <w:tc>
          <w:tcPr>
            <w:tcW w:w="2947" w:type="dxa"/>
            <w:tcBorders>
              <w:top w:val="nil"/>
              <w:left w:val="nil"/>
              <w:right w:val="nil"/>
            </w:tcBorders>
            <w:shd w:val="solid" w:color="000000" w:fill="auto"/>
          </w:tcPr>
          <w:p w:rsidR="00965D85" w:rsidRPr="001E7FA9" w:rsidRDefault="00965D85" w:rsidP="008B46DF">
            <w:pPr>
              <w:autoSpaceDE w:val="0"/>
              <w:autoSpaceDN w:val="0"/>
              <w:adjustRightInd w:val="0"/>
              <w:spacing w:after="0"/>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 xml:space="preserve"> </w:t>
            </w:r>
          </w:p>
          <w:p w:rsidR="00965D85" w:rsidRPr="001E7FA9" w:rsidRDefault="00965D85" w:rsidP="008B46DF">
            <w:pPr>
              <w:autoSpaceDE w:val="0"/>
              <w:autoSpaceDN w:val="0"/>
              <w:adjustRightInd w:val="0"/>
              <w:spacing w:after="0"/>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 xml:space="preserve"> </w:t>
            </w:r>
          </w:p>
        </w:tc>
        <w:tc>
          <w:tcPr>
            <w:tcW w:w="964" w:type="dxa"/>
            <w:tcBorders>
              <w:top w:val="nil"/>
              <w:left w:val="nil"/>
              <w:right w:val="nil"/>
            </w:tcBorders>
            <w:shd w:val="solid" w:color="000000" w:fill="auto"/>
          </w:tcPr>
          <w:p w:rsidR="00965D85" w:rsidRPr="001E7FA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1E7FA9">
              <w:rPr>
                <w:rFonts w:ascii="Calibri" w:eastAsiaTheme="minorEastAsia" w:hAnsi="Calibri" w:cs="Calibri"/>
                <w:i/>
                <w:iCs/>
                <w:color w:val="FFFFFF"/>
                <w:sz w:val="20"/>
                <w:lang w:eastAsia="en-AU"/>
              </w:rPr>
              <w:t>2015</w:t>
            </w:r>
            <w:r>
              <w:rPr>
                <w:rFonts w:ascii="Calibri" w:eastAsiaTheme="minorEastAsia" w:hAnsi="Calibri" w:cs="Calibri"/>
                <w:i/>
                <w:iCs/>
                <w:color w:val="FFFFFF"/>
                <w:sz w:val="20"/>
                <w:lang w:eastAsia="en-AU"/>
              </w:rPr>
              <w:noBreakHyphen/>
            </w:r>
            <w:r w:rsidRPr="001E7FA9">
              <w:rPr>
                <w:rFonts w:ascii="Calibri" w:eastAsiaTheme="minorEastAsia" w:hAnsi="Calibri" w:cs="Calibri"/>
                <w:i/>
                <w:iCs/>
                <w:color w:val="FFFFFF"/>
                <w:sz w:val="20"/>
                <w:lang w:eastAsia="en-AU"/>
              </w:rPr>
              <w:t xml:space="preserve">16 </w:t>
            </w:r>
          </w:p>
          <w:p w:rsidR="00965D85" w:rsidRPr="001E7FA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1E7FA9">
              <w:rPr>
                <w:rFonts w:ascii="Calibri" w:eastAsiaTheme="minorEastAsia" w:hAnsi="Calibri" w:cs="Calibri"/>
                <w:i/>
                <w:iCs/>
                <w:color w:val="FFFFFF"/>
                <w:sz w:val="20"/>
                <w:lang w:eastAsia="en-AU"/>
              </w:rPr>
              <w:t>budget</w:t>
            </w:r>
          </w:p>
        </w:tc>
        <w:tc>
          <w:tcPr>
            <w:tcW w:w="964" w:type="dxa"/>
            <w:tcBorders>
              <w:top w:val="nil"/>
              <w:left w:val="nil"/>
              <w:right w:val="nil"/>
            </w:tcBorders>
            <w:shd w:val="solid" w:color="000000" w:fill="auto"/>
          </w:tcPr>
          <w:p w:rsidR="00965D85" w:rsidRPr="001E7FA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1E7FA9">
              <w:rPr>
                <w:rFonts w:ascii="Calibri" w:eastAsiaTheme="minorEastAsia" w:hAnsi="Calibri" w:cs="Calibri"/>
                <w:i/>
                <w:iCs/>
                <w:color w:val="FFFFFF"/>
                <w:sz w:val="20"/>
                <w:lang w:eastAsia="en-AU"/>
              </w:rPr>
              <w:t>2015</w:t>
            </w:r>
            <w:r>
              <w:rPr>
                <w:rFonts w:ascii="Calibri" w:eastAsiaTheme="minorEastAsia" w:hAnsi="Calibri" w:cs="Calibri"/>
                <w:i/>
                <w:iCs/>
                <w:color w:val="FFFFFF"/>
                <w:sz w:val="20"/>
                <w:lang w:eastAsia="en-AU"/>
              </w:rPr>
              <w:noBreakHyphen/>
            </w:r>
            <w:r w:rsidRPr="001E7FA9">
              <w:rPr>
                <w:rFonts w:ascii="Calibri" w:eastAsiaTheme="minorEastAsia" w:hAnsi="Calibri" w:cs="Calibri"/>
                <w:i/>
                <w:iCs/>
                <w:color w:val="FFFFFF"/>
                <w:sz w:val="20"/>
                <w:lang w:eastAsia="en-AU"/>
              </w:rPr>
              <w:t xml:space="preserve">16 </w:t>
            </w:r>
          </w:p>
          <w:p w:rsidR="00965D85" w:rsidRPr="001E7FA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1E7FA9">
              <w:rPr>
                <w:rFonts w:ascii="Calibri" w:eastAsiaTheme="minorEastAsia" w:hAnsi="Calibri" w:cs="Calibri"/>
                <w:i/>
                <w:iCs/>
                <w:color w:val="FFFFFF"/>
                <w:sz w:val="20"/>
                <w:lang w:eastAsia="en-AU"/>
              </w:rPr>
              <w:t>revised</w:t>
            </w:r>
          </w:p>
        </w:tc>
        <w:tc>
          <w:tcPr>
            <w:tcW w:w="964" w:type="dxa"/>
            <w:tcBorders>
              <w:top w:val="nil"/>
              <w:left w:val="nil"/>
              <w:right w:val="nil"/>
            </w:tcBorders>
            <w:shd w:val="solid" w:color="000000" w:fill="auto"/>
          </w:tcPr>
          <w:p w:rsidR="00965D85" w:rsidRPr="001E7FA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1E7FA9">
              <w:rPr>
                <w:rFonts w:ascii="Calibri" w:eastAsiaTheme="minorEastAsia" w:hAnsi="Calibri" w:cs="Calibri"/>
                <w:i/>
                <w:iCs/>
                <w:color w:val="FFFFFF"/>
                <w:sz w:val="20"/>
                <w:lang w:eastAsia="en-AU"/>
              </w:rPr>
              <w:t>2016</w:t>
            </w:r>
            <w:r>
              <w:rPr>
                <w:rFonts w:ascii="Calibri" w:eastAsiaTheme="minorEastAsia" w:hAnsi="Calibri" w:cs="Calibri"/>
                <w:i/>
                <w:iCs/>
                <w:color w:val="FFFFFF"/>
                <w:sz w:val="20"/>
                <w:lang w:eastAsia="en-AU"/>
              </w:rPr>
              <w:noBreakHyphen/>
            </w:r>
            <w:r w:rsidRPr="001E7FA9">
              <w:rPr>
                <w:rFonts w:ascii="Calibri" w:eastAsiaTheme="minorEastAsia" w:hAnsi="Calibri" w:cs="Calibri"/>
                <w:i/>
                <w:iCs/>
                <w:color w:val="FFFFFF"/>
                <w:sz w:val="20"/>
                <w:lang w:eastAsia="en-AU"/>
              </w:rPr>
              <w:t xml:space="preserve">17 </w:t>
            </w:r>
          </w:p>
          <w:p w:rsidR="00965D85" w:rsidRPr="001E7FA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1E7FA9">
              <w:rPr>
                <w:rFonts w:ascii="Calibri" w:eastAsiaTheme="minorEastAsia" w:hAnsi="Calibri" w:cs="Calibri"/>
                <w:i/>
                <w:iCs/>
                <w:color w:val="FFFFFF"/>
                <w:sz w:val="20"/>
                <w:lang w:eastAsia="en-AU"/>
              </w:rPr>
              <w:t>estimate</w:t>
            </w:r>
          </w:p>
        </w:tc>
        <w:tc>
          <w:tcPr>
            <w:tcW w:w="964" w:type="dxa"/>
            <w:tcBorders>
              <w:top w:val="nil"/>
              <w:left w:val="nil"/>
              <w:right w:val="nil"/>
            </w:tcBorders>
            <w:shd w:val="solid" w:color="000000" w:fill="auto"/>
          </w:tcPr>
          <w:p w:rsidR="00965D85" w:rsidRPr="001E7FA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1E7FA9">
              <w:rPr>
                <w:rFonts w:ascii="Calibri" w:eastAsiaTheme="minorEastAsia" w:hAnsi="Calibri" w:cs="Calibri"/>
                <w:i/>
                <w:iCs/>
                <w:color w:val="FFFFFF"/>
                <w:sz w:val="20"/>
                <w:lang w:eastAsia="en-AU"/>
              </w:rPr>
              <w:t>2017</w:t>
            </w:r>
            <w:r>
              <w:rPr>
                <w:rFonts w:ascii="Calibri" w:eastAsiaTheme="minorEastAsia" w:hAnsi="Calibri" w:cs="Calibri"/>
                <w:i/>
                <w:iCs/>
                <w:color w:val="FFFFFF"/>
                <w:sz w:val="20"/>
                <w:lang w:eastAsia="en-AU"/>
              </w:rPr>
              <w:noBreakHyphen/>
            </w:r>
            <w:r w:rsidRPr="001E7FA9">
              <w:rPr>
                <w:rFonts w:ascii="Calibri" w:eastAsiaTheme="minorEastAsia" w:hAnsi="Calibri" w:cs="Calibri"/>
                <w:i/>
                <w:iCs/>
                <w:color w:val="FFFFFF"/>
                <w:sz w:val="20"/>
                <w:lang w:eastAsia="en-AU"/>
              </w:rPr>
              <w:t xml:space="preserve">18 </w:t>
            </w:r>
          </w:p>
          <w:p w:rsidR="00965D85" w:rsidRPr="001E7FA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1E7FA9">
              <w:rPr>
                <w:rFonts w:ascii="Calibri" w:eastAsiaTheme="minorEastAsia" w:hAnsi="Calibri" w:cs="Calibri"/>
                <w:i/>
                <w:iCs/>
                <w:color w:val="FFFFFF"/>
                <w:sz w:val="20"/>
                <w:lang w:eastAsia="en-AU"/>
              </w:rPr>
              <w:t>estimate</w:t>
            </w:r>
          </w:p>
        </w:tc>
        <w:tc>
          <w:tcPr>
            <w:tcW w:w="964" w:type="dxa"/>
            <w:tcBorders>
              <w:top w:val="nil"/>
              <w:left w:val="nil"/>
              <w:right w:val="nil"/>
            </w:tcBorders>
            <w:shd w:val="solid" w:color="000000" w:fill="auto"/>
          </w:tcPr>
          <w:p w:rsidR="00965D85" w:rsidRPr="001E7FA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1E7FA9">
              <w:rPr>
                <w:rFonts w:ascii="Calibri" w:eastAsiaTheme="minorEastAsia" w:hAnsi="Calibri" w:cs="Calibri"/>
                <w:i/>
                <w:iCs/>
                <w:color w:val="FFFFFF"/>
                <w:sz w:val="20"/>
                <w:lang w:eastAsia="en-AU"/>
              </w:rPr>
              <w:t>2018</w:t>
            </w:r>
            <w:r>
              <w:rPr>
                <w:rFonts w:ascii="Calibri" w:eastAsiaTheme="minorEastAsia" w:hAnsi="Calibri" w:cs="Calibri"/>
                <w:i/>
                <w:iCs/>
                <w:color w:val="FFFFFF"/>
                <w:sz w:val="20"/>
                <w:lang w:eastAsia="en-AU"/>
              </w:rPr>
              <w:noBreakHyphen/>
            </w:r>
            <w:r w:rsidRPr="001E7FA9">
              <w:rPr>
                <w:rFonts w:ascii="Calibri" w:eastAsiaTheme="minorEastAsia" w:hAnsi="Calibri" w:cs="Calibri"/>
                <w:i/>
                <w:iCs/>
                <w:color w:val="FFFFFF"/>
                <w:sz w:val="20"/>
                <w:lang w:eastAsia="en-AU"/>
              </w:rPr>
              <w:t xml:space="preserve">19 </w:t>
            </w:r>
          </w:p>
          <w:p w:rsidR="00965D85" w:rsidRPr="001E7FA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1E7FA9">
              <w:rPr>
                <w:rFonts w:ascii="Calibri" w:eastAsiaTheme="minorEastAsia" w:hAnsi="Calibri" w:cs="Calibri"/>
                <w:i/>
                <w:iCs/>
                <w:color w:val="FFFFFF"/>
                <w:sz w:val="20"/>
                <w:lang w:eastAsia="en-AU"/>
              </w:rPr>
              <w:t>estimate</w:t>
            </w:r>
          </w:p>
        </w:tc>
      </w:tr>
      <w:tr w:rsidR="00965D85" w:rsidRPr="001E7FA9" w:rsidTr="008B46DF">
        <w:tc>
          <w:tcPr>
            <w:tcW w:w="2947" w:type="dxa"/>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b/>
                <w:bCs/>
                <w:color w:val="000000"/>
                <w:sz w:val="20"/>
                <w:lang w:eastAsia="en-AU"/>
              </w:rPr>
            </w:pPr>
            <w:r w:rsidRPr="001E7FA9">
              <w:rPr>
                <w:rFonts w:ascii="Calibri" w:eastAsiaTheme="minorEastAsia" w:hAnsi="Calibri" w:cs="Calibri"/>
                <w:b/>
                <w:bCs/>
                <w:color w:val="000000"/>
                <w:sz w:val="20"/>
                <w:lang w:eastAsia="en-AU"/>
              </w:rPr>
              <w:t>Cash surplus/(deficit)</w:t>
            </w: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1E7FA9">
              <w:rPr>
                <w:rFonts w:ascii="Calibri" w:eastAsiaTheme="minorEastAsia" w:hAnsi="Calibri" w:cs="Calibri"/>
                <w:b/>
                <w:bCs/>
                <w:color w:val="000000"/>
                <w:sz w:val="20"/>
                <w:lang w:eastAsia="en-AU"/>
              </w:rPr>
              <w:t>5 861.7</w:t>
            </w: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1E7FA9">
              <w:rPr>
                <w:rFonts w:ascii="Calibri" w:eastAsiaTheme="minorEastAsia" w:hAnsi="Calibri" w:cs="Calibri"/>
                <w:b/>
                <w:bCs/>
                <w:color w:val="000000"/>
                <w:sz w:val="20"/>
                <w:lang w:eastAsia="en-AU"/>
              </w:rPr>
              <w:t>5 752.8</w:t>
            </w: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20"/>
                <w:lang w:eastAsia="en-AU"/>
              </w:rPr>
              <w:t>(1 221.7)</w:t>
            </w: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20"/>
                <w:lang w:eastAsia="en-AU"/>
              </w:rPr>
              <w:t>(467.1)</w:t>
            </w: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20"/>
                <w:lang w:eastAsia="en-AU"/>
              </w:rPr>
              <w:t>(191.7)</w:t>
            </w:r>
          </w:p>
        </w:tc>
      </w:tr>
      <w:tr w:rsidR="00965D85" w:rsidRPr="001E7FA9" w:rsidTr="008B46DF">
        <w:tc>
          <w:tcPr>
            <w:tcW w:w="2947" w:type="dxa"/>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Convergence differences:</w:t>
            </w: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p>
        </w:tc>
      </w:tr>
      <w:tr w:rsidR="00965D85" w:rsidRPr="001E7FA9" w:rsidTr="008B46DF">
        <w:tc>
          <w:tcPr>
            <w:tcW w:w="2947" w:type="dxa"/>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color w:val="000000"/>
                <w:sz w:val="20"/>
                <w:vertAlign w:val="superscript"/>
                <w:lang w:eastAsia="en-AU"/>
              </w:rPr>
            </w:pPr>
            <w:r w:rsidRPr="001E7FA9">
              <w:rPr>
                <w:rFonts w:ascii="Calibri" w:eastAsiaTheme="minorEastAsia" w:hAnsi="Calibri" w:cs="Calibri"/>
                <w:color w:val="000000"/>
                <w:sz w:val="20"/>
                <w:lang w:eastAsia="en-AU"/>
              </w:rPr>
              <w:t>Acquisitions under finance leases and similar arrangements</w:t>
            </w:r>
            <w:r w:rsidRPr="001E7FA9">
              <w:rPr>
                <w:rFonts w:ascii="Calibri" w:eastAsiaTheme="minorEastAsia" w:hAnsi="Calibri" w:cs="Calibri"/>
                <w:color w:val="000000"/>
                <w:sz w:val="20"/>
                <w:vertAlign w:val="superscript"/>
                <w:lang w:eastAsia="en-AU"/>
              </w:rPr>
              <w:t xml:space="preserve"> (a)</w:t>
            </w:r>
          </w:p>
        </w:tc>
        <w:tc>
          <w:tcPr>
            <w:tcW w:w="964" w:type="dxa"/>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(1 050.4)</w:t>
            </w:r>
          </w:p>
        </w:tc>
        <w:tc>
          <w:tcPr>
            <w:tcW w:w="964" w:type="dxa"/>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(1 074.2)</w:t>
            </w:r>
          </w:p>
        </w:tc>
        <w:tc>
          <w:tcPr>
            <w:tcW w:w="964" w:type="dxa"/>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(496.0)</w:t>
            </w:r>
          </w:p>
        </w:tc>
        <w:tc>
          <w:tcPr>
            <w:tcW w:w="964" w:type="dxa"/>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(652.1)</w:t>
            </w:r>
          </w:p>
        </w:tc>
        <w:tc>
          <w:tcPr>
            <w:tcW w:w="964" w:type="dxa"/>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w:t>
            </w:r>
          </w:p>
        </w:tc>
      </w:tr>
      <w:tr w:rsidR="00965D85" w:rsidRPr="001E7FA9" w:rsidTr="008B46DF">
        <w:tc>
          <w:tcPr>
            <w:tcW w:w="2947" w:type="dxa"/>
            <w:tcBorders>
              <w:top w:val="single" w:sz="6" w:space="0" w:color="000000"/>
              <w:left w:val="nil"/>
              <w:bottom w:val="single" w:sz="12" w:space="0" w:color="auto"/>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b/>
                <w:bCs/>
                <w:color w:val="000000"/>
                <w:sz w:val="20"/>
                <w:vertAlign w:val="superscript"/>
                <w:lang w:eastAsia="en-AU"/>
              </w:rPr>
            </w:pPr>
            <w:r w:rsidRPr="001E7FA9">
              <w:rPr>
                <w:rFonts w:ascii="Calibri" w:eastAsiaTheme="minorEastAsia" w:hAnsi="Calibri" w:cs="Calibri"/>
                <w:b/>
                <w:bCs/>
                <w:color w:val="000000"/>
                <w:sz w:val="20"/>
                <w:lang w:eastAsia="en-AU"/>
              </w:rPr>
              <w:t>GFS cash surplus/(deficit)</w:t>
            </w:r>
            <w:r w:rsidRPr="001E7FA9">
              <w:rPr>
                <w:rFonts w:ascii="Calibri" w:eastAsiaTheme="minorEastAsia" w:hAnsi="Calibri" w:cs="Calibri"/>
                <w:b/>
                <w:bCs/>
                <w:color w:val="000000"/>
                <w:sz w:val="20"/>
                <w:vertAlign w:val="superscript"/>
                <w:lang w:eastAsia="en-AU"/>
              </w:rPr>
              <w:t xml:space="preserve"> (b)</w:t>
            </w:r>
          </w:p>
        </w:tc>
        <w:tc>
          <w:tcPr>
            <w:tcW w:w="964" w:type="dxa"/>
            <w:tcBorders>
              <w:top w:val="single" w:sz="6" w:space="0" w:color="000000"/>
              <w:left w:val="nil"/>
              <w:bottom w:val="single" w:sz="12" w:space="0" w:color="auto"/>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1E7FA9">
              <w:rPr>
                <w:rFonts w:ascii="Calibri" w:eastAsiaTheme="minorEastAsia" w:hAnsi="Calibri" w:cs="Calibri"/>
                <w:b/>
                <w:bCs/>
                <w:color w:val="000000"/>
                <w:sz w:val="20"/>
                <w:lang w:eastAsia="en-AU"/>
              </w:rPr>
              <w:t>4 811.3</w:t>
            </w:r>
          </w:p>
        </w:tc>
        <w:tc>
          <w:tcPr>
            <w:tcW w:w="964" w:type="dxa"/>
            <w:tcBorders>
              <w:top w:val="single" w:sz="6" w:space="0" w:color="000000"/>
              <w:left w:val="nil"/>
              <w:bottom w:val="single" w:sz="12" w:space="0" w:color="auto"/>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1E7FA9">
              <w:rPr>
                <w:rFonts w:ascii="Calibri" w:eastAsiaTheme="minorEastAsia" w:hAnsi="Calibri" w:cs="Calibri"/>
                <w:b/>
                <w:bCs/>
                <w:color w:val="000000"/>
                <w:sz w:val="20"/>
                <w:lang w:eastAsia="en-AU"/>
              </w:rPr>
              <w:t>4 678.6</w:t>
            </w:r>
          </w:p>
        </w:tc>
        <w:tc>
          <w:tcPr>
            <w:tcW w:w="964" w:type="dxa"/>
            <w:tcBorders>
              <w:top w:val="single" w:sz="6" w:space="0" w:color="000000"/>
              <w:left w:val="nil"/>
              <w:bottom w:val="single" w:sz="12" w:space="0" w:color="auto"/>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20"/>
                <w:lang w:eastAsia="en-AU"/>
              </w:rPr>
              <w:t>(1 717.7)</w:t>
            </w:r>
          </w:p>
        </w:tc>
        <w:tc>
          <w:tcPr>
            <w:tcW w:w="964" w:type="dxa"/>
            <w:tcBorders>
              <w:top w:val="single" w:sz="6" w:space="0" w:color="000000"/>
              <w:left w:val="nil"/>
              <w:bottom w:val="single" w:sz="12" w:space="0" w:color="auto"/>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20"/>
                <w:lang w:eastAsia="en-AU"/>
              </w:rPr>
              <w:t>(1 119.2)</w:t>
            </w:r>
          </w:p>
        </w:tc>
        <w:tc>
          <w:tcPr>
            <w:tcW w:w="964" w:type="dxa"/>
            <w:tcBorders>
              <w:top w:val="single" w:sz="6" w:space="0" w:color="000000"/>
              <w:left w:val="nil"/>
              <w:bottom w:val="single" w:sz="12" w:space="0" w:color="auto"/>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20"/>
                <w:lang w:eastAsia="en-AU"/>
              </w:rPr>
              <w:t>(191.7)</w:t>
            </w:r>
          </w:p>
        </w:tc>
      </w:tr>
      <w:tr w:rsidR="00965D85" w:rsidRPr="001E7FA9" w:rsidTr="008B46DF">
        <w:tc>
          <w:tcPr>
            <w:tcW w:w="7767" w:type="dxa"/>
            <w:gridSpan w:val="6"/>
            <w:tcBorders>
              <w:top w:val="single" w:sz="12" w:space="0" w:color="auto"/>
              <w:left w:val="nil"/>
              <w:bottom w:val="nil"/>
              <w:right w:val="nil"/>
            </w:tcBorders>
            <w:shd w:val="clear" w:color="auto" w:fill="auto"/>
          </w:tcPr>
          <w:p w:rsidR="00965D85" w:rsidRPr="001E7FA9" w:rsidRDefault="00965D85" w:rsidP="008B46DF">
            <w:pPr>
              <w:pStyle w:val="Source"/>
              <w:rPr>
                <w:rFonts w:eastAsiaTheme="minorEastAsia"/>
                <w:lang w:eastAsia="en-AU"/>
              </w:rPr>
            </w:pPr>
            <w:r w:rsidRPr="001E7FA9">
              <w:rPr>
                <w:rFonts w:eastAsiaTheme="minorEastAsia"/>
                <w:lang w:eastAsia="en-AU"/>
              </w:rPr>
              <w:t>Source: Department of Treasury and Finance</w:t>
            </w:r>
          </w:p>
        </w:tc>
      </w:tr>
    </w:tbl>
    <w:p w:rsidR="00965D85" w:rsidRPr="00144F12" w:rsidRDefault="00965D85" w:rsidP="008B46DF">
      <w:pPr>
        <w:pStyle w:val="Notes"/>
        <w:rPr>
          <w:lang w:eastAsia="en-AU"/>
        </w:rPr>
      </w:pPr>
      <w:r w:rsidRPr="00144F12">
        <w:rPr>
          <w:lang w:eastAsia="en-AU"/>
        </w:rPr>
        <w:t>Notes:</w:t>
      </w:r>
    </w:p>
    <w:p w:rsidR="00965D85" w:rsidRPr="00144F12" w:rsidRDefault="00965D85" w:rsidP="008B46DF">
      <w:pPr>
        <w:pStyle w:val="Notes"/>
        <w:rPr>
          <w:lang w:eastAsia="en-AU"/>
        </w:rPr>
      </w:pPr>
      <w:r w:rsidRPr="00144F12">
        <w:rPr>
          <w:lang w:eastAsia="en-AU"/>
        </w:rPr>
        <w:t>(a)</w:t>
      </w:r>
      <w:r w:rsidRPr="00144F12">
        <w:rPr>
          <w:lang w:eastAsia="en-AU"/>
        </w:rPr>
        <w:tab/>
        <w:t>The finance lease acquisition in 2015</w:t>
      </w:r>
      <w:r>
        <w:rPr>
          <w:lang w:eastAsia="en-AU"/>
        </w:rPr>
        <w:noBreakHyphen/>
      </w:r>
      <w:r w:rsidRPr="00144F12">
        <w:rPr>
          <w:lang w:eastAsia="en-AU"/>
        </w:rPr>
        <w:t xml:space="preserve">16 relates to the Victorian Comprehensive Cancer Centre and metropolitan </w:t>
      </w:r>
      <w:r>
        <w:rPr>
          <w:lang w:eastAsia="en-AU"/>
        </w:rPr>
        <w:t xml:space="preserve">Melbourne </w:t>
      </w:r>
      <w:r w:rsidRPr="00144F12">
        <w:rPr>
          <w:lang w:eastAsia="en-AU"/>
        </w:rPr>
        <w:t>bus</w:t>
      </w:r>
      <w:r>
        <w:rPr>
          <w:lang w:eastAsia="en-AU"/>
        </w:rPr>
        <w:t xml:space="preserve"> contracts</w:t>
      </w:r>
      <w:r w:rsidRPr="00144F12">
        <w:rPr>
          <w:lang w:eastAsia="en-AU"/>
        </w:rPr>
        <w:t xml:space="preserve">. </w:t>
      </w:r>
      <w:r w:rsidRPr="00144F12">
        <w:t>The 2016</w:t>
      </w:r>
      <w:r>
        <w:noBreakHyphen/>
      </w:r>
      <w:r w:rsidRPr="00144F12">
        <w:t xml:space="preserve">17 estimate </w:t>
      </w:r>
      <w:r>
        <w:t xml:space="preserve">relates to the </w:t>
      </w:r>
      <w:r w:rsidRPr="00144F12">
        <w:t xml:space="preserve">new Bendigo Hospital project (stage 1), the New Schools PPP project (tranche 1) and the metropolitan </w:t>
      </w:r>
      <w:r>
        <w:t xml:space="preserve">Melbourne </w:t>
      </w:r>
      <w:r w:rsidRPr="00144F12">
        <w:t>bus contrac</w:t>
      </w:r>
      <w:r>
        <w:t>ts</w:t>
      </w:r>
      <w:r w:rsidRPr="00144F12">
        <w:t>. The 2017</w:t>
      </w:r>
      <w:r>
        <w:noBreakHyphen/>
      </w:r>
      <w:r w:rsidRPr="00144F12">
        <w:t>18 estimates relates to the Ravenhall Priso</w:t>
      </w:r>
      <w:r>
        <w:t xml:space="preserve">n project, the </w:t>
      </w:r>
      <w:r w:rsidRPr="00144F12">
        <w:t>new Bendigo Hospital project (stage 2) and the New Schools PPP project (tranche 2).</w:t>
      </w:r>
    </w:p>
    <w:p w:rsidR="00965D85" w:rsidRDefault="00965D85" w:rsidP="008B46DF">
      <w:pPr>
        <w:pStyle w:val="Notes"/>
        <w:rPr>
          <w:lang w:eastAsia="en-AU"/>
        </w:rPr>
      </w:pPr>
      <w:r w:rsidRPr="00144F12">
        <w:rPr>
          <w:lang w:eastAsia="en-AU"/>
        </w:rPr>
        <w:t>(b)</w:t>
      </w:r>
      <w:r w:rsidRPr="00144F12">
        <w:rPr>
          <w:lang w:eastAsia="en-AU"/>
        </w:rPr>
        <w:tab/>
        <w:t>Determined in accordance with the ABS GFS manual.</w:t>
      </w:r>
    </w:p>
    <w:p w:rsidR="00965D85" w:rsidRDefault="00965D85" w:rsidP="008B46DF">
      <w:pPr>
        <w:rPr>
          <w:lang w:eastAsia="en-AU"/>
        </w:rPr>
      </w:pPr>
    </w:p>
    <w:p w:rsidR="00965D85" w:rsidRDefault="00965D85" w:rsidP="008B46DF">
      <w:pPr>
        <w:rPr>
          <w:lang w:eastAsia="en-AU"/>
        </w:rPr>
      </w:pPr>
    </w:p>
    <w:p w:rsidR="00965D85" w:rsidRDefault="00965D85" w:rsidP="008B46DF">
      <w:pPr>
        <w:pStyle w:val="Tableheading"/>
        <w:rPr>
          <w:rFonts w:ascii="Times New Roman" w:hAnsi="Times New Roman"/>
          <w:i/>
          <w:sz w:val="20"/>
          <w:lang w:eastAsia="en-AU"/>
        </w:rPr>
      </w:pPr>
      <w:r w:rsidRPr="00AA0031">
        <w:rPr>
          <w:lang w:eastAsia="en-AU"/>
        </w:rPr>
        <w:t>Table 5.24:</w:t>
      </w:r>
      <w:r w:rsidRPr="00AA0031">
        <w:rPr>
          <w:lang w:eastAsia="en-AU"/>
        </w:rPr>
        <w:tab/>
        <w:t>Net acquisition of non</w:t>
      </w:r>
      <w:r>
        <w:rPr>
          <w:lang w:eastAsia="en-AU"/>
        </w:rPr>
        <w:noBreakHyphen/>
      </w:r>
      <w:r w:rsidRPr="00AA0031">
        <w:rPr>
          <w:lang w:eastAsia="en-AU"/>
        </w:rPr>
        <w:t>financial assets</w:t>
      </w:r>
      <w:r>
        <w:rPr>
          <w:lang w:eastAsia="en-AU"/>
        </w:rPr>
        <w:t xml:space="preserve"> – </w:t>
      </w:r>
      <w:r w:rsidRPr="00AA0031">
        <w:rPr>
          <w:lang w:eastAsia="en-AU"/>
        </w:rPr>
        <w:t>State of Victoria</w:t>
      </w:r>
      <w:r w:rsidRPr="00AA0031">
        <w:rPr>
          <w:vertAlign w:val="superscript"/>
          <w:lang w:eastAsia="en-AU"/>
        </w:rPr>
        <w:t>(a)</w:t>
      </w:r>
    </w:p>
    <w:tbl>
      <w:tblPr>
        <w:tblW w:w="7767" w:type="dxa"/>
        <w:tblInd w:w="28" w:type="dxa"/>
        <w:tblLayout w:type="fixed"/>
        <w:tblCellMar>
          <w:left w:w="28" w:type="dxa"/>
          <w:right w:w="28" w:type="dxa"/>
        </w:tblCellMar>
        <w:tblLook w:val="0000" w:firstRow="0" w:lastRow="0" w:firstColumn="0" w:lastColumn="0" w:noHBand="0" w:noVBand="0"/>
      </w:tblPr>
      <w:tblGrid>
        <w:gridCol w:w="3066"/>
        <w:gridCol w:w="70"/>
        <w:gridCol w:w="775"/>
        <w:gridCol w:w="964"/>
        <w:gridCol w:w="964"/>
        <w:gridCol w:w="964"/>
        <w:gridCol w:w="964"/>
      </w:tblGrid>
      <w:tr w:rsidR="00965D85" w:rsidRPr="001E7FA9" w:rsidTr="008B46DF">
        <w:trPr>
          <w:tblHeader/>
        </w:trPr>
        <w:tc>
          <w:tcPr>
            <w:tcW w:w="7767" w:type="dxa"/>
            <w:gridSpan w:val="7"/>
            <w:tcBorders>
              <w:top w:val="nil"/>
              <w:left w:val="nil"/>
              <w:bottom w:val="nil"/>
              <w:right w:val="nil"/>
            </w:tcBorders>
          </w:tcPr>
          <w:p w:rsidR="00965D85" w:rsidRPr="001E7FA9" w:rsidRDefault="00965D85" w:rsidP="008B46DF">
            <w:pPr>
              <w:pStyle w:val="million"/>
              <w:rPr>
                <w:rFonts w:eastAsiaTheme="minorEastAsia" w:cs="Calibri"/>
                <w:iCs/>
                <w:color w:val="000000"/>
                <w:sz w:val="20"/>
                <w:lang w:eastAsia="en-AU"/>
              </w:rPr>
            </w:pPr>
            <w:r w:rsidRPr="001E7FA9">
              <w:rPr>
                <w:rFonts w:eastAsiaTheme="minorEastAsia"/>
                <w:lang w:eastAsia="en-AU"/>
              </w:rPr>
              <w:t>($ million</w:t>
            </w:r>
            <w:r w:rsidRPr="001E7FA9">
              <w:rPr>
                <w:rFonts w:eastAsiaTheme="minorEastAsia" w:cs="Calibri"/>
                <w:iCs/>
                <w:color w:val="000000"/>
                <w:sz w:val="20"/>
                <w:lang w:eastAsia="en-AU"/>
              </w:rPr>
              <w:t>)</w:t>
            </w:r>
          </w:p>
        </w:tc>
      </w:tr>
      <w:tr w:rsidR="00965D85" w:rsidRPr="001E7FA9" w:rsidTr="008B46DF">
        <w:trPr>
          <w:trHeight w:val="488"/>
          <w:tblHeader/>
        </w:trPr>
        <w:tc>
          <w:tcPr>
            <w:tcW w:w="3066" w:type="dxa"/>
            <w:tcBorders>
              <w:top w:val="nil"/>
              <w:left w:val="nil"/>
              <w:right w:val="nil"/>
            </w:tcBorders>
            <w:shd w:val="solid" w:color="000000" w:fill="auto"/>
          </w:tcPr>
          <w:p w:rsidR="00965D85" w:rsidRPr="001E7FA9" w:rsidRDefault="00965D85" w:rsidP="008B46DF">
            <w:pPr>
              <w:autoSpaceDE w:val="0"/>
              <w:autoSpaceDN w:val="0"/>
              <w:adjustRightInd w:val="0"/>
              <w:spacing w:after="0"/>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 xml:space="preserve"> </w:t>
            </w:r>
          </w:p>
          <w:p w:rsidR="00965D85" w:rsidRPr="001E7FA9" w:rsidRDefault="00965D85" w:rsidP="008B46DF">
            <w:pPr>
              <w:autoSpaceDE w:val="0"/>
              <w:autoSpaceDN w:val="0"/>
              <w:adjustRightInd w:val="0"/>
              <w:spacing w:after="0"/>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 xml:space="preserve"> </w:t>
            </w:r>
          </w:p>
        </w:tc>
        <w:tc>
          <w:tcPr>
            <w:tcW w:w="845" w:type="dxa"/>
            <w:gridSpan w:val="2"/>
            <w:tcBorders>
              <w:top w:val="nil"/>
              <w:left w:val="nil"/>
              <w:right w:val="nil"/>
            </w:tcBorders>
            <w:shd w:val="solid" w:color="000000" w:fill="auto"/>
          </w:tcPr>
          <w:p w:rsidR="00965D85" w:rsidRPr="001E7FA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1E7FA9">
              <w:rPr>
                <w:rFonts w:ascii="Calibri" w:eastAsiaTheme="minorEastAsia" w:hAnsi="Calibri" w:cs="Calibri"/>
                <w:i/>
                <w:iCs/>
                <w:color w:val="FFFFFF"/>
                <w:sz w:val="20"/>
                <w:lang w:eastAsia="en-AU"/>
              </w:rPr>
              <w:t>2015</w:t>
            </w:r>
            <w:r>
              <w:rPr>
                <w:rFonts w:ascii="Calibri" w:eastAsiaTheme="minorEastAsia" w:hAnsi="Calibri" w:cs="Calibri"/>
                <w:i/>
                <w:iCs/>
                <w:color w:val="FFFFFF"/>
                <w:sz w:val="20"/>
                <w:lang w:eastAsia="en-AU"/>
              </w:rPr>
              <w:noBreakHyphen/>
            </w:r>
            <w:r w:rsidRPr="001E7FA9">
              <w:rPr>
                <w:rFonts w:ascii="Calibri" w:eastAsiaTheme="minorEastAsia" w:hAnsi="Calibri" w:cs="Calibri"/>
                <w:i/>
                <w:iCs/>
                <w:color w:val="FFFFFF"/>
                <w:sz w:val="20"/>
                <w:lang w:eastAsia="en-AU"/>
              </w:rPr>
              <w:t xml:space="preserve">16 </w:t>
            </w:r>
          </w:p>
          <w:p w:rsidR="00965D85" w:rsidRPr="001E7FA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1E7FA9">
              <w:rPr>
                <w:rFonts w:ascii="Calibri" w:eastAsiaTheme="minorEastAsia" w:hAnsi="Calibri" w:cs="Calibri"/>
                <w:i/>
                <w:iCs/>
                <w:color w:val="FFFFFF"/>
                <w:sz w:val="20"/>
                <w:lang w:eastAsia="en-AU"/>
              </w:rPr>
              <w:t>budget</w:t>
            </w:r>
          </w:p>
        </w:tc>
        <w:tc>
          <w:tcPr>
            <w:tcW w:w="964" w:type="dxa"/>
            <w:tcBorders>
              <w:top w:val="nil"/>
              <w:left w:val="nil"/>
              <w:right w:val="nil"/>
            </w:tcBorders>
            <w:shd w:val="solid" w:color="000000" w:fill="auto"/>
          </w:tcPr>
          <w:p w:rsidR="00965D85" w:rsidRPr="001E7FA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1E7FA9">
              <w:rPr>
                <w:rFonts w:ascii="Calibri" w:eastAsiaTheme="minorEastAsia" w:hAnsi="Calibri" w:cs="Calibri"/>
                <w:i/>
                <w:iCs/>
                <w:color w:val="FFFFFF"/>
                <w:sz w:val="20"/>
                <w:lang w:eastAsia="en-AU"/>
              </w:rPr>
              <w:t>2015</w:t>
            </w:r>
            <w:r>
              <w:rPr>
                <w:rFonts w:ascii="Calibri" w:eastAsiaTheme="minorEastAsia" w:hAnsi="Calibri" w:cs="Calibri"/>
                <w:i/>
                <w:iCs/>
                <w:color w:val="FFFFFF"/>
                <w:sz w:val="20"/>
                <w:lang w:eastAsia="en-AU"/>
              </w:rPr>
              <w:noBreakHyphen/>
            </w:r>
            <w:r w:rsidRPr="001E7FA9">
              <w:rPr>
                <w:rFonts w:ascii="Calibri" w:eastAsiaTheme="minorEastAsia" w:hAnsi="Calibri" w:cs="Calibri"/>
                <w:i/>
                <w:iCs/>
                <w:color w:val="FFFFFF"/>
                <w:sz w:val="20"/>
                <w:lang w:eastAsia="en-AU"/>
              </w:rPr>
              <w:t xml:space="preserve">16 </w:t>
            </w:r>
          </w:p>
          <w:p w:rsidR="00965D85" w:rsidRPr="001E7FA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1E7FA9">
              <w:rPr>
                <w:rFonts w:ascii="Calibri" w:eastAsiaTheme="minorEastAsia" w:hAnsi="Calibri" w:cs="Calibri"/>
                <w:i/>
                <w:iCs/>
                <w:color w:val="FFFFFF"/>
                <w:sz w:val="20"/>
                <w:lang w:eastAsia="en-AU"/>
              </w:rPr>
              <w:t>revised</w:t>
            </w:r>
          </w:p>
        </w:tc>
        <w:tc>
          <w:tcPr>
            <w:tcW w:w="964" w:type="dxa"/>
            <w:tcBorders>
              <w:top w:val="nil"/>
              <w:left w:val="nil"/>
              <w:right w:val="nil"/>
            </w:tcBorders>
            <w:shd w:val="solid" w:color="000000" w:fill="auto"/>
          </w:tcPr>
          <w:p w:rsidR="00965D85" w:rsidRPr="001E7FA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1E7FA9">
              <w:rPr>
                <w:rFonts w:ascii="Calibri" w:eastAsiaTheme="minorEastAsia" w:hAnsi="Calibri" w:cs="Calibri"/>
                <w:i/>
                <w:iCs/>
                <w:color w:val="FFFFFF"/>
                <w:sz w:val="20"/>
                <w:lang w:eastAsia="en-AU"/>
              </w:rPr>
              <w:t>2016</w:t>
            </w:r>
            <w:r>
              <w:rPr>
                <w:rFonts w:ascii="Calibri" w:eastAsiaTheme="minorEastAsia" w:hAnsi="Calibri" w:cs="Calibri"/>
                <w:i/>
                <w:iCs/>
                <w:color w:val="FFFFFF"/>
                <w:sz w:val="20"/>
                <w:lang w:eastAsia="en-AU"/>
              </w:rPr>
              <w:noBreakHyphen/>
            </w:r>
            <w:r w:rsidRPr="001E7FA9">
              <w:rPr>
                <w:rFonts w:ascii="Calibri" w:eastAsiaTheme="minorEastAsia" w:hAnsi="Calibri" w:cs="Calibri"/>
                <w:i/>
                <w:iCs/>
                <w:color w:val="FFFFFF"/>
                <w:sz w:val="20"/>
                <w:lang w:eastAsia="en-AU"/>
              </w:rPr>
              <w:t xml:space="preserve">17 </w:t>
            </w:r>
          </w:p>
          <w:p w:rsidR="00965D85" w:rsidRPr="001E7FA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1E7FA9">
              <w:rPr>
                <w:rFonts w:ascii="Calibri" w:eastAsiaTheme="minorEastAsia" w:hAnsi="Calibri" w:cs="Calibri"/>
                <w:i/>
                <w:iCs/>
                <w:color w:val="FFFFFF"/>
                <w:sz w:val="20"/>
                <w:lang w:eastAsia="en-AU"/>
              </w:rPr>
              <w:t>estimate</w:t>
            </w:r>
          </w:p>
        </w:tc>
        <w:tc>
          <w:tcPr>
            <w:tcW w:w="964" w:type="dxa"/>
            <w:tcBorders>
              <w:top w:val="nil"/>
              <w:left w:val="nil"/>
              <w:right w:val="nil"/>
            </w:tcBorders>
            <w:shd w:val="solid" w:color="000000" w:fill="auto"/>
          </w:tcPr>
          <w:p w:rsidR="00965D85" w:rsidRPr="001E7FA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1E7FA9">
              <w:rPr>
                <w:rFonts w:ascii="Calibri" w:eastAsiaTheme="minorEastAsia" w:hAnsi="Calibri" w:cs="Calibri"/>
                <w:i/>
                <w:iCs/>
                <w:color w:val="FFFFFF"/>
                <w:sz w:val="20"/>
                <w:lang w:eastAsia="en-AU"/>
              </w:rPr>
              <w:t>2017</w:t>
            </w:r>
            <w:r>
              <w:rPr>
                <w:rFonts w:ascii="Calibri" w:eastAsiaTheme="minorEastAsia" w:hAnsi="Calibri" w:cs="Calibri"/>
                <w:i/>
                <w:iCs/>
                <w:color w:val="FFFFFF"/>
                <w:sz w:val="20"/>
                <w:lang w:eastAsia="en-AU"/>
              </w:rPr>
              <w:noBreakHyphen/>
            </w:r>
            <w:r w:rsidRPr="001E7FA9">
              <w:rPr>
                <w:rFonts w:ascii="Calibri" w:eastAsiaTheme="minorEastAsia" w:hAnsi="Calibri" w:cs="Calibri"/>
                <w:i/>
                <w:iCs/>
                <w:color w:val="FFFFFF"/>
                <w:sz w:val="20"/>
                <w:lang w:eastAsia="en-AU"/>
              </w:rPr>
              <w:t xml:space="preserve">18 </w:t>
            </w:r>
          </w:p>
          <w:p w:rsidR="00965D85" w:rsidRPr="001E7FA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1E7FA9">
              <w:rPr>
                <w:rFonts w:ascii="Calibri" w:eastAsiaTheme="minorEastAsia" w:hAnsi="Calibri" w:cs="Calibri"/>
                <w:i/>
                <w:iCs/>
                <w:color w:val="FFFFFF"/>
                <w:sz w:val="20"/>
                <w:lang w:eastAsia="en-AU"/>
              </w:rPr>
              <w:t>estimate</w:t>
            </w:r>
          </w:p>
        </w:tc>
        <w:tc>
          <w:tcPr>
            <w:tcW w:w="964" w:type="dxa"/>
            <w:tcBorders>
              <w:top w:val="nil"/>
              <w:left w:val="nil"/>
              <w:right w:val="nil"/>
            </w:tcBorders>
            <w:shd w:val="solid" w:color="000000" w:fill="auto"/>
          </w:tcPr>
          <w:p w:rsidR="00965D85" w:rsidRPr="001E7FA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1E7FA9">
              <w:rPr>
                <w:rFonts w:ascii="Calibri" w:eastAsiaTheme="minorEastAsia" w:hAnsi="Calibri" w:cs="Calibri"/>
                <w:i/>
                <w:iCs/>
                <w:color w:val="FFFFFF"/>
                <w:sz w:val="20"/>
                <w:lang w:eastAsia="en-AU"/>
              </w:rPr>
              <w:t>2018</w:t>
            </w:r>
            <w:r>
              <w:rPr>
                <w:rFonts w:ascii="Calibri" w:eastAsiaTheme="minorEastAsia" w:hAnsi="Calibri" w:cs="Calibri"/>
                <w:i/>
                <w:iCs/>
                <w:color w:val="FFFFFF"/>
                <w:sz w:val="20"/>
                <w:lang w:eastAsia="en-AU"/>
              </w:rPr>
              <w:noBreakHyphen/>
            </w:r>
            <w:r w:rsidRPr="001E7FA9">
              <w:rPr>
                <w:rFonts w:ascii="Calibri" w:eastAsiaTheme="minorEastAsia" w:hAnsi="Calibri" w:cs="Calibri"/>
                <w:i/>
                <w:iCs/>
                <w:color w:val="FFFFFF"/>
                <w:sz w:val="20"/>
                <w:lang w:eastAsia="en-AU"/>
              </w:rPr>
              <w:t xml:space="preserve">19 </w:t>
            </w:r>
          </w:p>
          <w:p w:rsidR="00965D85" w:rsidRPr="001E7FA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1E7FA9">
              <w:rPr>
                <w:rFonts w:ascii="Calibri" w:eastAsiaTheme="minorEastAsia" w:hAnsi="Calibri" w:cs="Calibri"/>
                <w:i/>
                <w:iCs/>
                <w:color w:val="FFFFFF"/>
                <w:sz w:val="20"/>
                <w:lang w:eastAsia="en-AU"/>
              </w:rPr>
              <w:t>estimate</w:t>
            </w:r>
          </w:p>
        </w:tc>
      </w:tr>
      <w:tr w:rsidR="00965D85" w:rsidRPr="001E7FA9" w:rsidTr="008B46DF">
        <w:tc>
          <w:tcPr>
            <w:tcW w:w="3136" w:type="dxa"/>
            <w:gridSpan w:val="2"/>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color w:val="000000"/>
                <w:sz w:val="20"/>
                <w:vertAlign w:val="superscript"/>
                <w:lang w:eastAsia="en-AU"/>
              </w:rPr>
            </w:pPr>
            <w:r w:rsidRPr="001E7FA9">
              <w:rPr>
                <w:rFonts w:ascii="Calibri" w:eastAsiaTheme="minorEastAsia" w:hAnsi="Calibri" w:cs="Calibri"/>
                <w:color w:val="000000"/>
                <w:sz w:val="20"/>
                <w:lang w:eastAsia="en-AU"/>
              </w:rPr>
              <w:t>Purchases of non</w:t>
            </w:r>
            <w:r>
              <w:rPr>
                <w:rFonts w:ascii="Calibri" w:eastAsiaTheme="minorEastAsia" w:hAnsi="Calibri" w:cs="Calibri"/>
                <w:color w:val="000000"/>
                <w:sz w:val="20"/>
                <w:lang w:eastAsia="en-AU"/>
              </w:rPr>
              <w:noBreakHyphen/>
            </w:r>
            <w:r w:rsidRPr="001E7FA9">
              <w:rPr>
                <w:rFonts w:ascii="Calibri" w:eastAsiaTheme="minorEastAsia" w:hAnsi="Calibri" w:cs="Calibri"/>
                <w:color w:val="000000"/>
                <w:sz w:val="20"/>
                <w:lang w:eastAsia="en-AU"/>
              </w:rPr>
              <w:t>financial assets less sales of non</w:t>
            </w:r>
            <w:r>
              <w:rPr>
                <w:rFonts w:ascii="Calibri" w:eastAsiaTheme="minorEastAsia" w:hAnsi="Calibri" w:cs="Calibri"/>
                <w:color w:val="000000"/>
                <w:sz w:val="20"/>
                <w:lang w:eastAsia="en-AU"/>
              </w:rPr>
              <w:noBreakHyphen/>
            </w:r>
            <w:r w:rsidRPr="001E7FA9">
              <w:rPr>
                <w:rFonts w:ascii="Calibri" w:eastAsiaTheme="minorEastAsia" w:hAnsi="Calibri" w:cs="Calibri"/>
                <w:color w:val="000000"/>
                <w:sz w:val="20"/>
                <w:lang w:eastAsia="en-AU"/>
              </w:rPr>
              <w:t xml:space="preserve">financial assets </w:t>
            </w:r>
            <w:r w:rsidRPr="001E7FA9">
              <w:rPr>
                <w:rFonts w:ascii="Calibri" w:eastAsiaTheme="minorEastAsia" w:hAnsi="Calibri" w:cs="Calibri"/>
                <w:color w:val="000000"/>
                <w:sz w:val="20"/>
                <w:vertAlign w:val="superscript"/>
                <w:lang w:eastAsia="en-AU"/>
              </w:rPr>
              <w:t>(b)</w:t>
            </w:r>
          </w:p>
        </w:tc>
        <w:tc>
          <w:tcPr>
            <w:tcW w:w="775"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(458.3)</w:t>
            </w: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(822.2)</w:t>
            </w: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7 495.3</w:t>
            </w: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7 105.7</w:t>
            </w: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7 003.4</w:t>
            </w:r>
          </w:p>
        </w:tc>
      </w:tr>
      <w:tr w:rsidR="00965D85" w:rsidRPr="001E7FA9" w:rsidTr="008B46DF">
        <w:tc>
          <w:tcPr>
            <w:tcW w:w="3066" w:type="dxa"/>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Less: Depreciation</w:t>
            </w:r>
          </w:p>
        </w:tc>
        <w:tc>
          <w:tcPr>
            <w:tcW w:w="845" w:type="dxa"/>
            <w:gridSpan w:val="2"/>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(4 761.4)</w:t>
            </w: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(4 681.2)</w:t>
            </w: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(4 816.6)</w:t>
            </w: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(5 067.9)</w:t>
            </w: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(5 405.7)</w:t>
            </w:r>
          </w:p>
        </w:tc>
      </w:tr>
      <w:tr w:rsidR="00965D85" w:rsidRPr="001E7FA9" w:rsidTr="008B46DF">
        <w:tc>
          <w:tcPr>
            <w:tcW w:w="3066" w:type="dxa"/>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color w:val="000000"/>
                <w:sz w:val="20"/>
                <w:vertAlign w:val="superscript"/>
                <w:lang w:eastAsia="en-AU"/>
              </w:rPr>
            </w:pPr>
            <w:r w:rsidRPr="001E7FA9">
              <w:rPr>
                <w:rFonts w:ascii="Calibri" w:eastAsiaTheme="minorEastAsia" w:hAnsi="Calibri" w:cs="Calibri"/>
                <w:color w:val="000000"/>
                <w:sz w:val="20"/>
                <w:lang w:eastAsia="en-AU"/>
              </w:rPr>
              <w:t>Plus: Other movements in non</w:t>
            </w:r>
            <w:r>
              <w:rPr>
                <w:rFonts w:ascii="Calibri" w:eastAsiaTheme="minorEastAsia" w:hAnsi="Calibri" w:cs="Calibri"/>
                <w:color w:val="000000"/>
                <w:sz w:val="20"/>
                <w:lang w:eastAsia="en-AU"/>
              </w:rPr>
              <w:noBreakHyphen/>
            </w:r>
            <w:r w:rsidRPr="001E7FA9">
              <w:rPr>
                <w:rFonts w:ascii="Calibri" w:eastAsiaTheme="minorEastAsia" w:hAnsi="Calibri" w:cs="Calibri"/>
                <w:color w:val="000000"/>
                <w:sz w:val="20"/>
                <w:lang w:eastAsia="en-AU"/>
              </w:rPr>
              <w:t>financial assets</w:t>
            </w:r>
            <w:r w:rsidRPr="001E7FA9">
              <w:rPr>
                <w:rFonts w:ascii="Calibri" w:eastAsiaTheme="minorEastAsia" w:hAnsi="Calibri" w:cs="Calibri"/>
                <w:color w:val="000000"/>
                <w:sz w:val="20"/>
                <w:vertAlign w:val="superscript"/>
                <w:lang w:eastAsia="en-AU"/>
              </w:rPr>
              <w:t xml:space="preserve"> (b)(c)</w:t>
            </w:r>
          </w:p>
        </w:tc>
        <w:tc>
          <w:tcPr>
            <w:tcW w:w="845" w:type="dxa"/>
            <w:gridSpan w:val="2"/>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1 157.9</w:t>
            </w:r>
          </w:p>
        </w:tc>
        <w:tc>
          <w:tcPr>
            <w:tcW w:w="964" w:type="dxa"/>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1 195.3</w:t>
            </w:r>
          </w:p>
        </w:tc>
        <w:tc>
          <w:tcPr>
            <w:tcW w:w="964" w:type="dxa"/>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570.2</w:t>
            </w:r>
          </w:p>
        </w:tc>
        <w:tc>
          <w:tcPr>
            <w:tcW w:w="964" w:type="dxa"/>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771.1</w:t>
            </w:r>
          </w:p>
        </w:tc>
        <w:tc>
          <w:tcPr>
            <w:tcW w:w="964" w:type="dxa"/>
            <w:tcBorders>
              <w:top w:val="nil"/>
              <w:left w:val="nil"/>
              <w:bottom w:val="single" w:sz="6" w:space="0" w:color="000000"/>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122.9</w:t>
            </w:r>
          </w:p>
        </w:tc>
      </w:tr>
      <w:tr w:rsidR="00965D85" w:rsidRPr="001E7FA9" w:rsidTr="008B46DF">
        <w:tc>
          <w:tcPr>
            <w:tcW w:w="3066" w:type="dxa"/>
            <w:tcBorders>
              <w:top w:val="single" w:sz="6" w:space="0" w:color="000000"/>
              <w:left w:val="nil"/>
              <w:bottom w:val="single" w:sz="12" w:space="0" w:color="auto"/>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b/>
                <w:bCs/>
                <w:color w:val="000000"/>
                <w:sz w:val="20"/>
                <w:vertAlign w:val="superscript"/>
                <w:lang w:eastAsia="en-AU"/>
              </w:rPr>
            </w:pPr>
            <w:r w:rsidRPr="001E7FA9">
              <w:rPr>
                <w:rFonts w:ascii="Calibri" w:eastAsiaTheme="minorEastAsia" w:hAnsi="Calibri" w:cs="Calibri"/>
                <w:b/>
                <w:bCs/>
                <w:color w:val="000000"/>
                <w:sz w:val="20"/>
                <w:lang w:eastAsia="en-AU"/>
              </w:rPr>
              <w:t>Total net acquisition of non</w:t>
            </w:r>
            <w:r>
              <w:rPr>
                <w:rFonts w:ascii="Calibri" w:eastAsiaTheme="minorEastAsia" w:hAnsi="Calibri" w:cs="Calibri"/>
                <w:b/>
                <w:bCs/>
                <w:color w:val="000000"/>
                <w:sz w:val="20"/>
                <w:lang w:eastAsia="en-AU"/>
              </w:rPr>
              <w:noBreakHyphen/>
            </w:r>
            <w:r w:rsidRPr="001E7FA9">
              <w:rPr>
                <w:rFonts w:ascii="Calibri" w:eastAsiaTheme="minorEastAsia" w:hAnsi="Calibri" w:cs="Calibri"/>
                <w:b/>
                <w:bCs/>
                <w:color w:val="000000"/>
                <w:sz w:val="20"/>
                <w:lang w:eastAsia="en-AU"/>
              </w:rPr>
              <w:t>financial assets</w:t>
            </w:r>
            <w:r w:rsidRPr="001E7FA9">
              <w:rPr>
                <w:rFonts w:ascii="Calibri" w:eastAsiaTheme="minorEastAsia" w:hAnsi="Calibri" w:cs="Calibri"/>
                <w:b/>
                <w:bCs/>
                <w:color w:val="000000"/>
                <w:sz w:val="20"/>
                <w:vertAlign w:val="superscript"/>
                <w:lang w:eastAsia="en-AU"/>
              </w:rPr>
              <w:t xml:space="preserve"> (b)</w:t>
            </w:r>
          </w:p>
        </w:tc>
        <w:tc>
          <w:tcPr>
            <w:tcW w:w="845" w:type="dxa"/>
            <w:gridSpan w:val="2"/>
            <w:tcBorders>
              <w:top w:val="single" w:sz="6" w:space="0" w:color="000000"/>
              <w:left w:val="nil"/>
              <w:bottom w:val="single" w:sz="12" w:space="0" w:color="auto"/>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20"/>
                <w:lang w:eastAsia="en-AU"/>
              </w:rPr>
              <w:t>(4 061.8)</w:t>
            </w:r>
          </w:p>
        </w:tc>
        <w:tc>
          <w:tcPr>
            <w:tcW w:w="964" w:type="dxa"/>
            <w:tcBorders>
              <w:top w:val="single" w:sz="6" w:space="0" w:color="000000"/>
              <w:left w:val="nil"/>
              <w:bottom w:val="single" w:sz="12" w:space="0" w:color="auto"/>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20"/>
                <w:lang w:eastAsia="en-AU"/>
              </w:rPr>
              <w:t>(4 308.0)</w:t>
            </w:r>
          </w:p>
        </w:tc>
        <w:tc>
          <w:tcPr>
            <w:tcW w:w="964" w:type="dxa"/>
            <w:tcBorders>
              <w:top w:val="single" w:sz="6" w:space="0" w:color="000000"/>
              <w:left w:val="nil"/>
              <w:bottom w:val="single" w:sz="12" w:space="0" w:color="auto"/>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1E7FA9">
              <w:rPr>
                <w:rFonts w:ascii="Calibri" w:eastAsiaTheme="minorEastAsia" w:hAnsi="Calibri" w:cs="Calibri"/>
                <w:b/>
                <w:bCs/>
                <w:color w:val="000000"/>
                <w:sz w:val="20"/>
                <w:lang w:eastAsia="en-AU"/>
              </w:rPr>
              <w:t>3 248.9</w:t>
            </w:r>
          </w:p>
        </w:tc>
        <w:tc>
          <w:tcPr>
            <w:tcW w:w="964" w:type="dxa"/>
            <w:tcBorders>
              <w:top w:val="single" w:sz="6" w:space="0" w:color="000000"/>
              <w:left w:val="nil"/>
              <w:bottom w:val="single" w:sz="12" w:space="0" w:color="auto"/>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1E7FA9">
              <w:rPr>
                <w:rFonts w:ascii="Calibri" w:eastAsiaTheme="minorEastAsia" w:hAnsi="Calibri" w:cs="Calibri"/>
                <w:b/>
                <w:bCs/>
                <w:color w:val="000000"/>
                <w:sz w:val="20"/>
                <w:lang w:eastAsia="en-AU"/>
              </w:rPr>
              <w:t>2 808.9</w:t>
            </w:r>
          </w:p>
        </w:tc>
        <w:tc>
          <w:tcPr>
            <w:tcW w:w="964" w:type="dxa"/>
            <w:tcBorders>
              <w:top w:val="single" w:sz="6" w:space="0" w:color="000000"/>
              <w:left w:val="nil"/>
              <w:bottom w:val="single" w:sz="12" w:space="0" w:color="auto"/>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1E7FA9">
              <w:rPr>
                <w:rFonts w:ascii="Calibri" w:eastAsiaTheme="minorEastAsia" w:hAnsi="Calibri" w:cs="Calibri"/>
                <w:b/>
                <w:bCs/>
                <w:color w:val="000000"/>
                <w:sz w:val="20"/>
                <w:lang w:eastAsia="en-AU"/>
              </w:rPr>
              <w:t>1 720.6</w:t>
            </w:r>
          </w:p>
        </w:tc>
      </w:tr>
      <w:tr w:rsidR="00965D85" w:rsidRPr="001E7FA9" w:rsidTr="008B46DF">
        <w:tc>
          <w:tcPr>
            <w:tcW w:w="7767" w:type="dxa"/>
            <w:gridSpan w:val="7"/>
            <w:tcBorders>
              <w:top w:val="single" w:sz="12" w:space="0" w:color="auto"/>
              <w:left w:val="nil"/>
              <w:bottom w:val="nil"/>
              <w:right w:val="nil"/>
            </w:tcBorders>
            <w:shd w:val="clear" w:color="auto" w:fill="auto"/>
          </w:tcPr>
          <w:p w:rsidR="00965D85" w:rsidRPr="001E7FA9" w:rsidRDefault="00965D85" w:rsidP="008B46DF">
            <w:pPr>
              <w:pStyle w:val="Source"/>
              <w:rPr>
                <w:rFonts w:eastAsiaTheme="minorEastAsia"/>
                <w:lang w:eastAsia="en-AU"/>
              </w:rPr>
            </w:pPr>
            <w:r w:rsidRPr="001E7FA9">
              <w:rPr>
                <w:rFonts w:eastAsiaTheme="minorEastAsia"/>
                <w:lang w:eastAsia="en-AU"/>
              </w:rPr>
              <w:t>Source: Department of Treasury and Finance</w:t>
            </w:r>
          </w:p>
        </w:tc>
      </w:tr>
    </w:tbl>
    <w:p w:rsidR="00965D85" w:rsidRPr="0027082E" w:rsidRDefault="00965D85" w:rsidP="008B46DF">
      <w:pPr>
        <w:pStyle w:val="Notes"/>
        <w:rPr>
          <w:lang w:eastAsia="en-AU"/>
        </w:rPr>
      </w:pPr>
      <w:r w:rsidRPr="0027082E">
        <w:rPr>
          <w:lang w:eastAsia="en-AU"/>
        </w:rPr>
        <w:t>Notes:</w:t>
      </w:r>
    </w:p>
    <w:p w:rsidR="00965D85" w:rsidRDefault="00965D85" w:rsidP="008B46DF">
      <w:pPr>
        <w:pStyle w:val="Notes"/>
        <w:rPr>
          <w:lang w:eastAsia="en-AU"/>
        </w:rPr>
      </w:pPr>
      <w:r w:rsidRPr="0027082E">
        <w:rPr>
          <w:lang w:eastAsia="en-AU"/>
        </w:rPr>
        <w:t>(a)</w:t>
      </w:r>
      <w:r w:rsidRPr="0027082E">
        <w:rPr>
          <w:lang w:eastAsia="en-AU"/>
        </w:rPr>
        <w:tab/>
        <w:t>Certain line items have been aggregated in the table above due to commercial sensitivities of balances.</w:t>
      </w:r>
    </w:p>
    <w:p w:rsidR="00965D85" w:rsidRPr="000E2577" w:rsidRDefault="00965D85" w:rsidP="008B46DF">
      <w:pPr>
        <w:pStyle w:val="Notes"/>
      </w:pPr>
      <w:r w:rsidRPr="000E2577">
        <w:t>(b)</w:t>
      </w:r>
      <w:r w:rsidRPr="000E2577">
        <w:tab/>
      </w:r>
      <w:r w:rsidRPr="004D3C1E">
        <w:rPr>
          <w:i w:val="0"/>
        </w:rPr>
        <w:t>2015</w:t>
      </w:r>
      <w:r>
        <w:rPr>
          <w:i w:val="0"/>
        </w:rPr>
        <w:noBreakHyphen/>
      </w:r>
      <w:r w:rsidRPr="004D3C1E">
        <w:rPr>
          <w:i w:val="0"/>
        </w:rPr>
        <w:t>16 Budget</w:t>
      </w:r>
      <w:r w:rsidRPr="000E2577">
        <w:t xml:space="preserve"> figures have been restated to reflect more current information.</w:t>
      </w:r>
    </w:p>
    <w:p w:rsidR="00965D85" w:rsidRPr="00144F12" w:rsidRDefault="00965D85" w:rsidP="008B46DF">
      <w:pPr>
        <w:pStyle w:val="Notes"/>
        <w:rPr>
          <w:lang w:eastAsia="en-AU"/>
        </w:rPr>
      </w:pPr>
      <w:r>
        <w:rPr>
          <w:lang w:eastAsia="en-AU"/>
        </w:rPr>
        <w:t>(c</w:t>
      </w:r>
      <w:r w:rsidRPr="0027082E">
        <w:rPr>
          <w:lang w:eastAsia="en-AU"/>
        </w:rPr>
        <w:t>)</w:t>
      </w:r>
      <w:r w:rsidRPr="0027082E">
        <w:rPr>
          <w:lang w:eastAsia="en-AU"/>
        </w:rPr>
        <w:tab/>
      </w:r>
      <w:r>
        <w:rPr>
          <w:lang w:eastAsia="en-AU"/>
        </w:rPr>
        <w:t>The other movements in non</w:t>
      </w:r>
      <w:r>
        <w:rPr>
          <w:lang w:eastAsia="en-AU"/>
        </w:rPr>
        <w:noBreakHyphen/>
        <w:t>financial assets in 2015</w:t>
      </w:r>
      <w:r>
        <w:rPr>
          <w:lang w:eastAsia="en-AU"/>
        </w:rPr>
        <w:noBreakHyphen/>
        <w:t xml:space="preserve">16 predominantly </w:t>
      </w:r>
      <w:r w:rsidRPr="00144F12">
        <w:rPr>
          <w:lang w:eastAsia="en-AU"/>
        </w:rPr>
        <w:t xml:space="preserve">relates to the </w:t>
      </w:r>
      <w:r>
        <w:rPr>
          <w:lang w:eastAsia="en-AU"/>
        </w:rPr>
        <w:t xml:space="preserve">recognition of finance lease arrangements for the </w:t>
      </w:r>
      <w:r w:rsidRPr="00144F12">
        <w:rPr>
          <w:lang w:eastAsia="en-AU"/>
        </w:rPr>
        <w:t xml:space="preserve">Victorian Comprehensive Cancer Centre and metropolitan </w:t>
      </w:r>
      <w:r>
        <w:rPr>
          <w:lang w:eastAsia="en-AU"/>
        </w:rPr>
        <w:t xml:space="preserve">Melbourne </w:t>
      </w:r>
      <w:r w:rsidRPr="00144F12">
        <w:rPr>
          <w:lang w:eastAsia="en-AU"/>
        </w:rPr>
        <w:t>bus</w:t>
      </w:r>
      <w:r>
        <w:rPr>
          <w:lang w:eastAsia="en-AU"/>
        </w:rPr>
        <w:t xml:space="preserve"> contracts</w:t>
      </w:r>
      <w:r w:rsidRPr="00144F12">
        <w:rPr>
          <w:lang w:eastAsia="en-AU"/>
        </w:rPr>
        <w:t xml:space="preserve">. </w:t>
      </w:r>
      <w:r w:rsidRPr="00144F12">
        <w:t>The 2016</w:t>
      </w:r>
      <w:r>
        <w:noBreakHyphen/>
      </w:r>
      <w:r w:rsidRPr="00144F12">
        <w:t xml:space="preserve">17 estimate </w:t>
      </w:r>
      <w:r>
        <w:t xml:space="preserve">predominantly relates to the </w:t>
      </w:r>
      <w:r w:rsidRPr="00144F12">
        <w:t xml:space="preserve">new Bendigo Hospital project (stage 1), the New Schools PPP project </w:t>
      </w:r>
      <w:r>
        <w:br/>
      </w:r>
      <w:r w:rsidRPr="00144F12">
        <w:t>(tranche 1) and the metropolitan</w:t>
      </w:r>
      <w:r>
        <w:t xml:space="preserve"> Melbourne</w:t>
      </w:r>
      <w:r w:rsidRPr="00144F12">
        <w:t xml:space="preserve"> bus </w:t>
      </w:r>
      <w:r>
        <w:t>contracts. The 2017</w:t>
      </w:r>
      <w:r>
        <w:noBreakHyphen/>
        <w:t xml:space="preserve">18 estimate predominantly </w:t>
      </w:r>
      <w:r w:rsidRPr="00144F12">
        <w:t>relates to the Ravenhall Priso</w:t>
      </w:r>
      <w:r>
        <w:t xml:space="preserve">n project, the </w:t>
      </w:r>
      <w:r w:rsidRPr="00144F12">
        <w:t xml:space="preserve">new Bendigo Hospital project (stage 2) and the New Schools PPP project </w:t>
      </w:r>
      <w:r>
        <w:br/>
      </w:r>
      <w:r w:rsidRPr="00144F12">
        <w:t>(tranche 2)</w:t>
      </w:r>
      <w:r>
        <w:t>. The 2018</w:t>
      </w:r>
      <w:r>
        <w:noBreakHyphen/>
        <w:t>19 estimate predominantly relates to developer contributions to metropolitan water corporations.</w:t>
      </w:r>
    </w:p>
    <w:p w:rsidR="00965D85" w:rsidRDefault="00965D85" w:rsidP="008B46DF">
      <w:pPr>
        <w:rPr>
          <w:rFonts w:ascii="Tms Rmn" w:hAnsi="Tms Rmn" w:cs="Tms Rmn"/>
          <w:color w:val="000000"/>
          <w:sz w:val="18"/>
          <w:szCs w:val="18"/>
          <w:lang w:eastAsia="en-AU"/>
        </w:rPr>
      </w:pPr>
    </w:p>
    <w:p w:rsidR="00965D85" w:rsidRPr="001F325D" w:rsidRDefault="00965D85" w:rsidP="001F325D"/>
    <w:p w:rsidR="00965D85" w:rsidRDefault="00965D85">
      <w:pPr>
        <w:spacing w:after="0"/>
        <w:rPr>
          <w:rFonts w:ascii="Calibri" w:hAnsi="Calibri"/>
          <w:b/>
          <w:caps/>
          <w:sz w:val="26"/>
          <w:szCs w:val="22"/>
        </w:rPr>
      </w:pPr>
      <w:bookmarkStart w:id="77" w:name="_Toc400040244"/>
      <w:r>
        <w:br w:type="page"/>
      </w:r>
    </w:p>
    <w:p w:rsidR="00965D85" w:rsidRPr="00D57192" w:rsidRDefault="00965D85" w:rsidP="008B46DF">
      <w:pPr>
        <w:pStyle w:val="Heading1"/>
      </w:pPr>
      <w:bookmarkStart w:id="78" w:name="_Toc436147543"/>
      <w:r w:rsidRPr="00D57192">
        <w:lastRenderedPageBreak/>
        <w:t>Victoria</w:t>
      </w:r>
      <w:r>
        <w:t>’</w:t>
      </w:r>
      <w:r w:rsidRPr="00D57192">
        <w:t>s Loan Council Allocation</w:t>
      </w:r>
      <w:bookmarkEnd w:id="77"/>
      <w:bookmarkEnd w:id="78"/>
    </w:p>
    <w:p w:rsidR="00965D85" w:rsidRPr="00D57192" w:rsidRDefault="00965D85" w:rsidP="008B46DF">
      <w:r w:rsidRPr="00D57192">
        <w:t>Under the Uniform Presentation Framework (UPF), Victoria is required to publish the Loan Council Allocation (LCA) estimates. The LCA is a measure of each government</w:t>
      </w:r>
      <w:r>
        <w:t>’</w:t>
      </w:r>
      <w:r w:rsidRPr="00D57192">
        <w:t xml:space="preserve">s net call on financial markets in a given financial year to meet its budget obligations. The method of public release is the responsibility of each jurisdiction. Victoria discloses its LCA information through the Financial Report for the State </w:t>
      </w:r>
      <w:r>
        <w:t>of Victoria, Budget Paper No. </w:t>
      </w:r>
      <w:r w:rsidRPr="00D57192">
        <w:t xml:space="preserve">5 </w:t>
      </w:r>
      <w:r w:rsidRPr="00D57192">
        <w:rPr>
          <w:i/>
        </w:rPr>
        <w:t>Statement of Finances</w:t>
      </w:r>
      <w:r w:rsidRPr="00D57192">
        <w:t xml:space="preserve"> and Budget Update.</w:t>
      </w:r>
    </w:p>
    <w:p w:rsidR="00965D85" w:rsidRDefault="00965D85" w:rsidP="008B46DF">
      <w:r w:rsidRPr="00D57192">
        <w:t>Table 5.25 compares the Victorian 2015</w:t>
      </w:r>
      <w:r>
        <w:noBreakHyphen/>
      </w:r>
      <w:r w:rsidRPr="00D57192">
        <w:t>16 LCA nomination approved by the Loan Council in April 2015, with the revised LCA based upon 2015</w:t>
      </w:r>
      <w:r>
        <w:noBreakHyphen/>
      </w:r>
      <w:r w:rsidRPr="00D57192">
        <w:t>16 Budget Update estimates.</w:t>
      </w:r>
    </w:p>
    <w:p w:rsidR="00965D85" w:rsidRPr="001E7FA9" w:rsidRDefault="00965D85" w:rsidP="008B46DF">
      <w:pPr>
        <w:pStyle w:val="Tableheading"/>
        <w:rPr>
          <w:rFonts w:ascii="Times New Roman" w:hAnsi="Times New Roman"/>
          <w:b w:val="0"/>
          <w:sz w:val="20"/>
          <w:lang w:eastAsia="en-AU"/>
        </w:rPr>
      </w:pPr>
      <w:r w:rsidRPr="00B50F84">
        <w:t xml:space="preserve">Table 5.25: </w:t>
      </w:r>
      <w:r>
        <w:tab/>
      </w:r>
      <w:r w:rsidRPr="00B50F84">
        <w:t>Loan Council Allocation</w:t>
      </w:r>
    </w:p>
    <w:tbl>
      <w:tblPr>
        <w:tblW w:w="7767" w:type="dxa"/>
        <w:tblInd w:w="28" w:type="dxa"/>
        <w:tblLayout w:type="fixed"/>
        <w:tblCellMar>
          <w:left w:w="28" w:type="dxa"/>
          <w:right w:w="28" w:type="dxa"/>
        </w:tblCellMar>
        <w:tblLook w:val="0000" w:firstRow="0" w:lastRow="0" w:firstColumn="0" w:lastColumn="0" w:noHBand="0" w:noVBand="0"/>
      </w:tblPr>
      <w:tblGrid>
        <w:gridCol w:w="5711"/>
        <w:gridCol w:w="1092"/>
        <w:gridCol w:w="964"/>
      </w:tblGrid>
      <w:tr w:rsidR="00965D85" w:rsidRPr="001E7FA9" w:rsidTr="008B46DF">
        <w:trPr>
          <w:tblHeader/>
        </w:trPr>
        <w:tc>
          <w:tcPr>
            <w:tcW w:w="7767" w:type="dxa"/>
            <w:gridSpan w:val="3"/>
            <w:tcBorders>
              <w:top w:val="nil"/>
              <w:left w:val="nil"/>
              <w:bottom w:val="nil"/>
              <w:right w:val="nil"/>
            </w:tcBorders>
          </w:tcPr>
          <w:p w:rsidR="00965D85" w:rsidRPr="001E7FA9" w:rsidRDefault="00965D85" w:rsidP="008B46DF">
            <w:pPr>
              <w:pStyle w:val="million"/>
              <w:rPr>
                <w:rFonts w:eastAsiaTheme="minorEastAsia" w:cs="Calibri"/>
                <w:iCs/>
                <w:color w:val="000000"/>
                <w:sz w:val="20"/>
                <w:lang w:eastAsia="en-AU"/>
              </w:rPr>
            </w:pPr>
            <w:r w:rsidRPr="001E7FA9">
              <w:rPr>
                <w:rFonts w:eastAsiaTheme="minorEastAsia"/>
                <w:lang w:eastAsia="en-AU"/>
              </w:rPr>
              <w:t>($ million)</w:t>
            </w:r>
          </w:p>
        </w:tc>
      </w:tr>
      <w:tr w:rsidR="00965D85" w:rsidRPr="001E7FA9" w:rsidTr="008B46DF">
        <w:trPr>
          <w:trHeight w:val="503"/>
          <w:tblHeader/>
        </w:trPr>
        <w:tc>
          <w:tcPr>
            <w:tcW w:w="5711" w:type="dxa"/>
            <w:tcBorders>
              <w:top w:val="single" w:sz="6" w:space="0" w:color="auto"/>
              <w:left w:val="nil"/>
              <w:right w:val="nil"/>
            </w:tcBorders>
            <w:shd w:val="solid" w:color="000000" w:fill="auto"/>
          </w:tcPr>
          <w:p w:rsidR="00965D85" w:rsidRPr="001E7FA9" w:rsidRDefault="00965D85" w:rsidP="008B46DF">
            <w:pPr>
              <w:autoSpaceDE w:val="0"/>
              <w:autoSpaceDN w:val="0"/>
              <w:adjustRightInd w:val="0"/>
              <w:spacing w:after="0"/>
              <w:rPr>
                <w:rFonts w:ascii="Calibri" w:eastAsiaTheme="minorEastAsia" w:hAnsi="Calibri" w:cs="Calibri"/>
                <w:color w:val="FFFFFF"/>
                <w:sz w:val="20"/>
                <w:lang w:eastAsia="en-AU"/>
              </w:rPr>
            </w:pPr>
            <w:r w:rsidRPr="001E7FA9">
              <w:rPr>
                <w:rFonts w:ascii="Calibri" w:eastAsiaTheme="minorEastAsia" w:hAnsi="Calibri" w:cs="Calibri"/>
                <w:color w:val="FFFFFF"/>
                <w:sz w:val="20"/>
                <w:lang w:eastAsia="en-AU"/>
              </w:rPr>
              <w:t xml:space="preserve"> </w:t>
            </w:r>
          </w:p>
          <w:p w:rsidR="00965D85" w:rsidRPr="001E7FA9" w:rsidRDefault="00965D85" w:rsidP="008B46DF">
            <w:pPr>
              <w:autoSpaceDE w:val="0"/>
              <w:autoSpaceDN w:val="0"/>
              <w:adjustRightInd w:val="0"/>
              <w:spacing w:after="0"/>
              <w:rPr>
                <w:rFonts w:ascii="Calibri" w:eastAsiaTheme="minorEastAsia" w:hAnsi="Calibri" w:cs="Calibri"/>
                <w:color w:val="FFFFFF"/>
                <w:sz w:val="20"/>
                <w:lang w:eastAsia="en-AU"/>
              </w:rPr>
            </w:pPr>
            <w:r w:rsidRPr="001E7FA9">
              <w:rPr>
                <w:rFonts w:ascii="Calibri" w:eastAsiaTheme="minorEastAsia" w:hAnsi="Calibri" w:cs="Calibri"/>
                <w:color w:val="FFFFFF"/>
                <w:sz w:val="20"/>
                <w:lang w:eastAsia="en-AU"/>
              </w:rPr>
              <w:t xml:space="preserve"> </w:t>
            </w:r>
          </w:p>
        </w:tc>
        <w:tc>
          <w:tcPr>
            <w:tcW w:w="1092" w:type="dxa"/>
            <w:tcBorders>
              <w:top w:val="single" w:sz="6" w:space="0" w:color="auto"/>
              <w:left w:val="nil"/>
              <w:right w:val="nil"/>
            </w:tcBorders>
            <w:shd w:val="solid" w:color="000000" w:fill="auto"/>
          </w:tcPr>
          <w:p w:rsidR="00965D85" w:rsidRPr="001E7FA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1E7FA9">
              <w:rPr>
                <w:rFonts w:ascii="Calibri" w:eastAsiaTheme="minorEastAsia" w:hAnsi="Calibri" w:cs="Calibri"/>
                <w:i/>
                <w:iCs/>
                <w:color w:val="FFFFFF"/>
                <w:sz w:val="20"/>
                <w:lang w:eastAsia="en-AU"/>
              </w:rPr>
              <w:t>2015</w:t>
            </w:r>
            <w:r>
              <w:rPr>
                <w:rFonts w:ascii="Calibri" w:eastAsiaTheme="minorEastAsia" w:hAnsi="Calibri" w:cs="Calibri"/>
                <w:i/>
                <w:iCs/>
                <w:color w:val="FFFFFF"/>
                <w:sz w:val="20"/>
                <w:lang w:eastAsia="en-AU"/>
              </w:rPr>
              <w:noBreakHyphen/>
            </w:r>
            <w:r w:rsidRPr="001E7FA9">
              <w:rPr>
                <w:rFonts w:ascii="Calibri" w:eastAsiaTheme="minorEastAsia" w:hAnsi="Calibri" w:cs="Calibri"/>
                <w:i/>
                <w:iCs/>
                <w:color w:val="FFFFFF"/>
                <w:sz w:val="20"/>
                <w:lang w:eastAsia="en-AU"/>
              </w:rPr>
              <w:t>16</w:t>
            </w:r>
          </w:p>
          <w:p w:rsidR="00965D85" w:rsidRPr="001E7FA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1E7FA9">
              <w:rPr>
                <w:rFonts w:ascii="Calibri" w:eastAsiaTheme="minorEastAsia" w:hAnsi="Calibri" w:cs="Calibri"/>
                <w:i/>
                <w:iCs/>
                <w:color w:val="FFFFFF"/>
                <w:sz w:val="20"/>
                <w:lang w:eastAsia="en-AU"/>
              </w:rPr>
              <w:t>nomination</w:t>
            </w:r>
          </w:p>
        </w:tc>
        <w:tc>
          <w:tcPr>
            <w:tcW w:w="964" w:type="dxa"/>
            <w:tcBorders>
              <w:top w:val="single" w:sz="6" w:space="0" w:color="auto"/>
              <w:left w:val="nil"/>
              <w:right w:val="nil"/>
            </w:tcBorders>
            <w:shd w:val="solid" w:color="000000" w:fill="auto"/>
          </w:tcPr>
          <w:p w:rsidR="00965D85" w:rsidRPr="001E7FA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1E7FA9">
              <w:rPr>
                <w:rFonts w:ascii="Calibri" w:eastAsiaTheme="minorEastAsia" w:hAnsi="Calibri" w:cs="Calibri"/>
                <w:i/>
                <w:iCs/>
                <w:color w:val="FFFFFF"/>
                <w:sz w:val="20"/>
                <w:lang w:eastAsia="en-AU"/>
              </w:rPr>
              <w:t>2015</w:t>
            </w:r>
            <w:r>
              <w:rPr>
                <w:rFonts w:ascii="Calibri" w:eastAsiaTheme="minorEastAsia" w:hAnsi="Calibri" w:cs="Calibri"/>
                <w:i/>
                <w:iCs/>
                <w:color w:val="FFFFFF"/>
                <w:sz w:val="20"/>
                <w:lang w:eastAsia="en-AU"/>
              </w:rPr>
              <w:noBreakHyphen/>
            </w:r>
            <w:r w:rsidRPr="001E7FA9">
              <w:rPr>
                <w:rFonts w:ascii="Calibri" w:eastAsiaTheme="minorEastAsia" w:hAnsi="Calibri" w:cs="Calibri"/>
                <w:i/>
                <w:iCs/>
                <w:color w:val="FFFFFF"/>
                <w:sz w:val="20"/>
                <w:lang w:eastAsia="en-AU"/>
              </w:rPr>
              <w:t>16</w:t>
            </w:r>
          </w:p>
          <w:p w:rsidR="00965D85" w:rsidRPr="001E7FA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1E7FA9">
              <w:rPr>
                <w:rFonts w:ascii="Calibri" w:eastAsiaTheme="minorEastAsia" w:hAnsi="Calibri" w:cs="Calibri"/>
                <w:i/>
                <w:iCs/>
                <w:color w:val="FFFFFF"/>
                <w:sz w:val="20"/>
                <w:lang w:eastAsia="en-AU"/>
              </w:rPr>
              <w:t>revised</w:t>
            </w:r>
          </w:p>
        </w:tc>
      </w:tr>
      <w:tr w:rsidR="00965D85" w:rsidRPr="001E7FA9" w:rsidTr="008B46DF">
        <w:tc>
          <w:tcPr>
            <w:tcW w:w="5711" w:type="dxa"/>
            <w:tcBorders>
              <w:top w:val="single" w:sz="6" w:space="0" w:color="auto"/>
              <w:left w:val="nil"/>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General government cash deficit(+) or surplus (</w:t>
            </w:r>
            <w:r>
              <w:rPr>
                <w:rFonts w:ascii="Calibri" w:eastAsiaTheme="minorEastAsia" w:hAnsi="Calibri" w:cs="Calibri"/>
                <w:color w:val="000000"/>
                <w:sz w:val="20"/>
                <w:lang w:eastAsia="en-AU"/>
              </w:rPr>
              <w:noBreakHyphen/>
            </w:r>
            <w:r w:rsidRPr="001E7FA9">
              <w:rPr>
                <w:rFonts w:ascii="Calibri" w:eastAsiaTheme="minorEastAsia" w:hAnsi="Calibri" w:cs="Calibri"/>
                <w:color w:val="000000"/>
                <w:sz w:val="20"/>
                <w:lang w:eastAsia="en-AU"/>
              </w:rPr>
              <w:t>)</w:t>
            </w:r>
          </w:p>
        </w:tc>
        <w:tc>
          <w:tcPr>
            <w:tcW w:w="1092" w:type="dxa"/>
            <w:tcBorders>
              <w:top w:val="single" w:sz="6" w:space="0" w:color="auto"/>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333300"/>
                <w:sz w:val="20"/>
                <w:lang w:eastAsia="en-AU"/>
              </w:rPr>
            </w:pPr>
            <w:r>
              <w:rPr>
                <w:rFonts w:ascii="Calibri" w:eastAsiaTheme="minorEastAsia" w:hAnsi="Calibri" w:cs="Calibri"/>
                <w:color w:val="000000"/>
                <w:sz w:val="20"/>
                <w:lang w:eastAsia="en-AU"/>
              </w:rPr>
              <w:t>(226.8)</w:t>
            </w:r>
          </w:p>
        </w:tc>
        <w:tc>
          <w:tcPr>
            <w:tcW w:w="964" w:type="dxa"/>
            <w:tcBorders>
              <w:top w:val="single" w:sz="6" w:space="0" w:color="auto"/>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333300"/>
                <w:sz w:val="20"/>
                <w:lang w:eastAsia="en-AU"/>
              </w:rPr>
            </w:pPr>
            <w:r>
              <w:rPr>
                <w:rFonts w:ascii="Calibri" w:eastAsiaTheme="minorEastAsia" w:hAnsi="Calibri" w:cs="Calibri"/>
                <w:color w:val="000000"/>
                <w:sz w:val="20"/>
                <w:lang w:eastAsia="en-AU"/>
              </w:rPr>
              <w:t>(18.2)</w:t>
            </w:r>
          </w:p>
        </w:tc>
      </w:tr>
      <w:tr w:rsidR="00965D85" w:rsidRPr="001E7FA9" w:rsidTr="008B46DF">
        <w:tc>
          <w:tcPr>
            <w:tcW w:w="5711" w:type="dxa"/>
            <w:tcBorders>
              <w:top w:val="nil"/>
              <w:left w:val="nil"/>
              <w:bottom w:val="single" w:sz="6" w:space="0" w:color="auto"/>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Public non</w:t>
            </w:r>
            <w:r>
              <w:rPr>
                <w:rFonts w:ascii="Calibri" w:eastAsiaTheme="minorEastAsia" w:hAnsi="Calibri" w:cs="Calibri"/>
                <w:color w:val="000000"/>
                <w:sz w:val="20"/>
                <w:lang w:eastAsia="en-AU"/>
              </w:rPr>
              <w:noBreakHyphen/>
            </w:r>
            <w:r w:rsidRPr="001E7FA9">
              <w:rPr>
                <w:rFonts w:ascii="Calibri" w:eastAsiaTheme="minorEastAsia" w:hAnsi="Calibri" w:cs="Calibri"/>
                <w:color w:val="000000"/>
                <w:sz w:val="20"/>
                <w:lang w:eastAsia="en-AU"/>
              </w:rPr>
              <w:t>financial corporations sector cash deficit(+) or surplus (</w:t>
            </w:r>
            <w:r>
              <w:rPr>
                <w:rFonts w:ascii="Calibri" w:eastAsiaTheme="minorEastAsia" w:hAnsi="Calibri" w:cs="Calibri"/>
                <w:color w:val="000000"/>
                <w:sz w:val="20"/>
                <w:lang w:eastAsia="en-AU"/>
              </w:rPr>
              <w:noBreakHyphen/>
            </w:r>
            <w:r w:rsidRPr="001E7FA9">
              <w:rPr>
                <w:rFonts w:ascii="Calibri" w:eastAsiaTheme="minorEastAsia" w:hAnsi="Calibri" w:cs="Calibri"/>
                <w:color w:val="000000"/>
                <w:sz w:val="20"/>
                <w:lang w:eastAsia="en-AU"/>
              </w:rPr>
              <w:t>)</w:t>
            </w:r>
          </w:p>
        </w:tc>
        <w:tc>
          <w:tcPr>
            <w:tcW w:w="1092" w:type="dxa"/>
            <w:tcBorders>
              <w:top w:val="nil"/>
              <w:left w:val="nil"/>
              <w:bottom w:val="single" w:sz="6" w:space="0" w:color="auto"/>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(5 107.6)</w:t>
            </w:r>
          </w:p>
        </w:tc>
        <w:tc>
          <w:tcPr>
            <w:tcW w:w="964" w:type="dxa"/>
            <w:tcBorders>
              <w:top w:val="nil"/>
              <w:left w:val="nil"/>
              <w:bottom w:val="single" w:sz="6" w:space="0" w:color="auto"/>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333300"/>
                <w:sz w:val="20"/>
                <w:lang w:eastAsia="en-AU"/>
              </w:rPr>
            </w:pPr>
            <w:r w:rsidRPr="001E7FA9">
              <w:rPr>
                <w:rFonts w:ascii="Calibri" w:eastAsiaTheme="minorEastAsia" w:hAnsi="Calibri" w:cs="Calibri"/>
                <w:color w:val="000000"/>
                <w:sz w:val="20"/>
                <w:lang w:eastAsia="en-AU"/>
              </w:rPr>
              <w:t xml:space="preserve">(5 </w:t>
            </w:r>
            <w:r w:rsidRPr="001E7FA9">
              <w:rPr>
                <w:rFonts w:ascii="Calibri" w:eastAsiaTheme="minorEastAsia" w:hAnsi="Calibri" w:cs="Calibri"/>
                <w:color w:val="333300"/>
                <w:sz w:val="20"/>
                <w:lang w:eastAsia="en-AU"/>
              </w:rPr>
              <w:t>857.7)</w:t>
            </w:r>
          </w:p>
        </w:tc>
      </w:tr>
      <w:tr w:rsidR="00965D85" w:rsidRPr="001E7FA9" w:rsidTr="008B46DF">
        <w:tc>
          <w:tcPr>
            <w:tcW w:w="5711" w:type="dxa"/>
            <w:tcBorders>
              <w:top w:val="single" w:sz="6" w:space="0" w:color="auto"/>
              <w:left w:val="nil"/>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color w:val="000000"/>
                <w:sz w:val="20"/>
                <w:vertAlign w:val="superscript"/>
                <w:lang w:eastAsia="en-AU"/>
              </w:rPr>
            </w:pPr>
            <w:r w:rsidRPr="001E7FA9">
              <w:rPr>
                <w:rFonts w:ascii="Calibri" w:eastAsiaTheme="minorEastAsia" w:hAnsi="Calibri" w:cs="Calibri"/>
                <w:color w:val="000000"/>
                <w:sz w:val="20"/>
                <w:lang w:eastAsia="en-AU"/>
              </w:rPr>
              <w:t>Non</w:t>
            </w:r>
            <w:r>
              <w:rPr>
                <w:rFonts w:ascii="Calibri" w:eastAsiaTheme="minorEastAsia" w:hAnsi="Calibri" w:cs="Calibri"/>
                <w:color w:val="000000"/>
                <w:sz w:val="20"/>
                <w:lang w:eastAsia="en-AU"/>
              </w:rPr>
              <w:noBreakHyphen/>
            </w:r>
            <w:r w:rsidRPr="001E7FA9">
              <w:rPr>
                <w:rFonts w:ascii="Calibri" w:eastAsiaTheme="minorEastAsia" w:hAnsi="Calibri" w:cs="Calibri"/>
                <w:color w:val="000000"/>
                <w:sz w:val="20"/>
                <w:lang w:eastAsia="en-AU"/>
              </w:rPr>
              <w:t>financial public sector cash deficit(+) or surplus(</w:t>
            </w:r>
            <w:r>
              <w:rPr>
                <w:rFonts w:ascii="Calibri" w:eastAsiaTheme="minorEastAsia" w:hAnsi="Calibri" w:cs="Calibri"/>
                <w:color w:val="000000"/>
                <w:sz w:val="20"/>
                <w:lang w:eastAsia="en-AU"/>
              </w:rPr>
              <w:noBreakHyphen/>
            </w:r>
            <w:r w:rsidRPr="001E7FA9">
              <w:rPr>
                <w:rFonts w:ascii="Calibri" w:eastAsiaTheme="minorEastAsia" w:hAnsi="Calibri" w:cs="Calibri"/>
                <w:color w:val="000000"/>
                <w:sz w:val="20"/>
                <w:lang w:eastAsia="en-AU"/>
              </w:rPr>
              <w:t>)</w:t>
            </w:r>
            <w:r w:rsidRPr="001E7FA9">
              <w:rPr>
                <w:rFonts w:ascii="Calibri" w:eastAsiaTheme="minorEastAsia" w:hAnsi="Calibri" w:cs="Calibri"/>
                <w:color w:val="000000"/>
                <w:sz w:val="20"/>
                <w:vertAlign w:val="superscript"/>
                <w:lang w:eastAsia="en-AU"/>
              </w:rPr>
              <w:t xml:space="preserve">(a) </w:t>
            </w:r>
          </w:p>
        </w:tc>
        <w:tc>
          <w:tcPr>
            <w:tcW w:w="1092" w:type="dxa"/>
            <w:tcBorders>
              <w:top w:val="single" w:sz="6" w:space="0" w:color="auto"/>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(5 433.4)</w:t>
            </w:r>
          </w:p>
        </w:tc>
        <w:tc>
          <w:tcPr>
            <w:tcW w:w="964" w:type="dxa"/>
            <w:tcBorders>
              <w:top w:val="single" w:sz="6" w:space="0" w:color="auto"/>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333300"/>
                <w:sz w:val="20"/>
                <w:lang w:eastAsia="en-AU"/>
              </w:rPr>
            </w:pPr>
            <w:r w:rsidRPr="001E7FA9">
              <w:rPr>
                <w:rFonts w:ascii="Calibri" w:eastAsiaTheme="minorEastAsia" w:hAnsi="Calibri" w:cs="Calibri"/>
                <w:color w:val="000000"/>
                <w:sz w:val="20"/>
                <w:lang w:eastAsia="en-AU"/>
              </w:rPr>
              <w:t xml:space="preserve">(5 </w:t>
            </w:r>
            <w:r w:rsidRPr="001E7FA9">
              <w:rPr>
                <w:rFonts w:ascii="Calibri" w:eastAsiaTheme="minorEastAsia" w:hAnsi="Calibri" w:cs="Calibri"/>
                <w:color w:val="333300"/>
                <w:sz w:val="20"/>
                <w:lang w:eastAsia="en-AU"/>
              </w:rPr>
              <w:t>873.7)</w:t>
            </w:r>
          </w:p>
        </w:tc>
      </w:tr>
      <w:tr w:rsidR="00965D85" w:rsidRPr="001E7FA9" w:rsidTr="008B46DF">
        <w:tc>
          <w:tcPr>
            <w:tcW w:w="5711" w:type="dxa"/>
            <w:tcBorders>
              <w:top w:val="nil"/>
              <w:left w:val="nil"/>
              <w:bottom w:val="single" w:sz="6" w:space="0" w:color="auto"/>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Acquisitions under finance leases and similar arrangements</w:t>
            </w:r>
          </w:p>
        </w:tc>
        <w:tc>
          <w:tcPr>
            <w:tcW w:w="1092" w:type="dxa"/>
            <w:tcBorders>
              <w:top w:val="nil"/>
              <w:left w:val="nil"/>
              <w:bottom w:val="single" w:sz="6" w:space="0" w:color="auto"/>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1 050.4</w:t>
            </w:r>
          </w:p>
        </w:tc>
        <w:tc>
          <w:tcPr>
            <w:tcW w:w="964" w:type="dxa"/>
            <w:tcBorders>
              <w:top w:val="nil"/>
              <w:left w:val="nil"/>
              <w:bottom w:val="single" w:sz="6" w:space="0" w:color="auto"/>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1 074.2</w:t>
            </w:r>
          </w:p>
        </w:tc>
      </w:tr>
      <w:tr w:rsidR="00965D85" w:rsidRPr="001E7FA9" w:rsidTr="008B46DF">
        <w:tc>
          <w:tcPr>
            <w:tcW w:w="5711" w:type="dxa"/>
            <w:tcBorders>
              <w:top w:val="single" w:sz="6" w:space="0" w:color="auto"/>
              <w:left w:val="nil"/>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ABS GFS cash deficit(+) or surplus(</w:t>
            </w:r>
            <w:r>
              <w:rPr>
                <w:rFonts w:ascii="Calibri" w:eastAsiaTheme="minorEastAsia" w:hAnsi="Calibri" w:cs="Calibri"/>
                <w:color w:val="000000"/>
                <w:sz w:val="20"/>
                <w:lang w:eastAsia="en-AU"/>
              </w:rPr>
              <w:noBreakHyphen/>
            </w:r>
            <w:r w:rsidRPr="001E7FA9">
              <w:rPr>
                <w:rFonts w:ascii="Calibri" w:eastAsiaTheme="minorEastAsia" w:hAnsi="Calibri" w:cs="Calibri"/>
                <w:color w:val="000000"/>
                <w:sz w:val="20"/>
                <w:lang w:eastAsia="en-AU"/>
              </w:rPr>
              <w:t>)</w:t>
            </w:r>
          </w:p>
        </w:tc>
        <w:tc>
          <w:tcPr>
            <w:tcW w:w="1092" w:type="dxa"/>
            <w:tcBorders>
              <w:top w:val="single" w:sz="6" w:space="0" w:color="auto"/>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(4 383.0)</w:t>
            </w:r>
          </w:p>
        </w:tc>
        <w:tc>
          <w:tcPr>
            <w:tcW w:w="964" w:type="dxa"/>
            <w:tcBorders>
              <w:top w:val="single" w:sz="6" w:space="0" w:color="auto"/>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333300"/>
                <w:sz w:val="20"/>
                <w:lang w:eastAsia="en-AU"/>
              </w:rPr>
            </w:pPr>
            <w:r w:rsidRPr="001E7FA9">
              <w:rPr>
                <w:rFonts w:ascii="Calibri" w:eastAsiaTheme="minorEastAsia" w:hAnsi="Calibri" w:cs="Calibri"/>
                <w:color w:val="000000"/>
                <w:sz w:val="20"/>
                <w:lang w:eastAsia="en-AU"/>
              </w:rPr>
              <w:t xml:space="preserve">(4 </w:t>
            </w:r>
            <w:r w:rsidRPr="001E7FA9">
              <w:rPr>
                <w:rFonts w:ascii="Calibri" w:eastAsiaTheme="minorEastAsia" w:hAnsi="Calibri" w:cs="Calibri"/>
                <w:color w:val="333300"/>
                <w:sz w:val="20"/>
                <w:lang w:eastAsia="en-AU"/>
              </w:rPr>
              <w:t>799.6)</w:t>
            </w:r>
          </w:p>
        </w:tc>
      </w:tr>
      <w:tr w:rsidR="00965D85" w:rsidRPr="001E7FA9" w:rsidTr="008B46DF">
        <w:tc>
          <w:tcPr>
            <w:tcW w:w="5711" w:type="dxa"/>
            <w:tcBorders>
              <w:top w:val="nil"/>
              <w:left w:val="nil"/>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i/>
                <w:iCs/>
                <w:color w:val="000000"/>
                <w:sz w:val="20"/>
                <w:vertAlign w:val="superscript"/>
                <w:lang w:eastAsia="en-AU"/>
              </w:rPr>
            </w:pPr>
            <w:r w:rsidRPr="001E7FA9">
              <w:rPr>
                <w:rFonts w:ascii="Calibri" w:eastAsiaTheme="minorEastAsia" w:hAnsi="Calibri" w:cs="Calibri"/>
                <w:i/>
                <w:iCs/>
                <w:color w:val="000000"/>
                <w:sz w:val="20"/>
                <w:lang w:eastAsia="en-AU"/>
              </w:rPr>
              <w:t>Less net cash flows from investments in financial assets for policy purposes</w:t>
            </w:r>
            <w:r w:rsidRPr="001E7FA9">
              <w:rPr>
                <w:rFonts w:ascii="Calibri" w:eastAsiaTheme="minorEastAsia" w:hAnsi="Calibri" w:cs="Calibri"/>
                <w:i/>
                <w:iCs/>
                <w:color w:val="000000"/>
                <w:sz w:val="20"/>
                <w:vertAlign w:val="superscript"/>
                <w:lang w:eastAsia="en-AU"/>
              </w:rPr>
              <w:t>(b)</w:t>
            </w:r>
          </w:p>
        </w:tc>
        <w:tc>
          <w:tcPr>
            <w:tcW w:w="1092"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333300"/>
                <w:sz w:val="20"/>
                <w:lang w:eastAsia="en-AU"/>
              </w:rPr>
            </w:pPr>
            <w:r>
              <w:rPr>
                <w:rFonts w:ascii="Calibri" w:eastAsiaTheme="minorEastAsia" w:hAnsi="Calibri" w:cs="Calibri"/>
                <w:color w:val="000000"/>
                <w:sz w:val="20"/>
                <w:lang w:eastAsia="en-AU"/>
              </w:rPr>
              <w:t>(115.9)</w:t>
            </w:r>
          </w:p>
        </w:tc>
        <w:tc>
          <w:tcPr>
            <w:tcW w:w="964" w:type="dxa"/>
            <w:tcBorders>
              <w:top w:val="nil"/>
              <w:left w:val="nil"/>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color w:val="333300"/>
                <w:sz w:val="20"/>
                <w:lang w:eastAsia="en-AU"/>
              </w:rPr>
            </w:pPr>
            <w:r>
              <w:rPr>
                <w:rFonts w:ascii="Calibri" w:eastAsiaTheme="minorEastAsia" w:hAnsi="Calibri" w:cs="Calibri"/>
                <w:color w:val="000000"/>
                <w:sz w:val="20"/>
                <w:lang w:eastAsia="en-AU"/>
              </w:rPr>
              <w:t>(214.9)</w:t>
            </w:r>
          </w:p>
        </w:tc>
      </w:tr>
      <w:tr w:rsidR="00965D85" w:rsidRPr="001E7FA9" w:rsidTr="008B46DF">
        <w:tc>
          <w:tcPr>
            <w:tcW w:w="5711" w:type="dxa"/>
            <w:tcBorders>
              <w:top w:val="nil"/>
              <w:left w:val="nil"/>
              <w:bottom w:val="single" w:sz="6" w:space="0" w:color="auto"/>
              <w:right w:val="nil"/>
            </w:tcBorders>
            <w:shd w:val="clear" w:color="000000"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i/>
                <w:iCs/>
                <w:color w:val="000000"/>
                <w:sz w:val="20"/>
                <w:vertAlign w:val="superscript"/>
                <w:lang w:eastAsia="en-AU"/>
              </w:rPr>
            </w:pPr>
            <w:r w:rsidRPr="001E7FA9">
              <w:rPr>
                <w:rFonts w:ascii="Calibri" w:eastAsiaTheme="minorEastAsia" w:hAnsi="Calibri" w:cs="Calibri"/>
                <w:i/>
                <w:iCs/>
                <w:color w:val="000000"/>
                <w:sz w:val="20"/>
                <w:lang w:eastAsia="en-AU"/>
              </w:rPr>
              <w:t>Plus memorandum items</w:t>
            </w:r>
            <w:r w:rsidRPr="001E7FA9">
              <w:rPr>
                <w:rFonts w:ascii="Calibri" w:eastAsiaTheme="minorEastAsia" w:hAnsi="Calibri" w:cs="Calibri"/>
                <w:i/>
                <w:iCs/>
                <w:color w:val="000000"/>
                <w:sz w:val="20"/>
                <w:vertAlign w:val="superscript"/>
                <w:lang w:eastAsia="en-AU"/>
              </w:rPr>
              <w:t>(c)</w:t>
            </w:r>
          </w:p>
        </w:tc>
        <w:tc>
          <w:tcPr>
            <w:tcW w:w="1092" w:type="dxa"/>
            <w:tcBorders>
              <w:top w:val="nil"/>
              <w:left w:val="nil"/>
              <w:bottom w:val="single" w:sz="6" w:space="0" w:color="auto"/>
              <w:right w:val="nil"/>
            </w:tcBorders>
            <w:shd w:val="clear" w:color="000000" w:fill="FFFFFF"/>
          </w:tcPr>
          <w:p w:rsidR="00965D85" w:rsidRPr="001E7FA9" w:rsidRDefault="00965D85" w:rsidP="008B46DF">
            <w:pPr>
              <w:autoSpaceDE w:val="0"/>
              <w:autoSpaceDN w:val="0"/>
              <w:adjustRightInd w:val="0"/>
              <w:spacing w:after="0"/>
              <w:jc w:val="right"/>
              <w:rPr>
                <w:rFonts w:ascii="Calibri" w:eastAsiaTheme="minorEastAsia" w:hAnsi="Calibri" w:cs="Calibri"/>
                <w:color w:val="333300"/>
                <w:sz w:val="20"/>
                <w:lang w:eastAsia="en-AU"/>
              </w:rPr>
            </w:pPr>
            <w:r>
              <w:rPr>
                <w:rFonts w:ascii="Calibri" w:eastAsiaTheme="minorEastAsia" w:hAnsi="Calibri" w:cs="Calibri"/>
                <w:color w:val="000000"/>
                <w:sz w:val="20"/>
                <w:lang w:eastAsia="en-AU"/>
              </w:rPr>
              <w:t>401.3</w:t>
            </w:r>
          </w:p>
        </w:tc>
        <w:tc>
          <w:tcPr>
            <w:tcW w:w="964" w:type="dxa"/>
            <w:tcBorders>
              <w:top w:val="nil"/>
              <w:left w:val="nil"/>
              <w:bottom w:val="single" w:sz="6" w:space="0" w:color="auto"/>
              <w:right w:val="nil"/>
            </w:tcBorders>
            <w:shd w:val="clear" w:color="000000" w:fill="FFFFFF"/>
          </w:tcPr>
          <w:p w:rsidR="00965D85" w:rsidRPr="001E7FA9" w:rsidRDefault="00965D85" w:rsidP="008B46DF">
            <w:pPr>
              <w:autoSpaceDE w:val="0"/>
              <w:autoSpaceDN w:val="0"/>
              <w:adjustRightInd w:val="0"/>
              <w:spacing w:after="0"/>
              <w:jc w:val="right"/>
              <w:rPr>
                <w:rFonts w:ascii="Calibri" w:eastAsiaTheme="minorEastAsia" w:hAnsi="Calibri" w:cs="Calibri"/>
                <w:color w:val="333300"/>
                <w:sz w:val="20"/>
                <w:lang w:eastAsia="en-AU"/>
              </w:rPr>
            </w:pPr>
            <w:r>
              <w:rPr>
                <w:rFonts w:ascii="Calibri" w:eastAsiaTheme="minorEastAsia" w:hAnsi="Calibri" w:cs="Calibri"/>
                <w:color w:val="000000"/>
                <w:sz w:val="20"/>
                <w:lang w:eastAsia="en-AU"/>
              </w:rPr>
              <w:t>583.6</w:t>
            </w:r>
          </w:p>
        </w:tc>
      </w:tr>
      <w:tr w:rsidR="00965D85" w:rsidRPr="001E7FA9" w:rsidTr="008B46DF">
        <w:tc>
          <w:tcPr>
            <w:tcW w:w="5711" w:type="dxa"/>
            <w:tcBorders>
              <w:top w:val="single" w:sz="6" w:space="0" w:color="auto"/>
              <w:left w:val="nil"/>
              <w:bottom w:val="single" w:sz="6" w:space="0" w:color="auto"/>
              <w:right w:val="nil"/>
            </w:tcBorders>
            <w:shd w:val="clear" w:color="auto"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b/>
                <w:bCs/>
                <w:color w:val="000000"/>
                <w:sz w:val="20"/>
                <w:lang w:eastAsia="en-AU"/>
              </w:rPr>
            </w:pPr>
            <w:r w:rsidRPr="001E7FA9">
              <w:rPr>
                <w:rFonts w:ascii="Calibri" w:eastAsiaTheme="minorEastAsia" w:hAnsi="Calibri" w:cs="Calibri"/>
                <w:b/>
                <w:bCs/>
                <w:color w:val="000000"/>
                <w:sz w:val="20"/>
                <w:lang w:eastAsia="en-AU"/>
              </w:rPr>
              <w:t>Loan Council Allocation</w:t>
            </w:r>
            <w:r w:rsidRPr="00C761B2">
              <w:rPr>
                <w:rFonts w:ascii="Calibri" w:eastAsiaTheme="minorEastAsia" w:hAnsi="Calibri" w:cs="Calibri"/>
                <w:b/>
                <w:color w:val="000000"/>
                <w:sz w:val="20"/>
                <w:vertAlign w:val="superscript"/>
                <w:lang w:eastAsia="en-AU"/>
              </w:rPr>
              <w:t>(d)</w:t>
            </w:r>
          </w:p>
        </w:tc>
        <w:tc>
          <w:tcPr>
            <w:tcW w:w="1092" w:type="dxa"/>
            <w:tcBorders>
              <w:top w:val="single" w:sz="6" w:space="0" w:color="auto"/>
              <w:left w:val="nil"/>
              <w:bottom w:val="single" w:sz="6" w:space="0" w:color="auto"/>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1E7FA9">
              <w:rPr>
                <w:rFonts w:ascii="Calibri" w:eastAsiaTheme="minorEastAsia" w:hAnsi="Calibri" w:cs="Calibri"/>
                <w:b/>
                <w:bCs/>
                <w:color w:val="000000"/>
                <w:sz w:val="20"/>
                <w:lang w:eastAsia="en-AU"/>
              </w:rPr>
              <w:t>(3 865.8)</w:t>
            </w:r>
          </w:p>
        </w:tc>
        <w:tc>
          <w:tcPr>
            <w:tcW w:w="964" w:type="dxa"/>
            <w:tcBorders>
              <w:top w:val="single" w:sz="6" w:space="0" w:color="auto"/>
              <w:left w:val="nil"/>
              <w:bottom w:val="single" w:sz="6" w:space="0" w:color="auto"/>
              <w:right w:val="nil"/>
            </w:tcBorders>
            <w:shd w:val="clear" w:color="auto" w:fill="FFFFFF"/>
          </w:tcPr>
          <w:p w:rsidR="00965D85" w:rsidRPr="001E7FA9" w:rsidRDefault="00965D85" w:rsidP="008B46DF">
            <w:pPr>
              <w:autoSpaceDE w:val="0"/>
              <w:autoSpaceDN w:val="0"/>
              <w:adjustRightInd w:val="0"/>
              <w:spacing w:after="0"/>
              <w:jc w:val="right"/>
              <w:rPr>
                <w:rFonts w:ascii="Calibri" w:eastAsiaTheme="minorEastAsia" w:hAnsi="Calibri" w:cs="Calibri"/>
                <w:b/>
                <w:bCs/>
                <w:color w:val="333300"/>
                <w:sz w:val="20"/>
                <w:lang w:eastAsia="en-AU"/>
              </w:rPr>
            </w:pPr>
            <w:r w:rsidRPr="001E7FA9">
              <w:rPr>
                <w:rFonts w:ascii="Calibri" w:eastAsiaTheme="minorEastAsia" w:hAnsi="Calibri" w:cs="Calibri"/>
                <w:b/>
                <w:bCs/>
                <w:color w:val="000000"/>
                <w:sz w:val="20"/>
                <w:lang w:eastAsia="en-AU"/>
              </w:rPr>
              <w:t>(4 001.1)</w:t>
            </w:r>
          </w:p>
        </w:tc>
      </w:tr>
      <w:tr w:rsidR="00965D85" w:rsidRPr="001E7FA9" w:rsidTr="008B46DF">
        <w:tc>
          <w:tcPr>
            <w:tcW w:w="5711" w:type="dxa"/>
            <w:tcBorders>
              <w:top w:val="single" w:sz="6" w:space="0" w:color="auto"/>
              <w:left w:val="nil"/>
              <w:bottom w:val="single" w:sz="12" w:space="0" w:color="auto"/>
              <w:right w:val="nil"/>
            </w:tcBorders>
            <w:shd w:val="clear" w:color="000000" w:fill="FFFFFF"/>
          </w:tcPr>
          <w:p w:rsidR="00965D85" w:rsidRPr="001E7FA9" w:rsidRDefault="00965D85" w:rsidP="008B46DF">
            <w:pPr>
              <w:autoSpaceDE w:val="0"/>
              <w:autoSpaceDN w:val="0"/>
              <w:adjustRightInd w:val="0"/>
              <w:spacing w:after="0"/>
              <w:ind w:left="227" w:hanging="227"/>
              <w:rPr>
                <w:rFonts w:ascii="Calibri" w:eastAsiaTheme="minorEastAsia" w:hAnsi="Calibri" w:cs="Calibri"/>
                <w:color w:val="000000"/>
                <w:sz w:val="20"/>
                <w:vertAlign w:val="superscript"/>
                <w:lang w:eastAsia="en-AU"/>
              </w:rPr>
            </w:pPr>
            <w:r w:rsidRPr="001E7FA9">
              <w:rPr>
                <w:rFonts w:ascii="Calibri" w:eastAsiaTheme="minorEastAsia" w:hAnsi="Calibri" w:cs="Calibri"/>
                <w:color w:val="000000"/>
                <w:sz w:val="20"/>
                <w:lang w:eastAsia="en-AU"/>
              </w:rPr>
              <w:t>Tolerance limit (2 per cent of non</w:t>
            </w:r>
            <w:r>
              <w:rPr>
                <w:rFonts w:ascii="Calibri" w:eastAsiaTheme="minorEastAsia" w:hAnsi="Calibri" w:cs="Calibri"/>
                <w:color w:val="000000"/>
                <w:sz w:val="20"/>
                <w:lang w:eastAsia="en-AU"/>
              </w:rPr>
              <w:noBreakHyphen/>
            </w:r>
            <w:r w:rsidRPr="001E7FA9">
              <w:rPr>
                <w:rFonts w:ascii="Calibri" w:eastAsiaTheme="minorEastAsia" w:hAnsi="Calibri" w:cs="Calibri"/>
                <w:color w:val="000000"/>
                <w:sz w:val="20"/>
                <w:lang w:eastAsia="en-AU"/>
              </w:rPr>
              <w:t>financial public sector cash receipts from operating activities)</w:t>
            </w:r>
            <w:r w:rsidRPr="001E7FA9">
              <w:rPr>
                <w:rFonts w:ascii="Calibri" w:eastAsiaTheme="minorEastAsia" w:hAnsi="Calibri" w:cs="Calibri"/>
                <w:color w:val="000000"/>
                <w:sz w:val="20"/>
                <w:vertAlign w:val="superscript"/>
                <w:lang w:eastAsia="en-AU"/>
              </w:rPr>
              <w:t>(e)</w:t>
            </w:r>
          </w:p>
        </w:tc>
        <w:tc>
          <w:tcPr>
            <w:tcW w:w="1092" w:type="dxa"/>
            <w:tcBorders>
              <w:top w:val="single" w:sz="6" w:space="0" w:color="auto"/>
              <w:left w:val="nil"/>
              <w:bottom w:val="single" w:sz="12" w:space="0" w:color="auto"/>
              <w:right w:val="nil"/>
            </w:tcBorders>
            <w:shd w:val="clear" w:color="000000"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1 177.5</w:t>
            </w:r>
          </w:p>
        </w:tc>
        <w:tc>
          <w:tcPr>
            <w:tcW w:w="964" w:type="dxa"/>
            <w:tcBorders>
              <w:top w:val="single" w:sz="6" w:space="0" w:color="auto"/>
              <w:left w:val="nil"/>
              <w:bottom w:val="single" w:sz="12" w:space="0" w:color="auto"/>
              <w:right w:val="nil"/>
            </w:tcBorders>
            <w:shd w:val="clear" w:color="000000" w:fill="FFFFFF"/>
          </w:tcPr>
          <w:p w:rsidR="00965D85" w:rsidRPr="001E7FA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1E7FA9">
              <w:rPr>
                <w:rFonts w:ascii="Calibri" w:eastAsiaTheme="minorEastAsia" w:hAnsi="Calibri" w:cs="Calibri"/>
                <w:color w:val="000000"/>
                <w:sz w:val="20"/>
                <w:lang w:eastAsia="en-AU"/>
              </w:rPr>
              <w:t>1 177.5</w:t>
            </w:r>
          </w:p>
        </w:tc>
      </w:tr>
      <w:tr w:rsidR="00965D85" w:rsidRPr="001E7FA9" w:rsidTr="008B46DF">
        <w:tc>
          <w:tcPr>
            <w:tcW w:w="7767" w:type="dxa"/>
            <w:gridSpan w:val="3"/>
            <w:tcBorders>
              <w:top w:val="single" w:sz="12" w:space="0" w:color="auto"/>
              <w:left w:val="nil"/>
              <w:bottom w:val="nil"/>
              <w:right w:val="nil"/>
            </w:tcBorders>
            <w:shd w:val="clear" w:color="auto" w:fill="auto"/>
          </w:tcPr>
          <w:p w:rsidR="00965D85" w:rsidRPr="001E7FA9" w:rsidRDefault="00965D85" w:rsidP="008B46DF">
            <w:pPr>
              <w:pStyle w:val="Source"/>
              <w:rPr>
                <w:rFonts w:eastAsiaTheme="minorEastAsia"/>
                <w:lang w:eastAsia="en-AU"/>
              </w:rPr>
            </w:pPr>
            <w:r w:rsidRPr="001E7FA9">
              <w:rPr>
                <w:rFonts w:eastAsiaTheme="minorEastAsia"/>
                <w:lang w:eastAsia="en-AU"/>
              </w:rPr>
              <w:t>Source: Department of Treasury and Finance</w:t>
            </w:r>
          </w:p>
        </w:tc>
      </w:tr>
    </w:tbl>
    <w:p w:rsidR="00965D85" w:rsidRPr="004572C3" w:rsidRDefault="00965D85" w:rsidP="008B46DF">
      <w:pPr>
        <w:pStyle w:val="Notes"/>
      </w:pPr>
      <w:r w:rsidRPr="004572C3">
        <w:t>Notes:</w:t>
      </w:r>
    </w:p>
    <w:p w:rsidR="00965D85" w:rsidRPr="004572C3" w:rsidRDefault="00965D85" w:rsidP="008B46DF">
      <w:pPr>
        <w:pStyle w:val="Notes"/>
      </w:pPr>
      <w:r w:rsidRPr="004572C3">
        <w:t xml:space="preserve">(a) </w:t>
      </w:r>
      <w:r>
        <w:tab/>
      </w:r>
      <w:r w:rsidRPr="004572C3">
        <w:t>The sum of the deficit of the general government and public non</w:t>
      </w:r>
      <w:r>
        <w:noBreakHyphen/>
      </w:r>
      <w:r w:rsidRPr="004572C3">
        <w:t>financial corporation sector</w:t>
      </w:r>
      <w:r>
        <w:t>s</w:t>
      </w:r>
      <w:r w:rsidRPr="004572C3">
        <w:t xml:space="preserve"> does not directly equal the non</w:t>
      </w:r>
      <w:r>
        <w:noBreakHyphen/>
      </w:r>
      <w:r w:rsidRPr="004572C3">
        <w:t>financial public sector cash deficit due to inter</w:t>
      </w:r>
      <w:r>
        <w:noBreakHyphen/>
      </w:r>
      <w:r w:rsidRPr="004572C3">
        <w:t>sectoral transfers, which are netted out in the calculation of the non</w:t>
      </w:r>
      <w:r>
        <w:noBreakHyphen/>
      </w:r>
      <w:r w:rsidRPr="004572C3">
        <w:t>financial public sector figure. The non</w:t>
      </w:r>
      <w:r>
        <w:noBreakHyphen/>
      </w:r>
      <w:r w:rsidRPr="004572C3">
        <w:t>financial public sector cash deficit excludes finance lease acquisitions.</w:t>
      </w:r>
    </w:p>
    <w:p w:rsidR="00965D85" w:rsidRPr="004572C3" w:rsidRDefault="00965D85" w:rsidP="008B46DF">
      <w:pPr>
        <w:pStyle w:val="Notes"/>
      </w:pPr>
      <w:r w:rsidRPr="004572C3">
        <w:t xml:space="preserve">(b) </w:t>
      </w:r>
      <w:r>
        <w:tab/>
      </w:r>
      <w:r w:rsidRPr="004572C3">
        <w:t>The ABS GFS cash deficit is adjusted to include in the LCA the impact of net cash flows from investments in financial assets for policy purposes.</w:t>
      </w:r>
    </w:p>
    <w:p w:rsidR="00965D85" w:rsidRDefault="00965D85" w:rsidP="008B46DF">
      <w:pPr>
        <w:pStyle w:val="Notes"/>
      </w:pPr>
      <w:r w:rsidRPr="004572C3">
        <w:t>(c)</w:t>
      </w:r>
      <w:r>
        <w:tab/>
      </w:r>
      <w:r w:rsidRPr="004572C3">
        <w:t>The ABS GFS cash deficit is adjusted to include in the LCA the impact of memorandum items, which include certain transactions that have many of the characteristics of public sector borrowings but do not constitute formal borrowings (e.g. operating leases). They also include, where appropriate, transactions that the Loan Council has agreed should not be included in the LCA (e.g. the over/under funding of employers</w:t>
      </w:r>
      <w:r>
        <w:t>’</w:t>
      </w:r>
      <w:r w:rsidRPr="004572C3">
        <w:t xml:space="preserve"> emerging costs under public sector superannuation schemes, or borrowings by entities such as statutory marketing authorities).</w:t>
      </w:r>
    </w:p>
    <w:p w:rsidR="00965D85" w:rsidRPr="004572C3" w:rsidRDefault="00965D85" w:rsidP="008B46DF">
      <w:pPr>
        <w:pStyle w:val="Notes"/>
      </w:pPr>
      <w:r>
        <w:t>(d)</w:t>
      </w:r>
      <w:r>
        <w:tab/>
        <w:t>2015</w:t>
      </w:r>
      <w:r>
        <w:noBreakHyphen/>
        <w:t>16 nomination has been restated to reflect more current information.</w:t>
      </w:r>
    </w:p>
    <w:p w:rsidR="00965D85" w:rsidRDefault="00965D85" w:rsidP="008B46DF">
      <w:pPr>
        <w:pStyle w:val="Notes"/>
        <w:rPr>
          <w:sz w:val="24"/>
        </w:rPr>
      </w:pPr>
      <w:r>
        <w:t>(e</w:t>
      </w:r>
      <w:r w:rsidRPr="004572C3">
        <w:t xml:space="preserve">) </w:t>
      </w:r>
      <w:r>
        <w:tab/>
      </w:r>
      <w:r w:rsidRPr="004572C3">
        <w:t>A tolerance limit e</w:t>
      </w:r>
      <w:r>
        <w:t>qual to 2 per cent of total non</w:t>
      </w:r>
      <w:r>
        <w:noBreakHyphen/>
      </w:r>
      <w:r w:rsidRPr="004572C3">
        <w:t xml:space="preserve">financial public sector cash receipt from </w:t>
      </w:r>
      <w:r>
        <w:t>operating activities applies to </w:t>
      </w:r>
      <w:r w:rsidRPr="004572C3">
        <w:t>the movement between a jurisdiction</w:t>
      </w:r>
      <w:r>
        <w:t>’</w:t>
      </w:r>
      <w:r w:rsidRPr="004572C3">
        <w:t xml:space="preserve">s LCA budget estimate and LCA outcome (calculated using estimates in the </w:t>
      </w:r>
      <w:r w:rsidRPr="000E2577">
        <w:rPr>
          <w:i w:val="0"/>
        </w:rPr>
        <w:t>2015</w:t>
      </w:r>
      <w:r>
        <w:rPr>
          <w:i w:val="0"/>
        </w:rPr>
        <w:noBreakHyphen/>
      </w:r>
      <w:r w:rsidRPr="000E2577">
        <w:rPr>
          <w:i w:val="0"/>
        </w:rPr>
        <w:t>16 Budget Update</w:t>
      </w:r>
      <w:r w:rsidRPr="004572C3">
        <w:t>). The tolerance limit applying to the movement be</w:t>
      </w:r>
      <w:r>
        <w:t>tween Victoria’s 2015</w:t>
      </w:r>
      <w:r>
        <w:noBreakHyphen/>
        <w:t>16</w:t>
      </w:r>
      <w:r w:rsidRPr="004572C3">
        <w:t xml:space="preserve"> LCA </w:t>
      </w:r>
      <w:r>
        <w:t xml:space="preserve">nomination </w:t>
      </w:r>
      <w:r w:rsidRPr="004572C3">
        <w:t>and its LC</w:t>
      </w:r>
      <w:r>
        <w:t>A revised budget estimate is $1 </w:t>
      </w:r>
      <w:r w:rsidRPr="004572C3">
        <w:t>177.5</w:t>
      </w:r>
      <w:r>
        <w:t> million (2 per cent of $58 </w:t>
      </w:r>
      <w:r w:rsidRPr="004572C3">
        <w:t>877.4</w:t>
      </w:r>
      <w:r>
        <w:t> million</w:t>
      </w:r>
      <w:r w:rsidRPr="004572C3">
        <w:t>).</w:t>
      </w:r>
    </w:p>
    <w:p w:rsidR="00965D85" w:rsidRDefault="00965D85">
      <w:pPr>
        <w:spacing w:after="0"/>
      </w:pPr>
      <w:r>
        <w:br w:type="page"/>
      </w:r>
    </w:p>
    <w:p w:rsidR="00965D85" w:rsidRPr="00B342D0" w:rsidRDefault="00965D85" w:rsidP="008B46DF">
      <w:pPr>
        <w:rPr>
          <w:sz w:val="24"/>
        </w:rPr>
      </w:pPr>
      <w:r w:rsidRPr="00D57192">
        <w:lastRenderedPageBreak/>
        <w:t>As part of the Loan Council arrangements, the Council has agreed that if at any time a state or territory finds that it is likely to exceed its tolerance limit, in either direction, it is required to provide an explanation to the Council and, in line with the emphasis of increased transparency, to make the expl</w:t>
      </w:r>
      <w:r>
        <w:t>anation public. Victoria’s 2015</w:t>
      </w:r>
      <w:r>
        <w:noBreakHyphen/>
      </w:r>
      <w:r w:rsidRPr="00D57192">
        <w:t xml:space="preserve">16 </w:t>
      </w:r>
      <w:r>
        <w:t xml:space="preserve">revised </w:t>
      </w:r>
      <w:r w:rsidRPr="00D57192">
        <w:t xml:space="preserve">LCA </w:t>
      </w:r>
      <w:r>
        <w:t>(a surplus of $4.0 billion</w:t>
      </w:r>
      <w:r w:rsidRPr="00156337">
        <w:t>)</w:t>
      </w:r>
      <w:r w:rsidRPr="00D57192">
        <w:t xml:space="preserve"> did not exceed the tolerance limit established under the LCA nomination process.</w:t>
      </w:r>
    </w:p>
    <w:p w:rsidR="00965D85" w:rsidRDefault="00965D85" w:rsidP="00392D14">
      <w:pPr>
        <w:pStyle w:val="Heading1"/>
      </w:pPr>
      <w:bookmarkStart w:id="79" w:name="_Toc436147544"/>
      <w:r>
        <w:t>New infrastructure p</w:t>
      </w:r>
      <w:r w:rsidRPr="0054261C">
        <w:t>rojects</w:t>
      </w:r>
      <w:r>
        <w:t xml:space="preserve"> with private sector involvement</w:t>
      </w:r>
      <w:bookmarkEnd w:id="79"/>
    </w:p>
    <w:p w:rsidR="00965D85" w:rsidRPr="00D57192" w:rsidRDefault="00965D85" w:rsidP="008B46DF">
      <w:r w:rsidRPr="00D57192">
        <w:t>In the interest of transparency, the State is required to disclose the details of new infrastructure projects with private sector involvement that are expected to be contracted during the LCA year, and to report the full contingent exposure, if any. Exposure is to be measured by the Government</w:t>
      </w:r>
      <w:r>
        <w:t>’</w:t>
      </w:r>
      <w:r w:rsidRPr="00D57192">
        <w:t>s termination liabilities in a case of private sector default and disclosed as a footnote to, rather than a component of, the LCA. The amount payable will not exceed the fair market value of the project (which is usually calculated by an independent valuer) less any costs incurred by the Government as a result of the default.</w:t>
      </w:r>
    </w:p>
    <w:p w:rsidR="00965D85" w:rsidRDefault="00965D85" w:rsidP="008B46DF">
      <w:r w:rsidRPr="00D57192">
        <w:t>Listed below are details of the public private partnership projects that are expect</w:t>
      </w:r>
      <w:r>
        <w:t>ed to be contracted in the 2015</w:t>
      </w:r>
      <w:r>
        <w:noBreakHyphen/>
      </w:r>
      <w:r w:rsidRPr="00D57192">
        <w:t xml:space="preserve">16 financial year. </w:t>
      </w:r>
    </w:p>
    <w:p w:rsidR="00965D85" w:rsidRDefault="00965D85" w:rsidP="008B46DF">
      <w:r>
        <w:t xml:space="preserve">There are no other </w:t>
      </w:r>
      <w:r w:rsidRPr="004C59E6">
        <w:rPr>
          <w:i/>
        </w:rPr>
        <w:t>Partnership</w:t>
      </w:r>
      <w:r>
        <w:rPr>
          <w:i/>
        </w:rPr>
        <w:t>s</w:t>
      </w:r>
      <w:r w:rsidRPr="004C59E6">
        <w:rPr>
          <w:i/>
        </w:rPr>
        <w:t xml:space="preserve"> Victoria</w:t>
      </w:r>
      <w:r>
        <w:t xml:space="preserve"> contracts greater than $5 million that are currently expected to be signed during the 2015</w:t>
      </w:r>
      <w:r>
        <w:noBreakHyphen/>
        <w:t>16 financial year.</w:t>
      </w:r>
    </w:p>
    <w:p w:rsidR="00965D85" w:rsidRDefault="00965D85" w:rsidP="008B46DF">
      <w:pPr>
        <w:pStyle w:val="Heading2"/>
      </w:pPr>
      <w:r>
        <w:t>Melbourne Convention and Exhibition Centre – Stage 2 development</w:t>
      </w:r>
    </w:p>
    <w:p w:rsidR="00965D85" w:rsidRDefault="00965D85" w:rsidP="008B46DF">
      <w:r>
        <w:t>The Melbourne Convention and Exhibition Centre – Stage 2 development project provides for construction of an additional 9 000 square metres of flexible exhibition space including a multi</w:t>
      </w:r>
      <w:r>
        <w:noBreakHyphen/>
        <w:t xml:space="preserve">purpose facility with 900 retractable seats and 200 additional moveable seats. A hub space connecting the existing buildings will be constructed with cafes, bars and informal meeting spaces. The project will also provide meeting rooms and a banquet room seating 450 people. This expansion will provide additional space and earning capacity to Melbourne Convention and Exhibition Centre. </w:t>
      </w:r>
    </w:p>
    <w:p w:rsidR="00965D85" w:rsidRDefault="00965D85" w:rsidP="008B46DF">
      <w:r>
        <w:t xml:space="preserve">The expansion will provide direct and indirect economic benefits over the life of the development including benefits from the construction, and, during operation, benefits from the additional interstate and international delegates visiting Victoria. </w:t>
      </w:r>
    </w:p>
    <w:p w:rsidR="00965D85" w:rsidRDefault="00965D85" w:rsidP="008B46DF">
      <w:r>
        <w:t>The expansion will provide the additional space required for Victoria to compete against the interstate and international suppliers in the exhibition and conference market. This will enable Melbourne Convention and Exhibition Centre to attract new business and to reduce the amount of business it currently turns away.</w:t>
      </w:r>
    </w:p>
    <w:p w:rsidR="00965D85" w:rsidRDefault="00965D85">
      <w:pPr>
        <w:spacing w:after="0"/>
        <w:rPr>
          <w:rFonts w:ascii="Calibri" w:hAnsi="Calibri"/>
          <w:b/>
          <w:kern w:val="28"/>
          <w:sz w:val="26"/>
          <w:szCs w:val="22"/>
        </w:rPr>
      </w:pPr>
      <w:r>
        <w:br w:type="page"/>
      </w:r>
    </w:p>
    <w:p w:rsidR="00965D85" w:rsidRDefault="00965D85" w:rsidP="008B46DF">
      <w:pPr>
        <w:pStyle w:val="Heading2"/>
      </w:pPr>
      <w:r w:rsidRPr="00D57192">
        <w:lastRenderedPageBreak/>
        <w:t>New Schools PPP</w:t>
      </w:r>
      <w:r>
        <w:t xml:space="preserve"> project</w:t>
      </w:r>
    </w:p>
    <w:p w:rsidR="00965D85" w:rsidRDefault="00965D85" w:rsidP="008B46DF">
      <w:r>
        <w:t xml:space="preserve">The New Schools PPP project will deliver 15 new schools in growth communities as a public private partnership under the </w:t>
      </w:r>
      <w:r w:rsidRPr="004A60CD">
        <w:rPr>
          <w:i/>
        </w:rPr>
        <w:t>Partnerships Victoria</w:t>
      </w:r>
      <w:r>
        <w:t xml:space="preserve"> framework. </w:t>
      </w:r>
    </w:p>
    <w:p w:rsidR="00965D85" w:rsidRDefault="00965D85" w:rsidP="008B46DF">
      <w:r>
        <w:t xml:space="preserve">The tender process commenced in October 2014 and the contract was executed on 28 October 2015. The Learning Communities Victoria consortium will design, build, finance and maintain the schools for a term of 25 years, with the State retaining responsibility for delivering educational services. </w:t>
      </w:r>
    </w:p>
    <w:p w:rsidR="00965D85" w:rsidRPr="00B342D0" w:rsidRDefault="00965D85" w:rsidP="008B46DF">
      <w:r>
        <w:t>The new schools are expected to be operational in 2017 and 2018. Once the schools commence operations, the State will begin quarterly payments to the consortium, the value of which will depend on the attainment of key performance indicators related to ongoing service provision.</w:t>
      </w:r>
    </w:p>
    <w:p w:rsidR="00965D85" w:rsidRPr="00D57192" w:rsidRDefault="00965D85" w:rsidP="008B46DF">
      <w:pPr>
        <w:pStyle w:val="Heading2"/>
      </w:pPr>
      <w:r>
        <w:t>CityLink–Tulla widening</w:t>
      </w:r>
    </w:p>
    <w:p w:rsidR="00965D85" w:rsidRDefault="00965D85" w:rsidP="008B46DF">
      <w:r>
        <w:t xml:space="preserve">The CityLink–Tulla widening project will widen the Western Link section of CityLink (from the West Gate Freeway–Burnley Tunnel to Bulla Road) and Tullamarine Freeway (from Bulla Road to the Melbourne Airport), and introduce a Freeway Management System along this corridor. </w:t>
      </w:r>
    </w:p>
    <w:p w:rsidR="00965D85" w:rsidRDefault="00965D85" w:rsidP="008B46DF">
      <w:r>
        <w:t>The CityLink–Tulla widening is a combination of a Market</w:t>
      </w:r>
      <w:r>
        <w:noBreakHyphen/>
        <w:t>Led Proposal from Transurban, the owner and operator of the CityLink toll road concession, and State and Commonwealth Government contributions to upgrade the Tullamarine Freeway. Transurban is to deliver works on CityLink under a public private partnership (PPP) arrangement where Transurban is responsible for the design, construction, funding, financing, maintenance and operation of the road until the end of the concession. The State is to deliver works on the Tullamarine Freeway.</w:t>
      </w:r>
    </w:p>
    <w:p w:rsidR="00965D85" w:rsidRDefault="00965D85" w:rsidP="008B46DF">
      <w:r>
        <w:t>Under the PPP arrangement, Transurban will pay for costs associated with the project through CityLink tolls, namely an expected uplift in traffic and toll revenue post construction, an extension of the CityLink concession by one year, toll prices remaining escalated at an annual rate of 4.5 per cent for an additional year after 2015 and truck tolls increasing to become consistent with national pricing for trucks on other motorway networks. These funding sources are also contributing to fund the costs of the State works for the project.</w:t>
      </w:r>
    </w:p>
    <w:p w:rsidR="00965D85" w:rsidRDefault="00965D85" w:rsidP="008B46DF">
      <w:r>
        <w:t>In addition to the funding sourced from CityLink tolls, the State and Commonwealth Governments are also providing $272.8 million to fund the State works.</w:t>
      </w:r>
    </w:p>
    <w:p w:rsidR="00965D85" w:rsidRDefault="00965D85" w:rsidP="008B46DF">
      <w:r>
        <w:t xml:space="preserve">The total estimated capital cost of the project is $1.28 billion, with the State works on the Tullamarine Freeway estimated to cost $415 million and Transurban works on CityLink estimated to cost $867 million. </w:t>
      </w:r>
    </w:p>
    <w:p w:rsidR="00965D85" w:rsidRDefault="00965D85" w:rsidP="008B46DF">
      <w:r>
        <w:t>Transurban and Leighton Contractors (the successful tenderer for the CityLink works) commenced construction on site on 5 October 2015. The State works will commence in 2016. The project is expected to be completed by 2018.</w:t>
      </w:r>
    </w:p>
    <w:p w:rsidR="00965D85" w:rsidRDefault="00965D85">
      <w:pPr>
        <w:spacing w:after="0"/>
      </w:pPr>
      <w:r>
        <w:br w:type="page"/>
      </w:r>
    </w:p>
    <w:p w:rsidR="00965D85" w:rsidRDefault="00965D85" w:rsidP="008B46DF"/>
    <w:p w:rsidR="00965D85" w:rsidRDefault="00965D85">
      <w:pPr>
        <w:spacing w:after="0"/>
      </w:pPr>
    </w:p>
    <w:p w:rsidR="00965D85" w:rsidRPr="001F325D" w:rsidRDefault="00965D85" w:rsidP="008B46DF"/>
    <w:p w:rsidR="00965D85" w:rsidRDefault="00965D85" w:rsidP="00DF54C9">
      <w:pPr>
        <w:sectPr w:rsidR="00965D85" w:rsidSect="00F302FC">
          <w:footerReference w:type="even" r:id="rId25"/>
          <w:footerReference w:type="default" r:id="rId26"/>
          <w:type w:val="oddPage"/>
          <w:pgSz w:w="9979" w:h="14181" w:code="138"/>
          <w:pgMar w:top="1138" w:right="1138" w:bottom="1138" w:left="1138" w:header="720" w:footer="432" w:gutter="0"/>
          <w:cols w:space="708"/>
          <w:docGrid w:linePitch="360"/>
        </w:sectPr>
      </w:pPr>
    </w:p>
    <w:p w:rsidR="00965D85" w:rsidRPr="00427D0E" w:rsidRDefault="00965D85" w:rsidP="00074C4D">
      <w:pPr>
        <w:pStyle w:val="ChapterHeading"/>
      </w:pPr>
      <w:bookmarkStart w:id="80" w:name="_Toc436147545"/>
      <w:r w:rsidRPr="00427D0E">
        <w:lastRenderedPageBreak/>
        <w:t>Chapter 6 – Contingent assets and contingent liabilities</w:t>
      </w:r>
      <w:bookmarkEnd w:id="80"/>
    </w:p>
    <w:p w:rsidR="00965D85" w:rsidRPr="001339A5" w:rsidRDefault="00965D85" w:rsidP="008B46DF">
      <w:r w:rsidRPr="001339A5">
        <w:t xml:space="preserve">This chapter contains information on contingent assets and liabilities for the general government sector and should be read in </w:t>
      </w:r>
      <w:r>
        <w:t>conjunction with Chapter 4</w:t>
      </w:r>
      <w:r w:rsidRPr="001339A5">
        <w:t>.</w:t>
      </w:r>
    </w:p>
    <w:p w:rsidR="00965D85" w:rsidRPr="006A75A2" w:rsidRDefault="00965D85" w:rsidP="008B46DF">
      <w:pPr>
        <w:pStyle w:val="Heading1"/>
      </w:pPr>
      <w:bookmarkStart w:id="81" w:name="_Toc436147546"/>
      <w:r w:rsidRPr="006A75A2">
        <w:t>Contingent assets</w:t>
      </w:r>
      <w:bookmarkEnd w:id="81"/>
    </w:p>
    <w:p w:rsidR="00965D85" w:rsidRPr="006A75A2" w:rsidRDefault="00965D85" w:rsidP="008B46DF">
      <w:r w:rsidRPr="006A75A2">
        <w:t>Contingent assets are possible assets that arise from past events, whose existence will be confirmed only by the occurrence or non</w:t>
      </w:r>
      <w:r>
        <w:noBreakHyphen/>
      </w:r>
      <w:r w:rsidRPr="006A75A2">
        <w:t>occurrence of one or more uncertain future events not wholly within the control of the entity.</w:t>
      </w:r>
    </w:p>
    <w:p w:rsidR="00965D85" w:rsidRDefault="00965D85" w:rsidP="008B46DF">
      <w:r w:rsidRPr="006A75A2">
        <w:t>These are classified as either quantifiable, where the potential economic benefit is known, or non</w:t>
      </w:r>
      <w:r>
        <w:noBreakHyphen/>
      </w:r>
      <w:r w:rsidRPr="006A75A2">
        <w:t>quantifiable. The table below contains quantifiable cont</w:t>
      </w:r>
      <w:r>
        <w:t xml:space="preserve">ingent assets as at </w:t>
      </w:r>
      <w:r w:rsidRPr="00977882">
        <w:t>18 </w:t>
      </w:r>
      <w:r>
        <w:t xml:space="preserve">November </w:t>
      </w:r>
      <w:r w:rsidRPr="00977882">
        <w:t>2015.</w:t>
      </w:r>
    </w:p>
    <w:p w:rsidR="00965D85" w:rsidRDefault="00965D85" w:rsidP="008B46DF">
      <w:pPr>
        <w:pStyle w:val="Tableheading"/>
        <w:rPr>
          <w:rFonts w:ascii="Times New Roman" w:hAnsi="Times New Roman"/>
          <w:i/>
          <w:sz w:val="20"/>
          <w:lang w:eastAsia="en-AU"/>
        </w:rPr>
      </w:pPr>
      <w:r>
        <w:t>Table 6.1:</w:t>
      </w:r>
      <w:r>
        <w:tab/>
      </w:r>
      <w:r w:rsidRPr="008A13E2">
        <w:t>Quantifiable contingent assets</w:t>
      </w:r>
    </w:p>
    <w:tbl>
      <w:tblPr>
        <w:tblW w:w="7766" w:type="dxa"/>
        <w:tblInd w:w="45" w:type="dxa"/>
        <w:tblLayout w:type="fixed"/>
        <w:tblCellMar>
          <w:left w:w="45" w:type="dxa"/>
          <w:right w:w="45" w:type="dxa"/>
        </w:tblCellMar>
        <w:tblLook w:val="0000" w:firstRow="0" w:lastRow="0" w:firstColumn="0" w:lastColumn="0" w:noHBand="0" w:noVBand="0"/>
      </w:tblPr>
      <w:tblGrid>
        <w:gridCol w:w="4820"/>
        <w:gridCol w:w="1134"/>
        <w:gridCol w:w="1812"/>
      </w:tblGrid>
      <w:tr w:rsidR="00965D85" w:rsidRPr="00C72C95" w:rsidTr="008B46DF">
        <w:trPr>
          <w:cantSplit/>
          <w:tblHeader/>
        </w:trPr>
        <w:tc>
          <w:tcPr>
            <w:tcW w:w="7766" w:type="dxa"/>
            <w:gridSpan w:val="3"/>
            <w:tcBorders>
              <w:top w:val="nil"/>
              <w:left w:val="nil"/>
              <w:right w:val="nil"/>
            </w:tcBorders>
          </w:tcPr>
          <w:p w:rsidR="00965D85" w:rsidRPr="00C72C95" w:rsidRDefault="00965D85" w:rsidP="008B46DF">
            <w:pPr>
              <w:pStyle w:val="million"/>
              <w:rPr>
                <w:rFonts w:eastAsiaTheme="minorEastAsia"/>
                <w:lang w:eastAsia="en-AU"/>
              </w:rPr>
            </w:pPr>
            <w:r w:rsidRPr="00C72C95">
              <w:rPr>
                <w:rFonts w:eastAsiaTheme="minorEastAsia"/>
                <w:lang w:eastAsia="en-AU"/>
              </w:rPr>
              <w:t>($ million)</w:t>
            </w:r>
          </w:p>
        </w:tc>
      </w:tr>
      <w:tr w:rsidR="00965D85" w:rsidRPr="00C72C95" w:rsidTr="008B46DF">
        <w:trPr>
          <w:cantSplit/>
          <w:tblHeader/>
        </w:trPr>
        <w:tc>
          <w:tcPr>
            <w:tcW w:w="4820" w:type="dxa"/>
            <w:tcBorders>
              <w:top w:val="single" w:sz="6" w:space="0" w:color="auto"/>
              <w:left w:val="nil"/>
              <w:right w:val="nil"/>
            </w:tcBorders>
            <w:shd w:val="solid" w:color="000000" w:fill="auto"/>
          </w:tcPr>
          <w:p w:rsidR="00965D85" w:rsidRPr="00C72C95" w:rsidRDefault="00965D85" w:rsidP="008B46DF">
            <w:pPr>
              <w:autoSpaceDE w:val="0"/>
              <w:autoSpaceDN w:val="0"/>
              <w:adjustRightInd w:val="0"/>
              <w:spacing w:after="0"/>
              <w:rPr>
                <w:rFonts w:ascii="Calibri" w:eastAsiaTheme="minorEastAsia" w:hAnsi="Calibri" w:cs="Calibri"/>
                <w:color w:val="FFFFFF"/>
                <w:sz w:val="20"/>
                <w:lang w:eastAsia="en-AU"/>
              </w:rPr>
            </w:pPr>
            <w:r w:rsidRPr="00C72C95">
              <w:rPr>
                <w:rFonts w:ascii="Calibri" w:eastAsiaTheme="minorEastAsia" w:hAnsi="Calibri" w:cs="Calibri"/>
                <w:color w:val="FFFFFF"/>
                <w:sz w:val="20"/>
                <w:lang w:eastAsia="en-AU"/>
              </w:rPr>
              <w:t xml:space="preserve"> </w:t>
            </w:r>
          </w:p>
        </w:tc>
        <w:tc>
          <w:tcPr>
            <w:tcW w:w="1134" w:type="dxa"/>
            <w:tcBorders>
              <w:top w:val="single" w:sz="6" w:space="0" w:color="auto"/>
              <w:left w:val="nil"/>
              <w:right w:val="nil"/>
            </w:tcBorders>
            <w:shd w:val="solid" w:color="000000" w:fill="auto"/>
          </w:tcPr>
          <w:p w:rsidR="00965D85" w:rsidRPr="00C72C95"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C72C95">
              <w:rPr>
                <w:rFonts w:ascii="Calibri" w:eastAsiaTheme="minorEastAsia" w:hAnsi="Calibri" w:cs="Calibri"/>
                <w:i/>
                <w:iCs/>
                <w:color w:val="FFFFFF"/>
                <w:sz w:val="20"/>
                <w:lang w:eastAsia="en-AU"/>
              </w:rPr>
              <w:t xml:space="preserve">As at </w:t>
            </w:r>
          </w:p>
          <w:p w:rsidR="00965D85" w:rsidRPr="00C72C95"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C72C95">
              <w:rPr>
                <w:rFonts w:ascii="Calibri" w:eastAsiaTheme="minorEastAsia" w:hAnsi="Calibri" w:cs="Calibri"/>
                <w:i/>
                <w:iCs/>
                <w:color w:val="FFFFFF"/>
                <w:sz w:val="20"/>
                <w:lang w:eastAsia="en-AU"/>
              </w:rPr>
              <w:t>Dec 2015</w:t>
            </w:r>
          </w:p>
        </w:tc>
        <w:tc>
          <w:tcPr>
            <w:tcW w:w="1812" w:type="dxa"/>
            <w:tcBorders>
              <w:top w:val="single" w:sz="6" w:space="0" w:color="auto"/>
              <w:left w:val="nil"/>
              <w:right w:val="nil"/>
            </w:tcBorders>
            <w:shd w:val="solid" w:color="000000" w:fill="auto"/>
          </w:tcPr>
          <w:p w:rsidR="00965D85" w:rsidRPr="00C72C95"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C72C95">
              <w:rPr>
                <w:rFonts w:ascii="Calibri" w:eastAsiaTheme="minorEastAsia" w:hAnsi="Calibri" w:cs="Calibri"/>
                <w:i/>
                <w:iCs/>
                <w:color w:val="FFFFFF"/>
                <w:sz w:val="20"/>
                <w:lang w:eastAsia="en-AU"/>
              </w:rPr>
              <w:t xml:space="preserve">Published budget </w:t>
            </w:r>
          </w:p>
          <w:p w:rsidR="00965D85" w:rsidRPr="00C72C95" w:rsidRDefault="00965D85" w:rsidP="008B46DF">
            <w:pPr>
              <w:autoSpaceDE w:val="0"/>
              <w:autoSpaceDN w:val="0"/>
              <w:adjustRightInd w:val="0"/>
              <w:spacing w:after="0"/>
              <w:jc w:val="right"/>
              <w:rPr>
                <w:rFonts w:ascii="Calibri" w:eastAsiaTheme="minorEastAsia" w:hAnsi="Calibri" w:cs="Calibri"/>
                <w:i/>
                <w:iCs/>
                <w:color w:val="FFFFFF"/>
                <w:sz w:val="20"/>
                <w:vertAlign w:val="superscript"/>
                <w:lang w:eastAsia="en-AU"/>
              </w:rPr>
            </w:pPr>
            <w:r w:rsidRPr="00C72C95">
              <w:rPr>
                <w:rFonts w:ascii="Calibri" w:eastAsiaTheme="minorEastAsia" w:hAnsi="Calibri" w:cs="Calibri"/>
                <w:i/>
                <w:iCs/>
                <w:color w:val="FFFFFF"/>
                <w:sz w:val="20"/>
                <w:lang w:eastAsia="en-AU"/>
              </w:rPr>
              <w:t xml:space="preserve">estimate </w:t>
            </w:r>
            <w:r w:rsidRPr="00C72C95">
              <w:rPr>
                <w:rFonts w:ascii="Calibri" w:eastAsiaTheme="minorEastAsia" w:hAnsi="Calibri" w:cs="Calibri"/>
                <w:i/>
                <w:iCs/>
                <w:color w:val="FFFFFF"/>
                <w:sz w:val="20"/>
                <w:vertAlign w:val="superscript"/>
                <w:lang w:eastAsia="en-AU"/>
              </w:rPr>
              <w:t>(a)</w:t>
            </w:r>
          </w:p>
        </w:tc>
      </w:tr>
      <w:tr w:rsidR="00965D85" w:rsidRPr="00C72C95" w:rsidTr="008B46DF">
        <w:trPr>
          <w:cantSplit/>
        </w:trPr>
        <w:tc>
          <w:tcPr>
            <w:tcW w:w="4820" w:type="dxa"/>
            <w:tcBorders>
              <w:top w:val="nil"/>
              <w:left w:val="nil"/>
              <w:right w:val="nil"/>
            </w:tcBorders>
            <w:shd w:val="clear" w:color="auto" w:fill="FFFFFF"/>
          </w:tcPr>
          <w:p w:rsidR="00965D85" w:rsidRPr="00C72C95"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C72C95">
              <w:rPr>
                <w:rFonts w:ascii="Calibri" w:eastAsiaTheme="minorEastAsia" w:hAnsi="Calibri" w:cs="Calibri"/>
                <w:color w:val="000000"/>
                <w:sz w:val="20"/>
                <w:lang w:eastAsia="en-AU"/>
              </w:rPr>
              <w:t>Guarantees, indemnities and warranties</w:t>
            </w:r>
          </w:p>
        </w:tc>
        <w:tc>
          <w:tcPr>
            <w:tcW w:w="1134" w:type="dxa"/>
            <w:tcBorders>
              <w:top w:val="nil"/>
              <w:left w:val="nil"/>
              <w:right w:val="nil"/>
            </w:tcBorders>
            <w:shd w:val="clear" w:color="auto" w:fill="FFFFFF"/>
          </w:tcPr>
          <w:p w:rsidR="00965D85" w:rsidRPr="00C72C95"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6.6</w:t>
            </w:r>
          </w:p>
        </w:tc>
        <w:tc>
          <w:tcPr>
            <w:tcW w:w="1812" w:type="dxa"/>
            <w:tcBorders>
              <w:top w:val="nil"/>
              <w:left w:val="nil"/>
              <w:right w:val="nil"/>
            </w:tcBorders>
            <w:shd w:val="clear" w:color="auto" w:fill="FFFFFF"/>
          </w:tcPr>
          <w:p w:rsidR="00965D85" w:rsidRPr="00C72C95"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6.8</w:t>
            </w:r>
          </w:p>
        </w:tc>
      </w:tr>
      <w:tr w:rsidR="00965D85" w:rsidRPr="00C72C95" w:rsidTr="008B46DF">
        <w:trPr>
          <w:cantSplit/>
        </w:trPr>
        <w:tc>
          <w:tcPr>
            <w:tcW w:w="4820" w:type="dxa"/>
            <w:tcBorders>
              <w:top w:val="nil"/>
              <w:left w:val="nil"/>
              <w:right w:val="nil"/>
            </w:tcBorders>
            <w:shd w:val="clear" w:color="auto" w:fill="FFFFFF"/>
          </w:tcPr>
          <w:p w:rsidR="00965D85" w:rsidRPr="00C72C95"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C72C95">
              <w:rPr>
                <w:rFonts w:ascii="Calibri" w:eastAsiaTheme="minorEastAsia" w:hAnsi="Calibri" w:cs="Calibri"/>
                <w:color w:val="000000"/>
                <w:sz w:val="20"/>
                <w:lang w:eastAsia="en-AU"/>
              </w:rPr>
              <w:t>Legal proceedings and disputes</w:t>
            </w:r>
          </w:p>
        </w:tc>
        <w:tc>
          <w:tcPr>
            <w:tcW w:w="1134" w:type="dxa"/>
            <w:tcBorders>
              <w:top w:val="nil"/>
              <w:left w:val="nil"/>
              <w:right w:val="nil"/>
            </w:tcBorders>
            <w:shd w:val="clear" w:color="auto" w:fill="FFFFFF"/>
          </w:tcPr>
          <w:p w:rsidR="00965D85" w:rsidRPr="00C72C95"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7.0</w:t>
            </w:r>
          </w:p>
        </w:tc>
        <w:tc>
          <w:tcPr>
            <w:tcW w:w="1812" w:type="dxa"/>
            <w:tcBorders>
              <w:top w:val="nil"/>
              <w:left w:val="nil"/>
              <w:right w:val="nil"/>
            </w:tcBorders>
            <w:shd w:val="clear" w:color="auto" w:fill="FFFFFF"/>
          </w:tcPr>
          <w:p w:rsidR="00965D85" w:rsidRPr="00C72C95"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4.5</w:t>
            </w:r>
          </w:p>
        </w:tc>
      </w:tr>
      <w:tr w:rsidR="00965D85" w:rsidRPr="00C72C95" w:rsidTr="008B46DF">
        <w:trPr>
          <w:cantSplit/>
        </w:trPr>
        <w:tc>
          <w:tcPr>
            <w:tcW w:w="4820" w:type="dxa"/>
            <w:tcBorders>
              <w:top w:val="nil"/>
              <w:left w:val="nil"/>
              <w:bottom w:val="single" w:sz="6" w:space="0" w:color="auto"/>
              <w:right w:val="nil"/>
            </w:tcBorders>
            <w:shd w:val="clear" w:color="auto" w:fill="FFFFFF"/>
          </w:tcPr>
          <w:p w:rsidR="00965D85" w:rsidRPr="00C72C95" w:rsidRDefault="00965D85" w:rsidP="008B46DF">
            <w:pPr>
              <w:autoSpaceDE w:val="0"/>
              <w:autoSpaceDN w:val="0"/>
              <w:adjustRightInd w:val="0"/>
              <w:spacing w:after="0"/>
              <w:ind w:left="227" w:hanging="227"/>
              <w:rPr>
                <w:rFonts w:ascii="Calibri" w:eastAsiaTheme="minorEastAsia" w:hAnsi="Calibri" w:cs="Calibri"/>
                <w:color w:val="000000"/>
                <w:sz w:val="20"/>
                <w:vertAlign w:val="superscript"/>
                <w:lang w:eastAsia="en-AU"/>
              </w:rPr>
            </w:pPr>
            <w:r w:rsidRPr="00C72C95">
              <w:rPr>
                <w:rFonts w:ascii="Calibri" w:eastAsiaTheme="minorEastAsia" w:hAnsi="Calibri" w:cs="Calibri"/>
                <w:color w:val="000000"/>
                <w:sz w:val="20"/>
                <w:lang w:eastAsia="en-AU"/>
              </w:rPr>
              <w:t xml:space="preserve">Other </w:t>
            </w:r>
            <w:r w:rsidRPr="00C72C95">
              <w:rPr>
                <w:rFonts w:ascii="Calibri" w:eastAsiaTheme="minorEastAsia" w:hAnsi="Calibri" w:cs="Calibri"/>
                <w:color w:val="000000"/>
                <w:sz w:val="20"/>
                <w:vertAlign w:val="superscript"/>
                <w:lang w:eastAsia="en-AU"/>
              </w:rPr>
              <w:t>(b)</w:t>
            </w:r>
          </w:p>
        </w:tc>
        <w:tc>
          <w:tcPr>
            <w:tcW w:w="1134" w:type="dxa"/>
            <w:tcBorders>
              <w:top w:val="nil"/>
              <w:left w:val="nil"/>
              <w:bottom w:val="single" w:sz="6" w:space="0" w:color="auto"/>
              <w:right w:val="nil"/>
            </w:tcBorders>
            <w:shd w:val="clear" w:color="auto" w:fill="FFFFFF"/>
          </w:tcPr>
          <w:p w:rsidR="00965D85" w:rsidRPr="00C72C95"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103.2</w:t>
            </w:r>
          </w:p>
        </w:tc>
        <w:tc>
          <w:tcPr>
            <w:tcW w:w="1812" w:type="dxa"/>
            <w:tcBorders>
              <w:top w:val="nil"/>
              <w:left w:val="nil"/>
              <w:bottom w:val="single" w:sz="6" w:space="0" w:color="auto"/>
              <w:right w:val="nil"/>
            </w:tcBorders>
            <w:shd w:val="clear" w:color="auto" w:fill="FFFFFF"/>
          </w:tcPr>
          <w:p w:rsidR="00965D85" w:rsidRPr="00C72C95"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105.4</w:t>
            </w:r>
          </w:p>
        </w:tc>
      </w:tr>
      <w:tr w:rsidR="00965D85" w:rsidRPr="00C72C95" w:rsidTr="008B46DF">
        <w:trPr>
          <w:cantSplit/>
        </w:trPr>
        <w:tc>
          <w:tcPr>
            <w:tcW w:w="4820" w:type="dxa"/>
            <w:tcBorders>
              <w:top w:val="single" w:sz="6" w:space="0" w:color="auto"/>
              <w:left w:val="nil"/>
              <w:bottom w:val="single" w:sz="12" w:space="0" w:color="auto"/>
              <w:right w:val="nil"/>
            </w:tcBorders>
            <w:shd w:val="clear" w:color="auto" w:fill="FFFFFF"/>
          </w:tcPr>
          <w:p w:rsidR="00965D85" w:rsidRPr="00C72C95" w:rsidRDefault="00965D85" w:rsidP="008B46DF">
            <w:pPr>
              <w:autoSpaceDE w:val="0"/>
              <w:autoSpaceDN w:val="0"/>
              <w:adjustRightInd w:val="0"/>
              <w:spacing w:after="0"/>
              <w:ind w:left="227" w:hanging="227"/>
              <w:rPr>
                <w:rFonts w:ascii="Calibri" w:eastAsiaTheme="minorEastAsia" w:hAnsi="Calibri" w:cs="Calibri"/>
                <w:b/>
                <w:bCs/>
                <w:color w:val="000000"/>
                <w:sz w:val="20"/>
                <w:lang w:eastAsia="en-AU"/>
              </w:rPr>
            </w:pPr>
            <w:r w:rsidRPr="00C72C95">
              <w:rPr>
                <w:rFonts w:ascii="Calibri" w:eastAsiaTheme="minorEastAsia" w:hAnsi="Calibri" w:cs="Calibri"/>
                <w:b/>
                <w:bCs/>
                <w:color w:val="000000"/>
                <w:sz w:val="20"/>
                <w:lang w:eastAsia="en-AU"/>
              </w:rPr>
              <w:t xml:space="preserve">Total contingent assets </w:t>
            </w:r>
          </w:p>
        </w:tc>
        <w:tc>
          <w:tcPr>
            <w:tcW w:w="1134" w:type="dxa"/>
            <w:tcBorders>
              <w:top w:val="single" w:sz="6" w:space="0" w:color="auto"/>
              <w:left w:val="nil"/>
              <w:bottom w:val="single" w:sz="12" w:space="0" w:color="auto"/>
              <w:right w:val="nil"/>
            </w:tcBorders>
            <w:shd w:val="clear" w:color="auto" w:fill="FFFFFF"/>
          </w:tcPr>
          <w:p w:rsidR="00965D85" w:rsidRPr="00C72C95"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20"/>
                <w:lang w:eastAsia="en-AU"/>
              </w:rPr>
              <w:t>116.8</w:t>
            </w:r>
          </w:p>
        </w:tc>
        <w:tc>
          <w:tcPr>
            <w:tcW w:w="1812" w:type="dxa"/>
            <w:tcBorders>
              <w:top w:val="single" w:sz="6" w:space="0" w:color="auto"/>
              <w:left w:val="nil"/>
              <w:bottom w:val="single" w:sz="12" w:space="0" w:color="auto"/>
              <w:right w:val="nil"/>
            </w:tcBorders>
            <w:shd w:val="clear" w:color="auto" w:fill="FFFFFF"/>
          </w:tcPr>
          <w:p w:rsidR="00965D85" w:rsidRPr="00C72C95"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20"/>
                <w:lang w:eastAsia="en-AU"/>
              </w:rPr>
              <w:t>116.7</w:t>
            </w:r>
          </w:p>
        </w:tc>
      </w:tr>
    </w:tbl>
    <w:p w:rsidR="00965D85" w:rsidRDefault="00965D85" w:rsidP="008B46DF">
      <w:pPr>
        <w:pStyle w:val="Notes"/>
      </w:pPr>
      <w:r>
        <w:t>Notes:</w:t>
      </w:r>
    </w:p>
    <w:p w:rsidR="00965D85" w:rsidRDefault="00965D85" w:rsidP="008B46DF">
      <w:pPr>
        <w:pStyle w:val="Notes"/>
      </w:pPr>
      <w:r>
        <w:t>(a)</w:t>
      </w:r>
      <w:r>
        <w:tab/>
        <w:t xml:space="preserve">As published in the </w:t>
      </w:r>
      <w:r w:rsidRPr="008A13E2">
        <w:rPr>
          <w:i w:val="0"/>
        </w:rPr>
        <w:t>2015</w:t>
      </w:r>
      <w:r>
        <w:rPr>
          <w:i w:val="0"/>
        </w:rPr>
        <w:noBreakHyphen/>
      </w:r>
      <w:r w:rsidRPr="008A13E2">
        <w:rPr>
          <w:i w:val="0"/>
        </w:rPr>
        <w:t>16 Budget</w:t>
      </w:r>
      <w:r>
        <w:t>.</w:t>
      </w:r>
    </w:p>
    <w:p w:rsidR="00965D85" w:rsidRDefault="00965D85" w:rsidP="008B46DF">
      <w:pPr>
        <w:pStyle w:val="Notes"/>
      </w:pPr>
      <w:r>
        <w:t>(b)</w:t>
      </w:r>
      <w:r>
        <w:tab/>
        <w:t>Other contingent assets mainly consists of $100 million relating to contingent payment for Crown Melbourne licence amendments that may be payable in calendar year 2022.</w:t>
      </w:r>
    </w:p>
    <w:p w:rsidR="00965D85" w:rsidRDefault="00965D85" w:rsidP="008B46DF"/>
    <w:p w:rsidR="00965D85" w:rsidRDefault="00965D85" w:rsidP="008B46DF">
      <w:pPr>
        <w:pStyle w:val="Heading2"/>
      </w:pPr>
      <w:r w:rsidRPr="006A75A2">
        <w:t>Non</w:t>
      </w:r>
      <w:r>
        <w:noBreakHyphen/>
      </w:r>
      <w:r w:rsidRPr="006A75A2">
        <w:t>quantifiable contingent assets</w:t>
      </w:r>
    </w:p>
    <w:p w:rsidR="00965D85" w:rsidRPr="00C07D53" w:rsidRDefault="00965D85" w:rsidP="008B46DF">
      <w:pPr>
        <w:pStyle w:val="Heading3"/>
      </w:pPr>
      <w:r w:rsidRPr="00C07D53">
        <w:t xml:space="preserve">CityLink </w:t>
      </w:r>
      <w:r w:rsidRPr="006D380A">
        <w:t>compensable</w:t>
      </w:r>
      <w:r w:rsidRPr="00C07D53">
        <w:t xml:space="preserve"> </w:t>
      </w:r>
      <w:r w:rsidRPr="00F544EF">
        <w:t>enhancement</w:t>
      </w:r>
      <w:r w:rsidRPr="00C07D53">
        <w:t xml:space="preserve"> claims </w:t>
      </w:r>
    </w:p>
    <w:p w:rsidR="00965D85" w:rsidRPr="00C07D53" w:rsidRDefault="00965D85" w:rsidP="008B46DF">
      <w:r w:rsidRPr="00C07D53">
        <w:t>The Melbourne CityLink Concession Deed contains compensable enhancement provisions that enable the State to claim 50</w:t>
      </w:r>
      <w:r>
        <w:t> per cent</w:t>
      </w:r>
      <w:r w:rsidRPr="00C07D53">
        <w:t xml:space="preserve"> of additional revenue derived by CityLink Melbourne Limited (CML) as a result of certain events that particularly benefit CityLink, including changes to the adjoining road network. </w:t>
      </w:r>
    </w:p>
    <w:p w:rsidR="00965D85" w:rsidRDefault="00965D85">
      <w:pPr>
        <w:spacing w:after="0"/>
      </w:pPr>
      <w:r>
        <w:br w:type="page"/>
      </w:r>
    </w:p>
    <w:p w:rsidR="00965D85" w:rsidRDefault="00965D85" w:rsidP="008B46DF">
      <w:r w:rsidRPr="00547C1E">
        <w:lastRenderedPageBreak/>
        <w:t xml:space="preserve">Compensable enhancement claims have previously been lodged in respect </w:t>
      </w:r>
      <w:r>
        <w:t xml:space="preserve">to </w:t>
      </w:r>
      <w:r w:rsidRPr="00547C1E">
        <w:t>works for improving traffic flows on the West Gate Freeway (between Lorimer and Montague streets), and in the vicinity of the intersection of the Bulla Road and the Tullamarine Freeway. The claims were lodged on 20 May 2005 and 29 September 2006 respectively, and are still outstanding.</w:t>
      </w:r>
      <w:r w:rsidRPr="00C07D53">
        <w:t xml:space="preserve"> </w:t>
      </w:r>
    </w:p>
    <w:p w:rsidR="00965D85" w:rsidRPr="001339A5" w:rsidRDefault="00965D85" w:rsidP="008B46DF">
      <w:pPr>
        <w:pStyle w:val="Heading3"/>
      </w:pPr>
      <w:r w:rsidRPr="001339A5">
        <w:t>Peninsula Link compensable enhancement claim</w:t>
      </w:r>
    </w:p>
    <w:p w:rsidR="00965D85" w:rsidRPr="001339A5" w:rsidRDefault="00965D85" w:rsidP="008B46DF">
      <w:r w:rsidRPr="001339A5">
        <w:t>The EastLink Concession Deed contains compensable enhancement provisions that enable the State to claim 50</w:t>
      </w:r>
      <w:r>
        <w:t> per cent</w:t>
      </w:r>
      <w:r w:rsidRPr="001339A5">
        <w:t xml:space="preserve"> of any additional revenue derived by ConnectEast Pty Ltd (ConnectEast) as a result of certain events that particularly benefit EastLink, including changes to the adjoining road network.</w:t>
      </w:r>
    </w:p>
    <w:p w:rsidR="00965D85" w:rsidRDefault="00965D85" w:rsidP="008B46DF">
      <w:r w:rsidRPr="001339A5">
        <w:t>On 2</w:t>
      </w:r>
      <w:r>
        <w:t> </w:t>
      </w:r>
      <w:r w:rsidRPr="001339A5">
        <w:t>January 2014, the State lodged a compensable enha</w:t>
      </w:r>
      <w:r>
        <w:t>ncement claim as a result of opening</w:t>
      </w:r>
      <w:r w:rsidRPr="001339A5">
        <w:t xml:space="preserve"> Peninsula Link. The claim remains outstanding.</w:t>
      </w:r>
    </w:p>
    <w:p w:rsidR="00965D85" w:rsidRPr="008744D8" w:rsidRDefault="00965D85" w:rsidP="008B46DF">
      <w:pPr>
        <w:pStyle w:val="Heading3"/>
      </w:pPr>
      <w:r w:rsidRPr="008744D8">
        <w:t>Gambling licences</w:t>
      </w:r>
    </w:p>
    <w:p w:rsidR="00965D85" w:rsidRPr="00D95E98" w:rsidRDefault="00965D85" w:rsidP="008B46DF">
      <w:pPr>
        <w:spacing w:after="80"/>
      </w:pPr>
      <w:r w:rsidRPr="00D95E98">
        <w:t>In 1992, a gaming operator</w:t>
      </w:r>
      <w:r>
        <w:t>’</w:t>
      </w:r>
      <w:r w:rsidRPr="00D95E98">
        <w:t>s licence was issued to the Trustees of the Will and Estate of the late George Adams, later succeeded by Tatts Group Limited (Tatts). In 1994, the State issued a coupled wagering licence and gaming licence to Tabcorp Holdings Limited (Tabcorp). These licences expired in August</w:t>
      </w:r>
      <w:r>
        <w:t> </w:t>
      </w:r>
      <w:r w:rsidRPr="00D95E98">
        <w:t xml:space="preserve">2012. </w:t>
      </w:r>
    </w:p>
    <w:p w:rsidR="00965D85" w:rsidRPr="00D95E98" w:rsidRDefault="00965D85" w:rsidP="008B46DF">
      <w:pPr>
        <w:spacing w:after="80"/>
      </w:pPr>
      <w:r w:rsidRPr="00D95E98">
        <w:t xml:space="preserve">The </w:t>
      </w:r>
      <w:r w:rsidRPr="00B74921">
        <w:rPr>
          <w:i/>
        </w:rPr>
        <w:t>Gambling Regulation Act 2003</w:t>
      </w:r>
      <w:r w:rsidRPr="00D95E98">
        <w:t xml:space="preserve"> specified end of licence arrangements, which included compensation provisions for the licensees predicated on the previous licensing arrangements being rolled over beyond the</w:t>
      </w:r>
      <w:r>
        <w:t>ir scheduled expiry date. On 10 April </w:t>
      </w:r>
      <w:r w:rsidRPr="00D95E98">
        <w:t>2008, the State announced that a new regulatory and licencing regime w</w:t>
      </w:r>
      <w:r>
        <w:t>ould be implemented post August </w:t>
      </w:r>
      <w:r w:rsidRPr="00D95E98">
        <w:t xml:space="preserve">2012. </w:t>
      </w:r>
    </w:p>
    <w:p w:rsidR="00965D85" w:rsidRPr="00D95E98" w:rsidRDefault="00965D85" w:rsidP="008B46DF">
      <w:pPr>
        <w:spacing w:after="80"/>
      </w:pPr>
      <w:r w:rsidRPr="00D95E98">
        <w:t>This included separating the wagering and gaming licence to instead license wagering on a standalone basis; and transitioning from the gaming operator duopoly to a system where venue operators are licensed to own and operate gami</w:t>
      </w:r>
      <w:r>
        <w:t xml:space="preserve">ng machines in their own right. </w:t>
      </w:r>
      <w:r w:rsidRPr="00D95E98">
        <w:t xml:space="preserve">After considering the end of licence arrangements in the </w:t>
      </w:r>
      <w:r>
        <w:rPr>
          <w:i/>
        </w:rPr>
        <w:t>Gambling Regulation Act </w:t>
      </w:r>
      <w:r w:rsidRPr="00B74921">
        <w:rPr>
          <w:i/>
        </w:rPr>
        <w:t>2003</w:t>
      </w:r>
      <w:r w:rsidRPr="00D95E98">
        <w:t xml:space="preserve">, the State formed the view that neither Tatts nor Tabcorp were entitled to compensation after the expiration of their licences. </w:t>
      </w:r>
    </w:p>
    <w:p w:rsidR="00965D85" w:rsidRDefault="00965D85" w:rsidP="008B46DF">
      <w:pPr>
        <w:spacing w:after="60"/>
      </w:pPr>
      <w:r w:rsidRPr="00D95E98">
        <w:t xml:space="preserve">In August 2012 Tatts and Tabcorp commenced legal proceedings </w:t>
      </w:r>
      <w:r>
        <w:t xml:space="preserve">in the Supreme Court </w:t>
      </w:r>
      <w:r w:rsidRPr="00D95E98">
        <w:t>against the State. The State defended both claims and was successful in relation to the Tabcorp claim but unsuccessful in relation to the Tatts claim. On 27 June 2014, the State paid Tatts its claimed amount including interest, amounting to $540.5</w:t>
      </w:r>
      <w:r>
        <w:t> million</w:t>
      </w:r>
      <w:r w:rsidRPr="00D95E98">
        <w:t xml:space="preserve">. </w:t>
      </w:r>
    </w:p>
    <w:p w:rsidR="00965D85" w:rsidRDefault="00965D85" w:rsidP="008B46DF">
      <w:pPr>
        <w:spacing w:after="60"/>
      </w:pPr>
      <w:r>
        <w:t>On 4 </w:t>
      </w:r>
      <w:r w:rsidRPr="00D95E98">
        <w:t>December 2014</w:t>
      </w:r>
      <w:r>
        <w:t>, the decision was upheld by</w:t>
      </w:r>
      <w:r w:rsidRPr="00D95E98">
        <w:t xml:space="preserve"> the </w:t>
      </w:r>
      <w:r>
        <w:t>Court of Appeal</w:t>
      </w:r>
      <w:r w:rsidRPr="00D95E98">
        <w:t xml:space="preserve">. </w:t>
      </w:r>
      <w:r>
        <w:t xml:space="preserve">The State </w:t>
      </w:r>
      <w:r w:rsidRPr="00D95E98">
        <w:t>appeal</w:t>
      </w:r>
      <w:r>
        <w:t>ed the decision</w:t>
      </w:r>
      <w:r w:rsidRPr="00D95E98">
        <w:t xml:space="preserve"> to the High Court of Aus</w:t>
      </w:r>
      <w:r>
        <w:t xml:space="preserve">tralia, and the appeal was heard on 10 and 11 November 2015. </w:t>
      </w:r>
    </w:p>
    <w:p w:rsidR="00965D85" w:rsidRPr="00D95E98" w:rsidRDefault="00965D85" w:rsidP="008B46DF">
      <w:pPr>
        <w:spacing w:after="60"/>
      </w:pPr>
      <w:r>
        <w:t>Judgement has been reserved and will be handed down by the High Court in due course.</w:t>
      </w:r>
    </w:p>
    <w:p w:rsidR="00965D85" w:rsidRDefault="00965D85">
      <w:pPr>
        <w:spacing w:after="0"/>
        <w:rPr>
          <w:rFonts w:ascii="Calibri" w:hAnsi="Calibri"/>
          <w:b/>
          <w:caps/>
          <w:sz w:val="26"/>
          <w:szCs w:val="22"/>
        </w:rPr>
      </w:pPr>
      <w:r>
        <w:br w:type="page"/>
      </w:r>
    </w:p>
    <w:p w:rsidR="00965D85" w:rsidRPr="00681797" w:rsidRDefault="00965D85" w:rsidP="008B46DF">
      <w:pPr>
        <w:pStyle w:val="Heading1"/>
      </w:pPr>
      <w:bookmarkStart w:id="82" w:name="_Toc436147547"/>
      <w:r w:rsidRPr="00B77523">
        <w:lastRenderedPageBreak/>
        <w:t>Contingent</w:t>
      </w:r>
      <w:r w:rsidRPr="00681797">
        <w:t xml:space="preserve"> liabilities</w:t>
      </w:r>
      <w:bookmarkEnd w:id="82"/>
    </w:p>
    <w:p w:rsidR="00965D85" w:rsidRPr="006A75A2" w:rsidRDefault="00965D85" w:rsidP="008B46DF">
      <w:pPr>
        <w:spacing w:after="80"/>
      </w:pPr>
      <w:r w:rsidRPr="006A75A2">
        <w:t>Contingent liabilities are:</w:t>
      </w:r>
    </w:p>
    <w:p w:rsidR="00965D85" w:rsidRPr="006A75A2" w:rsidRDefault="00965D85" w:rsidP="008B46DF">
      <w:pPr>
        <w:pStyle w:val="BulletText"/>
        <w:spacing w:after="60"/>
      </w:pPr>
      <w:r w:rsidRPr="006A75A2">
        <w:t>possible obligations that arise from past events, whose existence will be confirmed only by the occurrence or non</w:t>
      </w:r>
      <w:r>
        <w:noBreakHyphen/>
      </w:r>
      <w:r w:rsidRPr="006A75A2">
        <w:t>occurrence of one or more uncertain future events not wholly within the control of the entity; or</w:t>
      </w:r>
    </w:p>
    <w:p w:rsidR="00965D85" w:rsidRPr="006A75A2" w:rsidRDefault="00965D85" w:rsidP="008B46DF">
      <w:pPr>
        <w:pStyle w:val="BulletText"/>
        <w:spacing w:after="60"/>
      </w:pPr>
      <w:r w:rsidRPr="006A75A2">
        <w:t>present obligations that arise from past events but are not recognised because:</w:t>
      </w:r>
    </w:p>
    <w:p w:rsidR="00965D85" w:rsidRPr="006A75A2" w:rsidRDefault="00965D85" w:rsidP="008B46DF">
      <w:pPr>
        <w:pStyle w:val="DashText"/>
        <w:spacing w:after="40"/>
      </w:pPr>
      <w:r w:rsidRPr="006A75A2">
        <w:t>it is not probable that an outflow of resources embodying economic benefits will be required to settle the obligations; or</w:t>
      </w:r>
    </w:p>
    <w:p w:rsidR="00965D85" w:rsidRPr="006A75A2" w:rsidRDefault="00965D85" w:rsidP="008B46DF">
      <w:pPr>
        <w:pStyle w:val="DashText"/>
        <w:tabs>
          <w:tab w:val="left" w:pos="5954"/>
        </w:tabs>
        <w:spacing w:after="40"/>
      </w:pPr>
      <w:r w:rsidRPr="006A75A2">
        <w:t>the amount of the obligations cannot be measured with sufficient reliability.</w:t>
      </w:r>
    </w:p>
    <w:p w:rsidR="00965D85" w:rsidRDefault="00965D85" w:rsidP="008B46DF">
      <w:r w:rsidRPr="006A75A2">
        <w:t>As with contingent assets, contingent liabilities are also classified as either quantifiable or non</w:t>
      </w:r>
      <w:r>
        <w:noBreakHyphen/>
      </w:r>
      <w:r w:rsidRPr="006A75A2">
        <w:t>quantifiable. The table below contains quantifiable contingen</w:t>
      </w:r>
      <w:r>
        <w:t xml:space="preserve">t liabilities as at </w:t>
      </w:r>
      <w:r w:rsidRPr="00977882">
        <w:t>18 November 2015.</w:t>
      </w:r>
    </w:p>
    <w:p w:rsidR="00965D85" w:rsidRDefault="00965D85" w:rsidP="008B46DF">
      <w:pPr>
        <w:pStyle w:val="Tableheading"/>
        <w:rPr>
          <w:rFonts w:ascii="Times New Roman" w:hAnsi="Times New Roman"/>
          <w:i/>
          <w:sz w:val="20"/>
          <w:lang w:eastAsia="en-AU"/>
        </w:rPr>
      </w:pPr>
      <w:r>
        <w:t>Table 6.2:</w:t>
      </w:r>
      <w:r>
        <w:tab/>
      </w:r>
      <w:r w:rsidRPr="008A13E2">
        <w:t>Quantifiable contingent liabilities</w:t>
      </w:r>
    </w:p>
    <w:tbl>
      <w:tblPr>
        <w:tblW w:w="7766" w:type="dxa"/>
        <w:tblInd w:w="45" w:type="dxa"/>
        <w:tblLayout w:type="fixed"/>
        <w:tblCellMar>
          <w:left w:w="45" w:type="dxa"/>
          <w:right w:w="45" w:type="dxa"/>
        </w:tblCellMar>
        <w:tblLook w:val="0000" w:firstRow="0" w:lastRow="0" w:firstColumn="0" w:lastColumn="0" w:noHBand="0" w:noVBand="0"/>
      </w:tblPr>
      <w:tblGrid>
        <w:gridCol w:w="4820"/>
        <w:gridCol w:w="1134"/>
        <w:gridCol w:w="1812"/>
      </w:tblGrid>
      <w:tr w:rsidR="00965D85" w:rsidRPr="00C72C95" w:rsidTr="008B46DF">
        <w:trPr>
          <w:cantSplit/>
          <w:tblHeader/>
        </w:trPr>
        <w:tc>
          <w:tcPr>
            <w:tcW w:w="7766" w:type="dxa"/>
            <w:gridSpan w:val="3"/>
            <w:tcBorders>
              <w:top w:val="nil"/>
              <w:left w:val="nil"/>
              <w:right w:val="nil"/>
            </w:tcBorders>
          </w:tcPr>
          <w:p w:rsidR="00965D85" w:rsidRPr="00C72C95" w:rsidRDefault="00965D85" w:rsidP="008B46DF">
            <w:pPr>
              <w:pStyle w:val="million"/>
              <w:rPr>
                <w:rFonts w:eastAsiaTheme="minorEastAsia"/>
                <w:lang w:eastAsia="en-AU"/>
              </w:rPr>
            </w:pPr>
            <w:r w:rsidRPr="00C72C95">
              <w:rPr>
                <w:rFonts w:eastAsiaTheme="minorEastAsia"/>
                <w:lang w:eastAsia="en-AU"/>
              </w:rPr>
              <w:t>($ million)</w:t>
            </w:r>
          </w:p>
        </w:tc>
      </w:tr>
      <w:tr w:rsidR="00965D85" w:rsidRPr="00C72C95" w:rsidTr="008B46DF">
        <w:trPr>
          <w:cantSplit/>
          <w:tblHeader/>
        </w:trPr>
        <w:tc>
          <w:tcPr>
            <w:tcW w:w="4820" w:type="dxa"/>
            <w:tcBorders>
              <w:top w:val="single" w:sz="6" w:space="0" w:color="auto"/>
              <w:left w:val="nil"/>
              <w:right w:val="nil"/>
            </w:tcBorders>
            <w:shd w:val="solid" w:color="000000" w:fill="auto"/>
          </w:tcPr>
          <w:p w:rsidR="00965D85" w:rsidRPr="00C72C95" w:rsidRDefault="00965D85" w:rsidP="008B46DF">
            <w:pPr>
              <w:autoSpaceDE w:val="0"/>
              <w:autoSpaceDN w:val="0"/>
              <w:adjustRightInd w:val="0"/>
              <w:spacing w:after="0"/>
              <w:rPr>
                <w:rFonts w:ascii="Calibri" w:eastAsiaTheme="minorEastAsia" w:hAnsi="Calibri" w:cs="Calibri"/>
                <w:color w:val="FFFFFF"/>
                <w:sz w:val="20"/>
                <w:lang w:eastAsia="en-AU"/>
              </w:rPr>
            </w:pPr>
            <w:r w:rsidRPr="00C72C95">
              <w:rPr>
                <w:rFonts w:ascii="Calibri" w:eastAsiaTheme="minorEastAsia" w:hAnsi="Calibri" w:cs="Calibri"/>
                <w:color w:val="FFFFFF"/>
                <w:sz w:val="20"/>
                <w:lang w:eastAsia="en-AU"/>
              </w:rPr>
              <w:t xml:space="preserve"> </w:t>
            </w:r>
          </w:p>
        </w:tc>
        <w:tc>
          <w:tcPr>
            <w:tcW w:w="1134" w:type="dxa"/>
            <w:tcBorders>
              <w:top w:val="single" w:sz="6" w:space="0" w:color="auto"/>
              <w:left w:val="nil"/>
              <w:right w:val="nil"/>
            </w:tcBorders>
            <w:shd w:val="solid" w:color="000000" w:fill="auto"/>
          </w:tcPr>
          <w:p w:rsidR="00965D85" w:rsidRPr="00C72C95"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C72C95">
              <w:rPr>
                <w:rFonts w:ascii="Calibri" w:eastAsiaTheme="minorEastAsia" w:hAnsi="Calibri" w:cs="Calibri"/>
                <w:i/>
                <w:iCs/>
                <w:color w:val="FFFFFF"/>
                <w:sz w:val="20"/>
                <w:lang w:eastAsia="en-AU"/>
              </w:rPr>
              <w:t xml:space="preserve">As at </w:t>
            </w:r>
          </w:p>
          <w:p w:rsidR="00965D85" w:rsidRPr="00C72C95"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C72C95">
              <w:rPr>
                <w:rFonts w:ascii="Calibri" w:eastAsiaTheme="minorEastAsia" w:hAnsi="Calibri" w:cs="Calibri"/>
                <w:i/>
                <w:iCs/>
                <w:color w:val="FFFFFF"/>
                <w:sz w:val="20"/>
                <w:lang w:eastAsia="en-AU"/>
              </w:rPr>
              <w:t>Dec 2015</w:t>
            </w:r>
          </w:p>
        </w:tc>
        <w:tc>
          <w:tcPr>
            <w:tcW w:w="1812" w:type="dxa"/>
            <w:tcBorders>
              <w:top w:val="single" w:sz="6" w:space="0" w:color="auto"/>
              <w:left w:val="nil"/>
              <w:right w:val="nil"/>
            </w:tcBorders>
            <w:shd w:val="solid" w:color="000000" w:fill="auto"/>
          </w:tcPr>
          <w:p w:rsidR="00965D85" w:rsidRPr="00C72C95"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C72C95">
              <w:rPr>
                <w:rFonts w:ascii="Calibri" w:eastAsiaTheme="minorEastAsia" w:hAnsi="Calibri" w:cs="Calibri"/>
                <w:i/>
                <w:iCs/>
                <w:color w:val="FFFFFF"/>
                <w:sz w:val="20"/>
                <w:lang w:eastAsia="en-AU"/>
              </w:rPr>
              <w:t xml:space="preserve">Published budget </w:t>
            </w:r>
          </w:p>
          <w:p w:rsidR="00965D85" w:rsidRPr="00C72C95" w:rsidRDefault="00965D85" w:rsidP="008B46DF">
            <w:pPr>
              <w:autoSpaceDE w:val="0"/>
              <w:autoSpaceDN w:val="0"/>
              <w:adjustRightInd w:val="0"/>
              <w:spacing w:after="0"/>
              <w:jc w:val="right"/>
              <w:rPr>
                <w:rFonts w:ascii="Calibri" w:eastAsiaTheme="minorEastAsia" w:hAnsi="Calibri" w:cs="Calibri"/>
                <w:i/>
                <w:iCs/>
                <w:color w:val="FFFFFF"/>
                <w:sz w:val="20"/>
                <w:vertAlign w:val="superscript"/>
                <w:lang w:eastAsia="en-AU"/>
              </w:rPr>
            </w:pPr>
            <w:r w:rsidRPr="00C72C95">
              <w:rPr>
                <w:rFonts w:ascii="Calibri" w:eastAsiaTheme="minorEastAsia" w:hAnsi="Calibri" w:cs="Calibri"/>
                <w:i/>
                <w:iCs/>
                <w:color w:val="FFFFFF"/>
                <w:sz w:val="20"/>
                <w:lang w:eastAsia="en-AU"/>
              </w:rPr>
              <w:t xml:space="preserve">estimate </w:t>
            </w:r>
            <w:r w:rsidRPr="00C72C95">
              <w:rPr>
                <w:rFonts w:ascii="Calibri" w:eastAsiaTheme="minorEastAsia" w:hAnsi="Calibri" w:cs="Calibri"/>
                <w:i/>
                <w:iCs/>
                <w:color w:val="FFFFFF"/>
                <w:sz w:val="20"/>
                <w:vertAlign w:val="superscript"/>
                <w:lang w:eastAsia="en-AU"/>
              </w:rPr>
              <w:t>(a)</w:t>
            </w:r>
          </w:p>
        </w:tc>
      </w:tr>
      <w:tr w:rsidR="00965D85" w:rsidRPr="00C72C95" w:rsidTr="008B46DF">
        <w:trPr>
          <w:cantSplit/>
        </w:trPr>
        <w:tc>
          <w:tcPr>
            <w:tcW w:w="4820" w:type="dxa"/>
            <w:tcBorders>
              <w:top w:val="nil"/>
              <w:left w:val="nil"/>
              <w:right w:val="nil"/>
            </w:tcBorders>
            <w:shd w:val="clear" w:color="auto" w:fill="FFFFFF"/>
          </w:tcPr>
          <w:p w:rsidR="00965D85" w:rsidRPr="00C72C95"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C72C95">
              <w:rPr>
                <w:rFonts w:ascii="Calibri" w:eastAsiaTheme="minorEastAsia" w:hAnsi="Calibri" w:cs="Calibri"/>
                <w:color w:val="000000"/>
                <w:sz w:val="20"/>
                <w:lang w:eastAsia="en-AU"/>
              </w:rPr>
              <w:t>Guarantees, indemnities and warranties</w:t>
            </w:r>
          </w:p>
        </w:tc>
        <w:tc>
          <w:tcPr>
            <w:tcW w:w="1134" w:type="dxa"/>
            <w:tcBorders>
              <w:top w:val="nil"/>
              <w:left w:val="nil"/>
              <w:right w:val="nil"/>
            </w:tcBorders>
            <w:shd w:val="clear" w:color="auto" w:fill="FFFFFF"/>
          </w:tcPr>
          <w:p w:rsidR="00965D85" w:rsidRPr="00C72C95"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316.2</w:t>
            </w:r>
          </w:p>
        </w:tc>
        <w:tc>
          <w:tcPr>
            <w:tcW w:w="1812" w:type="dxa"/>
            <w:tcBorders>
              <w:top w:val="nil"/>
              <w:left w:val="nil"/>
              <w:right w:val="nil"/>
            </w:tcBorders>
            <w:shd w:val="clear" w:color="auto" w:fill="FFFFFF"/>
          </w:tcPr>
          <w:p w:rsidR="00965D85" w:rsidRPr="00C72C95"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312.4</w:t>
            </w:r>
          </w:p>
        </w:tc>
      </w:tr>
      <w:tr w:rsidR="00965D85" w:rsidRPr="00C72C95" w:rsidTr="008B46DF">
        <w:trPr>
          <w:cantSplit/>
        </w:trPr>
        <w:tc>
          <w:tcPr>
            <w:tcW w:w="4820" w:type="dxa"/>
            <w:tcBorders>
              <w:top w:val="nil"/>
              <w:left w:val="nil"/>
              <w:right w:val="nil"/>
            </w:tcBorders>
            <w:shd w:val="clear" w:color="auto" w:fill="FFFFFF"/>
          </w:tcPr>
          <w:p w:rsidR="00965D85" w:rsidRPr="00C72C95"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C72C95">
              <w:rPr>
                <w:rFonts w:ascii="Calibri" w:eastAsiaTheme="minorEastAsia" w:hAnsi="Calibri" w:cs="Calibri"/>
                <w:color w:val="000000"/>
                <w:sz w:val="20"/>
                <w:lang w:eastAsia="en-AU"/>
              </w:rPr>
              <w:t>Legal proceedings and disputes</w:t>
            </w:r>
          </w:p>
        </w:tc>
        <w:tc>
          <w:tcPr>
            <w:tcW w:w="1134" w:type="dxa"/>
            <w:tcBorders>
              <w:top w:val="nil"/>
              <w:left w:val="nil"/>
              <w:right w:val="nil"/>
            </w:tcBorders>
            <w:shd w:val="clear" w:color="auto" w:fill="FFFFFF"/>
          </w:tcPr>
          <w:p w:rsidR="00965D85" w:rsidRPr="00C72C95"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223.7</w:t>
            </w:r>
          </w:p>
        </w:tc>
        <w:tc>
          <w:tcPr>
            <w:tcW w:w="1812" w:type="dxa"/>
            <w:tcBorders>
              <w:top w:val="nil"/>
              <w:left w:val="nil"/>
              <w:right w:val="nil"/>
            </w:tcBorders>
            <w:shd w:val="clear" w:color="auto" w:fill="FFFFFF"/>
          </w:tcPr>
          <w:p w:rsidR="00965D85" w:rsidRPr="00C72C95"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235.3</w:t>
            </w:r>
          </w:p>
        </w:tc>
      </w:tr>
      <w:tr w:rsidR="00965D85" w:rsidRPr="00C72C95" w:rsidTr="008B46DF">
        <w:trPr>
          <w:cantSplit/>
        </w:trPr>
        <w:tc>
          <w:tcPr>
            <w:tcW w:w="4820" w:type="dxa"/>
            <w:tcBorders>
              <w:top w:val="nil"/>
              <w:left w:val="nil"/>
              <w:right w:val="nil"/>
            </w:tcBorders>
            <w:shd w:val="clear" w:color="auto" w:fill="FFFFFF"/>
          </w:tcPr>
          <w:p w:rsidR="00965D85" w:rsidRPr="00C72C95"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C72C95">
              <w:rPr>
                <w:rFonts w:ascii="Calibri" w:eastAsiaTheme="minorEastAsia" w:hAnsi="Calibri" w:cs="Calibri"/>
                <w:color w:val="000000"/>
                <w:sz w:val="20"/>
                <w:lang w:eastAsia="en-AU"/>
              </w:rPr>
              <w:t>Other</w:t>
            </w:r>
          </w:p>
        </w:tc>
        <w:tc>
          <w:tcPr>
            <w:tcW w:w="1134" w:type="dxa"/>
            <w:tcBorders>
              <w:top w:val="nil"/>
              <w:left w:val="nil"/>
              <w:right w:val="nil"/>
            </w:tcBorders>
            <w:shd w:val="clear" w:color="auto" w:fill="FFFFFF"/>
          </w:tcPr>
          <w:p w:rsidR="00965D85" w:rsidRPr="00C72C95"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173.9</w:t>
            </w:r>
          </w:p>
        </w:tc>
        <w:tc>
          <w:tcPr>
            <w:tcW w:w="1812" w:type="dxa"/>
            <w:tcBorders>
              <w:top w:val="nil"/>
              <w:left w:val="nil"/>
              <w:right w:val="nil"/>
            </w:tcBorders>
            <w:shd w:val="clear" w:color="auto" w:fill="FFFFFF"/>
          </w:tcPr>
          <w:p w:rsidR="00965D85" w:rsidRPr="00C72C95"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200.7</w:t>
            </w:r>
          </w:p>
        </w:tc>
      </w:tr>
      <w:tr w:rsidR="00965D85" w:rsidRPr="00C72C95" w:rsidTr="008B46DF">
        <w:trPr>
          <w:cantSplit/>
        </w:trPr>
        <w:tc>
          <w:tcPr>
            <w:tcW w:w="4820" w:type="dxa"/>
            <w:tcBorders>
              <w:top w:val="nil"/>
              <w:left w:val="nil"/>
              <w:bottom w:val="single" w:sz="6" w:space="0" w:color="auto"/>
              <w:right w:val="nil"/>
            </w:tcBorders>
            <w:shd w:val="clear" w:color="auto" w:fill="FFFFFF"/>
          </w:tcPr>
          <w:p w:rsidR="00965D85" w:rsidRPr="00C72C95" w:rsidRDefault="00965D85" w:rsidP="008B46DF">
            <w:pPr>
              <w:autoSpaceDE w:val="0"/>
              <w:autoSpaceDN w:val="0"/>
              <w:adjustRightInd w:val="0"/>
              <w:spacing w:after="0"/>
              <w:ind w:left="227" w:hanging="227"/>
              <w:rPr>
                <w:rFonts w:ascii="Calibri" w:eastAsiaTheme="minorEastAsia" w:hAnsi="Calibri" w:cs="Calibri"/>
                <w:color w:val="000000"/>
                <w:sz w:val="20"/>
                <w:vertAlign w:val="superscript"/>
                <w:lang w:eastAsia="en-AU"/>
              </w:rPr>
            </w:pPr>
            <w:r w:rsidRPr="00C72C95">
              <w:rPr>
                <w:rFonts w:ascii="Calibri" w:eastAsiaTheme="minorEastAsia" w:hAnsi="Calibri" w:cs="Calibri"/>
                <w:color w:val="000000"/>
                <w:sz w:val="20"/>
                <w:lang w:eastAsia="en-AU"/>
              </w:rPr>
              <w:t>Non</w:t>
            </w:r>
            <w:r>
              <w:rPr>
                <w:rFonts w:ascii="Calibri" w:eastAsiaTheme="minorEastAsia" w:hAnsi="Calibri" w:cs="Calibri"/>
                <w:color w:val="000000"/>
                <w:sz w:val="20"/>
                <w:lang w:eastAsia="en-AU"/>
              </w:rPr>
              <w:noBreakHyphen/>
            </w:r>
            <w:r w:rsidRPr="00C72C95">
              <w:rPr>
                <w:rFonts w:ascii="Calibri" w:eastAsiaTheme="minorEastAsia" w:hAnsi="Calibri" w:cs="Calibri"/>
                <w:color w:val="000000"/>
                <w:sz w:val="20"/>
                <w:lang w:eastAsia="en-AU"/>
              </w:rPr>
              <w:t xml:space="preserve">general government debt </w:t>
            </w:r>
            <w:r w:rsidRPr="00C72C95">
              <w:rPr>
                <w:rFonts w:ascii="Calibri" w:eastAsiaTheme="minorEastAsia" w:hAnsi="Calibri" w:cs="Calibri"/>
                <w:color w:val="000000"/>
                <w:sz w:val="20"/>
                <w:vertAlign w:val="superscript"/>
                <w:lang w:eastAsia="en-AU"/>
              </w:rPr>
              <w:t>(b)</w:t>
            </w:r>
          </w:p>
        </w:tc>
        <w:tc>
          <w:tcPr>
            <w:tcW w:w="1134" w:type="dxa"/>
            <w:tcBorders>
              <w:top w:val="nil"/>
              <w:left w:val="nil"/>
              <w:bottom w:val="single" w:sz="6" w:space="0" w:color="auto"/>
              <w:right w:val="nil"/>
            </w:tcBorders>
            <w:shd w:val="clear" w:color="auto" w:fill="FFFFFF"/>
          </w:tcPr>
          <w:p w:rsidR="00965D85" w:rsidRPr="00C72C95"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C72C95">
              <w:rPr>
                <w:rFonts w:ascii="Calibri" w:eastAsiaTheme="minorEastAsia" w:hAnsi="Calibri" w:cs="Calibri"/>
                <w:color w:val="000000"/>
                <w:sz w:val="20"/>
                <w:lang w:eastAsia="en-AU"/>
              </w:rPr>
              <w:t>10 984.7</w:t>
            </w:r>
          </w:p>
        </w:tc>
        <w:tc>
          <w:tcPr>
            <w:tcW w:w="1812" w:type="dxa"/>
            <w:tcBorders>
              <w:top w:val="nil"/>
              <w:left w:val="nil"/>
              <w:bottom w:val="single" w:sz="6" w:space="0" w:color="auto"/>
              <w:right w:val="nil"/>
            </w:tcBorders>
            <w:shd w:val="clear" w:color="auto" w:fill="FFFFFF"/>
          </w:tcPr>
          <w:p w:rsidR="00965D85" w:rsidRPr="00C72C95"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C72C95">
              <w:rPr>
                <w:rFonts w:ascii="Calibri" w:eastAsiaTheme="minorEastAsia" w:hAnsi="Calibri" w:cs="Calibri"/>
                <w:color w:val="000000"/>
                <w:sz w:val="20"/>
                <w:lang w:eastAsia="en-AU"/>
              </w:rPr>
              <w:t>11 274.6</w:t>
            </w:r>
          </w:p>
        </w:tc>
      </w:tr>
      <w:tr w:rsidR="00965D85" w:rsidRPr="00C72C95" w:rsidTr="008B46DF">
        <w:trPr>
          <w:cantSplit/>
        </w:trPr>
        <w:tc>
          <w:tcPr>
            <w:tcW w:w="4820" w:type="dxa"/>
            <w:tcBorders>
              <w:top w:val="single" w:sz="6" w:space="0" w:color="auto"/>
              <w:left w:val="nil"/>
              <w:bottom w:val="single" w:sz="12" w:space="0" w:color="auto"/>
              <w:right w:val="nil"/>
            </w:tcBorders>
            <w:shd w:val="clear" w:color="auto" w:fill="FFFFFF"/>
          </w:tcPr>
          <w:p w:rsidR="00965D85" w:rsidRPr="00C72C95" w:rsidRDefault="00965D85" w:rsidP="008B46DF">
            <w:pPr>
              <w:autoSpaceDE w:val="0"/>
              <w:autoSpaceDN w:val="0"/>
              <w:adjustRightInd w:val="0"/>
              <w:spacing w:after="0"/>
              <w:ind w:left="227" w:hanging="227"/>
              <w:rPr>
                <w:rFonts w:ascii="Calibri" w:eastAsiaTheme="minorEastAsia" w:hAnsi="Calibri" w:cs="Calibri"/>
                <w:b/>
                <w:bCs/>
                <w:color w:val="000000"/>
                <w:sz w:val="20"/>
                <w:lang w:eastAsia="en-AU"/>
              </w:rPr>
            </w:pPr>
            <w:r w:rsidRPr="00C72C95">
              <w:rPr>
                <w:rFonts w:ascii="Calibri" w:eastAsiaTheme="minorEastAsia" w:hAnsi="Calibri" w:cs="Calibri"/>
                <w:b/>
                <w:bCs/>
                <w:color w:val="000000"/>
                <w:sz w:val="20"/>
                <w:lang w:eastAsia="en-AU"/>
              </w:rPr>
              <w:t xml:space="preserve">Total contingent liabilities </w:t>
            </w:r>
          </w:p>
        </w:tc>
        <w:tc>
          <w:tcPr>
            <w:tcW w:w="1134" w:type="dxa"/>
            <w:tcBorders>
              <w:top w:val="single" w:sz="6" w:space="0" w:color="auto"/>
              <w:left w:val="nil"/>
              <w:bottom w:val="single" w:sz="12" w:space="0" w:color="auto"/>
              <w:right w:val="nil"/>
            </w:tcBorders>
            <w:shd w:val="clear" w:color="auto" w:fill="FFFFFF"/>
          </w:tcPr>
          <w:p w:rsidR="00965D85" w:rsidRPr="00C72C95"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C72C95">
              <w:rPr>
                <w:rFonts w:ascii="Calibri" w:eastAsiaTheme="minorEastAsia" w:hAnsi="Calibri" w:cs="Calibri"/>
                <w:b/>
                <w:bCs/>
                <w:color w:val="000000"/>
                <w:sz w:val="20"/>
                <w:lang w:eastAsia="en-AU"/>
              </w:rPr>
              <w:t>11 698.4</w:t>
            </w:r>
          </w:p>
        </w:tc>
        <w:tc>
          <w:tcPr>
            <w:tcW w:w="1812" w:type="dxa"/>
            <w:tcBorders>
              <w:top w:val="single" w:sz="6" w:space="0" w:color="auto"/>
              <w:left w:val="nil"/>
              <w:bottom w:val="single" w:sz="12" w:space="0" w:color="auto"/>
              <w:right w:val="nil"/>
            </w:tcBorders>
            <w:shd w:val="clear" w:color="auto" w:fill="FFFFFF"/>
          </w:tcPr>
          <w:p w:rsidR="00965D85" w:rsidRPr="00C72C95"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C72C95">
              <w:rPr>
                <w:rFonts w:ascii="Calibri" w:eastAsiaTheme="minorEastAsia" w:hAnsi="Calibri" w:cs="Calibri"/>
                <w:b/>
                <w:bCs/>
                <w:color w:val="000000"/>
                <w:sz w:val="20"/>
                <w:lang w:eastAsia="en-AU"/>
              </w:rPr>
              <w:t>12 023.0</w:t>
            </w:r>
          </w:p>
        </w:tc>
      </w:tr>
    </w:tbl>
    <w:p w:rsidR="00965D85" w:rsidRDefault="00965D85" w:rsidP="008B46DF">
      <w:pPr>
        <w:pStyle w:val="Notes"/>
      </w:pPr>
      <w:r>
        <w:t>Notes:</w:t>
      </w:r>
    </w:p>
    <w:p w:rsidR="00965D85" w:rsidRDefault="00965D85" w:rsidP="008B46DF">
      <w:pPr>
        <w:pStyle w:val="Notes"/>
      </w:pPr>
      <w:r>
        <w:t xml:space="preserve">(a) </w:t>
      </w:r>
      <w:r>
        <w:tab/>
        <w:t xml:space="preserve">As published in the </w:t>
      </w:r>
      <w:r w:rsidRPr="008A13E2">
        <w:rPr>
          <w:i w:val="0"/>
        </w:rPr>
        <w:t>2015</w:t>
      </w:r>
      <w:r>
        <w:rPr>
          <w:i w:val="0"/>
        </w:rPr>
        <w:noBreakHyphen/>
      </w:r>
      <w:r w:rsidRPr="008A13E2">
        <w:rPr>
          <w:i w:val="0"/>
        </w:rPr>
        <w:t>16 Budget</w:t>
      </w:r>
      <w:r>
        <w:t>.</w:t>
      </w:r>
    </w:p>
    <w:p w:rsidR="00965D85" w:rsidRDefault="00965D85" w:rsidP="008B46DF">
      <w:pPr>
        <w:pStyle w:val="Notes"/>
      </w:pPr>
      <w:r>
        <w:t xml:space="preserve">(b) </w:t>
      </w:r>
      <w:r>
        <w:tab/>
        <w:t>Mainly represents the guarantee of borrowings provided by the Treasurer for the public sector borrowings portfolio.</w:t>
      </w:r>
    </w:p>
    <w:p w:rsidR="00965D85" w:rsidRDefault="00965D85" w:rsidP="008B46DF"/>
    <w:p w:rsidR="00965D85" w:rsidRPr="006A75A2" w:rsidRDefault="00965D85" w:rsidP="008B46DF">
      <w:pPr>
        <w:pStyle w:val="Heading2"/>
      </w:pPr>
      <w:r w:rsidRPr="006A75A2">
        <w:t>Non</w:t>
      </w:r>
      <w:r>
        <w:noBreakHyphen/>
      </w:r>
      <w:r w:rsidRPr="006A75A2">
        <w:t>quantifiable contingent liabilities</w:t>
      </w:r>
    </w:p>
    <w:p w:rsidR="00965D85" w:rsidRPr="006A75A2" w:rsidRDefault="00965D85" w:rsidP="008B46DF">
      <w:r w:rsidRPr="006A75A2">
        <w:t>A number of potential obligations are non</w:t>
      </w:r>
      <w:r>
        <w:noBreakHyphen/>
      </w:r>
      <w:r w:rsidRPr="006A75A2">
        <w:t>quantifiable at this time arising from:</w:t>
      </w:r>
    </w:p>
    <w:p w:rsidR="00965D85" w:rsidRPr="006A75A2" w:rsidRDefault="00965D85" w:rsidP="008B46DF">
      <w:pPr>
        <w:pStyle w:val="BulletText"/>
      </w:pPr>
      <w:r w:rsidRPr="006A75A2">
        <w:t xml:space="preserve">indemnities </w:t>
      </w:r>
      <w:r w:rsidRPr="00F225FB">
        <w:t>provided</w:t>
      </w:r>
      <w:r w:rsidRPr="006A75A2">
        <w:t xml:space="preserve"> in relation to transactions, including financial arrangements and consultancy services, as well as for directors and administrators;</w:t>
      </w:r>
    </w:p>
    <w:p w:rsidR="00965D85" w:rsidRPr="006A75A2" w:rsidRDefault="00965D85" w:rsidP="008B46DF">
      <w:pPr>
        <w:pStyle w:val="BulletText"/>
      </w:pPr>
      <w:r w:rsidRPr="006A75A2">
        <w:t>performance guarantees, warranties, letters of comfort and the like;</w:t>
      </w:r>
    </w:p>
    <w:p w:rsidR="00965D85" w:rsidRPr="006A75A2" w:rsidRDefault="00965D85" w:rsidP="008B46DF">
      <w:pPr>
        <w:pStyle w:val="BulletText"/>
      </w:pPr>
      <w:r w:rsidRPr="006A75A2">
        <w:t>deeds in respect of certain obligations; and</w:t>
      </w:r>
    </w:p>
    <w:p w:rsidR="00965D85" w:rsidRDefault="00965D85" w:rsidP="008B46DF">
      <w:pPr>
        <w:pStyle w:val="BulletText"/>
      </w:pPr>
      <w:r w:rsidRPr="006A75A2">
        <w:t xml:space="preserve">unclaimed monies, which may be </w:t>
      </w:r>
      <w:r w:rsidRPr="003F5846">
        <w:t>subject</w:t>
      </w:r>
      <w:r w:rsidRPr="006A75A2">
        <w:t xml:space="preserve"> to future claims by the general public against the State.</w:t>
      </w:r>
    </w:p>
    <w:p w:rsidR="00965D85" w:rsidRDefault="00965D85" w:rsidP="008B46DF">
      <w:r>
        <w:t>An overview of the more significant non</w:t>
      </w:r>
      <w:r>
        <w:noBreakHyphen/>
        <w:t>quantifiable liabilities follows.</w:t>
      </w:r>
    </w:p>
    <w:p w:rsidR="00965D85" w:rsidRDefault="00965D85">
      <w:pPr>
        <w:spacing w:after="0"/>
        <w:rPr>
          <w:rFonts w:ascii="Calibri" w:hAnsi="Calibri"/>
          <w:b/>
          <w:i/>
          <w:kern w:val="28"/>
          <w:sz w:val="24"/>
          <w:szCs w:val="22"/>
        </w:rPr>
      </w:pPr>
      <w:r>
        <w:br w:type="page"/>
      </w:r>
    </w:p>
    <w:p w:rsidR="00965D85" w:rsidRPr="001339A5" w:rsidRDefault="00965D85" w:rsidP="008B46DF">
      <w:pPr>
        <w:pStyle w:val="Heading3"/>
      </w:pPr>
      <w:r w:rsidRPr="001339A5">
        <w:lastRenderedPageBreak/>
        <w:t xml:space="preserve">AgriBio </w:t>
      </w:r>
      <w:r w:rsidRPr="001339A5">
        <w:rPr>
          <w:lang w:val="en"/>
        </w:rPr>
        <w:t xml:space="preserve">Centre for </w:t>
      </w:r>
      <w:r w:rsidRPr="00F544EF">
        <w:t>AgriBioscience</w:t>
      </w:r>
      <w:r w:rsidRPr="001339A5">
        <w:t xml:space="preserve"> (formerly known as The Biosciences Research Centre)</w:t>
      </w:r>
    </w:p>
    <w:p w:rsidR="00965D85" w:rsidRDefault="00965D85" w:rsidP="008B46DF">
      <w:r w:rsidRPr="001339A5">
        <w:t>The quarterly service fee payment obligations of the AgriBio Centre for AgriBioscience on behalf of the joint venture participants</w:t>
      </w:r>
      <w:r>
        <w:t xml:space="preserve"> (Department of Economic Development, Jobs, Transport and Resources, and La Trobe University)</w:t>
      </w:r>
      <w:r w:rsidRPr="001339A5">
        <w:t xml:space="preserve"> are supported by the State of Victoria via a State Support Deed. Under this Deed, the State ensures that the joint venture participants have severally the financial capacity to meet their payment obligations to Biosciences Research Centre Pty Ltd (BRC), thereby enabling BRC to meet its obligations to pay the service fee to the concessionaire pursuant to the project agreement. The State underwrites the risk of any default by BRC.</w:t>
      </w:r>
    </w:p>
    <w:p w:rsidR="00965D85" w:rsidRPr="00C8654F" w:rsidRDefault="00965D85" w:rsidP="008B46DF">
      <w:pPr>
        <w:pStyle w:val="Heading3"/>
      </w:pPr>
      <w:r w:rsidRPr="001339A5">
        <w:t>D</w:t>
      </w:r>
      <w:r>
        <w:t>epartment of Education and Training</w:t>
      </w:r>
    </w:p>
    <w:p w:rsidR="00965D85" w:rsidRPr="001339A5" w:rsidRDefault="00965D85" w:rsidP="008B46DF">
      <w:r w:rsidRPr="001339A5">
        <w:t>The Department has a number of unquantifiable contingent liabilities, arising from indemnities provided by it, as follows:</w:t>
      </w:r>
    </w:p>
    <w:p w:rsidR="00965D85" w:rsidRDefault="00965D85" w:rsidP="008B46DF">
      <w:pPr>
        <w:pStyle w:val="BulletText"/>
      </w:pPr>
      <w:r w:rsidRPr="004436BC">
        <w:t xml:space="preserve">Volunteer school workers and volunteer student workers: The </w:t>
      </w:r>
      <w:r w:rsidRPr="004436BC">
        <w:rPr>
          <w:i/>
        </w:rPr>
        <w:t>Ed</w:t>
      </w:r>
      <w:r>
        <w:rPr>
          <w:i/>
        </w:rPr>
        <w:t>ucation and Training Reform Act </w:t>
      </w:r>
      <w:r w:rsidRPr="004436BC">
        <w:rPr>
          <w:i/>
        </w:rPr>
        <w:t>2006</w:t>
      </w:r>
      <w:r w:rsidRPr="004436BC">
        <w:t xml:space="preserve"> </w:t>
      </w:r>
      <w:r w:rsidRPr="00540C56">
        <w:t>provides a specific indemnity for personal injuries suffered by volunteer school workers and volunteer student workers arising out of or in the course of engaging in school work or community work respectively</w:t>
      </w:r>
      <w:r>
        <w:t xml:space="preserve">. </w:t>
      </w:r>
    </w:p>
    <w:p w:rsidR="00965D85" w:rsidRDefault="00965D85" w:rsidP="008B46DF">
      <w:pPr>
        <w:pStyle w:val="BulletText"/>
      </w:pPr>
      <w:r>
        <w:t>M</w:t>
      </w:r>
      <w:r w:rsidRPr="001339A5">
        <w:t xml:space="preserve">embers of school councils: </w:t>
      </w:r>
      <w:r w:rsidRPr="00540C56">
        <w:t xml:space="preserve">The </w:t>
      </w:r>
      <w:r w:rsidRPr="00540C56">
        <w:rPr>
          <w:i/>
        </w:rPr>
        <w:t>Ed</w:t>
      </w:r>
      <w:r>
        <w:rPr>
          <w:i/>
        </w:rPr>
        <w:t>ucation and Training Reform Act </w:t>
      </w:r>
      <w:r w:rsidRPr="00540C56">
        <w:rPr>
          <w:i/>
        </w:rPr>
        <w:t>2006</w:t>
      </w:r>
      <w:r w:rsidRPr="00540C56">
        <w:t xml:space="preserve"> provides an indemnity to members of school councils for any legal liability, whether in contract, negligence or defamation.</w:t>
      </w:r>
    </w:p>
    <w:p w:rsidR="00965D85" w:rsidRDefault="00965D85" w:rsidP="008B46DF">
      <w:pPr>
        <w:pStyle w:val="BulletText"/>
      </w:pPr>
      <w:r>
        <w:t>T</w:t>
      </w:r>
      <w:r w:rsidRPr="001339A5">
        <w:t>eachers</w:t>
      </w:r>
      <w:r>
        <w:t xml:space="preserve">: </w:t>
      </w:r>
      <w:r w:rsidRPr="00540C56">
        <w:t>If a teacher is named as a defendant in a student personal injury claim, any costs and damages will generally be paid by the Department provided the teacher was not drunk, under the influence of illicit drugs or engaging in a criminal offence and the behaviour was not outrageous and was related to their employment.</w:t>
      </w:r>
    </w:p>
    <w:p w:rsidR="00965D85" w:rsidRDefault="00965D85" w:rsidP="008B46DF">
      <w:pPr>
        <w:pStyle w:val="BulletText"/>
      </w:pPr>
      <w:r w:rsidRPr="006535CD">
        <w:t>School councils: The Department will usually indemnify school councils in claims of common law negligence, and will often indemnify in relation to employment disputes, for the cost of settlement and legal representation. The Department will take into account the impact of payment upon the school</w:t>
      </w:r>
      <w:r>
        <w:t>’</w:t>
      </w:r>
      <w:r w:rsidRPr="006535CD">
        <w:t>s educational program and any insurance cover for the school council, and will likely indemnify if the Department is satisfied that:</w:t>
      </w:r>
    </w:p>
    <w:p w:rsidR="00965D85" w:rsidRDefault="00965D85" w:rsidP="008B46DF">
      <w:pPr>
        <w:pStyle w:val="DashText"/>
      </w:pPr>
      <w:r w:rsidRPr="006535CD">
        <w:t>the school council acted in good faith and according to issued guidelines and directions; and</w:t>
      </w:r>
    </w:p>
    <w:p w:rsidR="00965D85" w:rsidRDefault="00965D85" w:rsidP="008B46DF">
      <w:pPr>
        <w:pStyle w:val="DashText"/>
      </w:pPr>
      <w:r w:rsidRPr="006535CD">
        <w:t>the school council has insufficient funds to pay the claim.</w:t>
      </w:r>
    </w:p>
    <w:p w:rsidR="00965D85" w:rsidRDefault="00965D85" w:rsidP="008B46DF">
      <w:pPr>
        <w:pStyle w:val="Heading3"/>
      </w:pPr>
      <w:r w:rsidRPr="0090256A">
        <w:t>Notebooks for Teachers and Principals Program</w:t>
      </w:r>
    </w:p>
    <w:p w:rsidR="00965D85" w:rsidRDefault="00965D85" w:rsidP="008B46DF">
      <w:r w:rsidRPr="00B105D0">
        <w:t>In April 2013</w:t>
      </w:r>
      <w:r>
        <w:t>,</w:t>
      </w:r>
      <w:r w:rsidRPr="00B105D0">
        <w:t xml:space="preserve"> the Australian Education Union (AEU) issued proceedings in the Federal Court on behalf of affected AEU members against the </w:t>
      </w:r>
      <w:r>
        <w:t xml:space="preserve">State </w:t>
      </w:r>
      <w:r w:rsidRPr="00B105D0">
        <w:t>in relation to the Notebook for Teachers and Principals Program</w:t>
      </w:r>
      <w:r>
        <w:t>,</w:t>
      </w:r>
      <w:r w:rsidRPr="00B105D0">
        <w:t xml:space="preserve"> which provided notebook computers to principals,</w:t>
      </w:r>
      <w:r>
        <w:t xml:space="preserve"> teachers and paraprofessionals. </w:t>
      </w:r>
    </w:p>
    <w:p w:rsidR="00965D85" w:rsidRDefault="00965D85" w:rsidP="008B46DF">
      <w:r w:rsidRPr="00B105D0">
        <w:t>The AEU</w:t>
      </w:r>
      <w:r>
        <w:t>’</w:t>
      </w:r>
      <w:r w:rsidRPr="00B105D0">
        <w:t>s case is that the Notebook Program breaches the</w:t>
      </w:r>
      <w:r>
        <w:t xml:space="preserve"> relevant enterprise agreements and the </w:t>
      </w:r>
      <w:r w:rsidRPr="006763F9">
        <w:rPr>
          <w:i/>
        </w:rPr>
        <w:t>Fair Work Act</w:t>
      </w:r>
      <w:r>
        <w:rPr>
          <w:i/>
        </w:rPr>
        <w:t xml:space="preserve"> 2009</w:t>
      </w:r>
      <w:r>
        <w:t xml:space="preserve">. </w:t>
      </w:r>
    </w:p>
    <w:p w:rsidR="00965D85" w:rsidRDefault="00965D85" w:rsidP="008B46DF">
      <w:r>
        <w:lastRenderedPageBreak/>
        <w:t>The matter was heard</w:t>
      </w:r>
      <w:r w:rsidRPr="00B105D0">
        <w:t xml:space="preserve"> in mid</w:t>
      </w:r>
      <w:r>
        <w:noBreakHyphen/>
      </w:r>
      <w:r w:rsidRPr="00B105D0">
        <w:t>2014</w:t>
      </w:r>
      <w:r>
        <w:t xml:space="preserve">. </w:t>
      </w:r>
      <w:r w:rsidRPr="00B105D0">
        <w:t>O</w:t>
      </w:r>
      <w:r>
        <w:t xml:space="preserve">n 6 November </w:t>
      </w:r>
      <w:r w:rsidRPr="00B105D0">
        <w:t xml:space="preserve">2015, the Federal Court made a decision against the </w:t>
      </w:r>
      <w:r>
        <w:t xml:space="preserve">State </w:t>
      </w:r>
      <w:r w:rsidRPr="00B105D0">
        <w:t>regarding the Notebooks for Teachers and Principals Program</w:t>
      </w:r>
      <w:r>
        <w:t>,</w:t>
      </w:r>
      <w:r w:rsidRPr="00B105D0">
        <w:t xml:space="preserve"> however n</w:t>
      </w:r>
      <w:r>
        <w:t xml:space="preserve">o orders were made at this time. The next hearing date is scheduled for </w:t>
      </w:r>
      <w:r>
        <w:br/>
        <w:t>25 November 2015, at which point, it is anticipated that the Court will issue final orders in relation to its decision. The State has decided not to appeal the decision of the Court. At the date of this report, the estimated financial effect of the decision cannot yet be determined.</w:t>
      </w:r>
    </w:p>
    <w:p w:rsidR="00965D85" w:rsidRPr="00C8654F" w:rsidRDefault="00965D85" w:rsidP="008B46DF">
      <w:pPr>
        <w:pStyle w:val="Heading3"/>
      </w:pPr>
      <w:r w:rsidRPr="001339A5">
        <w:t xml:space="preserve">Public acquisition overlays for the future development of rail and road infrastructure </w:t>
      </w:r>
    </w:p>
    <w:p w:rsidR="00965D85" w:rsidRPr="001339A5" w:rsidRDefault="00965D85" w:rsidP="008B46DF">
      <w:pPr>
        <w:spacing w:after="100"/>
      </w:pPr>
      <w:r w:rsidRPr="001339A5">
        <w:t>Public acquisition overlays are in place in order to reserve certain areas of land for future development of rail and roa</w:t>
      </w:r>
      <w:r>
        <w:t>d infrastructure. Under Section </w:t>
      </w:r>
      <w:r w:rsidRPr="001339A5">
        <w:t xml:space="preserve">98 of the </w:t>
      </w:r>
      <w:r w:rsidRPr="001339A5">
        <w:rPr>
          <w:i/>
        </w:rPr>
        <w:t>Planning and Environment Act</w:t>
      </w:r>
      <w:r>
        <w:t> </w:t>
      </w:r>
      <w:r w:rsidRPr="001339A5">
        <w:rPr>
          <w:i/>
        </w:rPr>
        <w:t>1987</w:t>
      </w:r>
      <w:r w:rsidRPr="001339A5">
        <w:t xml:space="preserve">, the State has a legislative responsibility to </w:t>
      </w:r>
      <w:r>
        <w:t>compensate</w:t>
      </w:r>
      <w:r w:rsidRPr="001339A5">
        <w:t xml:space="preserve"> eligible land and property owners who face either:</w:t>
      </w:r>
    </w:p>
    <w:p w:rsidR="00965D85" w:rsidRPr="001339A5" w:rsidRDefault="00965D85" w:rsidP="008B46DF">
      <w:pPr>
        <w:pStyle w:val="BulletText"/>
        <w:spacing w:after="100"/>
        <w:ind w:left="357" w:hanging="357"/>
      </w:pPr>
      <w:r w:rsidRPr="001339A5">
        <w:t xml:space="preserve">loss on sale – an eligible landowner is entitled to compensation for the incremental loss on sale when a property affected by a public acquisition overlay is sold for less than its </w:t>
      </w:r>
      <w:r w:rsidRPr="000F4038">
        <w:t>market</w:t>
      </w:r>
      <w:r w:rsidRPr="001339A5">
        <w:t xml:space="preserve"> value; or</w:t>
      </w:r>
    </w:p>
    <w:p w:rsidR="00965D85" w:rsidRPr="001339A5" w:rsidRDefault="00965D85" w:rsidP="008B46DF">
      <w:pPr>
        <w:pStyle w:val="BulletText"/>
        <w:spacing w:after="100"/>
        <w:ind w:left="357" w:hanging="357"/>
      </w:pPr>
      <w:r w:rsidRPr="001339A5">
        <w:t xml:space="preserve">financial loss – the entitlement to financial loss compensation is triggered when a development </w:t>
      </w:r>
      <w:r w:rsidRPr="000F4038">
        <w:t>permit</w:t>
      </w:r>
      <w:r w:rsidRPr="001339A5">
        <w:t xml:space="preserve"> is refused because the property is required for a public purpose.</w:t>
      </w:r>
    </w:p>
    <w:p w:rsidR="00965D85" w:rsidRPr="001339A5" w:rsidRDefault="00965D85" w:rsidP="008B46DF">
      <w:pPr>
        <w:spacing w:after="100"/>
      </w:pPr>
      <w:r w:rsidRPr="001339A5">
        <w:t>Compensation and purchase claims occur as a result of claims by</w:t>
      </w:r>
      <w:r>
        <w:t xml:space="preserve"> land owners. The</w:t>
      </w:r>
      <w:r w:rsidRPr="001339A5">
        <w:t xml:space="preserve"> future liability depends on factors including the number of claims received and the prevailing value of land at the time the claim is made, which cannot be reliably quantified.</w:t>
      </w:r>
      <w:r>
        <w:t xml:space="preserve"> </w:t>
      </w:r>
    </w:p>
    <w:p w:rsidR="00965D85" w:rsidRPr="003E32B6" w:rsidRDefault="00965D85" w:rsidP="008B46DF">
      <w:pPr>
        <w:pStyle w:val="Heading3"/>
      </w:pPr>
      <w:r w:rsidRPr="001339A5">
        <w:t xml:space="preserve">Public transport rail </w:t>
      </w:r>
      <w:r w:rsidRPr="003D7C9E">
        <w:t>partnership</w:t>
      </w:r>
      <w:r w:rsidRPr="001339A5">
        <w:t xml:space="preserve"> agreements</w:t>
      </w:r>
    </w:p>
    <w:p w:rsidR="00965D85" w:rsidRPr="001339A5" w:rsidRDefault="00965D85" w:rsidP="008B46DF">
      <w:pPr>
        <w:spacing w:after="100"/>
      </w:pPr>
      <w:r w:rsidRPr="001339A5">
        <w:t xml:space="preserve">Public Transport Victoria (PTV) is party to partnership contractual arrangements with franchisees to operate metropolitan rail transport </w:t>
      </w:r>
      <w:r>
        <w:t>services in the State,</w:t>
      </w:r>
      <w:r w:rsidRPr="001339A5">
        <w:t xml:space="preserve"> from 30 November 2009 until 30 November 2017. The major con</w:t>
      </w:r>
      <w:r>
        <w:t xml:space="preserve">tingent liabilities arising </w:t>
      </w:r>
      <w:r w:rsidRPr="001339A5">
        <w:t>in the event of early te</w:t>
      </w:r>
      <w:r>
        <w:t>rmination or expiry of the contract are</w:t>
      </w:r>
      <w:r w:rsidRPr="001339A5">
        <w:t>:</w:t>
      </w:r>
    </w:p>
    <w:p w:rsidR="00965D85" w:rsidRPr="001339A5" w:rsidRDefault="00965D85" w:rsidP="008B46DF">
      <w:pPr>
        <w:pStyle w:val="BulletText"/>
        <w:spacing w:after="100"/>
        <w:ind w:left="357" w:hanging="357"/>
      </w:pPr>
      <w:r>
        <w:t>partnership assets –</w:t>
      </w:r>
      <w:r w:rsidRPr="001339A5">
        <w:t xml:space="preserve"> to maintain continuity of services, at early termination or expiry of the franchise contract, assets will revert to PTV or a successor. In the case of some assets, a reversion back to PTV would entail those assets being purchased; and</w:t>
      </w:r>
    </w:p>
    <w:p w:rsidR="00965D85" w:rsidRPr="000655FC" w:rsidRDefault="00965D85" w:rsidP="008B46DF">
      <w:pPr>
        <w:pStyle w:val="BulletText"/>
        <w:spacing w:after="100"/>
        <w:ind w:left="357" w:hanging="357"/>
      </w:pPr>
      <w:r w:rsidRPr="000655FC">
        <w:t>unfunded superannuation – at the early termination or expiry of the contract, PTV will assume any unfunded superannuation amounts (apart from contributions the operator is required to pay over the contract term) to the extent that the State becomes the successor operator.</w:t>
      </w:r>
    </w:p>
    <w:p w:rsidR="00965D85" w:rsidRDefault="00965D85">
      <w:pPr>
        <w:spacing w:after="0"/>
        <w:rPr>
          <w:rFonts w:ascii="Calibri" w:hAnsi="Calibri"/>
          <w:b/>
          <w:i/>
          <w:kern w:val="28"/>
          <w:sz w:val="24"/>
          <w:szCs w:val="22"/>
        </w:rPr>
      </w:pPr>
      <w:r>
        <w:br w:type="page"/>
      </w:r>
    </w:p>
    <w:p w:rsidR="00965D85" w:rsidRPr="000971B6" w:rsidRDefault="00965D85" w:rsidP="008B46DF">
      <w:pPr>
        <w:pStyle w:val="Heading3"/>
      </w:pPr>
      <w:r>
        <w:lastRenderedPageBreak/>
        <w:t>Fiskville</w:t>
      </w:r>
      <w:r w:rsidRPr="000971B6">
        <w:t xml:space="preserve"> independent investigation</w:t>
      </w:r>
      <w:r>
        <w:t xml:space="preserve"> and closure of training college</w:t>
      </w:r>
    </w:p>
    <w:p w:rsidR="00965D85" w:rsidRPr="00F82797" w:rsidRDefault="00965D85" w:rsidP="008B46DF">
      <w:pPr>
        <w:spacing w:after="100"/>
      </w:pPr>
      <w:r w:rsidRPr="00F82797">
        <w:t xml:space="preserve">An independent investigation was undertaken into the historical use of </w:t>
      </w:r>
      <w:r>
        <w:t xml:space="preserve">chemicals for live firefighting </w:t>
      </w:r>
      <w:r w:rsidRPr="00F82797">
        <w:t>training at Fiskville between 1971 and 1999. The report of the ind</w:t>
      </w:r>
      <w:r>
        <w:t xml:space="preserve">ependent investigation has been </w:t>
      </w:r>
      <w:r w:rsidRPr="00F82797">
        <w:t>released and the Country Fire Authority (CFA) has accepted all of</w:t>
      </w:r>
      <w:r>
        <w:t xml:space="preserve"> the facts, recommendations and </w:t>
      </w:r>
      <w:r w:rsidRPr="00F82797">
        <w:t>conclusions and is committed to implementing all recommendations.</w:t>
      </w:r>
      <w:r>
        <w:t xml:space="preserve"> </w:t>
      </w:r>
    </w:p>
    <w:p w:rsidR="00965D85" w:rsidRDefault="00965D85" w:rsidP="008B46DF">
      <w:pPr>
        <w:spacing w:after="100"/>
      </w:pPr>
      <w:r w:rsidRPr="00E306AB">
        <w:t>In August 2012, the CFA established a program office to manage the implementation of the report</w:t>
      </w:r>
      <w:r>
        <w:t>’</w:t>
      </w:r>
      <w:r w:rsidRPr="00E306AB">
        <w:t xml:space="preserve">s recommendations and an additional 11 management initiatives to which the CFA Board committed in its response to the report. </w:t>
      </w:r>
    </w:p>
    <w:p w:rsidR="00965D85" w:rsidRDefault="00965D85" w:rsidP="008B46DF">
      <w:pPr>
        <w:spacing w:after="100"/>
      </w:pPr>
      <w:r w:rsidRPr="00E306AB">
        <w:t>On 26 March 2015, the Government announced the perm</w:t>
      </w:r>
      <w:r>
        <w:t>anent closure of the Fiskville Training College</w:t>
      </w:r>
      <w:r w:rsidRPr="00E306AB">
        <w:t xml:space="preserve">. The permanent closure of </w:t>
      </w:r>
      <w:r>
        <w:t xml:space="preserve">Fiskville requires the CFA to </w:t>
      </w:r>
      <w:r w:rsidRPr="00E306AB">
        <w:t xml:space="preserve">assess the direction and approach to remediation and rehabilitation of </w:t>
      </w:r>
      <w:r>
        <w:t xml:space="preserve">the </w:t>
      </w:r>
      <w:r w:rsidRPr="00E306AB">
        <w:t>Fiskville</w:t>
      </w:r>
      <w:r>
        <w:t xml:space="preserve"> site. </w:t>
      </w:r>
      <w:r w:rsidRPr="00F87A75">
        <w:t>CFA will also need to take into consideration the findings and recommendations of the Victorian Parliamentary Inquiry into the CFA Training College at Fiskville</w:t>
      </w:r>
      <w:r>
        <w:t>,</w:t>
      </w:r>
      <w:r w:rsidRPr="00F87A75">
        <w:t xml:space="preserve"> which is due to present its final rep</w:t>
      </w:r>
      <w:r>
        <w:t xml:space="preserve">ort by no later than 1 December </w:t>
      </w:r>
      <w:r w:rsidRPr="00F87A75">
        <w:t>2015.</w:t>
      </w:r>
      <w:r w:rsidRPr="00E306AB">
        <w:t xml:space="preserve"> </w:t>
      </w:r>
    </w:p>
    <w:p w:rsidR="00965D85" w:rsidRPr="00F82797" w:rsidRDefault="00965D85" w:rsidP="008B46DF">
      <w:pPr>
        <w:spacing w:after="100"/>
      </w:pPr>
      <w:r>
        <w:t>At this stage it is impractical to quantify the financial</w:t>
      </w:r>
      <w:r w:rsidRPr="00A86988">
        <w:t xml:space="preserve"> </w:t>
      </w:r>
      <w:r w:rsidRPr="00E306AB">
        <w:t>effects as a result of the closure of Fiskville and its effect on the implementation of recommendations received from the independent investigation.</w:t>
      </w:r>
    </w:p>
    <w:p w:rsidR="00965D85" w:rsidRPr="008744D8" w:rsidRDefault="00965D85" w:rsidP="008B46DF">
      <w:pPr>
        <w:pStyle w:val="Heading3"/>
      </w:pPr>
      <w:r w:rsidRPr="008744D8">
        <w:t>Gambling licences</w:t>
      </w:r>
    </w:p>
    <w:p w:rsidR="00965D85" w:rsidRPr="00D95E98" w:rsidRDefault="00965D85" w:rsidP="008B46DF">
      <w:pPr>
        <w:spacing w:after="60"/>
      </w:pPr>
      <w:r w:rsidRPr="00E9610C">
        <w:t xml:space="preserve">In relation to the </w:t>
      </w:r>
      <w:r>
        <w:t>‘Gambling licenc</w:t>
      </w:r>
      <w:r w:rsidRPr="00E9610C">
        <w:t>es</w:t>
      </w:r>
      <w:r>
        <w:t>’</w:t>
      </w:r>
      <w:r w:rsidRPr="00E9610C">
        <w:t xml:space="preserve"> item within non</w:t>
      </w:r>
      <w:r>
        <w:noBreakHyphen/>
      </w:r>
      <w:r w:rsidRPr="00E9610C">
        <w:t>quantifiable contingent assets, given that the State was successful in the Tabcorp proceeding, it did not need to pay Tabcorp its claimed amount of $686.8</w:t>
      </w:r>
      <w:r>
        <w:t> million</w:t>
      </w:r>
      <w:r w:rsidRPr="00E9610C">
        <w:t xml:space="preserve"> plus interest. </w:t>
      </w:r>
      <w:r>
        <w:t>On 4 </w:t>
      </w:r>
      <w:r w:rsidRPr="00D95E98">
        <w:t>December 2014</w:t>
      </w:r>
      <w:r>
        <w:t xml:space="preserve"> the decision was upheld by</w:t>
      </w:r>
      <w:r w:rsidRPr="00D95E98">
        <w:t xml:space="preserve"> the </w:t>
      </w:r>
      <w:r>
        <w:t>Court of Appeal</w:t>
      </w:r>
      <w:r w:rsidRPr="00D95E98">
        <w:t xml:space="preserve">. </w:t>
      </w:r>
      <w:r>
        <w:t xml:space="preserve">Tabcorp </w:t>
      </w:r>
      <w:r w:rsidRPr="00D95E98">
        <w:t>appeal</w:t>
      </w:r>
      <w:r>
        <w:t xml:space="preserve">ed the decision </w:t>
      </w:r>
      <w:r w:rsidRPr="00D95E98">
        <w:t>to the High Court of Aus</w:t>
      </w:r>
      <w:r>
        <w:t>tralia, and the appeal was heard on 10 and 11 November 2015. Judgement has been reserved and will be handed down by the High Court in due course.</w:t>
      </w:r>
    </w:p>
    <w:p w:rsidR="00965D85" w:rsidRPr="00E9610C" w:rsidRDefault="00965D85" w:rsidP="008B46DF">
      <w:pPr>
        <w:pStyle w:val="Heading3"/>
        <w:rPr>
          <w:rFonts w:eastAsia="Calibri"/>
        </w:rPr>
      </w:pPr>
      <w:r w:rsidRPr="00E9610C">
        <w:rPr>
          <w:rFonts w:eastAsia="Calibri"/>
        </w:rPr>
        <w:t>Public lottery licence litigation</w:t>
      </w:r>
    </w:p>
    <w:p w:rsidR="00965D85" w:rsidRDefault="00965D85" w:rsidP="008B46DF">
      <w:r w:rsidRPr="001339A5">
        <w:t xml:space="preserve">On 27 August 2014, Intralot Australia Pty Ltd </w:t>
      </w:r>
      <w:r>
        <w:t xml:space="preserve">(Intralot) </w:t>
      </w:r>
      <w:r w:rsidRPr="001339A5">
        <w:t>served a writ and Statement of Claim on the State. Intralot</w:t>
      </w:r>
      <w:r>
        <w:t>’</w:t>
      </w:r>
      <w:r w:rsidRPr="001339A5">
        <w:t>s claim relates to allegations that Tattersall</w:t>
      </w:r>
      <w:r>
        <w:t>’</w:t>
      </w:r>
      <w:r w:rsidRPr="001339A5">
        <w:t>s Sweeps Pty Ltd was granted favourable treatment relating to the awarding of public lottery licences on 24 October 2007. Intralot claims its total costs to 30 June 2014 are $63.4</w:t>
      </w:r>
      <w:r>
        <w:t> million</w:t>
      </w:r>
      <w:r w:rsidRPr="001339A5">
        <w:t>. The State has lodged its defence and the matter will be heard in the Supreme Court.</w:t>
      </w:r>
    </w:p>
    <w:p w:rsidR="00965D85" w:rsidRPr="001339A5" w:rsidRDefault="00965D85" w:rsidP="008B46DF">
      <w:pPr>
        <w:pStyle w:val="Heading3"/>
        <w:rPr>
          <w:rFonts w:eastAsia="Calibri"/>
        </w:rPr>
      </w:pPr>
      <w:r w:rsidRPr="001339A5">
        <w:rPr>
          <w:rFonts w:eastAsia="Calibri"/>
        </w:rPr>
        <w:t>Compulsory property acquisitions</w:t>
      </w:r>
    </w:p>
    <w:p w:rsidR="00965D85" w:rsidRDefault="00965D85" w:rsidP="008B46DF">
      <w:pPr>
        <w:rPr>
          <w:rFonts w:eastAsia="Calibri"/>
        </w:rPr>
      </w:pPr>
      <w:r w:rsidRPr="001339A5">
        <w:rPr>
          <w:rFonts w:eastAsia="Calibri"/>
        </w:rPr>
        <w:t xml:space="preserve">The State has compulsorily acquired a number of properties (residential and commercial) through the </w:t>
      </w:r>
      <w:r w:rsidRPr="001339A5">
        <w:rPr>
          <w:rFonts w:eastAsia="Calibri"/>
          <w:i/>
        </w:rPr>
        <w:t>Land Acquisition and Compensation Act 1986</w:t>
      </w:r>
      <w:r w:rsidRPr="001339A5">
        <w:rPr>
          <w:rFonts w:eastAsia="Calibri"/>
        </w:rPr>
        <w:t xml:space="preserve"> to facilitate delivery of various projects. Possible future claims for compensation arising from the compulsory acquisition of these properties cannot be quantified at this stage.</w:t>
      </w:r>
    </w:p>
    <w:p w:rsidR="00965D85" w:rsidRDefault="00965D85">
      <w:pPr>
        <w:spacing w:after="0"/>
        <w:rPr>
          <w:rFonts w:ascii="Calibri" w:hAnsi="Calibri"/>
          <w:b/>
          <w:i/>
          <w:kern w:val="28"/>
          <w:sz w:val="24"/>
          <w:szCs w:val="22"/>
        </w:rPr>
      </w:pPr>
      <w:r>
        <w:br w:type="page"/>
      </w:r>
    </w:p>
    <w:p w:rsidR="00965D85" w:rsidRPr="001339A5" w:rsidRDefault="00965D85" w:rsidP="008B46DF">
      <w:pPr>
        <w:pStyle w:val="Heading3"/>
      </w:pPr>
      <w:r w:rsidRPr="001339A5">
        <w:lastRenderedPageBreak/>
        <w:t>Land remediation – environmental concerns</w:t>
      </w:r>
    </w:p>
    <w:p w:rsidR="00965D85" w:rsidRDefault="00965D85" w:rsidP="008B46DF">
      <w:pPr>
        <w:rPr>
          <w:rFonts w:ascii="Calibri" w:hAnsi="Calibri"/>
          <w:b/>
          <w:i/>
          <w:kern w:val="28"/>
          <w:sz w:val="24"/>
          <w:szCs w:val="22"/>
        </w:rPr>
      </w:pPr>
      <w:r w:rsidRPr="001339A5">
        <w:t>In addition to properties for which remediation costs have been provided in the State</w:t>
      </w:r>
      <w:r>
        <w:t>’</w:t>
      </w:r>
      <w:r w:rsidRPr="001339A5">
        <w:t>s financial statements, certain other properties have been identified as potentially contaminated sites. The State does not admit any liability in respect of these sites. However, remedial expenditure may be incurred to restore the sites to an acceptable environmental standard in the event that a contamination risk is identified.</w:t>
      </w:r>
    </w:p>
    <w:p w:rsidR="00965D85" w:rsidRPr="009241B7" w:rsidRDefault="00965D85" w:rsidP="008B46DF">
      <w:pPr>
        <w:pStyle w:val="Heading3"/>
      </w:pPr>
      <w:r w:rsidRPr="009241B7">
        <w:t>Lancefield fire review</w:t>
      </w:r>
    </w:p>
    <w:p w:rsidR="00965D85" w:rsidRPr="009241B7" w:rsidRDefault="00965D85" w:rsidP="008B46DF">
      <w:r w:rsidRPr="009241B7">
        <w:t>On We</w:t>
      </w:r>
      <w:r>
        <w:t>dnesday 30 September 2015, the D</w:t>
      </w:r>
      <w:r w:rsidRPr="009241B7">
        <w:t xml:space="preserve">epartment </w:t>
      </w:r>
      <w:r>
        <w:t xml:space="preserve">of Environment, Land, Water and Planning </w:t>
      </w:r>
      <w:r w:rsidRPr="009241B7">
        <w:t>initiated a planned bu</w:t>
      </w:r>
      <w:r>
        <w:t>rn in the forest 10 kilometres north w</w:t>
      </w:r>
      <w:r w:rsidRPr="009241B7">
        <w:t>est of Lancefield. This fire jumped containment lines resulting in the loss of personal property. The Government</w:t>
      </w:r>
      <w:r>
        <w:t>’</w:t>
      </w:r>
      <w:r w:rsidRPr="009241B7">
        <w:t>s immediate priority has been to support the local communities most affected by the fire, including those in and around Lancefield, Benloc and Cobaw.</w:t>
      </w:r>
    </w:p>
    <w:p w:rsidR="00965D85" w:rsidRDefault="00965D85" w:rsidP="008B46DF">
      <w:r w:rsidRPr="009241B7">
        <w:t xml:space="preserve">The </w:t>
      </w:r>
      <w:r>
        <w:t xml:space="preserve">Government </w:t>
      </w:r>
      <w:r w:rsidRPr="009241B7">
        <w:t xml:space="preserve">announced an independent investigation into the escape of the fire which </w:t>
      </w:r>
      <w:r>
        <w:t xml:space="preserve">examined </w:t>
      </w:r>
      <w:r w:rsidRPr="009241B7">
        <w:t>all aspects of the planned burn, including communication with the community and factors involved</w:t>
      </w:r>
      <w:r>
        <w:t xml:space="preserve"> </w:t>
      </w:r>
      <w:r w:rsidRPr="00550449">
        <w:t>in it breaking containment lines.</w:t>
      </w:r>
      <w:r w:rsidRPr="009241B7">
        <w:t xml:space="preserve"> </w:t>
      </w:r>
    </w:p>
    <w:p w:rsidR="00965D85" w:rsidRPr="009241B7" w:rsidRDefault="00965D85" w:rsidP="008B46DF">
      <w:r w:rsidRPr="00550449">
        <w:t xml:space="preserve">The independent investigation was finalised and a report was released on 19 November 2015. The department has accepted all 22 of the recommendations in the report, and has started working on implementing the recommendations as a priority. The department expects all recommendations </w:t>
      </w:r>
      <w:r>
        <w:t>to</w:t>
      </w:r>
      <w:r w:rsidRPr="00550449">
        <w:t xml:space="preserve"> be implemented by March 2016. The estimate</w:t>
      </w:r>
      <w:r>
        <w:t>d</w:t>
      </w:r>
      <w:r w:rsidRPr="00550449">
        <w:t xml:space="preserve"> financial effect, if any, cannot yet be determined.</w:t>
      </w:r>
    </w:p>
    <w:p w:rsidR="00965D85" w:rsidRPr="00716054" w:rsidRDefault="00965D85" w:rsidP="008B46DF">
      <w:pPr>
        <w:pStyle w:val="Heading3"/>
      </w:pPr>
      <w:r w:rsidRPr="000971B6">
        <w:t>Native Title</w:t>
      </w:r>
    </w:p>
    <w:p w:rsidR="00965D85" w:rsidRDefault="00965D85" w:rsidP="008B46DF">
      <w:r w:rsidRPr="0049539B">
        <w:t xml:space="preserve">A number of claims have been filed with the Federal Court under the Commonwealth </w:t>
      </w:r>
      <w:r>
        <w:rPr>
          <w:i/>
        </w:rPr>
        <w:t>Native Title Act </w:t>
      </w:r>
      <w:r w:rsidRPr="00F352FF">
        <w:rPr>
          <w:i/>
        </w:rPr>
        <w:t>1993</w:t>
      </w:r>
      <w:r w:rsidRPr="0049539B">
        <w:t xml:space="preserve"> that affect Victoria. It is not feasible at this time to quantify any future liability</w:t>
      </w:r>
      <w:r>
        <w:t xml:space="preserve">. </w:t>
      </w:r>
    </w:p>
    <w:p w:rsidR="00965D85" w:rsidRPr="001339A5" w:rsidRDefault="00965D85" w:rsidP="008B46DF">
      <w:pPr>
        <w:pStyle w:val="Heading3"/>
      </w:pPr>
      <w:r w:rsidRPr="001339A5">
        <w:t>Melbourne Park redevelopment</w:t>
      </w:r>
    </w:p>
    <w:p w:rsidR="00965D85" w:rsidRDefault="00965D85" w:rsidP="008B46DF">
      <w:pPr>
        <w:rPr>
          <w:lang w:eastAsia="en-AU"/>
        </w:rPr>
      </w:pPr>
      <w:r w:rsidRPr="001339A5">
        <w:rPr>
          <w:lang w:eastAsia="en-AU"/>
        </w:rPr>
        <w:t xml:space="preserve">In 2010, the State entered into a capital works agreement with Tennis Australia and the Melbourne and Olympic Park Trust for the Australian Open to remain at Melbourne Park until 2036. The agreement contains a number of conditions including that the State will invest in further improvements to Melbourne Park in three stages or (if an agreed investment threshold is reached), pay a rights fee to retain the Australian Open at Melbourne Park until 2036. </w:t>
      </w:r>
    </w:p>
    <w:p w:rsidR="00965D85" w:rsidRPr="000F6B0C" w:rsidRDefault="00965D85" w:rsidP="008B46DF">
      <w:pPr>
        <w:spacing w:after="0"/>
        <w:rPr>
          <w:lang w:eastAsia="en-AU"/>
        </w:rPr>
      </w:pPr>
      <w:r w:rsidRPr="001339A5">
        <w:rPr>
          <w:lang w:eastAsia="en-AU"/>
        </w:rPr>
        <w:t xml:space="preserve">In the </w:t>
      </w:r>
      <w:r w:rsidRPr="001339A5">
        <w:rPr>
          <w:i/>
          <w:iCs/>
          <w:lang w:eastAsia="en-AU"/>
        </w:rPr>
        <w:t>2010</w:t>
      </w:r>
      <w:r>
        <w:rPr>
          <w:i/>
          <w:iCs/>
          <w:lang w:eastAsia="en-AU"/>
        </w:rPr>
        <w:noBreakHyphen/>
      </w:r>
      <w:r w:rsidRPr="001339A5">
        <w:rPr>
          <w:i/>
          <w:iCs/>
          <w:lang w:eastAsia="en-AU"/>
        </w:rPr>
        <w:t>11 Budget</w:t>
      </w:r>
      <w:r>
        <w:rPr>
          <w:lang w:eastAsia="en-AU"/>
        </w:rPr>
        <w:t>, Stage </w:t>
      </w:r>
      <w:r w:rsidRPr="001339A5">
        <w:rPr>
          <w:lang w:eastAsia="en-AU"/>
        </w:rPr>
        <w:t>1 of the Melbourne Park redevelopment with a total estimated investment of $363</w:t>
      </w:r>
      <w:r>
        <w:rPr>
          <w:lang w:eastAsia="en-AU"/>
        </w:rPr>
        <w:t> million was announced. In January </w:t>
      </w:r>
      <w:r w:rsidRPr="001339A5">
        <w:rPr>
          <w:lang w:eastAsia="en-AU"/>
        </w:rPr>
        <w:t>2014, a further $338</w:t>
      </w:r>
      <w:r>
        <w:rPr>
          <w:lang w:eastAsia="en-AU"/>
        </w:rPr>
        <w:t> million of</w:t>
      </w:r>
      <w:r w:rsidRPr="001339A5">
        <w:rPr>
          <w:lang w:eastAsia="en-AU"/>
        </w:rPr>
        <w:t xml:space="preserve"> total estimated investment was announced by the State for Stage 2 of the redevelopment</w:t>
      </w:r>
      <w:r>
        <w:rPr>
          <w:lang w:eastAsia="en-AU"/>
        </w:rPr>
        <w:t xml:space="preserve">. </w:t>
      </w:r>
    </w:p>
    <w:p w:rsidR="00965D85" w:rsidRDefault="00965D85">
      <w:pPr>
        <w:spacing w:after="0"/>
        <w:rPr>
          <w:rFonts w:ascii="Calibri" w:hAnsi="Calibri"/>
          <w:b/>
          <w:i/>
          <w:kern w:val="28"/>
          <w:sz w:val="24"/>
          <w:szCs w:val="22"/>
        </w:rPr>
      </w:pPr>
      <w:r>
        <w:br w:type="page"/>
      </w:r>
    </w:p>
    <w:p w:rsidR="00965D85" w:rsidRPr="001339A5" w:rsidRDefault="00965D85" w:rsidP="008B46DF">
      <w:pPr>
        <w:pStyle w:val="Heading3"/>
      </w:pPr>
      <w:r w:rsidRPr="001339A5">
        <w:lastRenderedPageBreak/>
        <w:t>Royal Melbourne Showgrounds redevelopment</w:t>
      </w:r>
    </w:p>
    <w:p w:rsidR="00965D85" w:rsidRDefault="00965D85" w:rsidP="008B46DF">
      <w:r w:rsidRPr="001339A5">
        <w:t>Under the State</w:t>
      </w:r>
      <w:r>
        <w:t>’</w:t>
      </w:r>
      <w:r w:rsidRPr="001339A5">
        <w:t>s commitment to the Royal Agriculture Society of Victoria (RASV), the State has agreed to support certain obligations of RASV which may arise out of the joint venture agreement. In accordance with the terms set out in the State</w:t>
      </w:r>
      <w:r>
        <w:t>’s</w:t>
      </w:r>
      <w:r w:rsidRPr="001339A5">
        <w:t xml:space="preserve"> commitment to RASV, the State will pay (in the form of a loan) the amount requested by RASV. If any outstanding loan amount remains </w:t>
      </w:r>
      <w:r>
        <w:t>unpaid at the date, which is 25 </w:t>
      </w:r>
      <w:r w:rsidRPr="001339A5">
        <w:t>years after the commencement of the operation term under the development and operation agreement, RASV will be obliged to satisfy and discharge each such outstanding loan amount. This may take the form of a transfer to the State, of the whole of the RASV participating interest in the joint venture.</w:t>
      </w:r>
    </w:p>
    <w:p w:rsidR="00965D85" w:rsidRPr="001339A5" w:rsidRDefault="00965D85" w:rsidP="008B46DF">
      <w:r w:rsidRPr="00634A03">
        <w:t>Under the State Support Deed – Core Land, the State has undertaken to ensure the performance of the payment obligations in favour of the Concessionaire and the performance of the joint venture financial obligations in favour of the security trustee.</w:t>
      </w:r>
      <w:r>
        <w:t xml:space="preserve"> </w:t>
      </w:r>
    </w:p>
    <w:p w:rsidR="00965D85" w:rsidRPr="00B77523" w:rsidRDefault="00965D85" w:rsidP="008B46DF">
      <w:r w:rsidRPr="001339A5">
        <w:t>The State has also entered into an agreement through the State Support Deed – Non</w:t>
      </w:r>
      <w:r>
        <w:noBreakHyphen/>
      </w:r>
      <w:r w:rsidRPr="001339A5">
        <w:t>Core Land with Showgrounds Retail Developments Pty Ltd and the RASV, whereby the State agrees to support certain payment obligations of the RASV that may arise under the non</w:t>
      </w:r>
      <w:r>
        <w:noBreakHyphen/>
      </w:r>
      <w:r w:rsidRPr="001339A5">
        <w:t>core development agreement.</w:t>
      </w:r>
      <w:r>
        <w:t xml:space="preserve"> </w:t>
      </w:r>
    </w:p>
    <w:p w:rsidR="00965D85" w:rsidRPr="001339A5" w:rsidRDefault="00965D85" w:rsidP="008B46DF">
      <w:pPr>
        <w:pStyle w:val="Heading3"/>
      </w:pPr>
      <w:r w:rsidRPr="001339A5">
        <w:t xml:space="preserve">Victorian </w:t>
      </w:r>
      <w:r w:rsidRPr="00F544EF">
        <w:t>Managed</w:t>
      </w:r>
      <w:r w:rsidRPr="001339A5">
        <w:t xml:space="preserve"> Insurance Authority – insurance cover</w:t>
      </w:r>
    </w:p>
    <w:p w:rsidR="00965D85" w:rsidRPr="001339A5" w:rsidRDefault="00965D85" w:rsidP="008B46DF">
      <w:r w:rsidRPr="001339A5">
        <w:t>The Victorian Managed Insurance Authority (VMIA) was establi</w:t>
      </w:r>
      <w:r>
        <w:t>shed in 1996 as an insurer for s</w:t>
      </w:r>
      <w:r w:rsidRPr="001339A5">
        <w:t xml:space="preserve">tate government departments, participating bodies and other entities as defined under the </w:t>
      </w:r>
      <w:r w:rsidRPr="001339A5">
        <w:rPr>
          <w:i/>
        </w:rPr>
        <w:t xml:space="preserve">Victorian </w:t>
      </w:r>
      <w:r>
        <w:rPr>
          <w:i/>
        </w:rPr>
        <w:t>Managed Insurance Authority Act </w:t>
      </w:r>
      <w:r w:rsidRPr="001339A5">
        <w:rPr>
          <w:i/>
        </w:rPr>
        <w:t>1996</w:t>
      </w:r>
      <w:r w:rsidRPr="001339A5">
        <w:t>.</w:t>
      </w:r>
      <w:r>
        <w:t xml:space="preserve"> The</w:t>
      </w:r>
      <w:r w:rsidRPr="001339A5">
        <w:t xml:space="preserve"> VMIA provides its clients with a range of insurance cover, including for property, public and products liability, professional indemnity and contract works. </w:t>
      </w:r>
      <w:r>
        <w:t xml:space="preserve">The </w:t>
      </w:r>
      <w:r w:rsidRPr="001339A5">
        <w:t>VMIA reinsures in the private market for losses above $50</w:t>
      </w:r>
      <w:r>
        <w:t> million</w:t>
      </w:r>
      <w:r w:rsidRPr="001339A5">
        <w:t xml:space="preserve"> arising out of any one occ</w:t>
      </w:r>
      <w:r>
        <w:t>urrence, up to a maximum of $1 billion</w:t>
      </w:r>
      <w:r w:rsidRPr="001339A5">
        <w:t xml:space="preserve"> for public and products liability, and for losses above $50</w:t>
      </w:r>
      <w:r>
        <w:t> million</w:t>
      </w:r>
      <w:r w:rsidRPr="001339A5">
        <w:t xml:space="preserve"> arising out of any on</w:t>
      </w:r>
      <w:r>
        <w:t>e event, up to a maximum of $3.3</w:t>
      </w:r>
      <w:r w:rsidRPr="001339A5">
        <w:t>5</w:t>
      </w:r>
      <w:r>
        <w:t> billion</w:t>
      </w:r>
      <w:r w:rsidRPr="001339A5">
        <w:t xml:space="preserve"> for property. The risk of losses above these reinsured levels is borne by the State.</w:t>
      </w:r>
    </w:p>
    <w:p w:rsidR="00965D85" w:rsidRDefault="00965D85" w:rsidP="008B46DF">
      <w:r w:rsidRPr="00B06076">
        <w:t>With effect from 28 August 2015, VMIA purchased additional reinsurance cover for property and public liability losses to better cover the State</w:t>
      </w:r>
      <w:r>
        <w:t>’</w:t>
      </w:r>
      <w:r w:rsidRPr="00B06076">
        <w:t>s potential liabilities.</w:t>
      </w:r>
    </w:p>
    <w:p w:rsidR="00965D85" w:rsidRDefault="00965D85" w:rsidP="008B46DF">
      <w:r>
        <w:t xml:space="preserve">The </w:t>
      </w:r>
      <w:r w:rsidRPr="001339A5">
        <w:t>VMIA also insures the Department of Health</w:t>
      </w:r>
      <w:r>
        <w:t xml:space="preserve"> and Human Services</w:t>
      </w:r>
      <w:r w:rsidRPr="001339A5">
        <w:t xml:space="preserve"> for all public sector medical indemnity claims incurred in each policy year from 1 July 2003, regardless of when claims are finally settled. Under the indemnity deed to provide stop loss protection for</w:t>
      </w:r>
      <w:r>
        <w:t xml:space="preserve"> the</w:t>
      </w:r>
      <w:r w:rsidRPr="001339A5">
        <w:t xml:space="preserve"> VMIA, the Department of Treasury and Finance has agreed to reimburse</w:t>
      </w:r>
      <w:r>
        <w:t xml:space="preserve"> the</w:t>
      </w:r>
      <w:r w:rsidRPr="001339A5">
        <w:t xml:space="preserve"> VMIA if the ultimate claims payouts exceed by more than 20</w:t>
      </w:r>
      <w:r>
        <w:t> per cent</w:t>
      </w:r>
      <w:r w:rsidRPr="001339A5">
        <w:t xml:space="preserve"> of the initial estimate on which the risk premium was based.</w:t>
      </w:r>
    </w:p>
    <w:p w:rsidR="00965D85" w:rsidRPr="00681797" w:rsidRDefault="00965D85" w:rsidP="008B46DF"/>
    <w:p w:rsidR="00965D85" w:rsidRDefault="00965D85" w:rsidP="00DF54C9">
      <w:pPr>
        <w:sectPr w:rsidR="00965D85" w:rsidSect="00DF54C9">
          <w:footerReference w:type="even" r:id="rId27"/>
          <w:footerReference w:type="default" r:id="rId28"/>
          <w:type w:val="oddPage"/>
          <w:pgSz w:w="9979" w:h="14181" w:code="138"/>
          <w:pgMar w:top="1138" w:right="1138" w:bottom="1138" w:left="1138" w:header="720" w:footer="432" w:gutter="0"/>
          <w:cols w:space="708"/>
          <w:docGrid w:linePitch="360"/>
        </w:sectPr>
      </w:pPr>
    </w:p>
    <w:p w:rsidR="00965D85" w:rsidRPr="00427D0E" w:rsidRDefault="00965D85" w:rsidP="00074C4D">
      <w:pPr>
        <w:pStyle w:val="ChapterHeading"/>
      </w:pPr>
      <w:bookmarkStart w:id="83" w:name="_Toc436147548"/>
      <w:r w:rsidRPr="00427D0E">
        <w:lastRenderedPageBreak/>
        <w:t>Appendix A – Specific policy initiatives affecting the budget position</w:t>
      </w:r>
      <w:bookmarkEnd w:id="83"/>
    </w:p>
    <w:p w:rsidR="00965D85" w:rsidRPr="00BC0C9E" w:rsidRDefault="00965D85" w:rsidP="008B46DF">
      <w:r>
        <w:t>Appendix A</w:t>
      </w:r>
      <w:r w:rsidRPr="00BC0C9E">
        <w:t xml:space="preserve"> outlines specific policy initiatives</w:t>
      </w:r>
      <w:r>
        <w:t xml:space="preserve"> </w:t>
      </w:r>
      <w:r w:rsidRPr="00BC0C9E">
        <w:t>that affect output</w:t>
      </w:r>
      <w:r>
        <w:t>s and assets</w:t>
      </w:r>
      <w:r w:rsidRPr="00BC0C9E">
        <w:t>, including Treasurer</w:t>
      </w:r>
      <w:r>
        <w:t>’</w:t>
      </w:r>
      <w:r w:rsidRPr="00BC0C9E">
        <w:t xml:space="preserve">s Advances, </w:t>
      </w:r>
      <w:r>
        <w:t>agreed by the Government</w:t>
      </w:r>
      <w:r w:rsidRPr="00BC0C9E">
        <w:t xml:space="preserve"> since the </w:t>
      </w:r>
      <w:r>
        <w:rPr>
          <w:i/>
        </w:rPr>
        <w:t>2015</w:t>
      </w:r>
      <w:r>
        <w:rPr>
          <w:i/>
        </w:rPr>
        <w:noBreakHyphen/>
        <w:t>16 Budget</w:t>
      </w:r>
      <w:r>
        <w:t>.</w:t>
      </w:r>
      <w:r w:rsidRPr="00BC0C9E">
        <w:t xml:space="preserve"> </w:t>
      </w:r>
    </w:p>
    <w:p w:rsidR="00965D85" w:rsidRPr="00BC0C9E" w:rsidRDefault="00965D85" w:rsidP="008B46DF">
      <w:r>
        <w:t>Appendix A also</w:t>
      </w:r>
      <w:r w:rsidRPr="00BC0C9E">
        <w:t xml:space="preserve"> includes a cross reference between initiatives and their relevant departmental outputs which aims to indicate the impact of policy decisions on relevant portfolios.</w:t>
      </w:r>
    </w:p>
    <w:p w:rsidR="00965D85" w:rsidRDefault="00965D85" w:rsidP="008B46DF">
      <w:r w:rsidRPr="00BC0C9E">
        <w:t xml:space="preserve">The figures included are the </w:t>
      </w:r>
      <w:r>
        <w:t>gross</w:t>
      </w:r>
      <w:r w:rsidRPr="00BC0C9E">
        <w:t xml:space="preserve"> cost of decisions. Funding from reprioritisation and other sources has not been deducted from the total cost of </w:t>
      </w:r>
      <w:r>
        <w:t>new initiatives</w:t>
      </w:r>
      <w:r w:rsidRPr="00BC0C9E">
        <w:t>.</w:t>
      </w:r>
    </w:p>
    <w:p w:rsidR="00965D85" w:rsidRDefault="00965D85">
      <w:pPr>
        <w:spacing w:after="0"/>
        <w:rPr>
          <w:rFonts w:ascii="Calibri" w:hAnsi="Calibri"/>
          <w:b/>
          <w:caps/>
          <w:sz w:val="26"/>
          <w:szCs w:val="22"/>
        </w:rPr>
      </w:pPr>
      <w:r>
        <w:br w:type="page"/>
      </w:r>
    </w:p>
    <w:p w:rsidR="00965D85" w:rsidRDefault="00965D85" w:rsidP="008B46DF">
      <w:pPr>
        <w:pStyle w:val="Heading1"/>
      </w:pPr>
      <w:bookmarkStart w:id="84" w:name="_Toc436147549"/>
      <w:r>
        <w:lastRenderedPageBreak/>
        <w:t>Whole of Government – Drought Package</w:t>
      </w:r>
      <w:bookmarkEnd w:id="84"/>
    </w:p>
    <w:p w:rsidR="00965D85" w:rsidRDefault="00965D85" w:rsidP="008B46DF">
      <w:pPr>
        <w:pStyle w:val="Heading3"/>
      </w:pPr>
      <w:r>
        <w:t>Output initiatives</w:t>
      </w:r>
    </w:p>
    <w:p w:rsidR="00965D85" w:rsidRPr="00B92C37" w:rsidRDefault="00965D85" w:rsidP="008B46DF">
      <w:pPr>
        <w:pStyle w:val="Tableheading"/>
      </w:pPr>
      <w:r>
        <w:t>Table A.1:</w:t>
      </w:r>
      <w:r>
        <w:tab/>
        <w:t>Output initiatives – Drought Package</w:t>
      </w:r>
    </w:p>
    <w:p w:rsidR="00965D85" w:rsidRDefault="00965D85" w:rsidP="008B46DF">
      <w:pPr>
        <w:pStyle w:val="million"/>
        <w:rPr>
          <w:rFonts w:ascii="Times New Roman" w:hAnsi="Times New Roman"/>
          <w:i w:val="0"/>
          <w:sz w:val="20"/>
          <w:szCs w:val="20"/>
          <w:lang w:eastAsia="en-AU"/>
        </w:rPr>
      </w:pPr>
      <w:r>
        <w:t>($ million)</w:t>
      </w:r>
      <w:r w:rsidRPr="004E7BFB">
        <w:t xml:space="preserve"> </w:t>
      </w:r>
      <w:r>
        <w:fldChar w:fldCharType="begin" w:fldLock="1"/>
      </w:r>
      <w:r>
        <w:instrText xml:space="preserve"> LINK Excel.Sheet.12 "\\\\PDCPTPRDFIL01\\DTFDATA02$\\SECURED\\Budget\\BudgetUpdate\\AppendixA\\AppendixA.xlsx" "Whole Of Government!WoG_Outputs"\* MERGEFORMAT\f 4 \r </w:instrText>
      </w:r>
      <w:r>
        <w:fldChar w:fldCharType="separate"/>
      </w:r>
    </w:p>
    <w:tbl>
      <w:tblPr>
        <w:tblW w:w="7768" w:type="dxa"/>
        <w:tblInd w:w="45" w:type="dxa"/>
        <w:tblLayout w:type="fixed"/>
        <w:tblCellMar>
          <w:left w:w="45" w:type="dxa"/>
          <w:right w:w="45" w:type="dxa"/>
        </w:tblCellMar>
        <w:tblLook w:val="0000" w:firstRow="0" w:lastRow="0" w:firstColumn="0" w:lastColumn="0" w:noHBand="0" w:noVBand="0"/>
      </w:tblPr>
      <w:tblGrid>
        <w:gridCol w:w="3912"/>
        <w:gridCol w:w="964"/>
        <w:gridCol w:w="964"/>
        <w:gridCol w:w="964"/>
        <w:gridCol w:w="964"/>
      </w:tblGrid>
      <w:tr w:rsidR="00965D85" w:rsidRPr="004D5A3C" w:rsidTr="008B46DF">
        <w:trPr>
          <w:cantSplit/>
          <w:tblHeader/>
        </w:trPr>
        <w:tc>
          <w:tcPr>
            <w:tcW w:w="3912" w:type="dxa"/>
            <w:tcBorders>
              <w:top w:val="single" w:sz="6" w:space="0" w:color="auto"/>
              <w:left w:val="single" w:sz="6" w:space="0" w:color="auto"/>
              <w:bottom w:val="single" w:sz="6" w:space="0" w:color="auto"/>
              <w:right w:val="nil"/>
            </w:tcBorders>
            <w:shd w:val="solid" w:color="000000" w:fill="auto"/>
          </w:tcPr>
          <w:p w:rsidR="00965D85" w:rsidRPr="004D5A3C" w:rsidRDefault="00965D85" w:rsidP="008B46DF">
            <w:pPr>
              <w:autoSpaceDE w:val="0"/>
              <w:autoSpaceDN w:val="0"/>
              <w:adjustRightInd w:val="0"/>
              <w:spacing w:after="0"/>
              <w:rPr>
                <w:rFonts w:ascii="Calibri" w:eastAsiaTheme="minorEastAsia" w:hAnsi="Calibri" w:cs="Calibri"/>
                <w:color w:val="FFFFFF" w:themeColor="background1"/>
                <w:sz w:val="20"/>
                <w:lang w:eastAsia="en-AU"/>
              </w:rPr>
            </w:pPr>
          </w:p>
        </w:tc>
        <w:tc>
          <w:tcPr>
            <w:tcW w:w="964" w:type="dxa"/>
            <w:tcBorders>
              <w:top w:val="single" w:sz="6" w:space="0" w:color="auto"/>
              <w:left w:val="nil"/>
              <w:bottom w:val="single" w:sz="6" w:space="0" w:color="auto"/>
              <w:right w:val="nil"/>
            </w:tcBorders>
            <w:shd w:val="solid" w:color="000000" w:fill="auto"/>
          </w:tcPr>
          <w:p w:rsidR="00965D85" w:rsidRPr="004D5A3C" w:rsidRDefault="00965D85" w:rsidP="008B46DF">
            <w:pPr>
              <w:autoSpaceDE w:val="0"/>
              <w:autoSpaceDN w:val="0"/>
              <w:adjustRightInd w:val="0"/>
              <w:spacing w:after="0"/>
              <w:jc w:val="right"/>
              <w:rPr>
                <w:rFonts w:ascii="Calibri" w:eastAsiaTheme="minorEastAsia" w:hAnsi="Calibri" w:cs="Calibri"/>
                <w:i/>
                <w:iCs/>
                <w:color w:val="FFFFFF" w:themeColor="background1"/>
                <w:sz w:val="20"/>
                <w:lang w:eastAsia="en-AU"/>
              </w:rPr>
            </w:pPr>
            <w:r w:rsidRPr="004D5A3C">
              <w:rPr>
                <w:rFonts w:ascii="Calibri" w:eastAsiaTheme="minorEastAsia" w:hAnsi="Calibri" w:cs="Calibri"/>
                <w:i/>
                <w:iCs/>
                <w:color w:val="FFFFFF" w:themeColor="background1"/>
                <w:sz w:val="20"/>
                <w:lang w:eastAsia="en-AU"/>
              </w:rPr>
              <w:t>2015</w:t>
            </w:r>
            <w:r>
              <w:rPr>
                <w:rFonts w:ascii="Calibri" w:eastAsiaTheme="minorEastAsia" w:hAnsi="Calibri" w:cs="Calibri"/>
                <w:i/>
                <w:iCs/>
                <w:color w:val="FFFFFF" w:themeColor="background1"/>
                <w:sz w:val="20"/>
                <w:lang w:eastAsia="en-AU"/>
              </w:rPr>
              <w:noBreakHyphen/>
            </w:r>
            <w:r w:rsidRPr="004D5A3C">
              <w:rPr>
                <w:rFonts w:ascii="Calibri" w:eastAsiaTheme="minorEastAsia" w:hAnsi="Calibri" w:cs="Calibri"/>
                <w:i/>
                <w:iCs/>
                <w:color w:val="FFFFFF" w:themeColor="background1"/>
                <w:sz w:val="20"/>
                <w:lang w:eastAsia="en-AU"/>
              </w:rPr>
              <w:t>16</w:t>
            </w:r>
          </w:p>
        </w:tc>
        <w:tc>
          <w:tcPr>
            <w:tcW w:w="964" w:type="dxa"/>
            <w:tcBorders>
              <w:top w:val="single" w:sz="6" w:space="0" w:color="auto"/>
              <w:left w:val="nil"/>
              <w:bottom w:val="single" w:sz="6" w:space="0" w:color="auto"/>
              <w:right w:val="nil"/>
            </w:tcBorders>
            <w:shd w:val="solid" w:color="000000" w:fill="auto"/>
          </w:tcPr>
          <w:p w:rsidR="00965D85" w:rsidRPr="004D5A3C" w:rsidRDefault="00965D85" w:rsidP="008B46DF">
            <w:pPr>
              <w:autoSpaceDE w:val="0"/>
              <w:autoSpaceDN w:val="0"/>
              <w:adjustRightInd w:val="0"/>
              <w:spacing w:after="0"/>
              <w:jc w:val="right"/>
              <w:rPr>
                <w:rFonts w:ascii="Calibri" w:eastAsiaTheme="minorEastAsia" w:hAnsi="Calibri" w:cs="Calibri"/>
                <w:i/>
                <w:iCs/>
                <w:color w:val="FFFFFF" w:themeColor="background1"/>
                <w:sz w:val="20"/>
                <w:lang w:eastAsia="en-AU"/>
              </w:rPr>
            </w:pPr>
            <w:r w:rsidRPr="004D5A3C">
              <w:rPr>
                <w:rFonts w:ascii="Calibri" w:eastAsiaTheme="minorEastAsia" w:hAnsi="Calibri" w:cs="Calibri"/>
                <w:i/>
                <w:iCs/>
                <w:color w:val="FFFFFF" w:themeColor="background1"/>
                <w:sz w:val="20"/>
                <w:lang w:eastAsia="en-AU"/>
              </w:rPr>
              <w:t>2016</w:t>
            </w:r>
            <w:r>
              <w:rPr>
                <w:rFonts w:ascii="Calibri" w:eastAsiaTheme="minorEastAsia" w:hAnsi="Calibri" w:cs="Calibri"/>
                <w:i/>
                <w:iCs/>
                <w:color w:val="FFFFFF" w:themeColor="background1"/>
                <w:sz w:val="20"/>
                <w:lang w:eastAsia="en-AU"/>
              </w:rPr>
              <w:noBreakHyphen/>
            </w:r>
            <w:r w:rsidRPr="004D5A3C">
              <w:rPr>
                <w:rFonts w:ascii="Calibri" w:eastAsiaTheme="minorEastAsia" w:hAnsi="Calibri" w:cs="Calibri"/>
                <w:i/>
                <w:iCs/>
                <w:color w:val="FFFFFF" w:themeColor="background1"/>
                <w:sz w:val="20"/>
                <w:lang w:eastAsia="en-AU"/>
              </w:rPr>
              <w:t>17</w:t>
            </w:r>
          </w:p>
        </w:tc>
        <w:tc>
          <w:tcPr>
            <w:tcW w:w="964" w:type="dxa"/>
            <w:tcBorders>
              <w:top w:val="single" w:sz="6" w:space="0" w:color="auto"/>
              <w:left w:val="nil"/>
              <w:bottom w:val="single" w:sz="6" w:space="0" w:color="auto"/>
              <w:right w:val="nil"/>
            </w:tcBorders>
            <w:shd w:val="solid" w:color="000000" w:fill="auto"/>
          </w:tcPr>
          <w:p w:rsidR="00965D85" w:rsidRPr="004D5A3C" w:rsidRDefault="00965D85" w:rsidP="008B46DF">
            <w:pPr>
              <w:autoSpaceDE w:val="0"/>
              <w:autoSpaceDN w:val="0"/>
              <w:adjustRightInd w:val="0"/>
              <w:spacing w:after="0"/>
              <w:jc w:val="right"/>
              <w:rPr>
                <w:rFonts w:ascii="Calibri" w:eastAsiaTheme="minorEastAsia" w:hAnsi="Calibri" w:cs="Calibri"/>
                <w:i/>
                <w:iCs/>
                <w:color w:val="FFFFFF" w:themeColor="background1"/>
                <w:sz w:val="20"/>
                <w:lang w:eastAsia="en-AU"/>
              </w:rPr>
            </w:pPr>
            <w:r w:rsidRPr="004D5A3C">
              <w:rPr>
                <w:rFonts w:ascii="Calibri" w:eastAsiaTheme="minorEastAsia" w:hAnsi="Calibri" w:cs="Calibri"/>
                <w:i/>
                <w:iCs/>
                <w:color w:val="FFFFFF" w:themeColor="background1"/>
                <w:sz w:val="20"/>
                <w:lang w:eastAsia="en-AU"/>
              </w:rPr>
              <w:t>2017</w:t>
            </w:r>
            <w:r>
              <w:rPr>
                <w:rFonts w:ascii="Calibri" w:eastAsiaTheme="minorEastAsia" w:hAnsi="Calibri" w:cs="Calibri"/>
                <w:i/>
                <w:iCs/>
                <w:color w:val="FFFFFF" w:themeColor="background1"/>
                <w:sz w:val="20"/>
                <w:lang w:eastAsia="en-AU"/>
              </w:rPr>
              <w:noBreakHyphen/>
            </w:r>
            <w:r w:rsidRPr="004D5A3C">
              <w:rPr>
                <w:rFonts w:ascii="Calibri" w:eastAsiaTheme="minorEastAsia" w:hAnsi="Calibri" w:cs="Calibri"/>
                <w:i/>
                <w:iCs/>
                <w:color w:val="FFFFFF" w:themeColor="background1"/>
                <w:sz w:val="20"/>
                <w:lang w:eastAsia="en-AU"/>
              </w:rPr>
              <w:t>18</w:t>
            </w:r>
          </w:p>
        </w:tc>
        <w:tc>
          <w:tcPr>
            <w:tcW w:w="964" w:type="dxa"/>
            <w:tcBorders>
              <w:top w:val="single" w:sz="6" w:space="0" w:color="auto"/>
              <w:left w:val="nil"/>
              <w:bottom w:val="single" w:sz="6" w:space="0" w:color="auto"/>
              <w:right w:val="nil"/>
            </w:tcBorders>
            <w:shd w:val="solid" w:color="000000" w:fill="auto"/>
          </w:tcPr>
          <w:p w:rsidR="00965D85" w:rsidRPr="004D5A3C" w:rsidRDefault="00965D85" w:rsidP="008B46DF">
            <w:pPr>
              <w:autoSpaceDE w:val="0"/>
              <w:autoSpaceDN w:val="0"/>
              <w:adjustRightInd w:val="0"/>
              <w:spacing w:after="0"/>
              <w:jc w:val="right"/>
              <w:rPr>
                <w:rFonts w:ascii="Calibri" w:eastAsiaTheme="minorEastAsia" w:hAnsi="Calibri" w:cs="Calibri"/>
                <w:i/>
                <w:iCs/>
                <w:color w:val="FFFFFF" w:themeColor="background1"/>
                <w:sz w:val="20"/>
                <w:lang w:eastAsia="en-AU"/>
              </w:rPr>
            </w:pPr>
            <w:r w:rsidRPr="004D5A3C">
              <w:rPr>
                <w:rFonts w:ascii="Calibri" w:eastAsiaTheme="minorEastAsia" w:hAnsi="Calibri" w:cs="Calibri"/>
                <w:i/>
                <w:iCs/>
                <w:color w:val="FFFFFF" w:themeColor="background1"/>
                <w:sz w:val="20"/>
                <w:lang w:eastAsia="en-AU"/>
              </w:rPr>
              <w:t>2018</w:t>
            </w:r>
            <w:r>
              <w:rPr>
                <w:rFonts w:ascii="Calibri" w:eastAsiaTheme="minorEastAsia" w:hAnsi="Calibri" w:cs="Calibri"/>
                <w:i/>
                <w:iCs/>
                <w:color w:val="FFFFFF" w:themeColor="background1"/>
                <w:sz w:val="20"/>
                <w:lang w:eastAsia="en-AU"/>
              </w:rPr>
              <w:noBreakHyphen/>
            </w:r>
            <w:r w:rsidRPr="004D5A3C">
              <w:rPr>
                <w:rFonts w:ascii="Calibri" w:eastAsiaTheme="minorEastAsia" w:hAnsi="Calibri" w:cs="Calibri"/>
                <w:i/>
                <w:iCs/>
                <w:color w:val="FFFFFF" w:themeColor="background1"/>
                <w:sz w:val="20"/>
                <w:lang w:eastAsia="en-AU"/>
              </w:rPr>
              <w:t>19</w:t>
            </w:r>
          </w:p>
        </w:tc>
      </w:tr>
      <w:tr w:rsidR="00965D85" w:rsidRPr="004D5A3C" w:rsidTr="008B46DF">
        <w:trPr>
          <w:cantSplit/>
        </w:trPr>
        <w:tc>
          <w:tcPr>
            <w:tcW w:w="3912" w:type="dxa"/>
            <w:tcBorders>
              <w:top w:val="single" w:sz="6" w:space="0" w:color="auto"/>
              <w:left w:val="nil"/>
              <w:right w:val="nil"/>
            </w:tcBorders>
            <w:shd w:val="clear" w:color="auto" w:fill="FFFFFF"/>
          </w:tcPr>
          <w:p w:rsidR="00965D85" w:rsidRPr="004D5A3C"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4D5A3C">
              <w:rPr>
                <w:rFonts w:ascii="Calibri" w:eastAsiaTheme="minorEastAsia" w:hAnsi="Calibri" w:cs="Calibri"/>
                <w:color w:val="000000"/>
                <w:sz w:val="20"/>
                <w:lang w:eastAsia="en-AU"/>
              </w:rPr>
              <w:t>Drought response</w:t>
            </w:r>
          </w:p>
        </w:tc>
        <w:tc>
          <w:tcPr>
            <w:tcW w:w="964" w:type="dxa"/>
            <w:tcBorders>
              <w:top w:val="single" w:sz="6" w:space="0" w:color="auto"/>
              <w:left w:val="nil"/>
              <w:right w:val="nil"/>
            </w:tcBorders>
            <w:shd w:val="clear" w:color="auto" w:fill="FFFFFF"/>
          </w:tcPr>
          <w:p w:rsidR="00965D85" w:rsidRPr="004D5A3C"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4D5A3C">
              <w:rPr>
                <w:rFonts w:ascii="Calibri" w:eastAsiaTheme="minorEastAsia" w:hAnsi="Calibri" w:cs="Calibri"/>
                <w:color w:val="000000"/>
                <w:sz w:val="20"/>
                <w:lang w:eastAsia="en-AU"/>
              </w:rPr>
              <w:t>2.0</w:t>
            </w:r>
          </w:p>
        </w:tc>
        <w:tc>
          <w:tcPr>
            <w:tcW w:w="964" w:type="dxa"/>
            <w:tcBorders>
              <w:top w:val="single" w:sz="6" w:space="0" w:color="auto"/>
              <w:left w:val="nil"/>
              <w:right w:val="nil"/>
            </w:tcBorders>
            <w:shd w:val="clear" w:color="auto" w:fill="FFFFFF"/>
          </w:tcPr>
          <w:p w:rsidR="00965D85" w:rsidRPr="004D5A3C"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4D5A3C">
              <w:rPr>
                <w:rFonts w:ascii="Calibri" w:eastAsiaTheme="minorEastAsia" w:hAnsi="Calibri" w:cs="Calibri"/>
                <w:color w:val="000000"/>
                <w:sz w:val="20"/>
                <w:lang w:eastAsia="en-AU"/>
              </w:rPr>
              <w:t>..</w:t>
            </w:r>
          </w:p>
        </w:tc>
        <w:tc>
          <w:tcPr>
            <w:tcW w:w="964" w:type="dxa"/>
            <w:tcBorders>
              <w:top w:val="single" w:sz="6" w:space="0" w:color="auto"/>
              <w:left w:val="nil"/>
              <w:right w:val="nil"/>
            </w:tcBorders>
            <w:shd w:val="clear" w:color="auto" w:fill="FFFFFF"/>
          </w:tcPr>
          <w:p w:rsidR="00965D85" w:rsidRPr="004D5A3C"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4D5A3C">
              <w:rPr>
                <w:rFonts w:ascii="Calibri" w:eastAsiaTheme="minorEastAsia" w:hAnsi="Calibri" w:cs="Calibri"/>
                <w:color w:val="000000"/>
                <w:sz w:val="20"/>
                <w:lang w:eastAsia="en-AU"/>
              </w:rPr>
              <w:t>..</w:t>
            </w:r>
          </w:p>
        </w:tc>
        <w:tc>
          <w:tcPr>
            <w:tcW w:w="964" w:type="dxa"/>
            <w:tcBorders>
              <w:top w:val="single" w:sz="6" w:space="0" w:color="auto"/>
              <w:left w:val="nil"/>
              <w:right w:val="nil"/>
            </w:tcBorders>
            <w:shd w:val="clear" w:color="auto" w:fill="FFFFFF"/>
          </w:tcPr>
          <w:p w:rsidR="00965D85" w:rsidRPr="004D5A3C"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4D5A3C">
              <w:rPr>
                <w:rFonts w:ascii="Calibri" w:eastAsiaTheme="minorEastAsia" w:hAnsi="Calibri" w:cs="Calibri"/>
                <w:color w:val="000000"/>
                <w:sz w:val="20"/>
                <w:lang w:eastAsia="en-AU"/>
              </w:rPr>
              <w:t>..</w:t>
            </w:r>
          </w:p>
        </w:tc>
      </w:tr>
      <w:tr w:rsidR="00965D85" w:rsidRPr="004D5A3C" w:rsidTr="008B46DF">
        <w:trPr>
          <w:cantSplit/>
        </w:trPr>
        <w:tc>
          <w:tcPr>
            <w:tcW w:w="3912" w:type="dxa"/>
            <w:tcBorders>
              <w:top w:val="nil"/>
              <w:left w:val="nil"/>
              <w:bottom w:val="single" w:sz="6" w:space="0" w:color="auto"/>
              <w:right w:val="nil"/>
            </w:tcBorders>
            <w:shd w:val="clear" w:color="auto" w:fill="FFFFFF"/>
          </w:tcPr>
          <w:p w:rsidR="00965D85" w:rsidRPr="004D5A3C"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4D5A3C">
              <w:rPr>
                <w:rFonts w:ascii="Calibri" w:eastAsiaTheme="minorEastAsia" w:hAnsi="Calibri" w:cs="Calibri"/>
                <w:color w:val="000000"/>
                <w:sz w:val="20"/>
                <w:lang w:eastAsia="en-AU"/>
              </w:rPr>
              <w:t>Drought support</w:t>
            </w:r>
          </w:p>
        </w:tc>
        <w:tc>
          <w:tcPr>
            <w:tcW w:w="964" w:type="dxa"/>
            <w:tcBorders>
              <w:top w:val="nil"/>
              <w:left w:val="nil"/>
              <w:bottom w:val="single" w:sz="6" w:space="0" w:color="auto"/>
              <w:right w:val="nil"/>
            </w:tcBorders>
            <w:shd w:val="clear" w:color="auto" w:fill="FFFFFF"/>
          </w:tcPr>
          <w:p w:rsidR="00965D85" w:rsidRPr="004D5A3C"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4D5A3C">
              <w:rPr>
                <w:rFonts w:ascii="Calibri" w:eastAsiaTheme="minorEastAsia" w:hAnsi="Calibri" w:cs="Calibri"/>
                <w:color w:val="000000"/>
                <w:sz w:val="20"/>
                <w:lang w:eastAsia="en-AU"/>
              </w:rPr>
              <w:t>2.5</w:t>
            </w:r>
          </w:p>
        </w:tc>
        <w:tc>
          <w:tcPr>
            <w:tcW w:w="964" w:type="dxa"/>
            <w:tcBorders>
              <w:top w:val="nil"/>
              <w:left w:val="nil"/>
              <w:bottom w:val="single" w:sz="6" w:space="0" w:color="auto"/>
              <w:right w:val="nil"/>
            </w:tcBorders>
            <w:shd w:val="clear" w:color="auto" w:fill="FFFFFF"/>
          </w:tcPr>
          <w:p w:rsidR="00965D85" w:rsidRPr="004D5A3C"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4D5A3C">
              <w:rPr>
                <w:rFonts w:ascii="Calibri" w:eastAsiaTheme="minorEastAsia" w:hAnsi="Calibri" w:cs="Calibri"/>
                <w:color w:val="000000"/>
                <w:sz w:val="20"/>
                <w:lang w:eastAsia="en-AU"/>
              </w:rPr>
              <w:t>7.5</w:t>
            </w:r>
          </w:p>
        </w:tc>
        <w:tc>
          <w:tcPr>
            <w:tcW w:w="964" w:type="dxa"/>
            <w:tcBorders>
              <w:top w:val="nil"/>
              <w:left w:val="nil"/>
              <w:bottom w:val="single" w:sz="6" w:space="0" w:color="auto"/>
              <w:right w:val="nil"/>
            </w:tcBorders>
            <w:shd w:val="clear" w:color="auto" w:fill="FFFFFF"/>
          </w:tcPr>
          <w:p w:rsidR="00965D85" w:rsidRPr="004D5A3C"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4D5A3C">
              <w:rPr>
                <w:rFonts w:ascii="Calibri" w:eastAsiaTheme="minorEastAsia" w:hAnsi="Calibri" w:cs="Calibri"/>
                <w:color w:val="000000"/>
                <w:sz w:val="20"/>
                <w:lang w:eastAsia="en-AU"/>
              </w:rPr>
              <w:t>..</w:t>
            </w:r>
          </w:p>
        </w:tc>
        <w:tc>
          <w:tcPr>
            <w:tcW w:w="964" w:type="dxa"/>
            <w:tcBorders>
              <w:top w:val="nil"/>
              <w:left w:val="nil"/>
              <w:bottom w:val="single" w:sz="6" w:space="0" w:color="auto"/>
              <w:right w:val="nil"/>
            </w:tcBorders>
            <w:shd w:val="clear" w:color="auto" w:fill="FFFFFF"/>
          </w:tcPr>
          <w:p w:rsidR="00965D85" w:rsidRPr="004D5A3C"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4D5A3C">
              <w:rPr>
                <w:rFonts w:ascii="Calibri" w:eastAsiaTheme="minorEastAsia" w:hAnsi="Calibri" w:cs="Calibri"/>
                <w:color w:val="000000"/>
                <w:sz w:val="20"/>
                <w:lang w:eastAsia="en-AU"/>
              </w:rPr>
              <w:t>..</w:t>
            </w:r>
          </w:p>
        </w:tc>
      </w:tr>
      <w:tr w:rsidR="00965D85" w:rsidRPr="004D5A3C" w:rsidTr="008B46DF">
        <w:trPr>
          <w:cantSplit/>
        </w:trPr>
        <w:tc>
          <w:tcPr>
            <w:tcW w:w="3912" w:type="dxa"/>
            <w:tcBorders>
              <w:top w:val="single" w:sz="6" w:space="0" w:color="auto"/>
              <w:left w:val="nil"/>
              <w:bottom w:val="single" w:sz="12" w:space="0" w:color="auto"/>
              <w:right w:val="nil"/>
            </w:tcBorders>
            <w:shd w:val="solid" w:color="FFFFFF" w:fill="FFFFFF"/>
          </w:tcPr>
          <w:p w:rsidR="00965D85" w:rsidRPr="004D5A3C" w:rsidRDefault="00965D85" w:rsidP="008B46DF">
            <w:pPr>
              <w:autoSpaceDE w:val="0"/>
              <w:autoSpaceDN w:val="0"/>
              <w:adjustRightInd w:val="0"/>
              <w:spacing w:after="0"/>
              <w:ind w:left="227" w:hanging="227"/>
              <w:rPr>
                <w:rFonts w:ascii="Calibri" w:eastAsiaTheme="minorEastAsia" w:hAnsi="Calibri" w:cs="Calibri"/>
                <w:b/>
                <w:bCs/>
                <w:color w:val="000000"/>
                <w:sz w:val="20"/>
                <w:lang w:eastAsia="en-AU"/>
              </w:rPr>
            </w:pPr>
          </w:p>
        </w:tc>
        <w:tc>
          <w:tcPr>
            <w:tcW w:w="964" w:type="dxa"/>
            <w:tcBorders>
              <w:top w:val="single" w:sz="6" w:space="0" w:color="auto"/>
              <w:left w:val="nil"/>
              <w:bottom w:val="single" w:sz="12" w:space="0" w:color="auto"/>
              <w:right w:val="nil"/>
            </w:tcBorders>
            <w:shd w:val="solid" w:color="FFFFFF" w:fill="FFFFFF"/>
          </w:tcPr>
          <w:p w:rsidR="00965D85" w:rsidRPr="004D5A3C"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4D5A3C">
              <w:rPr>
                <w:rFonts w:ascii="Calibri" w:eastAsiaTheme="minorEastAsia" w:hAnsi="Calibri" w:cs="Calibri"/>
                <w:b/>
                <w:bCs/>
                <w:color w:val="000000"/>
                <w:sz w:val="20"/>
                <w:lang w:eastAsia="en-AU"/>
              </w:rPr>
              <w:t>4.5</w:t>
            </w:r>
          </w:p>
        </w:tc>
        <w:tc>
          <w:tcPr>
            <w:tcW w:w="964" w:type="dxa"/>
            <w:tcBorders>
              <w:top w:val="single" w:sz="6" w:space="0" w:color="auto"/>
              <w:left w:val="nil"/>
              <w:bottom w:val="single" w:sz="12" w:space="0" w:color="auto"/>
              <w:right w:val="nil"/>
            </w:tcBorders>
            <w:shd w:val="solid" w:color="FFFFFF" w:fill="FFFFFF"/>
          </w:tcPr>
          <w:p w:rsidR="00965D85" w:rsidRPr="004D5A3C"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4D5A3C">
              <w:rPr>
                <w:rFonts w:ascii="Calibri" w:eastAsiaTheme="minorEastAsia" w:hAnsi="Calibri" w:cs="Calibri"/>
                <w:b/>
                <w:bCs/>
                <w:color w:val="000000"/>
                <w:sz w:val="20"/>
                <w:lang w:eastAsia="en-AU"/>
              </w:rPr>
              <w:t>7.5</w:t>
            </w:r>
          </w:p>
        </w:tc>
        <w:tc>
          <w:tcPr>
            <w:tcW w:w="964" w:type="dxa"/>
            <w:tcBorders>
              <w:top w:val="single" w:sz="6" w:space="0" w:color="auto"/>
              <w:left w:val="nil"/>
              <w:bottom w:val="single" w:sz="12" w:space="0" w:color="auto"/>
              <w:right w:val="nil"/>
            </w:tcBorders>
            <w:shd w:val="solid" w:color="FFFFFF" w:fill="FFFFFF"/>
          </w:tcPr>
          <w:p w:rsidR="00965D85" w:rsidRPr="004D5A3C"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4D5A3C">
              <w:rPr>
                <w:rFonts w:ascii="Calibri" w:eastAsiaTheme="minorEastAsia" w:hAnsi="Calibri" w:cs="Calibri"/>
                <w:b/>
                <w:bCs/>
                <w:color w:val="000000"/>
                <w:sz w:val="20"/>
                <w:lang w:eastAsia="en-AU"/>
              </w:rPr>
              <w:t>..</w:t>
            </w:r>
          </w:p>
        </w:tc>
        <w:tc>
          <w:tcPr>
            <w:tcW w:w="964" w:type="dxa"/>
            <w:tcBorders>
              <w:top w:val="single" w:sz="6" w:space="0" w:color="auto"/>
              <w:left w:val="nil"/>
              <w:bottom w:val="single" w:sz="12" w:space="0" w:color="auto"/>
              <w:right w:val="nil"/>
            </w:tcBorders>
            <w:shd w:val="solid" w:color="FFFFFF" w:fill="FFFFFF"/>
          </w:tcPr>
          <w:p w:rsidR="00965D85" w:rsidRPr="004D5A3C"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4D5A3C">
              <w:rPr>
                <w:rFonts w:ascii="Calibri" w:eastAsiaTheme="minorEastAsia" w:hAnsi="Calibri" w:cs="Calibri"/>
                <w:b/>
                <w:bCs/>
                <w:color w:val="000000"/>
                <w:sz w:val="20"/>
                <w:lang w:eastAsia="en-AU"/>
              </w:rPr>
              <w:t>..</w:t>
            </w:r>
          </w:p>
        </w:tc>
      </w:tr>
    </w:tbl>
    <w:p w:rsidR="00965D85" w:rsidRPr="004E7BFB" w:rsidRDefault="00965D85" w:rsidP="008B46DF">
      <w:r>
        <w:fldChar w:fldCharType="end"/>
      </w:r>
    </w:p>
    <w:p w:rsidR="00965D85" w:rsidRPr="004E7BFB" w:rsidRDefault="00965D85" w:rsidP="008B46DF">
      <w:pPr>
        <w:pStyle w:val="Heading5"/>
      </w:pPr>
      <w:r w:rsidRPr="004E7BFB">
        <w:t xml:space="preserve">Drought response </w:t>
      </w:r>
    </w:p>
    <w:p w:rsidR="00965D85" w:rsidRPr="004E7BFB" w:rsidRDefault="00965D85" w:rsidP="008B46DF">
      <w:r w:rsidRPr="004E7BFB">
        <w:t>Additional funding is provided to support a broad package of initiatives being delivered in response to worsening drought conditions in north</w:t>
      </w:r>
      <w:r>
        <w:noBreakHyphen/>
      </w:r>
      <w:r w:rsidRPr="004E7BFB">
        <w:t>west Victoria. New measures include:</w:t>
      </w:r>
    </w:p>
    <w:p w:rsidR="00965D85" w:rsidRPr="004E7BFB" w:rsidRDefault="00965D85" w:rsidP="008B46DF">
      <w:pPr>
        <w:pStyle w:val="BulletText"/>
      </w:pPr>
      <w:r w:rsidRPr="004E7BFB">
        <w:t>additional extension services to help affected farmers make informed business decisions in response to the drought;</w:t>
      </w:r>
    </w:p>
    <w:p w:rsidR="00965D85" w:rsidRPr="004E7BFB" w:rsidRDefault="00965D85" w:rsidP="008B46DF">
      <w:pPr>
        <w:pStyle w:val="BulletText"/>
      </w:pPr>
      <w:r w:rsidRPr="004E7BFB">
        <w:t>grants to farmers to assist with the costs of establishing stock containment areas on their properties;</w:t>
      </w:r>
    </w:p>
    <w:p w:rsidR="00965D85" w:rsidRPr="004E7BFB" w:rsidRDefault="00965D85" w:rsidP="008B46DF">
      <w:pPr>
        <w:pStyle w:val="BulletText"/>
      </w:pPr>
      <w:r w:rsidRPr="004E7BFB">
        <w:t>grants to affected local councils to undertake community support activities; and</w:t>
      </w:r>
    </w:p>
    <w:p w:rsidR="00965D85" w:rsidRPr="004E7BFB" w:rsidRDefault="00965D85" w:rsidP="008B46DF">
      <w:pPr>
        <w:pStyle w:val="BulletText"/>
      </w:pPr>
      <w:r w:rsidRPr="004E7BFB">
        <w:t>appointment of a Regional Drought Coordinator to oversee the whole of government response.</w:t>
      </w:r>
    </w:p>
    <w:p w:rsidR="00965D85" w:rsidRPr="004E7BFB" w:rsidRDefault="00965D85" w:rsidP="008B46DF">
      <w:pPr>
        <w:pStyle w:val="BulletText"/>
        <w:numPr>
          <w:ilvl w:val="0"/>
          <w:numId w:val="0"/>
        </w:numPr>
      </w:pPr>
      <w:r w:rsidRPr="004E7BFB">
        <w:t>This initiative contributes to the Department of Economic Development, Jobs, Transport and Resources</w:t>
      </w:r>
      <w:r>
        <w:t>’</w:t>
      </w:r>
      <w:r w:rsidRPr="004E7BFB">
        <w:t xml:space="preserve"> Agriculture output.</w:t>
      </w:r>
    </w:p>
    <w:p w:rsidR="00965D85" w:rsidRPr="00A63C0A" w:rsidRDefault="00965D85" w:rsidP="008B46DF">
      <w:pPr>
        <w:pStyle w:val="Heading5"/>
      </w:pPr>
      <w:r w:rsidRPr="00A63C0A">
        <w:t>Drought support</w:t>
      </w:r>
    </w:p>
    <w:p w:rsidR="00965D85" w:rsidRDefault="00965D85" w:rsidP="008B46DF">
      <w:r w:rsidRPr="00A63C0A">
        <w:t>The Government will create a new $</w:t>
      </w:r>
      <w:r>
        <w:t>10 million</w:t>
      </w:r>
      <w:r w:rsidRPr="00A63C0A">
        <w:t xml:space="preserve"> fund to support drought</w:t>
      </w:r>
      <w:r>
        <w:noBreakHyphen/>
      </w:r>
      <w:r w:rsidRPr="00A63C0A">
        <w:t>affected Victorians. The Government will consult to inform the best allocation of the funds in supporting affected communities.</w:t>
      </w:r>
    </w:p>
    <w:p w:rsidR="00965D85" w:rsidRPr="00A63C0A" w:rsidRDefault="00965D85" w:rsidP="008B46DF">
      <w:r>
        <w:t>This initiative is expected to contribute to various outputs. Until the Government’s consultations are complete, the funding will be held centrally.</w:t>
      </w:r>
    </w:p>
    <w:p w:rsidR="00965D85" w:rsidRDefault="00965D85">
      <w:pPr>
        <w:spacing w:after="0"/>
        <w:rPr>
          <w:rFonts w:ascii="Calibri" w:hAnsi="Calibri"/>
          <w:b/>
          <w:caps/>
          <w:sz w:val="26"/>
          <w:szCs w:val="22"/>
        </w:rPr>
      </w:pPr>
      <w:r>
        <w:br w:type="page"/>
      </w:r>
    </w:p>
    <w:p w:rsidR="00965D85" w:rsidRDefault="00965D85" w:rsidP="00392D14">
      <w:pPr>
        <w:pStyle w:val="Heading1"/>
      </w:pPr>
      <w:bookmarkStart w:id="85" w:name="_Toc436147550"/>
      <w:r>
        <w:lastRenderedPageBreak/>
        <w:t>Department of Economic Development, Jobs, Transport and Resources</w:t>
      </w:r>
      <w:bookmarkEnd w:id="85"/>
    </w:p>
    <w:p w:rsidR="00965D85" w:rsidRDefault="00965D85" w:rsidP="008B46DF">
      <w:pPr>
        <w:pStyle w:val="Heading3"/>
      </w:pPr>
      <w:r>
        <w:t>Output initiatives</w:t>
      </w:r>
    </w:p>
    <w:p w:rsidR="00965D85" w:rsidRDefault="00965D85" w:rsidP="008B46DF">
      <w:pPr>
        <w:pStyle w:val="Tableheading"/>
        <w:rPr>
          <w:rFonts w:ascii="Times New Roman" w:hAnsi="Times New Roman"/>
          <w:i/>
          <w:sz w:val="20"/>
          <w:lang w:eastAsia="en-AU"/>
        </w:rPr>
      </w:pPr>
      <w:r>
        <w:t>Table A.2:</w:t>
      </w:r>
      <w:r>
        <w:tab/>
        <w:t>Output initiatives – Economic Development, Jobs, Transport and Resources</w:t>
      </w:r>
      <w:r>
        <w:fldChar w:fldCharType="begin" w:fldLock="1"/>
      </w:r>
      <w:r>
        <w:instrText xml:space="preserve"> LINK Excel.Sheet.12 "\\\\PDCPTPRDFIL01\\DTFDATA02$\\SECURED\\Budget\\BudgetUpdate\\AppendixA\\AppendixA.xlsx" "DEDJTR!DEDJTR_outputs"\* MERGEFORMAT\f 4 \r </w:instrText>
      </w:r>
      <w:r>
        <w:fldChar w:fldCharType="separate"/>
      </w:r>
    </w:p>
    <w:tbl>
      <w:tblPr>
        <w:tblW w:w="7765" w:type="dxa"/>
        <w:tblInd w:w="45" w:type="dxa"/>
        <w:tblLayout w:type="fixed"/>
        <w:tblCellMar>
          <w:left w:w="45" w:type="dxa"/>
          <w:right w:w="45" w:type="dxa"/>
        </w:tblCellMar>
        <w:tblLook w:val="0000" w:firstRow="0" w:lastRow="0" w:firstColumn="0" w:lastColumn="0" w:noHBand="0" w:noVBand="0"/>
      </w:tblPr>
      <w:tblGrid>
        <w:gridCol w:w="4363"/>
        <w:gridCol w:w="850"/>
        <w:gridCol w:w="850"/>
        <w:gridCol w:w="850"/>
        <w:gridCol w:w="852"/>
      </w:tblGrid>
      <w:tr w:rsidR="00965D85" w:rsidRPr="00C36D49" w:rsidTr="008B46DF">
        <w:trPr>
          <w:cantSplit/>
          <w:tblHeader/>
        </w:trPr>
        <w:tc>
          <w:tcPr>
            <w:tcW w:w="7765" w:type="dxa"/>
            <w:gridSpan w:val="5"/>
            <w:tcBorders>
              <w:top w:val="nil"/>
              <w:left w:val="nil"/>
              <w:right w:val="nil"/>
            </w:tcBorders>
          </w:tcPr>
          <w:p w:rsidR="00965D85" w:rsidRPr="00C36D49" w:rsidRDefault="00965D85" w:rsidP="008B46DF">
            <w:pPr>
              <w:pStyle w:val="million"/>
              <w:rPr>
                <w:rFonts w:eastAsiaTheme="minorEastAsia"/>
                <w:lang w:eastAsia="en-AU"/>
              </w:rPr>
            </w:pPr>
            <w:r w:rsidRPr="00C36D49">
              <w:rPr>
                <w:rFonts w:eastAsiaTheme="minorEastAsia"/>
                <w:lang w:eastAsia="en-AU"/>
              </w:rPr>
              <w:t>($million)</w:t>
            </w:r>
          </w:p>
        </w:tc>
      </w:tr>
      <w:tr w:rsidR="00965D85" w:rsidRPr="00C36D49" w:rsidTr="008B46DF">
        <w:trPr>
          <w:cantSplit/>
          <w:tblHeader/>
        </w:trPr>
        <w:tc>
          <w:tcPr>
            <w:tcW w:w="4363" w:type="dxa"/>
            <w:tcBorders>
              <w:top w:val="single" w:sz="6" w:space="0" w:color="auto"/>
              <w:left w:val="single" w:sz="6" w:space="0" w:color="auto"/>
              <w:bottom w:val="single" w:sz="6" w:space="0" w:color="auto"/>
              <w:right w:val="nil"/>
            </w:tcBorders>
            <w:shd w:val="solid" w:color="000000" w:fill="auto"/>
          </w:tcPr>
          <w:p w:rsidR="00965D85" w:rsidRPr="00C36D49" w:rsidRDefault="00965D85" w:rsidP="008B46DF">
            <w:pPr>
              <w:autoSpaceDE w:val="0"/>
              <w:autoSpaceDN w:val="0"/>
              <w:adjustRightInd w:val="0"/>
              <w:spacing w:after="0"/>
              <w:rPr>
                <w:rFonts w:ascii="Calibri" w:eastAsiaTheme="minorEastAsia" w:hAnsi="Calibri" w:cs="Calibri"/>
                <w:color w:val="FFFFFF"/>
                <w:sz w:val="20"/>
                <w:lang w:eastAsia="en-AU"/>
              </w:rPr>
            </w:pPr>
            <w:r w:rsidRPr="00C36D49">
              <w:rPr>
                <w:rFonts w:ascii="Calibri" w:eastAsiaTheme="minorEastAsia" w:hAnsi="Calibri" w:cs="Calibri"/>
                <w:color w:val="FFFFFF"/>
                <w:sz w:val="20"/>
                <w:lang w:eastAsia="en-AU"/>
              </w:rPr>
              <w:t xml:space="preserve"> </w:t>
            </w:r>
          </w:p>
        </w:tc>
        <w:tc>
          <w:tcPr>
            <w:tcW w:w="850" w:type="dxa"/>
            <w:tcBorders>
              <w:top w:val="single" w:sz="6" w:space="0" w:color="auto"/>
              <w:left w:val="nil"/>
              <w:bottom w:val="single" w:sz="6" w:space="0" w:color="auto"/>
              <w:right w:val="nil"/>
            </w:tcBorders>
            <w:shd w:val="solid" w:color="000000" w:fill="auto"/>
          </w:tcPr>
          <w:p w:rsidR="00965D85" w:rsidRPr="00C36D4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C36D49">
              <w:rPr>
                <w:rFonts w:ascii="Calibri" w:eastAsiaTheme="minorEastAsia" w:hAnsi="Calibri" w:cs="Calibri"/>
                <w:i/>
                <w:iCs/>
                <w:color w:val="FFFFFF"/>
                <w:sz w:val="20"/>
                <w:lang w:eastAsia="en-AU"/>
              </w:rPr>
              <w:t>2015-16</w:t>
            </w:r>
          </w:p>
        </w:tc>
        <w:tc>
          <w:tcPr>
            <w:tcW w:w="850" w:type="dxa"/>
            <w:tcBorders>
              <w:top w:val="single" w:sz="6" w:space="0" w:color="auto"/>
              <w:left w:val="nil"/>
              <w:bottom w:val="single" w:sz="6" w:space="0" w:color="auto"/>
              <w:right w:val="nil"/>
            </w:tcBorders>
            <w:shd w:val="solid" w:color="000000" w:fill="auto"/>
          </w:tcPr>
          <w:p w:rsidR="00965D85" w:rsidRPr="00C36D4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C36D49">
              <w:rPr>
                <w:rFonts w:ascii="Calibri" w:eastAsiaTheme="minorEastAsia" w:hAnsi="Calibri" w:cs="Calibri"/>
                <w:i/>
                <w:iCs/>
                <w:color w:val="FFFFFF"/>
                <w:sz w:val="20"/>
                <w:lang w:eastAsia="en-AU"/>
              </w:rPr>
              <w:t>2016-17</w:t>
            </w:r>
          </w:p>
        </w:tc>
        <w:tc>
          <w:tcPr>
            <w:tcW w:w="850" w:type="dxa"/>
            <w:tcBorders>
              <w:top w:val="single" w:sz="6" w:space="0" w:color="auto"/>
              <w:left w:val="nil"/>
              <w:bottom w:val="single" w:sz="6" w:space="0" w:color="auto"/>
              <w:right w:val="nil"/>
            </w:tcBorders>
            <w:shd w:val="solid" w:color="000000" w:fill="auto"/>
          </w:tcPr>
          <w:p w:rsidR="00965D85" w:rsidRPr="00C36D4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C36D49">
              <w:rPr>
                <w:rFonts w:ascii="Calibri" w:eastAsiaTheme="minorEastAsia" w:hAnsi="Calibri" w:cs="Calibri"/>
                <w:i/>
                <w:iCs/>
                <w:color w:val="FFFFFF"/>
                <w:sz w:val="20"/>
                <w:lang w:eastAsia="en-AU"/>
              </w:rPr>
              <w:t>2017-18</w:t>
            </w:r>
          </w:p>
        </w:tc>
        <w:tc>
          <w:tcPr>
            <w:tcW w:w="852" w:type="dxa"/>
            <w:tcBorders>
              <w:top w:val="single" w:sz="6" w:space="0" w:color="auto"/>
              <w:left w:val="nil"/>
              <w:bottom w:val="single" w:sz="6" w:space="0" w:color="auto"/>
              <w:right w:val="nil"/>
            </w:tcBorders>
            <w:shd w:val="solid" w:color="000000" w:fill="auto"/>
          </w:tcPr>
          <w:p w:rsidR="00965D85" w:rsidRPr="00C36D49"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C36D49">
              <w:rPr>
                <w:rFonts w:ascii="Calibri" w:eastAsiaTheme="minorEastAsia" w:hAnsi="Calibri" w:cs="Calibri"/>
                <w:i/>
                <w:iCs/>
                <w:color w:val="FFFFFF"/>
                <w:sz w:val="20"/>
                <w:lang w:eastAsia="en-AU"/>
              </w:rPr>
              <w:t>2018-19</w:t>
            </w:r>
          </w:p>
        </w:tc>
      </w:tr>
      <w:tr w:rsidR="00965D85" w:rsidRPr="00C36D49" w:rsidTr="008B46DF">
        <w:trPr>
          <w:cantSplit/>
        </w:trPr>
        <w:tc>
          <w:tcPr>
            <w:tcW w:w="4363" w:type="dxa"/>
            <w:tcBorders>
              <w:top w:val="single" w:sz="6" w:space="0" w:color="auto"/>
              <w:left w:val="nil"/>
              <w:right w:val="nil"/>
            </w:tcBorders>
            <w:shd w:val="clear" w:color="000000" w:fill="FFFFFF"/>
          </w:tcPr>
          <w:p w:rsidR="00965D85" w:rsidRPr="00C36D4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C36D49">
              <w:rPr>
                <w:rFonts w:ascii="Calibri" w:eastAsiaTheme="minorEastAsia" w:hAnsi="Calibri" w:cs="Calibri"/>
                <w:color w:val="000000"/>
                <w:sz w:val="20"/>
                <w:lang w:eastAsia="en-AU"/>
              </w:rPr>
              <w:t>Additional rail maintenance and renewal activities</w:t>
            </w:r>
          </w:p>
        </w:tc>
        <w:tc>
          <w:tcPr>
            <w:tcW w:w="850" w:type="dxa"/>
            <w:tcBorders>
              <w:top w:val="single" w:sz="6" w:space="0" w:color="auto"/>
              <w:left w:val="nil"/>
              <w:right w:val="nil"/>
            </w:tcBorders>
            <w:shd w:val="clear" w:color="000000" w:fill="FFFFFF"/>
          </w:tcPr>
          <w:p w:rsidR="00965D85" w:rsidRPr="00C36D4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C36D49">
              <w:rPr>
                <w:rFonts w:ascii="Calibri" w:eastAsiaTheme="minorEastAsia" w:hAnsi="Calibri" w:cs="Calibri"/>
                <w:color w:val="000000"/>
                <w:sz w:val="20"/>
                <w:lang w:eastAsia="en-AU"/>
              </w:rPr>
              <w:t>14.1</w:t>
            </w:r>
          </w:p>
        </w:tc>
        <w:tc>
          <w:tcPr>
            <w:tcW w:w="850" w:type="dxa"/>
            <w:tcBorders>
              <w:top w:val="single" w:sz="6" w:space="0" w:color="auto"/>
              <w:left w:val="nil"/>
              <w:right w:val="nil"/>
            </w:tcBorders>
            <w:shd w:val="clear" w:color="000000" w:fill="FFFFFF"/>
          </w:tcPr>
          <w:p w:rsidR="00965D85" w:rsidRPr="00C36D4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C36D49">
              <w:rPr>
                <w:rFonts w:ascii="Calibri" w:eastAsiaTheme="minorEastAsia" w:hAnsi="Calibri" w:cs="Calibri"/>
                <w:color w:val="000000"/>
                <w:sz w:val="20"/>
                <w:lang w:eastAsia="en-AU"/>
              </w:rPr>
              <w:t>10.8</w:t>
            </w:r>
          </w:p>
        </w:tc>
        <w:tc>
          <w:tcPr>
            <w:tcW w:w="850" w:type="dxa"/>
            <w:tcBorders>
              <w:top w:val="single" w:sz="6" w:space="0" w:color="auto"/>
              <w:left w:val="nil"/>
              <w:right w:val="nil"/>
            </w:tcBorders>
            <w:shd w:val="clear" w:color="000000" w:fill="FFFFFF"/>
          </w:tcPr>
          <w:p w:rsidR="00965D85" w:rsidRPr="00C36D4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C36D49">
              <w:rPr>
                <w:rFonts w:ascii="Calibri" w:eastAsiaTheme="minorEastAsia" w:hAnsi="Calibri" w:cs="Calibri"/>
                <w:color w:val="000000"/>
                <w:sz w:val="20"/>
                <w:lang w:eastAsia="en-AU"/>
              </w:rPr>
              <w:t>..</w:t>
            </w:r>
          </w:p>
        </w:tc>
        <w:tc>
          <w:tcPr>
            <w:tcW w:w="852" w:type="dxa"/>
            <w:tcBorders>
              <w:top w:val="single" w:sz="6" w:space="0" w:color="auto"/>
              <w:left w:val="nil"/>
              <w:right w:val="nil"/>
            </w:tcBorders>
            <w:shd w:val="clear" w:color="000000" w:fill="FFFFFF"/>
          </w:tcPr>
          <w:p w:rsidR="00965D85" w:rsidRPr="00C36D4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C36D49">
              <w:rPr>
                <w:rFonts w:ascii="Calibri" w:eastAsiaTheme="minorEastAsia" w:hAnsi="Calibri" w:cs="Calibri"/>
                <w:color w:val="000000"/>
                <w:sz w:val="20"/>
                <w:lang w:eastAsia="en-AU"/>
              </w:rPr>
              <w:t>..</w:t>
            </w:r>
          </w:p>
        </w:tc>
      </w:tr>
      <w:tr w:rsidR="00965D85" w:rsidRPr="00C36D49" w:rsidTr="008B46DF">
        <w:trPr>
          <w:cantSplit/>
        </w:trPr>
        <w:tc>
          <w:tcPr>
            <w:tcW w:w="4363" w:type="dxa"/>
            <w:tcBorders>
              <w:top w:val="nil"/>
              <w:left w:val="nil"/>
              <w:right w:val="nil"/>
            </w:tcBorders>
            <w:shd w:val="clear" w:color="auto" w:fill="FFFFFF"/>
          </w:tcPr>
          <w:p w:rsidR="00965D85" w:rsidRPr="00C36D4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C36D49">
              <w:rPr>
                <w:rFonts w:ascii="Calibri" w:eastAsiaTheme="minorEastAsia" w:hAnsi="Calibri" w:cs="Calibri"/>
                <w:color w:val="000000"/>
                <w:sz w:val="20"/>
                <w:lang w:eastAsia="en-AU"/>
              </w:rPr>
              <w:t>Automotive Supply Chain Transition Program</w:t>
            </w:r>
          </w:p>
        </w:tc>
        <w:tc>
          <w:tcPr>
            <w:tcW w:w="850" w:type="dxa"/>
            <w:tcBorders>
              <w:top w:val="nil"/>
              <w:left w:val="nil"/>
              <w:right w:val="nil"/>
            </w:tcBorders>
            <w:shd w:val="clear" w:color="auto" w:fill="FFFFFF"/>
          </w:tcPr>
          <w:p w:rsidR="00965D85" w:rsidRPr="00C36D4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C36D49">
              <w:rPr>
                <w:rFonts w:ascii="Calibri" w:eastAsiaTheme="minorEastAsia" w:hAnsi="Calibri" w:cs="Calibri"/>
                <w:color w:val="000000"/>
                <w:sz w:val="20"/>
                <w:lang w:eastAsia="en-AU"/>
              </w:rPr>
              <w:t>2.0</w:t>
            </w:r>
          </w:p>
        </w:tc>
        <w:tc>
          <w:tcPr>
            <w:tcW w:w="850" w:type="dxa"/>
            <w:tcBorders>
              <w:top w:val="nil"/>
              <w:left w:val="nil"/>
              <w:right w:val="nil"/>
            </w:tcBorders>
            <w:shd w:val="clear" w:color="auto" w:fill="FFFFFF"/>
          </w:tcPr>
          <w:p w:rsidR="00965D85" w:rsidRPr="00C36D4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C36D49">
              <w:rPr>
                <w:rFonts w:ascii="Calibri" w:eastAsiaTheme="minorEastAsia" w:hAnsi="Calibri" w:cs="Calibri"/>
                <w:color w:val="000000"/>
                <w:sz w:val="20"/>
                <w:lang w:eastAsia="en-AU"/>
              </w:rPr>
              <w:t>3.0</w:t>
            </w:r>
          </w:p>
        </w:tc>
        <w:tc>
          <w:tcPr>
            <w:tcW w:w="850" w:type="dxa"/>
            <w:tcBorders>
              <w:top w:val="nil"/>
              <w:left w:val="nil"/>
              <w:right w:val="nil"/>
            </w:tcBorders>
            <w:shd w:val="clear" w:color="auto" w:fill="FFFFFF"/>
          </w:tcPr>
          <w:p w:rsidR="00965D85" w:rsidRPr="00C36D4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C36D49">
              <w:rPr>
                <w:rFonts w:ascii="Calibri" w:eastAsiaTheme="minorEastAsia" w:hAnsi="Calibri" w:cs="Calibri"/>
                <w:color w:val="000000"/>
                <w:sz w:val="20"/>
                <w:lang w:eastAsia="en-AU"/>
              </w:rPr>
              <w:t>..</w:t>
            </w:r>
          </w:p>
        </w:tc>
        <w:tc>
          <w:tcPr>
            <w:tcW w:w="852" w:type="dxa"/>
            <w:tcBorders>
              <w:top w:val="nil"/>
              <w:left w:val="nil"/>
              <w:right w:val="nil"/>
            </w:tcBorders>
            <w:shd w:val="clear" w:color="auto" w:fill="FFFFFF"/>
          </w:tcPr>
          <w:p w:rsidR="00965D85" w:rsidRPr="00C36D4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C36D49">
              <w:rPr>
                <w:rFonts w:ascii="Calibri" w:eastAsiaTheme="minorEastAsia" w:hAnsi="Calibri" w:cs="Calibri"/>
                <w:color w:val="000000"/>
                <w:sz w:val="20"/>
                <w:lang w:eastAsia="en-AU"/>
              </w:rPr>
              <w:t>..</w:t>
            </w:r>
          </w:p>
        </w:tc>
      </w:tr>
      <w:tr w:rsidR="00965D85" w:rsidRPr="00C36D49" w:rsidTr="008B46DF">
        <w:trPr>
          <w:cantSplit/>
        </w:trPr>
        <w:tc>
          <w:tcPr>
            <w:tcW w:w="4363" w:type="dxa"/>
            <w:tcBorders>
              <w:top w:val="nil"/>
              <w:left w:val="nil"/>
              <w:right w:val="nil"/>
            </w:tcBorders>
            <w:shd w:val="clear" w:color="auto" w:fill="FFFFFF"/>
          </w:tcPr>
          <w:p w:rsidR="00965D85" w:rsidRPr="00C36D4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C36D49">
              <w:rPr>
                <w:rFonts w:ascii="Calibri" w:eastAsiaTheme="minorEastAsia" w:hAnsi="Calibri" w:cs="Calibri"/>
                <w:color w:val="000000"/>
                <w:sz w:val="20"/>
                <w:lang w:eastAsia="en-AU"/>
              </w:rPr>
              <w:t>Establishment of the Agriculture Infrastructure and Jobs fund</w:t>
            </w:r>
          </w:p>
        </w:tc>
        <w:tc>
          <w:tcPr>
            <w:tcW w:w="850" w:type="dxa"/>
            <w:tcBorders>
              <w:top w:val="nil"/>
              <w:left w:val="nil"/>
              <w:right w:val="nil"/>
            </w:tcBorders>
            <w:shd w:val="clear" w:color="auto" w:fill="FFFFFF"/>
          </w:tcPr>
          <w:p w:rsidR="00965D85" w:rsidRPr="00C36D4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C36D49">
              <w:rPr>
                <w:rFonts w:ascii="Calibri" w:eastAsiaTheme="minorEastAsia" w:hAnsi="Calibri" w:cs="Calibri"/>
                <w:color w:val="000000"/>
                <w:sz w:val="20"/>
                <w:lang w:eastAsia="en-AU"/>
              </w:rPr>
              <w:t>12.5</w:t>
            </w:r>
          </w:p>
        </w:tc>
        <w:tc>
          <w:tcPr>
            <w:tcW w:w="850" w:type="dxa"/>
            <w:tcBorders>
              <w:top w:val="nil"/>
              <w:left w:val="nil"/>
              <w:right w:val="nil"/>
            </w:tcBorders>
            <w:shd w:val="clear" w:color="auto" w:fill="FFFFFF"/>
          </w:tcPr>
          <w:p w:rsidR="00965D85" w:rsidRPr="00C36D4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C36D49">
              <w:rPr>
                <w:rFonts w:ascii="Calibri" w:eastAsiaTheme="minorEastAsia" w:hAnsi="Calibri" w:cs="Calibri"/>
                <w:color w:val="000000"/>
                <w:sz w:val="20"/>
                <w:lang w:eastAsia="en-AU"/>
              </w:rPr>
              <w:t>12.5</w:t>
            </w:r>
          </w:p>
        </w:tc>
        <w:tc>
          <w:tcPr>
            <w:tcW w:w="850" w:type="dxa"/>
            <w:tcBorders>
              <w:top w:val="nil"/>
              <w:left w:val="nil"/>
              <w:right w:val="nil"/>
            </w:tcBorders>
            <w:shd w:val="clear" w:color="auto" w:fill="FFFFFF"/>
          </w:tcPr>
          <w:p w:rsidR="00965D85" w:rsidRPr="00C36D4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C36D49">
              <w:rPr>
                <w:rFonts w:ascii="Calibri" w:eastAsiaTheme="minorEastAsia" w:hAnsi="Calibri" w:cs="Calibri"/>
                <w:color w:val="000000"/>
                <w:sz w:val="20"/>
                <w:lang w:eastAsia="en-AU"/>
              </w:rPr>
              <w:t>12.5</w:t>
            </w:r>
          </w:p>
        </w:tc>
        <w:tc>
          <w:tcPr>
            <w:tcW w:w="852" w:type="dxa"/>
            <w:tcBorders>
              <w:top w:val="nil"/>
              <w:left w:val="nil"/>
              <w:right w:val="nil"/>
            </w:tcBorders>
            <w:shd w:val="clear" w:color="auto" w:fill="FFFFFF"/>
          </w:tcPr>
          <w:p w:rsidR="00965D85" w:rsidRPr="00C36D4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C36D49">
              <w:rPr>
                <w:rFonts w:ascii="Calibri" w:eastAsiaTheme="minorEastAsia" w:hAnsi="Calibri" w:cs="Calibri"/>
                <w:color w:val="000000"/>
                <w:sz w:val="20"/>
                <w:lang w:eastAsia="en-AU"/>
              </w:rPr>
              <w:t>12.5</w:t>
            </w:r>
          </w:p>
        </w:tc>
      </w:tr>
      <w:tr w:rsidR="00965D85" w:rsidRPr="00C36D49" w:rsidTr="008B46DF">
        <w:trPr>
          <w:cantSplit/>
        </w:trPr>
        <w:tc>
          <w:tcPr>
            <w:tcW w:w="4363" w:type="dxa"/>
            <w:tcBorders>
              <w:top w:val="nil"/>
              <w:left w:val="nil"/>
              <w:bottom w:val="single" w:sz="6" w:space="0" w:color="auto"/>
              <w:right w:val="nil"/>
            </w:tcBorders>
            <w:shd w:val="clear" w:color="auto" w:fill="FFFFFF"/>
          </w:tcPr>
          <w:p w:rsidR="00965D85" w:rsidRPr="00C36D4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C36D49">
              <w:rPr>
                <w:rFonts w:ascii="Calibri" w:eastAsiaTheme="minorEastAsia" w:hAnsi="Calibri" w:cs="Calibri"/>
                <w:color w:val="000000"/>
                <w:sz w:val="20"/>
                <w:lang w:eastAsia="en-AU"/>
              </w:rPr>
              <w:t>Industry Capability Network</w:t>
            </w:r>
          </w:p>
        </w:tc>
        <w:tc>
          <w:tcPr>
            <w:tcW w:w="850" w:type="dxa"/>
            <w:tcBorders>
              <w:top w:val="nil"/>
              <w:left w:val="nil"/>
              <w:bottom w:val="single" w:sz="6" w:space="0" w:color="auto"/>
              <w:right w:val="nil"/>
            </w:tcBorders>
            <w:shd w:val="clear" w:color="auto" w:fill="FFFFFF"/>
          </w:tcPr>
          <w:p w:rsidR="00965D85" w:rsidRPr="00C36D4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C36D49">
              <w:rPr>
                <w:rFonts w:ascii="Calibri" w:eastAsiaTheme="minorEastAsia" w:hAnsi="Calibri" w:cs="Calibri"/>
                <w:color w:val="000000"/>
                <w:sz w:val="20"/>
                <w:lang w:eastAsia="en-AU"/>
              </w:rPr>
              <w:t>2.6</w:t>
            </w:r>
          </w:p>
        </w:tc>
        <w:tc>
          <w:tcPr>
            <w:tcW w:w="850" w:type="dxa"/>
            <w:tcBorders>
              <w:top w:val="nil"/>
              <w:left w:val="nil"/>
              <w:bottom w:val="single" w:sz="6" w:space="0" w:color="auto"/>
              <w:right w:val="nil"/>
            </w:tcBorders>
            <w:shd w:val="clear" w:color="auto" w:fill="FFFFFF"/>
          </w:tcPr>
          <w:p w:rsidR="00965D85" w:rsidRPr="00C36D4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C36D49">
              <w:rPr>
                <w:rFonts w:ascii="Calibri" w:eastAsiaTheme="minorEastAsia" w:hAnsi="Calibri" w:cs="Calibri"/>
                <w:color w:val="000000"/>
                <w:sz w:val="20"/>
                <w:lang w:eastAsia="en-AU"/>
              </w:rPr>
              <w:t>..</w:t>
            </w:r>
          </w:p>
        </w:tc>
        <w:tc>
          <w:tcPr>
            <w:tcW w:w="850" w:type="dxa"/>
            <w:tcBorders>
              <w:top w:val="nil"/>
              <w:left w:val="nil"/>
              <w:bottom w:val="single" w:sz="6" w:space="0" w:color="auto"/>
              <w:right w:val="nil"/>
            </w:tcBorders>
            <w:shd w:val="clear" w:color="auto" w:fill="FFFFFF"/>
          </w:tcPr>
          <w:p w:rsidR="00965D85" w:rsidRPr="00C36D4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C36D49">
              <w:rPr>
                <w:rFonts w:ascii="Calibri" w:eastAsiaTheme="minorEastAsia" w:hAnsi="Calibri" w:cs="Calibri"/>
                <w:color w:val="000000"/>
                <w:sz w:val="20"/>
                <w:lang w:eastAsia="en-AU"/>
              </w:rPr>
              <w:t>..</w:t>
            </w:r>
          </w:p>
        </w:tc>
        <w:tc>
          <w:tcPr>
            <w:tcW w:w="852" w:type="dxa"/>
            <w:tcBorders>
              <w:top w:val="nil"/>
              <w:left w:val="nil"/>
              <w:bottom w:val="single" w:sz="6" w:space="0" w:color="auto"/>
              <w:right w:val="nil"/>
            </w:tcBorders>
            <w:shd w:val="clear" w:color="auto" w:fill="FFFFFF"/>
          </w:tcPr>
          <w:p w:rsidR="00965D85" w:rsidRPr="00C36D4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C36D49">
              <w:rPr>
                <w:rFonts w:ascii="Calibri" w:eastAsiaTheme="minorEastAsia" w:hAnsi="Calibri" w:cs="Calibri"/>
                <w:color w:val="000000"/>
                <w:sz w:val="20"/>
                <w:lang w:eastAsia="en-AU"/>
              </w:rPr>
              <w:t>..</w:t>
            </w:r>
          </w:p>
        </w:tc>
      </w:tr>
      <w:tr w:rsidR="00965D85" w:rsidRPr="00C36D49" w:rsidTr="008B46DF">
        <w:trPr>
          <w:cantSplit/>
        </w:trPr>
        <w:tc>
          <w:tcPr>
            <w:tcW w:w="4363" w:type="dxa"/>
            <w:tcBorders>
              <w:top w:val="single" w:sz="6" w:space="0" w:color="auto"/>
              <w:left w:val="nil"/>
              <w:bottom w:val="single" w:sz="12" w:space="0" w:color="auto"/>
              <w:right w:val="nil"/>
            </w:tcBorders>
            <w:shd w:val="solid" w:color="FFFFFF" w:fill="FFFFFF"/>
          </w:tcPr>
          <w:p w:rsidR="00965D85" w:rsidRPr="00C36D49" w:rsidRDefault="00965D85" w:rsidP="008B46DF">
            <w:pPr>
              <w:autoSpaceDE w:val="0"/>
              <w:autoSpaceDN w:val="0"/>
              <w:adjustRightInd w:val="0"/>
              <w:spacing w:after="0"/>
              <w:ind w:left="227" w:hanging="227"/>
              <w:rPr>
                <w:rFonts w:ascii="Calibri" w:eastAsiaTheme="minorEastAsia" w:hAnsi="Calibri" w:cs="Calibri"/>
                <w:b/>
                <w:bCs/>
                <w:color w:val="000000"/>
                <w:sz w:val="20"/>
                <w:lang w:eastAsia="en-AU"/>
              </w:rPr>
            </w:pPr>
            <w:r w:rsidRPr="00C36D49">
              <w:rPr>
                <w:rFonts w:ascii="Calibri" w:eastAsiaTheme="minorEastAsia" w:hAnsi="Calibri" w:cs="Calibri"/>
                <w:b/>
                <w:bCs/>
                <w:color w:val="000000"/>
                <w:sz w:val="20"/>
                <w:lang w:eastAsia="en-AU"/>
              </w:rPr>
              <w:t xml:space="preserve"> </w:t>
            </w:r>
          </w:p>
        </w:tc>
        <w:tc>
          <w:tcPr>
            <w:tcW w:w="850" w:type="dxa"/>
            <w:tcBorders>
              <w:top w:val="single" w:sz="6" w:space="0" w:color="auto"/>
              <w:left w:val="nil"/>
              <w:bottom w:val="single" w:sz="12" w:space="0" w:color="auto"/>
              <w:right w:val="nil"/>
            </w:tcBorders>
            <w:shd w:val="solid" w:color="FFFFFF" w:fill="FFFFFF"/>
          </w:tcPr>
          <w:p w:rsidR="00965D85" w:rsidRPr="00C36D4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C36D49">
              <w:rPr>
                <w:rFonts w:ascii="Calibri" w:eastAsiaTheme="minorEastAsia" w:hAnsi="Calibri" w:cs="Calibri"/>
                <w:b/>
                <w:bCs/>
                <w:color w:val="000000"/>
                <w:sz w:val="20"/>
                <w:lang w:eastAsia="en-AU"/>
              </w:rPr>
              <w:t>31.2</w:t>
            </w:r>
          </w:p>
        </w:tc>
        <w:tc>
          <w:tcPr>
            <w:tcW w:w="850" w:type="dxa"/>
            <w:tcBorders>
              <w:top w:val="single" w:sz="6" w:space="0" w:color="auto"/>
              <w:left w:val="nil"/>
              <w:bottom w:val="single" w:sz="12" w:space="0" w:color="auto"/>
              <w:right w:val="nil"/>
            </w:tcBorders>
            <w:shd w:val="solid" w:color="FFFFFF" w:fill="FFFFFF"/>
          </w:tcPr>
          <w:p w:rsidR="00965D85" w:rsidRPr="00C36D4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C36D49">
              <w:rPr>
                <w:rFonts w:ascii="Calibri" w:eastAsiaTheme="minorEastAsia" w:hAnsi="Calibri" w:cs="Calibri"/>
                <w:b/>
                <w:bCs/>
                <w:color w:val="000000"/>
                <w:sz w:val="20"/>
                <w:lang w:eastAsia="en-AU"/>
              </w:rPr>
              <w:t>26.3</w:t>
            </w:r>
          </w:p>
        </w:tc>
        <w:tc>
          <w:tcPr>
            <w:tcW w:w="850" w:type="dxa"/>
            <w:tcBorders>
              <w:top w:val="single" w:sz="6" w:space="0" w:color="auto"/>
              <w:left w:val="nil"/>
              <w:bottom w:val="single" w:sz="12" w:space="0" w:color="auto"/>
              <w:right w:val="nil"/>
            </w:tcBorders>
            <w:shd w:val="solid" w:color="FFFFFF" w:fill="FFFFFF"/>
          </w:tcPr>
          <w:p w:rsidR="00965D85" w:rsidRPr="00C36D4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C36D49">
              <w:rPr>
                <w:rFonts w:ascii="Calibri" w:eastAsiaTheme="minorEastAsia" w:hAnsi="Calibri" w:cs="Calibri"/>
                <w:b/>
                <w:bCs/>
                <w:color w:val="000000"/>
                <w:sz w:val="20"/>
                <w:lang w:eastAsia="en-AU"/>
              </w:rPr>
              <w:t>12.5</w:t>
            </w:r>
          </w:p>
        </w:tc>
        <w:tc>
          <w:tcPr>
            <w:tcW w:w="852" w:type="dxa"/>
            <w:tcBorders>
              <w:top w:val="single" w:sz="6" w:space="0" w:color="auto"/>
              <w:left w:val="nil"/>
              <w:bottom w:val="single" w:sz="12" w:space="0" w:color="auto"/>
              <w:right w:val="nil"/>
            </w:tcBorders>
            <w:shd w:val="solid" w:color="FFFFFF" w:fill="FFFFFF"/>
          </w:tcPr>
          <w:p w:rsidR="00965D85" w:rsidRPr="00C36D4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C36D49">
              <w:rPr>
                <w:rFonts w:ascii="Calibri" w:eastAsiaTheme="minorEastAsia" w:hAnsi="Calibri" w:cs="Calibri"/>
                <w:b/>
                <w:bCs/>
                <w:color w:val="000000"/>
                <w:sz w:val="20"/>
                <w:lang w:eastAsia="en-AU"/>
              </w:rPr>
              <w:t>12.5</w:t>
            </w:r>
          </w:p>
        </w:tc>
      </w:tr>
    </w:tbl>
    <w:p w:rsidR="00965D85" w:rsidRDefault="00965D85" w:rsidP="008B46DF">
      <w:r>
        <w:fldChar w:fldCharType="end"/>
      </w:r>
    </w:p>
    <w:p w:rsidR="00965D85" w:rsidRPr="004F1603" w:rsidRDefault="00965D85" w:rsidP="008B46DF">
      <w:pPr>
        <w:rPr>
          <w:rFonts w:ascii="Calibri" w:hAnsi="Calibri"/>
          <w:b/>
        </w:rPr>
      </w:pPr>
      <w:r w:rsidRPr="004F1603">
        <w:rPr>
          <w:rFonts w:ascii="Calibri" w:hAnsi="Calibri"/>
          <w:b/>
        </w:rPr>
        <w:t>Additional</w:t>
      </w:r>
      <w:r>
        <w:rPr>
          <w:rFonts w:ascii="Calibri" w:hAnsi="Calibri"/>
          <w:b/>
        </w:rPr>
        <w:t xml:space="preserve"> rail</w:t>
      </w:r>
      <w:r w:rsidRPr="004F1603">
        <w:rPr>
          <w:rFonts w:ascii="Calibri" w:hAnsi="Calibri"/>
          <w:b/>
        </w:rPr>
        <w:t xml:space="preserve"> maintenance and renewal activities </w:t>
      </w:r>
    </w:p>
    <w:p w:rsidR="00965D85" w:rsidRPr="004F1603" w:rsidRDefault="00965D85" w:rsidP="008B46DF">
      <w:r w:rsidRPr="004F1603">
        <w:t>Funding is provided for rail maintenance and renewal activities as result of timetable changes.</w:t>
      </w:r>
    </w:p>
    <w:p w:rsidR="00965D85" w:rsidRPr="004F1603" w:rsidRDefault="00965D85" w:rsidP="008B46DF">
      <w:r w:rsidRPr="004F1603">
        <w:t>This initiative contributes to the Department of Economic Development, Jobs, Transport and Resources</w:t>
      </w:r>
      <w:r>
        <w:t>’</w:t>
      </w:r>
      <w:r w:rsidRPr="004F1603">
        <w:t>:</w:t>
      </w:r>
    </w:p>
    <w:p w:rsidR="00965D85" w:rsidRPr="004F1603" w:rsidRDefault="00965D85" w:rsidP="008B46DF">
      <w:pPr>
        <w:pStyle w:val="BulletText"/>
      </w:pPr>
      <w:r w:rsidRPr="004F1603">
        <w:t xml:space="preserve">Train Services output; and </w:t>
      </w:r>
    </w:p>
    <w:p w:rsidR="00965D85" w:rsidRDefault="00965D85" w:rsidP="008B46DF">
      <w:pPr>
        <w:pStyle w:val="BulletText"/>
      </w:pPr>
      <w:r w:rsidRPr="004F1603">
        <w:t>Tram Services output.</w:t>
      </w:r>
    </w:p>
    <w:p w:rsidR="00965D85" w:rsidRPr="00055D9C" w:rsidRDefault="00965D85" w:rsidP="008B46DF">
      <w:pPr>
        <w:pStyle w:val="Heading5"/>
      </w:pPr>
      <w:r w:rsidRPr="00055D9C">
        <w:t>Automotive Supply Chain Transition Program</w:t>
      </w:r>
    </w:p>
    <w:p w:rsidR="00965D85" w:rsidRDefault="00965D85" w:rsidP="008B46DF">
      <w:r>
        <w:t>Funding is provided for</w:t>
      </w:r>
      <w:r w:rsidRPr="004D3028">
        <w:t xml:space="preserve"> a new Automotive Supply Chain Transition Program </w:t>
      </w:r>
      <w:r>
        <w:t>to</w:t>
      </w:r>
      <w:r w:rsidRPr="004D3028">
        <w:t xml:space="preserve"> </w:t>
      </w:r>
      <w:r>
        <w:t xml:space="preserve">deliver </w:t>
      </w:r>
      <w:r w:rsidRPr="004D3028">
        <w:t>tailored support for automotive businesses to transition into new markets. With the upcoming closure of the three major car manufacturers, supply chain businesses are looking at opportunities to transition to the global automotive supply chain or diversify to non</w:t>
      </w:r>
      <w:r>
        <w:noBreakHyphen/>
      </w:r>
      <w:r w:rsidRPr="004D3028">
        <w:t>automotive domestic sectors.</w:t>
      </w:r>
    </w:p>
    <w:p w:rsidR="00965D85" w:rsidRDefault="00965D85" w:rsidP="008B46DF">
      <w:r>
        <w:t>This initiative contributes to the Department of Economic Development, Jobs, Transport and Resources’ Industry and Enterprise Innovation output.</w:t>
      </w:r>
    </w:p>
    <w:p w:rsidR="00965D85" w:rsidRDefault="00965D85" w:rsidP="008B46DF">
      <w:pPr>
        <w:pStyle w:val="Heading5"/>
      </w:pPr>
      <w:r>
        <w:t>Establishment of the Agriculture Infrastructure and Jobs fund</w:t>
      </w:r>
    </w:p>
    <w:p w:rsidR="00965D85" w:rsidRDefault="00965D85" w:rsidP="008B46DF">
      <w:r>
        <w:t xml:space="preserve">A new $200 million fund will be established to support agricultural infrastructure supply chains to boost productivity, increase exports and reduce costs for farmers to maintain their competitiveness. The fund will be established following the passage of the Delivering Victorian Infrastructure (Port of Melbourne Lease Transaction) Bill 2015. </w:t>
      </w:r>
    </w:p>
    <w:p w:rsidR="00965D85" w:rsidRDefault="00965D85" w:rsidP="008B46DF">
      <w:r>
        <w:t>This initiative contributes to the Department of Economic Development, Jobs, Transport and Resources’ Agriculture output.</w:t>
      </w:r>
    </w:p>
    <w:p w:rsidR="00965D85" w:rsidRDefault="00965D85" w:rsidP="008B46DF">
      <w:pPr>
        <w:pStyle w:val="Heading5"/>
      </w:pPr>
      <w:r>
        <w:lastRenderedPageBreak/>
        <w:t>Industry Capability Network</w:t>
      </w:r>
    </w:p>
    <w:p w:rsidR="00965D85" w:rsidRDefault="00965D85" w:rsidP="008B46DF">
      <w:r>
        <w:t>Support for the Industry Capability Network will continue in 2015</w:t>
      </w:r>
      <w:r>
        <w:noBreakHyphen/>
        <w:t>16, assisting Victorian companies to increase access to export opportunities.</w:t>
      </w:r>
    </w:p>
    <w:p w:rsidR="00965D85" w:rsidRDefault="00965D85" w:rsidP="008B46DF">
      <w:r>
        <w:t>This initiative contributes to the Department of Economic Development, Jobs, Transport and Resources’ Industry and Enterprise Innovation output.</w:t>
      </w:r>
    </w:p>
    <w:p w:rsidR="00965D85" w:rsidRDefault="00965D85">
      <w:pPr>
        <w:spacing w:after="0"/>
        <w:rPr>
          <w:rFonts w:ascii="Calibri" w:hAnsi="Calibri"/>
          <w:b/>
        </w:rPr>
      </w:pPr>
      <w:r>
        <w:br w:type="page"/>
      </w:r>
    </w:p>
    <w:p w:rsidR="00965D85" w:rsidRDefault="00965D85" w:rsidP="008B46DF">
      <w:pPr>
        <w:pStyle w:val="Heading3"/>
      </w:pPr>
      <w:r>
        <w:lastRenderedPageBreak/>
        <w:t xml:space="preserve">Asset initiatives </w:t>
      </w:r>
    </w:p>
    <w:p w:rsidR="00965D85" w:rsidRDefault="00965D85" w:rsidP="008B46DF">
      <w:pPr>
        <w:pStyle w:val="Tableheading"/>
      </w:pPr>
      <w:r>
        <w:t xml:space="preserve">Table A.3: </w:t>
      </w:r>
      <w:r>
        <w:tab/>
        <w:t>Asset initiatives – Economic Development, Jobs, Transport and Resources</w:t>
      </w:r>
    </w:p>
    <w:p w:rsidR="00965D85" w:rsidRDefault="00965D85" w:rsidP="008B46DF">
      <w:pPr>
        <w:pStyle w:val="million"/>
        <w:rPr>
          <w:rFonts w:ascii="Times New Roman" w:hAnsi="Times New Roman"/>
          <w:i w:val="0"/>
          <w:sz w:val="20"/>
          <w:szCs w:val="20"/>
          <w:lang w:eastAsia="en-AU"/>
        </w:rPr>
      </w:pPr>
      <w:r w:rsidRPr="0072146A">
        <w:t>($</w:t>
      </w:r>
      <w:r>
        <w:t> million</w:t>
      </w:r>
      <w:r w:rsidRPr="0072146A">
        <w:t>)</w:t>
      </w:r>
      <w:r>
        <w:fldChar w:fldCharType="begin" w:fldLock="1"/>
      </w:r>
      <w:r>
        <w:instrText xml:space="preserve"> LINK Excel.Sheet.12 "\\\\PDCPTPRDFIL01\\DTFDATA02$\\SECURED\\Budget\\BudgetUpdate\\AppendixA\\AppendixA.xlsx" "DEDJTR!DEDJTR_assets"\* MERGEFORMAT\f 4 \r </w:instrText>
      </w:r>
      <w:r>
        <w:fldChar w:fldCharType="separate"/>
      </w:r>
    </w:p>
    <w:tbl>
      <w:tblPr>
        <w:tblW w:w="7768" w:type="dxa"/>
        <w:tblInd w:w="45" w:type="dxa"/>
        <w:tblLayout w:type="fixed"/>
        <w:tblCellMar>
          <w:left w:w="45" w:type="dxa"/>
          <w:right w:w="45" w:type="dxa"/>
        </w:tblCellMar>
        <w:tblLook w:val="0000" w:firstRow="0" w:lastRow="0" w:firstColumn="0" w:lastColumn="0" w:noHBand="0" w:noVBand="0"/>
      </w:tblPr>
      <w:tblGrid>
        <w:gridCol w:w="3420"/>
        <w:gridCol w:w="869"/>
        <w:gridCol w:w="870"/>
        <w:gridCol w:w="869"/>
        <w:gridCol w:w="870"/>
        <w:gridCol w:w="870"/>
      </w:tblGrid>
      <w:tr w:rsidR="00965D85" w:rsidRPr="00D71705" w:rsidTr="008B46DF">
        <w:trPr>
          <w:cantSplit/>
          <w:tblHeader/>
        </w:trPr>
        <w:tc>
          <w:tcPr>
            <w:tcW w:w="3420" w:type="dxa"/>
            <w:tcBorders>
              <w:top w:val="single" w:sz="6" w:space="0" w:color="auto"/>
              <w:left w:val="single" w:sz="6" w:space="0" w:color="auto"/>
              <w:bottom w:val="single" w:sz="6" w:space="0" w:color="auto"/>
              <w:right w:val="nil"/>
            </w:tcBorders>
            <w:shd w:val="solid" w:color="000000" w:fill="auto"/>
          </w:tcPr>
          <w:p w:rsidR="00965D85" w:rsidRPr="00D71705" w:rsidRDefault="00965D85" w:rsidP="008B46DF">
            <w:pPr>
              <w:autoSpaceDE w:val="0"/>
              <w:autoSpaceDN w:val="0"/>
              <w:adjustRightInd w:val="0"/>
              <w:spacing w:after="0"/>
              <w:rPr>
                <w:rFonts w:ascii="Calibri" w:eastAsiaTheme="minorEastAsia" w:hAnsi="Calibri" w:cs="Calibri"/>
                <w:color w:val="FFFFFF" w:themeColor="background1"/>
                <w:sz w:val="20"/>
                <w:lang w:eastAsia="en-AU"/>
              </w:rPr>
            </w:pPr>
          </w:p>
        </w:tc>
        <w:tc>
          <w:tcPr>
            <w:tcW w:w="869" w:type="dxa"/>
            <w:tcBorders>
              <w:top w:val="single" w:sz="6" w:space="0" w:color="auto"/>
              <w:left w:val="nil"/>
              <w:bottom w:val="single" w:sz="6" w:space="0" w:color="auto"/>
              <w:right w:val="nil"/>
            </w:tcBorders>
            <w:shd w:val="solid" w:color="000000" w:fill="auto"/>
          </w:tcPr>
          <w:p w:rsidR="00965D85" w:rsidRPr="00D71705" w:rsidRDefault="00965D85" w:rsidP="008B46DF">
            <w:pPr>
              <w:autoSpaceDE w:val="0"/>
              <w:autoSpaceDN w:val="0"/>
              <w:adjustRightInd w:val="0"/>
              <w:spacing w:after="0"/>
              <w:jc w:val="right"/>
              <w:rPr>
                <w:rFonts w:ascii="Calibri" w:eastAsiaTheme="minorEastAsia" w:hAnsi="Calibri" w:cs="Calibri"/>
                <w:i/>
                <w:iCs/>
                <w:color w:val="FFFFFF" w:themeColor="background1"/>
                <w:sz w:val="20"/>
                <w:lang w:eastAsia="en-AU"/>
              </w:rPr>
            </w:pPr>
            <w:r w:rsidRPr="00D71705">
              <w:rPr>
                <w:rFonts w:ascii="Calibri" w:eastAsiaTheme="minorEastAsia" w:hAnsi="Calibri" w:cs="Calibri"/>
                <w:i/>
                <w:iCs/>
                <w:color w:val="FFFFFF" w:themeColor="background1"/>
                <w:sz w:val="20"/>
                <w:lang w:eastAsia="en-AU"/>
              </w:rPr>
              <w:t>2015</w:t>
            </w:r>
            <w:r>
              <w:rPr>
                <w:rFonts w:ascii="Calibri" w:eastAsiaTheme="minorEastAsia" w:hAnsi="Calibri" w:cs="Calibri"/>
                <w:i/>
                <w:iCs/>
                <w:color w:val="FFFFFF" w:themeColor="background1"/>
                <w:sz w:val="20"/>
                <w:lang w:eastAsia="en-AU"/>
              </w:rPr>
              <w:noBreakHyphen/>
            </w:r>
            <w:r w:rsidRPr="00D71705">
              <w:rPr>
                <w:rFonts w:ascii="Calibri" w:eastAsiaTheme="minorEastAsia" w:hAnsi="Calibri" w:cs="Calibri"/>
                <w:i/>
                <w:iCs/>
                <w:color w:val="FFFFFF" w:themeColor="background1"/>
                <w:sz w:val="20"/>
                <w:lang w:eastAsia="en-AU"/>
              </w:rPr>
              <w:t>16</w:t>
            </w:r>
          </w:p>
        </w:tc>
        <w:tc>
          <w:tcPr>
            <w:tcW w:w="870" w:type="dxa"/>
            <w:tcBorders>
              <w:top w:val="single" w:sz="6" w:space="0" w:color="auto"/>
              <w:left w:val="nil"/>
              <w:bottom w:val="single" w:sz="6" w:space="0" w:color="auto"/>
              <w:right w:val="nil"/>
            </w:tcBorders>
            <w:shd w:val="solid" w:color="000000" w:fill="auto"/>
          </w:tcPr>
          <w:p w:rsidR="00965D85" w:rsidRPr="00D71705" w:rsidRDefault="00965D85" w:rsidP="008B46DF">
            <w:pPr>
              <w:autoSpaceDE w:val="0"/>
              <w:autoSpaceDN w:val="0"/>
              <w:adjustRightInd w:val="0"/>
              <w:spacing w:after="0"/>
              <w:jc w:val="right"/>
              <w:rPr>
                <w:rFonts w:ascii="Calibri" w:eastAsiaTheme="minorEastAsia" w:hAnsi="Calibri" w:cs="Calibri"/>
                <w:i/>
                <w:iCs/>
                <w:color w:val="FFFFFF" w:themeColor="background1"/>
                <w:sz w:val="20"/>
                <w:lang w:eastAsia="en-AU"/>
              </w:rPr>
            </w:pPr>
            <w:r w:rsidRPr="00D71705">
              <w:rPr>
                <w:rFonts w:ascii="Calibri" w:eastAsiaTheme="minorEastAsia" w:hAnsi="Calibri" w:cs="Calibri"/>
                <w:i/>
                <w:iCs/>
                <w:color w:val="FFFFFF" w:themeColor="background1"/>
                <w:sz w:val="20"/>
                <w:lang w:eastAsia="en-AU"/>
              </w:rPr>
              <w:t>2016</w:t>
            </w:r>
            <w:r>
              <w:rPr>
                <w:rFonts w:ascii="Calibri" w:eastAsiaTheme="minorEastAsia" w:hAnsi="Calibri" w:cs="Calibri"/>
                <w:i/>
                <w:iCs/>
                <w:color w:val="FFFFFF" w:themeColor="background1"/>
                <w:sz w:val="20"/>
                <w:lang w:eastAsia="en-AU"/>
              </w:rPr>
              <w:noBreakHyphen/>
            </w:r>
            <w:r w:rsidRPr="00D71705">
              <w:rPr>
                <w:rFonts w:ascii="Calibri" w:eastAsiaTheme="minorEastAsia" w:hAnsi="Calibri" w:cs="Calibri"/>
                <w:i/>
                <w:iCs/>
                <w:color w:val="FFFFFF" w:themeColor="background1"/>
                <w:sz w:val="20"/>
                <w:lang w:eastAsia="en-AU"/>
              </w:rPr>
              <w:t>17</w:t>
            </w:r>
          </w:p>
        </w:tc>
        <w:tc>
          <w:tcPr>
            <w:tcW w:w="869" w:type="dxa"/>
            <w:tcBorders>
              <w:top w:val="single" w:sz="6" w:space="0" w:color="auto"/>
              <w:left w:val="nil"/>
              <w:bottom w:val="single" w:sz="6" w:space="0" w:color="auto"/>
              <w:right w:val="nil"/>
            </w:tcBorders>
            <w:shd w:val="solid" w:color="000000" w:fill="auto"/>
          </w:tcPr>
          <w:p w:rsidR="00965D85" w:rsidRPr="00D71705" w:rsidRDefault="00965D85" w:rsidP="008B46DF">
            <w:pPr>
              <w:autoSpaceDE w:val="0"/>
              <w:autoSpaceDN w:val="0"/>
              <w:adjustRightInd w:val="0"/>
              <w:spacing w:after="0"/>
              <w:jc w:val="right"/>
              <w:rPr>
                <w:rFonts w:ascii="Calibri" w:eastAsiaTheme="minorEastAsia" w:hAnsi="Calibri" w:cs="Calibri"/>
                <w:i/>
                <w:iCs/>
                <w:color w:val="FFFFFF" w:themeColor="background1"/>
                <w:sz w:val="20"/>
                <w:lang w:eastAsia="en-AU"/>
              </w:rPr>
            </w:pPr>
            <w:r w:rsidRPr="00D71705">
              <w:rPr>
                <w:rFonts w:ascii="Calibri" w:eastAsiaTheme="minorEastAsia" w:hAnsi="Calibri" w:cs="Calibri"/>
                <w:i/>
                <w:iCs/>
                <w:color w:val="FFFFFF" w:themeColor="background1"/>
                <w:sz w:val="20"/>
                <w:lang w:eastAsia="en-AU"/>
              </w:rPr>
              <w:t>2017</w:t>
            </w:r>
            <w:r>
              <w:rPr>
                <w:rFonts w:ascii="Calibri" w:eastAsiaTheme="minorEastAsia" w:hAnsi="Calibri" w:cs="Calibri"/>
                <w:i/>
                <w:iCs/>
                <w:color w:val="FFFFFF" w:themeColor="background1"/>
                <w:sz w:val="20"/>
                <w:lang w:eastAsia="en-AU"/>
              </w:rPr>
              <w:noBreakHyphen/>
            </w:r>
            <w:r w:rsidRPr="00D71705">
              <w:rPr>
                <w:rFonts w:ascii="Calibri" w:eastAsiaTheme="minorEastAsia" w:hAnsi="Calibri" w:cs="Calibri"/>
                <w:i/>
                <w:iCs/>
                <w:color w:val="FFFFFF" w:themeColor="background1"/>
                <w:sz w:val="20"/>
                <w:lang w:eastAsia="en-AU"/>
              </w:rPr>
              <w:t>18</w:t>
            </w:r>
          </w:p>
        </w:tc>
        <w:tc>
          <w:tcPr>
            <w:tcW w:w="870" w:type="dxa"/>
            <w:tcBorders>
              <w:top w:val="single" w:sz="6" w:space="0" w:color="auto"/>
              <w:left w:val="nil"/>
              <w:bottom w:val="single" w:sz="6" w:space="0" w:color="auto"/>
              <w:right w:val="nil"/>
            </w:tcBorders>
            <w:shd w:val="solid" w:color="000000" w:fill="auto"/>
          </w:tcPr>
          <w:p w:rsidR="00965D85" w:rsidRPr="00D71705" w:rsidRDefault="00965D85" w:rsidP="008B46DF">
            <w:pPr>
              <w:autoSpaceDE w:val="0"/>
              <w:autoSpaceDN w:val="0"/>
              <w:adjustRightInd w:val="0"/>
              <w:spacing w:after="0"/>
              <w:jc w:val="right"/>
              <w:rPr>
                <w:rFonts w:ascii="Calibri" w:eastAsiaTheme="minorEastAsia" w:hAnsi="Calibri" w:cs="Calibri"/>
                <w:i/>
                <w:iCs/>
                <w:color w:val="FFFFFF" w:themeColor="background1"/>
                <w:sz w:val="20"/>
                <w:lang w:eastAsia="en-AU"/>
              </w:rPr>
            </w:pPr>
            <w:r w:rsidRPr="00D71705">
              <w:rPr>
                <w:rFonts w:ascii="Calibri" w:eastAsiaTheme="minorEastAsia" w:hAnsi="Calibri" w:cs="Calibri"/>
                <w:i/>
                <w:iCs/>
                <w:color w:val="FFFFFF" w:themeColor="background1"/>
                <w:sz w:val="20"/>
                <w:lang w:eastAsia="en-AU"/>
              </w:rPr>
              <w:t>2018</w:t>
            </w:r>
            <w:r>
              <w:rPr>
                <w:rFonts w:ascii="Calibri" w:eastAsiaTheme="minorEastAsia" w:hAnsi="Calibri" w:cs="Calibri"/>
                <w:i/>
                <w:iCs/>
                <w:color w:val="FFFFFF" w:themeColor="background1"/>
                <w:sz w:val="20"/>
                <w:lang w:eastAsia="en-AU"/>
              </w:rPr>
              <w:noBreakHyphen/>
            </w:r>
            <w:r w:rsidRPr="00D71705">
              <w:rPr>
                <w:rFonts w:ascii="Calibri" w:eastAsiaTheme="minorEastAsia" w:hAnsi="Calibri" w:cs="Calibri"/>
                <w:i/>
                <w:iCs/>
                <w:color w:val="FFFFFF" w:themeColor="background1"/>
                <w:sz w:val="20"/>
                <w:lang w:eastAsia="en-AU"/>
              </w:rPr>
              <w:t>19</w:t>
            </w:r>
          </w:p>
        </w:tc>
        <w:tc>
          <w:tcPr>
            <w:tcW w:w="870" w:type="dxa"/>
            <w:tcBorders>
              <w:top w:val="single" w:sz="6" w:space="0" w:color="auto"/>
              <w:left w:val="nil"/>
              <w:bottom w:val="single" w:sz="6" w:space="0" w:color="auto"/>
              <w:right w:val="nil"/>
            </w:tcBorders>
            <w:shd w:val="solid" w:color="000000" w:fill="auto"/>
          </w:tcPr>
          <w:p w:rsidR="00965D85" w:rsidRPr="00D71705" w:rsidRDefault="00965D85" w:rsidP="008B46DF">
            <w:pPr>
              <w:autoSpaceDE w:val="0"/>
              <w:autoSpaceDN w:val="0"/>
              <w:adjustRightInd w:val="0"/>
              <w:spacing w:after="0"/>
              <w:jc w:val="right"/>
              <w:rPr>
                <w:rFonts w:ascii="Calibri" w:eastAsiaTheme="minorEastAsia" w:hAnsi="Calibri" w:cs="Calibri"/>
                <w:i/>
                <w:iCs/>
                <w:color w:val="FFFFFF" w:themeColor="background1"/>
                <w:sz w:val="20"/>
                <w:lang w:eastAsia="en-AU"/>
              </w:rPr>
            </w:pPr>
            <w:r w:rsidRPr="00D71705">
              <w:rPr>
                <w:rFonts w:ascii="Calibri" w:eastAsiaTheme="minorEastAsia" w:hAnsi="Calibri" w:cs="Calibri"/>
                <w:i/>
                <w:iCs/>
                <w:color w:val="FFFFFF" w:themeColor="background1"/>
                <w:sz w:val="20"/>
                <w:lang w:eastAsia="en-AU"/>
              </w:rPr>
              <w:t>TEI</w:t>
            </w:r>
          </w:p>
        </w:tc>
      </w:tr>
      <w:tr w:rsidR="00965D85" w:rsidRPr="00D71705" w:rsidTr="008B46DF">
        <w:trPr>
          <w:cantSplit/>
        </w:trPr>
        <w:tc>
          <w:tcPr>
            <w:tcW w:w="3420" w:type="dxa"/>
            <w:tcBorders>
              <w:top w:val="single" w:sz="6" w:space="0" w:color="auto"/>
              <w:left w:val="nil"/>
              <w:right w:val="nil"/>
            </w:tcBorders>
            <w:shd w:val="clear" w:color="auto" w:fill="FFFFFF"/>
          </w:tcPr>
          <w:p w:rsidR="00965D85" w:rsidRPr="00D71705"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D71705">
              <w:rPr>
                <w:rFonts w:ascii="Calibri" w:eastAsiaTheme="minorEastAsia" w:hAnsi="Calibri" w:cs="Calibri"/>
                <w:color w:val="000000"/>
                <w:sz w:val="20"/>
                <w:lang w:eastAsia="en-AU"/>
              </w:rPr>
              <w:t>Establishment of the Agriculture Infrastructure and Jobs fund</w:t>
            </w:r>
          </w:p>
        </w:tc>
        <w:tc>
          <w:tcPr>
            <w:tcW w:w="869" w:type="dxa"/>
            <w:tcBorders>
              <w:top w:val="single" w:sz="6" w:space="0" w:color="auto"/>
              <w:left w:val="nil"/>
              <w:right w:val="nil"/>
            </w:tcBorders>
            <w:shd w:val="clear" w:color="auto" w:fill="FFFFFF"/>
          </w:tcPr>
          <w:p w:rsidR="00965D85" w:rsidRPr="00D71705"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D71705">
              <w:rPr>
                <w:rFonts w:ascii="Calibri" w:eastAsiaTheme="minorEastAsia" w:hAnsi="Calibri" w:cs="Calibri"/>
                <w:color w:val="000000"/>
                <w:sz w:val="20"/>
                <w:lang w:eastAsia="en-AU"/>
              </w:rPr>
              <w:t>37.5</w:t>
            </w:r>
          </w:p>
        </w:tc>
        <w:tc>
          <w:tcPr>
            <w:tcW w:w="870" w:type="dxa"/>
            <w:tcBorders>
              <w:top w:val="single" w:sz="6" w:space="0" w:color="auto"/>
              <w:left w:val="nil"/>
              <w:right w:val="nil"/>
            </w:tcBorders>
            <w:shd w:val="clear" w:color="auto" w:fill="FFFFFF"/>
          </w:tcPr>
          <w:p w:rsidR="00965D85" w:rsidRPr="00D71705"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D71705">
              <w:rPr>
                <w:rFonts w:ascii="Calibri" w:eastAsiaTheme="minorEastAsia" w:hAnsi="Calibri" w:cs="Calibri"/>
                <w:color w:val="000000"/>
                <w:sz w:val="20"/>
                <w:lang w:eastAsia="en-AU"/>
              </w:rPr>
              <w:t>37.5</w:t>
            </w:r>
          </w:p>
        </w:tc>
        <w:tc>
          <w:tcPr>
            <w:tcW w:w="869" w:type="dxa"/>
            <w:tcBorders>
              <w:top w:val="single" w:sz="6" w:space="0" w:color="auto"/>
              <w:left w:val="nil"/>
              <w:right w:val="nil"/>
            </w:tcBorders>
            <w:shd w:val="clear" w:color="auto" w:fill="FFFFFF"/>
          </w:tcPr>
          <w:p w:rsidR="00965D85" w:rsidRPr="00D71705"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D71705">
              <w:rPr>
                <w:rFonts w:ascii="Calibri" w:eastAsiaTheme="minorEastAsia" w:hAnsi="Calibri" w:cs="Calibri"/>
                <w:color w:val="000000"/>
                <w:sz w:val="20"/>
                <w:lang w:eastAsia="en-AU"/>
              </w:rPr>
              <w:t>37.5</w:t>
            </w:r>
          </w:p>
        </w:tc>
        <w:tc>
          <w:tcPr>
            <w:tcW w:w="870" w:type="dxa"/>
            <w:tcBorders>
              <w:top w:val="single" w:sz="6" w:space="0" w:color="auto"/>
              <w:left w:val="nil"/>
              <w:right w:val="nil"/>
            </w:tcBorders>
            <w:shd w:val="clear" w:color="auto" w:fill="FFFFFF"/>
          </w:tcPr>
          <w:p w:rsidR="00965D85" w:rsidRPr="00D71705"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D71705">
              <w:rPr>
                <w:rFonts w:ascii="Calibri" w:eastAsiaTheme="minorEastAsia" w:hAnsi="Calibri" w:cs="Calibri"/>
                <w:color w:val="000000"/>
                <w:sz w:val="20"/>
                <w:lang w:eastAsia="en-AU"/>
              </w:rPr>
              <w:t>37.5</w:t>
            </w:r>
          </w:p>
        </w:tc>
        <w:tc>
          <w:tcPr>
            <w:tcW w:w="870" w:type="dxa"/>
            <w:tcBorders>
              <w:top w:val="single" w:sz="6" w:space="0" w:color="auto"/>
              <w:left w:val="nil"/>
              <w:right w:val="nil"/>
            </w:tcBorders>
            <w:shd w:val="clear" w:color="auto" w:fill="FFFFFF"/>
          </w:tcPr>
          <w:p w:rsidR="00965D85" w:rsidRPr="00D71705"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D71705">
              <w:rPr>
                <w:rFonts w:ascii="Calibri" w:eastAsiaTheme="minorEastAsia" w:hAnsi="Calibri" w:cs="Calibri"/>
                <w:color w:val="000000"/>
                <w:sz w:val="20"/>
                <w:lang w:eastAsia="en-AU"/>
              </w:rPr>
              <w:t>150.0</w:t>
            </w:r>
          </w:p>
        </w:tc>
      </w:tr>
      <w:tr w:rsidR="00965D85" w:rsidRPr="00D71705" w:rsidTr="008B46DF">
        <w:trPr>
          <w:cantSplit/>
        </w:trPr>
        <w:tc>
          <w:tcPr>
            <w:tcW w:w="3420" w:type="dxa"/>
            <w:tcBorders>
              <w:top w:val="nil"/>
              <w:left w:val="nil"/>
              <w:right w:val="nil"/>
            </w:tcBorders>
            <w:shd w:val="clear" w:color="auto" w:fill="FFFFFF"/>
          </w:tcPr>
          <w:p w:rsidR="00965D85" w:rsidRPr="00D71705"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D71705">
              <w:rPr>
                <w:rFonts w:ascii="Calibri" w:eastAsiaTheme="minorEastAsia" w:hAnsi="Calibri" w:cs="Calibri"/>
                <w:color w:val="000000"/>
                <w:sz w:val="20"/>
                <w:lang w:eastAsia="en-AU"/>
              </w:rPr>
              <w:t>Maryvale Automated Points Project</w:t>
            </w:r>
          </w:p>
        </w:tc>
        <w:tc>
          <w:tcPr>
            <w:tcW w:w="869" w:type="dxa"/>
            <w:tcBorders>
              <w:top w:val="nil"/>
              <w:left w:val="nil"/>
              <w:right w:val="nil"/>
            </w:tcBorders>
            <w:shd w:val="clear" w:color="auto" w:fill="FFFFFF"/>
          </w:tcPr>
          <w:p w:rsidR="00965D85" w:rsidRPr="00D71705"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D71705">
              <w:rPr>
                <w:rFonts w:ascii="Calibri" w:eastAsiaTheme="minorEastAsia" w:hAnsi="Calibri" w:cs="Calibri"/>
                <w:color w:val="000000"/>
                <w:sz w:val="20"/>
                <w:lang w:eastAsia="en-AU"/>
              </w:rPr>
              <w:t>0.7</w:t>
            </w:r>
          </w:p>
        </w:tc>
        <w:tc>
          <w:tcPr>
            <w:tcW w:w="870" w:type="dxa"/>
            <w:tcBorders>
              <w:top w:val="nil"/>
              <w:left w:val="nil"/>
              <w:right w:val="nil"/>
            </w:tcBorders>
            <w:shd w:val="clear" w:color="auto" w:fill="FFFFFF"/>
          </w:tcPr>
          <w:p w:rsidR="00965D85" w:rsidRPr="00D71705"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D71705">
              <w:rPr>
                <w:rFonts w:ascii="Calibri" w:eastAsiaTheme="minorEastAsia" w:hAnsi="Calibri" w:cs="Calibri"/>
                <w:color w:val="000000"/>
                <w:sz w:val="20"/>
                <w:lang w:eastAsia="en-AU"/>
              </w:rPr>
              <w:t>..</w:t>
            </w:r>
          </w:p>
        </w:tc>
        <w:tc>
          <w:tcPr>
            <w:tcW w:w="869" w:type="dxa"/>
            <w:tcBorders>
              <w:top w:val="nil"/>
              <w:left w:val="nil"/>
              <w:right w:val="nil"/>
            </w:tcBorders>
            <w:shd w:val="clear" w:color="auto" w:fill="FFFFFF"/>
          </w:tcPr>
          <w:p w:rsidR="00965D85" w:rsidRPr="00D71705"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D71705">
              <w:rPr>
                <w:rFonts w:ascii="Calibri" w:eastAsiaTheme="minorEastAsia" w:hAnsi="Calibri" w:cs="Calibri"/>
                <w:color w:val="000000"/>
                <w:sz w:val="20"/>
                <w:lang w:eastAsia="en-AU"/>
              </w:rPr>
              <w:t>..</w:t>
            </w:r>
          </w:p>
        </w:tc>
        <w:tc>
          <w:tcPr>
            <w:tcW w:w="870" w:type="dxa"/>
            <w:tcBorders>
              <w:top w:val="nil"/>
              <w:left w:val="nil"/>
              <w:right w:val="nil"/>
            </w:tcBorders>
            <w:shd w:val="clear" w:color="auto" w:fill="FFFFFF"/>
          </w:tcPr>
          <w:p w:rsidR="00965D85" w:rsidRPr="00D71705"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D71705">
              <w:rPr>
                <w:rFonts w:ascii="Calibri" w:eastAsiaTheme="minorEastAsia" w:hAnsi="Calibri" w:cs="Calibri"/>
                <w:color w:val="000000"/>
                <w:sz w:val="20"/>
                <w:lang w:eastAsia="en-AU"/>
              </w:rPr>
              <w:t>..</w:t>
            </w:r>
          </w:p>
        </w:tc>
        <w:tc>
          <w:tcPr>
            <w:tcW w:w="870" w:type="dxa"/>
            <w:tcBorders>
              <w:top w:val="nil"/>
              <w:left w:val="nil"/>
              <w:right w:val="nil"/>
            </w:tcBorders>
            <w:shd w:val="clear" w:color="auto" w:fill="FFFFFF"/>
          </w:tcPr>
          <w:p w:rsidR="00965D85" w:rsidRPr="00D71705"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D71705">
              <w:rPr>
                <w:rFonts w:ascii="Calibri" w:eastAsiaTheme="minorEastAsia" w:hAnsi="Calibri" w:cs="Calibri"/>
                <w:color w:val="000000"/>
                <w:sz w:val="20"/>
                <w:lang w:eastAsia="en-AU"/>
              </w:rPr>
              <w:t>0.7</w:t>
            </w:r>
          </w:p>
        </w:tc>
      </w:tr>
      <w:tr w:rsidR="00965D85" w:rsidRPr="00D71705" w:rsidTr="008B46DF">
        <w:trPr>
          <w:cantSplit/>
        </w:trPr>
        <w:tc>
          <w:tcPr>
            <w:tcW w:w="3420" w:type="dxa"/>
            <w:tcBorders>
              <w:top w:val="nil"/>
              <w:left w:val="nil"/>
              <w:bottom w:val="single" w:sz="6" w:space="0" w:color="auto"/>
              <w:right w:val="nil"/>
            </w:tcBorders>
            <w:shd w:val="clear" w:color="auto" w:fill="FFFFFF"/>
          </w:tcPr>
          <w:p w:rsidR="00965D85" w:rsidRPr="00D71705"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D71705">
              <w:rPr>
                <w:rFonts w:ascii="Calibri" w:eastAsiaTheme="minorEastAsia" w:hAnsi="Calibri" w:cs="Calibri"/>
                <w:color w:val="000000"/>
                <w:sz w:val="20"/>
                <w:lang w:eastAsia="en-AU"/>
              </w:rPr>
              <w:t>Western Distributor project development</w:t>
            </w:r>
          </w:p>
        </w:tc>
        <w:tc>
          <w:tcPr>
            <w:tcW w:w="869" w:type="dxa"/>
            <w:tcBorders>
              <w:top w:val="nil"/>
              <w:left w:val="nil"/>
              <w:bottom w:val="single" w:sz="6" w:space="0" w:color="auto"/>
              <w:right w:val="nil"/>
            </w:tcBorders>
            <w:shd w:val="clear" w:color="auto" w:fill="FFFFFF"/>
          </w:tcPr>
          <w:p w:rsidR="00965D85" w:rsidRPr="00D71705"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D71705">
              <w:rPr>
                <w:rFonts w:ascii="Calibri" w:eastAsiaTheme="minorEastAsia" w:hAnsi="Calibri" w:cs="Calibri"/>
                <w:color w:val="000000"/>
                <w:sz w:val="20"/>
                <w:lang w:eastAsia="en-AU"/>
              </w:rPr>
              <w:t>20.0</w:t>
            </w:r>
          </w:p>
        </w:tc>
        <w:tc>
          <w:tcPr>
            <w:tcW w:w="870" w:type="dxa"/>
            <w:tcBorders>
              <w:top w:val="nil"/>
              <w:left w:val="nil"/>
              <w:bottom w:val="single" w:sz="6" w:space="0" w:color="auto"/>
              <w:right w:val="nil"/>
            </w:tcBorders>
            <w:shd w:val="clear" w:color="auto" w:fill="FFFFFF"/>
          </w:tcPr>
          <w:p w:rsidR="00965D85" w:rsidRPr="00D71705"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D71705">
              <w:rPr>
                <w:rFonts w:ascii="Calibri" w:eastAsiaTheme="minorEastAsia" w:hAnsi="Calibri" w:cs="Calibri"/>
                <w:color w:val="000000"/>
                <w:sz w:val="20"/>
                <w:lang w:eastAsia="en-AU"/>
              </w:rPr>
              <w:t>..</w:t>
            </w:r>
          </w:p>
        </w:tc>
        <w:tc>
          <w:tcPr>
            <w:tcW w:w="869" w:type="dxa"/>
            <w:tcBorders>
              <w:top w:val="nil"/>
              <w:left w:val="nil"/>
              <w:bottom w:val="single" w:sz="6" w:space="0" w:color="auto"/>
              <w:right w:val="nil"/>
            </w:tcBorders>
            <w:shd w:val="clear" w:color="auto" w:fill="FFFFFF"/>
          </w:tcPr>
          <w:p w:rsidR="00965D85" w:rsidRPr="00D71705"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D71705">
              <w:rPr>
                <w:rFonts w:ascii="Calibri" w:eastAsiaTheme="minorEastAsia" w:hAnsi="Calibri" w:cs="Calibri"/>
                <w:color w:val="000000"/>
                <w:sz w:val="20"/>
                <w:lang w:eastAsia="en-AU"/>
              </w:rPr>
              <w:t>..</w:t>
            </w:r>
          </w:p>
        </w:tc>
        <w:tc>
          <w:tcPr>
            <w:tcW w:w="870" w:type="dxa"/>
            <w:tcBorders>
              <w:top w:val="nil"/>
              <w:left w:val="nil"/>
              <w:bottom w:val="single" w:sz="6" w:space="0" w:color="auto"/>
              <w:right w:val="nil"/>
            </w:tcBorders>
            <w:shd w:val="clear" w:color="auto" w:fill="FFFFFF"/>
          </w:tcPr>
          <w:p w:rsidR="00965D85" w:rsidRPr="00D71705"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D71705">
              <w:rPr>
                <w:rFonts w:ascii="Calibri" w:eastAsiaTheme="minorEastAsia" w:hAnsi="Calibri" w:cs="Calibri"/>
                <w:color w:val="000000"/>
                <w:sz w:val="20"/>
                <w:lang w:eastAsia="en-AU"/>
              </w:rPr>
              <w:t>..</w:t>
            </w:r>
          </w:p>
        </w:tc>
        <w:tc>
          <w:tcPr>
            <w:tcW w:w="870" w:type="dxa"/>
            <w:tcBorders>
              <w:top w:val="nil"/>
              <w:left w:val="nil"/>
              <w:bottom w:val="single" w:sz="6" w:space="0" w:color="auto"/>
              <w:right w:val="nil"/>
            </w:tcBorders>
            <w:shd w:val="clear" w:color="auto" w:fill="FFFFFF"/>
          </w:tcPr>
          <w:p w:rsidR="00965D85" w:rsidRPr="00D71705"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D71705">
              <w:rPr>
                <w:rFonts w:ascii="Calibri" w:eastAsiaTheme="minorEastAsia" w:hAnsi="Calibri" w:cs="Calibri"/>
                <w:color w:val="000000"/>
                <w:sz w:val="20"/>
                <w:lang w:eastAsia="en-AU"/>
              </w:rPr>
              <w:t>20.0</w:t>
            </w:r>
          </w:p>
        </w:tc>
      </w:tr>
      <w:tr w:rsidR="00965D85" w:rsidRPr="00D71705" w:rsidTr="008B46DF">
        <w:trPr>
          <w:cantSplit/>
        </w:trPr>
        <w:tc>
          <w:tcPr>
            <w:tcW w:w="3420" w:type="dxa"/>
            <w:tcBorders>
              <w:top w:val="single" w:sz="6" w:space="0" w:color="auto"/>
              <w:left w:val="nil"/>
              <w:bottom w:val="single" w:sz="12" w:space="0" w:color="auto"/>
              <w:right w:val="nil"/>
            </w:tcBorders>
            <w:shd w:val="solid" w:color="FFFFFF" w:fill="FFFFFF"/>
          </w:tcPr>
          <w:p w:rsidR="00965D85" w:rsidRPr="00D71705" w:rsidRDefault="00965D85" w:rsidP="008B46DF">
            <w:pPr>
              <w:autoSpaceDE w:val="0"/>
              <w:autoSpaceDN w:val="0"/>
              <w:adjustRightInd w:val="0"/>
              <w:spacing w:after="0"/>
              <w:ind w:left="227" w:hanging="227"/>
              <w:rPr>
                <w:rFonts w:ascii="Calibri" w:eastAsiaTheme="minorEastAsia" w:hAnsi="Calibri" w:cs="Calibri"/>
                <w:b/>
                <w:bCs/>
                <w:color w:val="000000"/>
                <w:sz w:val="20"/>
                <w:lang w:eastAsia="en-AU"/>
              </w:rPr>
            </w:pPr>
          </w:p>
        </w:tc>
        <w:tc>
          <w:tcPr>
            <w:tcW w:w="869" w:type="dxa"/>
            <w:tcBorders>
              <w:top w:val="single" w:sz="6" w:space="0" w:color="auto"/>
              <w:left w:val="nil"/>
              <w:bottom w:val="single" w:sz="12" w:space="0" w:color="auto"/>
              <w:right w:val="nil"/>
            </w:tcBorders>
            <w:shd w:val="solid" w:color="FFFFFF" w:fill="FFFFFF"/>
          </w:tcPr>
          <w:p w:rsidR="00965D85" w:rsidRPr="00D71705"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D71705">
              <w:rPr>
                <w:rFonts w:ascii="Calibri" w:eastAsiaTheme="minorEastAsia" w:hAnsi="Calibri" w:cs="Calibri"/>
                <w:b/>
                <w:bCs/>
                <w:color w:val="000000"/>
                <w:sz w:val="20"/>
                <w:lang w:eastAsia="en-AU"/>
              </w:rPr>
              <w:t>58.2</w:t>
            </w:r>
          </w:p>
        </w:tc>
        <w:tc>
          <w:tcPr>
            <w:tcW w:w="870" w:type="dxa"/>
            <w:tcBorders>
              <w:top w:val="single" w:sz="6" w:space="0" w:color="auto"/>
              <w:left w:val="nil"/>
              <w:bottom w:val="single" w:sz="12" w:space="0" w:color="auto"/>
              <w:right w:val="nil"/>
            </w:tcBorders>
            <w:shd w:val="solid" w:color="FFFFFF" w:fill="FFFFFF"/>
          </w:tcPr>
          <w:p w:rsidR="00965D85" w:rsidRPr="00D71705"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D71705">
              <w:rPr>
                <w:rFonts w:ascii="Calibri" w:eastAsiaTheme="minorEastAsia" w:hAnsi="Calibri" w:cs="Calibri"/>
                <w:b/>
                <w:bCs/>
                <w:color w:val="000000"/>
                <w:sz w:val="20"/>
                <w:lang w:eastAsia="en-AU"/>
              </w:rPr>
              <w:t>37.5</w:t>
            </w:r>
          </w:p>
        </w:tc>
        <w:tc>
          <w:tcPr>
            <w:tcW w:w="869" w:type="dxa"/>
            <w:tcBorders>
              <w:top w:val="single" w:sz="6" w:space="0" w:color="auto"/>
              <w:left w:val="nil"/>
              <w:bottom w:val="single" w:sz="12" w:space="0" w:color="auto"/>
              <w:right w:val="nil"/>
            </w:tcBorders>
            <w:shd w:val="solid" w:color="FFFFFF" w:fill="FFFFFF"/>
          </w:tcPr>
          <w:p w:rsidR="00965D85" w:rsidRPr="00D71705"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D71705">
              <w:rPr>
                <w:rFonts w:ascii="Calibri" w:eastAsiaTheme="minorEastAsia" w:hAnsi="Calibri" w:cs="Calibri"/>
                <w:b/>
                <w:bCs/>
                <w:color w:val="000000"/>
                <w:sz w:val="20"/>
                <w:lang w:eastAsia="en-AU"/>
              </w:rPr>
              <w:t>37.5</w:t>
            </w:r>
          </w:p>
        </w:tc>
        <w:tc>
          <w:tcPr>
            <w:tcW w:w="870" w:type="dxa"/>
            <w:tcBorders>
              <w:top w:val="single" w:sz="6" w:space="0" w:color="auto"/>
              <w:left w:val="nil"/>
              <w:bottom w:val="single" w:sz="12" w:space="0" w:color="auto"/>
              <w:right w:val="nil"/>
            </w:tcBorders>
            <w:shd w:val="solid" w:color="FFFFFF" w:fill="FFFFFF"/>
          </w:tcPr>
          <w:p w:rsidR="00965D85" w:rsidRPr="00D71705"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D71705">
              <w:rPr>
                <w:rFonts w:ascii="Calibri" w:eastAsiaTheme="minorEastAsia" w:hAnsi="Calibri" w:cs="Calibri"/>
                <w:b/>
                <w:bCs/>
                <w:color w:val="000000"/>
                <w:sz w:val="20"/>
                <w:lang w:eastAsia="en-AU"/>
              </w:rPr>
              <w:t>37.5</w:t>
            </w:r>
          </w:p>
        </w:tc>
        <w:tc>
          <w:tcPr>
            <w:tcW w:w="870" w:type="dxa"/>
            <w:tcBorders>
              <w:top w:val="single" w:sz="6" w:space="0" w:color="auto"/>
              <w:left w:val="nil"/>
              <w:bottom w:val="single" w:sz="12" w:space="0" w:color="auto"/>
              <w:right w:val="nil"/>
            </w:tcBorders>
            <w:shd w:val="solid" w:color="FFFFFF" w:fill="FFFFFF"/>
          </w:tcPr>
          <w:p w:rsidR="00965D85" w:rsidRPr="00D71705"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D71705">
              <w:rPr>
                <w:rFonts w:ascii="Calibri" w:eastAsiaTheme="minorEastAsia" w:hAnsi="Calibri" w:cs="Calibri"/>
                <w:b/>
                <w:bCs/>
                <w:color w:val="000000"/>
                <w:sz w:val="20"/>
                <w:lang w:eastAsia="en-AU"/>
              </w:rPr>
              <w:t>170.7</w:t>
            </w:r>
          </w:p>
        </w:tc>
      </w:tr>
    </w:tbl>
    <w:p w:rsidR="00965D85" w:rsidRPr="00776214" w:rsidRDefault="00965D85" w:rsidP="008B46DF">
      <w:r>
        <w:fldChar w:fldCharType="end"/>
      </w:r>
      <w:r w:rsidRPr="00776214">
        <w:t xml:space="preserve"> </w:t>
      </w:r>
    </w:p>
    <w:p w:rsidR="00965D85" w:rsidRDefault="00965D85" w:rsidP="008B46DF">
      <w:pPr>
        <w:pStyle w:val="Heading3"/>
        <w:rPr>
          <w:i w:val="0"/>
          <w:kern w:val="0"/>
          <w:sz w:val="22"/>
          <w:szCs w:val="20"/>
        </w:rPr>
      </w:pPr>
      <w:r w:rsidRPr="00C026D7">
        <w:rPr>
          <w:i w:val="0"/>
          <w:kern w:val="0"/>
          <w:sz w:val="22"/>
          <w:szCs w:val="20"/>
        </w:rPr>
        <w:t>Establishment of the Agriculture Infrastructure and Jobs fund</w:t>
      </w:r>
    </w:p>
    <w:p w:rsidR="00965D85" w:rsidRPr="00C026D7" w:rsidRDefault="00965D85" w:rsidP="008B46DF">
      <w:r w:rsidRPr="00C026D7">
        <w:t>Refer to the output initiative for a description of this initiative.</w:t>
      </w:r>
    </w:p>
    <w:p w:rsidR="00965D85" w:rsidRDefault="00965D85" w:rsidP="008B46DF">
      <w:pPr>
        <w:pStyle w:val="Heading5"/>
      </w:pPr>
      <w:r w:rsidRPr="00C026D7">
        <w:t>Maryvale Automated Points Project</w:t>
      </w:r>
    </w:p>
    <w:p w:rsidR="00965D85" w:rsidRDefault="00965D85" w:rsidP="008B46DF">
      <w:r>
        <w:t>Automated points on the Bairnsdale line will be installed to reduce ongoing costs, alleviate delays on passenger services and improve safety.</w:t>
      </w:r>
    </w:p>
    <w:p w:rsidR="00965D85" w:rsidRDefault="00965D85" w:rsidP="008B46DF">
      <w:r>
        <w:t>This initiative contributes to the Department of Economic Development, Jobs, Transport and Resources’ Port and Freight Network Access output.</w:t>
      </w:r>
    </w:p>
    <w:p w:rsidR="00965D85" w:rsidRDefault="00965D85" w:rsidP="008B46DF">
      <w:pPr>
        <w:pStyle w:val="Heading5"/>
      </w:pPr>
      <w:r w:rsidRPr="00C026D7">
        <w:t>Western Distributor project development</w:t>
      </w:r>
    </w:p>
    <w:p w:rsidR="00965D85" w:rsidRPr="0020178B" w:rsidRDefault="00965D85" w:rsidP="008B46DF">
      <w:r w:rsidRPr="0020178B">
        <w:t xml:space="preserve">Funding </w:t>
      </w:r>
      <w:r>
        <w:t>will enable project development</w:t>
      </w:r>
      <w:r w:rsidRPr="0020178B">
        <w:t xml:space="preserve"> relating to the </w:t>
      </w:r>
      <w:r>
        <w:t>business case and assessment of market</w:t>
      </w:r>
      <w:r>
        <w:noBreakHyphen/>
        <w:t xml:space="preserve">led proposals for the </w:t>
      </w:r>
      <w:r w:rsidRPr="0020178B">
        <w:t>Western Distr</w:t>
      </w:r>
      <w:r>
        <w:t>ibutor project.</w:t>
      </w:r>
    </w:p>
    <w:p w:rsidR="00965D85" w:rsidRDefault="00965D85" w:rsidP="008B46DF">
      <w:r w:rsidRPr="0020178B">
        <w:t>This initiative contributes to the Department of Econom</w:t>
      </w:r>
      <w:r>
        <w:t xml:space="preserve">ic Development, Jobs, Transport </w:t>
      </w:r>
      <w:r w:rsidRPr="0020178B">
        <w:t>and Resources</w:t>
      </w:r>
      <w:r>
        <w:t>’</w:t>
      </w:r>
      <w:r w:rsidRPr="0020178B">
        <w:t xml:space="preserve"> Road Operations and Network Improvements output.</w:t>
      </w:r>
    </w:p>
    <w:p w:rsidR="00965D85" w:rsidRPr="009114ED" w:rsidRDefault="00965D85" w:rsidP="008B46DF">
      <w:r>
        <w:br w:type="page"/>
      </w:r>
    </w:p>
    <w:p w:rsidR="00965D85" w:rsidRDefault="00965D85" w:rsidP="00392D14">
      <w:pPr>
        <w:pStyle w:val="Heading1"/>
      </w:pPr>
      <w:bookmarkStart w:id="86" w:name="_Toc436147551"/>
      <w:r>
        <w:lastRenderedPageBreak/>
        <w:t>Department of Education and Training</w:t>
      </w:r>
      <w:bookmarkEnd w:id="86"/>
    </w:p>
    <w:p w:rsidR="00965D85" w:rsidRDefault="00965D85" w:rsidP="008B46DF">
      <w:pPr>
        <w:pStyle w:val="Heading3"/>
      </w:pPr>
      <w:r>
        <w:t xml:space="preserve">Output initiatives </w:t>
      </w:r>
    </w:p>
    <w:p w:rsidR="00965D85" w:rsidRPr="00112181" w:rsidRDefault="00965D85" w:rsidP="008B46DF">
      <w:pPr>
        <w:pStyle w:val="Tableheading"/>
      </w:pPr>
      <w:r>
        <w:t>Table A.4:</w:t>
      </w:r>
      <w:r>
        <w:tab/>
        <w:t>Output initiatives – E</w:t>
      </w:r>
      <w:r w:rsidRPr="000321E2">
        <w:t>ducation and Training</w:t>
      </w:r>
      <w:r>
        <w:fldChar w:fldCharType="begin" w:fldLock="1"/>
      </w:r>
      <w:r>
        <w:instrText xml:space="preserve"> LINK Excel.Sheet.12 "\\\\PDCPTPRDFIL01\\DTFDATA02$\\SECURED\\Budget\\BudgetUpdate\\AppendixA\\AppendixA.xlsx" "DET!DET_outputs"\* MERGEFORMAT\f 4 \r </w:instrText>
      </w:r>
      <w:r>
        <w:fldChar w:fldCharType="separate"/>
      </w:r>
    </w:p>
    <w:tbl>
      <w:tblPr>
        <w:tblW w:w="7768" w:type="dxa"/>
        <w:tblInd w:w="28" w:type="dxa"/>
        <w:tblLayout w:type="fixed"/>
        <w:tblCellMar>
          <w:left w:w="45" w:type="dxa"/>
          <w:right w:w="45" w:type="dxa"/>
        </w:tblCellMar>
        <w:tblLook w:val="0000" w:firstRow="0" w:lastRow="0" w:firstColumn="0" w:lastColumn="0" w:noHBand="0" w:noVBand="0"/>
      </w:tblPr>
      <w:tblGrid>
        <w:gridCol w:w="3839"/>
        <w:gridCol w:w="982"/>
        <w:gridCol w:w="982"/>
        <w:gridCol w:w="982"/>
        <w:gridCol w:w="983"/>
      </w:tblGrid>
      <w:tr w:rsidR="00965D85" w:rsidRPr="00112181" w:rsidTr="008B46DF">
        <w:trPr>
          <w:cantSplit/>
          <w:tblHeader/>
        </w:trPr>
        <w:tc>
          <w:tcPr>
            <w:tcW w:w="7768" w:type="dxa"/>
            <w:gridSpan w:val="5"/>
            <w:tcBorders>
              <w:bottom w:val="nil"/>
              <w:right w:val="nil"/>
            </w:tcBorders>
            <w:shd w:val="clear" w:color="000000" w:fill="auto"/>
            <w:vAlign w:val="bottom"/>
          </w:tcPr>
          <w:p w:rsidR="00965D85" w:rsidRPr="00112181" w:rsidRDefault="00965D85" w:rsidP="008B46DF">
            <w:pPr>
              <w:pStyle w:val="million"/>
              <w:rPr>
                <w:rFonts w:eastAsiaTheme="minorEastAsia"/>
                <w:lang w:eastAsia="en-AU"/>
              </w:rPr>
            </w:pPr>
            <w:r w:rsidRPr="00112181">
              <w:rPr>
                <w:rFonts w:eastAsiaTheme="minorEastAsia"/>
                <w:lang w:eastAsia="en-AU"/>
              </w:rPr>
              <w:t>($ million)</w:t>
            </w:r>
          </w:p>
        </w:tc>
      </w:tr>
      <w:tr w:rsidR="00965D85" w:rsidRPr="00112181" w:rsidTr="008B46DF">
        <w:trPr>
          <w:cantSplit/>
          <w:tblHeader/>
        </w:trPr>
        <w:tc>
          <w:tcPr>
            <w:tcW w:w="3839" w:type="dxa"/>
            <w:tcBorders>
              <w:top w:val="nil"/>
              <w:left w:val="single" w:sz="6" w:space="0" w:color="auto"/>
              <w:bottom w:val="single" w:sz="6" w:space="0" w:color="auto"/>
              <w:right w:val="nil"/>
            </w:tcBorders>
            <w:shd w:val="clear" w:color="000000" w:fill="000000"/>
            <w:vAlign w:val="bottom"/>
          </w:tcPr>
          <w:p w:rsidR="00965D85" w:rsidRPr="00112181" w:rsidRDefault="00965D85" w:rsidP="008B46DF">
            <w:pPr>
              <w:pStyle w:val="Tabletextheading"/>
              <w:jc w:val="left"/>
              <w:rPr>
                <w:rFonts w:eastAsiaTheme="minorEastAsia"/>
                <w:color w:val="FFFFFF"/>
                <w:lang w:eastAsia="en-AU"/>
              </w:rPr>
            </w:pPr>
            <w:r w:rsidRPr="00112181">
              <w:rPr>
                <w:rFonts w:eastAsiaTheme="minorEastAsia"/>
                <w:color w:val="FFFFFF"/>
                <w:lang w:eastAsia="en-AU"/>
              </w:rPr>
              <w:t xml:space="preserve"> </w:t>
            </w:r>
          </w:p>
        </w:tc>
        <w:tc>
          <w:tcPr>
            <w:tcW w:w="982" w:type="dxa"/>
            <w:tcBorders>
              <w:top w:val="nil"/>
              <w:left w:val="nil"/>
              <w:bottom w:val="single" w:sz="6" w:space="0" w:color="auto"/>
              <w:right w:val="nil"/>
            </w:tcBorders>
            <w:shd w:val="clear" w:color="000000" w:fill="000000"/>
            <w:vAlign w:val="bottom"/>
          </w:tcPr>
          <w:p w:rsidR="00965D85" w:rsidRPr="00112181" w:rsidRDefault="00965D85" w:rsidP="008B46DF">
            <w:pPr>
              <w:pStyle w:val="Tabletextheading"/>
              <w:rPr>
                <w:rFonts w:eastAsiaTheme="minorEastAsia"/>
                <w:color w:val="FFFFFF"/>
                <w:lang w:eastAsia="en-AU"/>
              </w:rPr>
            </w:pPr>
            <w:r w:rsidRPr="00112181">
              <w:rPr>
                <w:rFonts w:eastAsiaTheme="minorEastAsia"/>
                <w:color w:val="FFFFFF"/>
                <w:lang w:eastAsia="en-AU"/>
              </w:rPr>
              <w:t>2015</w:t>
            </w:r>
            <w:r>
              <w:rPr>
                <w:rFonts w:eastAsiaTheme="minorEastAsia"/>
                <w:color w:val="FFFFFF"/>
                <w:lang w:eastAsia="en-AU"/>
              </w:rPr>
              <w:noBreakHyphen/>
            </w:r>
            <w:r w:rsidRPr="00112181">
              <w:rPr>
                <w:rFonts w:eastAsiaTheme="minorEastAsia"/>
                <w:color w:val="FFFFFF"/>
                <w:lang w:eastAsia="en-AU"/>
              </w:rPr>
              <w:t>16</w:t>
            </w:r>
          </w:p>
        </w:tc>
        <w:tc>
          <w:tcPr>
            <w:tcW w:w="982" w:type="dxa"/>
            <w:tcBorders>
              <w:top w:val="nil"/>
              <w:left w:val="nil"/>
              <w:bottom w:val="single" w:sz="6" w:space="0" w:color="auto"/>
              <w:right w:val="nil"/>
            </w:tcBorders>
            <w:shd w:val="clear" w:color="000000" w:fill="000000"/>
            <w:vAlign w:val="bottom"/>
          </w:tcPr>
          <w:p w:rsidR="00965D85" w:rsidRPr="00112181" w:rsidRDefault="00965D85" w:rsidP="008B46DF">
            <w:pPr>
              <w:pStyle w:val="Tabletextheading"/>
              <w:rPr>
                <w:rFonts w:eastAsiaTheme="minorEastAsia"/>
                <w:color w:val="FFFFFF"/>
                <w:lang w:eastAsia="en-AU"/>
              </w:rPr>
            </w:pPr>
            <w:r w:rsidRPr="00112181">
              <w:rPr>
                <w:rFonts w:eastAsiaTheme="minorEastAsia"/>
                <w:color w:val="FFFFFF"/>
                <w:lang w:eastAsia="en-AU"/>
              </w:rPr>
              <w:t>2016</w:t>
            </w:r>
            <w:r>
              <w:rPr>
                <w:rFonts w:eastAsiaTheme="minorEastAsia"/>
                <w:color w:val="FFFFFF"/>
                <w:lang w:eastAsia="en-AU"/>
              </w:rPr>
              <w:noBreakHyphen/>
            </w:r>
            <w:r w:rsidRPr="00112181">
              <w:rPr>
                <w:rFonts w:eastAsiaTheme="minorEastAsia"/>
                <w:color w:val="FFFFFF"/>
                <w:lang w:eastAsia="en-AU"/>
              </w:rPr>
              <w:t>17</w:t>
            </w:r>
          </w:p>
        </w:tc>
        <w:tc>
          <w:tcPr>
            <w:tcW w:w="982" w:type="dxa"/>
            <w:tcBorders>
              <w:top w:val="nil"/>
              <w:left w:val="nil"/>
              <w:bottom w:val="single" w:sz="6" w:space="0" w:color="auto"/>
              <w:right w:val="nil"/>
            </w:tcBorders>
            <w:shd w:val="clear" w:color="000000" w:fill="000000"/>
            <w:vAlign w:val="bottom"/>
          </w:tcPr>
          <w:p w:rsidR="00965D85" w:rsidRPr="00112181" w:rsidRDefault="00965D85" w:rsidP="008B46DF">
            <w:pPr>
              <w:pStyle w:val="Tabletextheading"/>
              <w:rPr>
                <w:rFonts w:eastAsiaTheme="minorEastAsia"/>
                <w:color w:val="FFFFFF"/>
                <w:lang w:eastAsia="en-AU"/>
              </w:rPr>
            </w:pPr>
            <w:r w:rsidRPr="00112181">
              <w:rPr>
                <w:rFonts w:eastAsiaTheme="minorEastAsia"/>
                <w:color w:val="FFFFFF"/>
                <w:lang w:eastAsia="en-AU"/>
              </w:rPr>
              <w:t>2017</w:t>
            </w:r>
            <w:r>
              <w:rPr>
                <w:rFonts w:eastAsiaTheme="minorEastAsia"/>
                <w:color w:val="FFFFFF"/>
                <w:lang w:eastAsia="en-AU"/>
              </w:rPr>
              <w:noBreakHyphen/>
            </w:r>
            <w:r w:rsidRPr="00112181">
              <w:rPr>
                <w:rFonts w:eastAsiaTheme="minorEastAsia"/>
                <w:color w:val="FFFFFF"/>
                <w:lang w:eastAsia="en-AU"/>
              </w:rPr>
              <w:t>18</w:t>
            </w:r>
          </w:p>
        </w:tc>
        <w:tc>
          <w:tcPr>
            <w:tcW w:w="983" w:type="dxa"/>
            <w:tcBorders>
              <w:top w:val="nil"/>
              <w:left w:val="nil"/>
              <w:bottom w:val="single" w:sz="6" w:space="0" w:color="auto"/>
              <w:right w:val="single" w:sz="6" w:space="0" w:color="auto"/>
            </w:tcBorders>
            <w:shd w:val="clear" w:color="000000" w:fill="000000"/>
            <w:vAlign w:val="bottom"/>
          </w:tcPr>
          <w:p w:rsidR="00965D85" w:rsidRPr="00112181" w:rsidRDefault="00965D85" w:rsidP="008B46DF">
            <w:pPr>
              <w:pStyle w:val="Tabletextheading"/>
              <w:rPr>
                <w:rFonts w:eastAsiaTheme="minorEastAsia"/>
                <w:color w:val="FFFFFF"/>
                <w:lang w:eastAsia="en-AU"/>
              </w:rPr>
            </w:pPr>
            <w:r w:rsidRPr="00112181">
              <w:rPr>
                <w:rFonts w:eastAsiaTheme="minorEastAsia"/>
                <w:color w:val="FFFFFF"/>
                <w:lang w:eastAsia="en-AU"/>
              </w:rPr>
              <w:t>2018</w:t>
            </w:r>
            <w:r>
              <w:rPr>
                <w:rFonts w:eastAsiaTheme="minorEastAsia"/>
                <w:color w:val="FFFFFF"/>
                <w:lang w:eastAsia="en-AU"/>
              </w:rPr>
              <w:noBreakHyphen/>
            </w:r>
            <w:r w:rsidRPr="00112181">
              <w:rPr>
                <w:rFonts w:eastAsiaTheme="minorEastAsia"/>
                <w:color w:val="FFFFFF"/>
                <w:lang w:eastAsia="en-AU"/>
              </w:rPr>
              <w:t>19</w:t>
            </w:r>
          </w:p>
        </w:tc>
      </w:tr>
      <w:tr w:rsidR="00965D85" w:rsidRPr="00112181" w:rsidTr="008B46DF">
        <w:trPr>
          <w:cantSplit/>
        </w:trPr>
        <w:tc>
          <w:tcPr>
            <w:tcW w:w="3839" w:type="dxa"/>
            <w:tcBorders>
              <w:top w:val="single" w:sz="6" w:space="0" w:color="auto"/>
              <w:left w:val="nil"/>
              <w:bottom w:val="single" w:sz="6" w:space="0" w:color="auto"/>
              <w:right w:val="nil"/>
            </w:tcBorders>
          </w:tcPr>
          <w:p w:rsidR="00965D85" w:rsidRPr="00112181" w:rsidRDefault="00965D85" w:rsidP="008B46DF">
            <w:pPr>
              <w:autoSpaceDE w:val="0"/>
              <w:autoSpaceDN w:val="0"/>
              <w:adjustRightInd w:val="0"/>
              <w:spacing w:after="0"/>
              <w:rPr>
                <w:rFonts w:ascii="Calibri" w:eastAsiaTheme="minorEastAsia" w:hAnsi="Calibri" w:cs="Calibri"/>
                <w:sz w:val="20"/>
                <w:lang w:eastAsia="en-AU"/>
              </w:rPr>
            </w:pPr>
            <w:r w:rsidRPr="00112181">
              <w:rPr>
                <w:rFonts w:ascii="Calibri" w:eastAsiaTheme="minorEastAsia" w:hAnsi="Calibri" w:cs="Calibri"/>
                <w:sz w:val="20"/>
                <w:lang w:eastAsia="en-AU"/>
              </w:rPr>
              <w:t>Supporting kindergarten services</w:t>
            </w:r>
          </w:p>
        </w:tc>
        <w:tc>
          <w:tcPr>
            <w:tcW w:w="982" w:type="dxa"/>
            <w:tcBorders>
              <w:top w:val="single" w:sz="6" w:space="0" w:color="auto"/>
              <w:left w:val="nil"/>
              <w:bottom w:val="single" w:sz="6" w:space="0" w:color="auto"/>
              <w:right w:val="nil"/>
            </w:tcBorders>
          </w:tcPr>
          <w:p w:rsidR="00965D85" w:rsidRPr="00112181" w:rsidRDefault="00965D85" w:rsidP="008B46DF">
            <w:pPr>
              <w:autoSpaceDE w:val="0"/>
              <w:autoSpaceDN w:val="0"/>
              <w:adjustRightInd w:val="0"/>
              <w:spacing w:after="0"/>
              <w:jc w:val="right"/>
              <w:rPr>
                <w:rFonts w:ascii="Calibri" w:eastAsiaTheme="minorEastAsia" w:hAnsi="Calibri" w:cs="Calibri"/>
                <w:sz w:val="20"/>
                <w:lang w:eastAsia="en-AU"/>
              </w:rPr>
            </w:pPr>
            <w:r w:rsidRPr="00112181">
              <w:rPr>
                <w:rFonts w:ascii="Calibri" w:eastAsiaTheme="minorEastAsia" w:hAnsi="Calibri" w:cs="Calibri"/>
                <w:sz w:val="20"/>
                <w:lang w:eastAsia="en-AU"/>
              </w:rPr>
              <w:t>1</w:t>
            </w:r>
            <w:r>
              <w:rPr>
                <w:rFonts w:ascii="Calibri" w:eastAsiaTheme="minorEastAsia" w:hAnsi="Calibri" w:cs="Calibri"/>
                <w:sz w:val="20"/>
                <w:lang w:eastAsia="en-AU"/>
              </w:rPr>
              <w:t>3</w:t>
            </w:r>
            <w:r w:rsidRPr="00112181">
              <w:rPr>
                <w:rFonts w:ascii="Calibri" w:eastAsiaTheme="minorEastAsia" w:hAnsi="Calibri" w:cs="Calibri"/>
                <w:sz w:val="20"/>
                <w:lang w:eastAsia="en-AU"/>
              </w:rPr>
              <w:t>.</w:t>
            </w:r>
            <w:r>
              <w:rPr>
                <w:rFonts w:ascii="Calibri" w:eastAsiaTheme="minorEastAsia" w:hAnsi="Calibri" w:cs="Calibri"/>
                <w:sz w:val="20"/>
                <w:lang w:eastAsia="en-AU"/>
              </w:rPr>
              <w:t>5</w:t>
            </w:r>
          </w:p>
        </w:tc>
        <w:tc>
          <w:tcPr>
            <w:tcW w:w="982" w:type="dxa"/>
            <w:tcBorders>
              <w:top w:val="single" w:sz="6" w:space="0" w:color="auto"/>
              <w:left w:val="nil"/>
              <w:bottom w:val="single" w:sz="6" w:space="0" w:color="auto"/>
              <w:right w:val="nil"/>
            </w:tcBorders>
          </w:tcPr>
          <w:p w:rsidR="00965D85" w:rsidRPr="00112181" w:rsidRDefault="00965D85" w:rsidP="008B46DF">
            <w:pPr>
              <w:autoSpaceDE w:val="0"/>
              <w:autoSpaceDN w:val="0"/>
              <w:adjustRightInd w:val="0"/>
              <w:spacing w:after="0"/>
              <w:jc w:val="right"/>
              <w:rPr>
                <w:rFonts w:ascii="Calibri" w:eastAsiaTheme="minorEastAsia" w:hAnsi="Calibri" w:cs="Calibri"/>
                <w:sz w:val="20"/>
                <w:lang w:eastAsia="en-AU"/>
              </w:rPr>
            </w:pPr>
            <w:r>
              <w:rPr>
                <w:rFonts w:ascii="Calibri" w:eastAsiaTheme="minorEastAsia" w:hAnsi="Calibri" w:cs="Calibri"/>
                <w:sz w:val="20"/>
                <w:lang w:eastAsia="en-AU"/>
              </w:rPr>
              <w:t>28.9</w:t>
            </w:r>
          </w:p>
        </w:tc>
        <w:tc>
          <w:tcPr>
            <w:tcW w:w="982" w:type="dxa"/>
            <w:tcBorders>
              <w:top w:val="single" w:sz="6" w:space="0" w:color="auto"/>
              <w:left w:val="nil"/>
              <w:bottom w:val="single" w:sz="6" w:space="0" w:color="auto"/>
              <w:right w:val="nil"/>
            </w:tcBorders>
          </w:tcPr>
          <w:p w:rsidR="00965D85" w:rsidRPr="00112181" w:rsidRDefault="00965D85" w:rsidP="008B46DF">
            <w:pPr>
              <w:autoSpaceDE w:val="0"/>
              <w:autoSpaceDN w:val="0"/>
              <w:adjustRightInd w:val="0"/>
              <w:spacing w:after="0"/>
              <w:jc w:val="right"/>
              <w:rPr>
                <w:rFonts w:ascii="Calibri" w:eastAsiaTheme="minorEastAsia" w:hAnsi="Calibri" w:cs="Calibri"/>
                <w:sz w:val="20"/>
                <w:lang w:eastAsia="en-AU"/>
              </w:rPr>
            </w:pPr>
            <w:r>
              <w:rPr>
                <w:rFonts w:ascii="Calibri" w:eastAsiaTheme="minorEastAsia" w:hAnsi="Calibri" w:cs="Calibri"/>
                <w:sz w:val="20"/>
                <w:lang w:eastAsia="en-AU"/>
              </w:rPr>
              <w:t>23.8</w:t>
            </w:r>
          </w:p>
        </w:tc>
        <w:tc>
          <w:tcPr>
            <w:tcW w:w="983" w:type="dxa"/>
            <w:tcBorders>
              <w:top w:val="single" w:sz="6" w:space="0" w:color="auto"/>
              <w:left w:val="nil"/>
              <w:bottom w:val="single" w:sz="6" w:space="0" w:color="auto"/>
              <w:right w:val="nil"/>
            </w:tcBorders>
          </w:tcPr>
          <w:p w:rsidR="00965D85" w:rsidRPr="00112181" w:rsidRDefault="00965D85" w:rsidP="008B46DF">
            <w:pPr>
              <w:autoSpaceDE w:val="0"/>
              <w:autoSpaceDN w:val="0"/>
              <w:adjustRightInd w:val="0"/>
              <w:spacing w:after="0"/>
              <w:jc w:val="right"/>
              <w:rPr>
                <w:rFonts w:ascii="Calibri" w:eastAsiaTheme="minorEastAsia" w:hAnsi="Calibri" w:cs="Calibri"/>
                <w:sz w:val="20"/>
                <w:lang w:eastAsia="en-AU"/>
              </w:rPr>
            </w:pPr>
            <w:r>
              <w:rPr>
                <w:rFonts w:ascii="Calibri" w:eastAsiaTheme="minorEastAsia" w:hAnsi="Calibri" w:cs="Calibri"/>
                <w:sz w:val="20"/>
                <w:lang w:eastAsia="en-AU"/>
              </w:rPr>
              <w:t>17.5</w:t>
            </w:r>
          </w:p>
        </w:tc>
      </w:tr>
      <w:tr w:rsidR="00965D85" w:rsidRPr="00112181" w:rsidTr="008B46DF">
        <w:trPr>
          <w:cantSplit/>
        </w:trPr>
        <w:tc>
          <w:tcPr>
            <w:tcW w:w="3839" w:type="dxa"/>
            <w:tcBorders>
              <w:top w:val="single" w:sz="6" w:space="0" w:color="auto"/>
              <w:left w:val="nil"/>
              <w:bottom w:val="single" w:sz="12" w:space="0" w:color="000000"/>
              <w:right w:val="nil"/>
            </w:tcBorders>
            <w:shd w:val="clear" w:color="auto" w:fill="auto"/>
          </w:tcPr>
          <w:p w:rsidR="00965D85" w:rsidRPr="00112181" w:rsidRDefault="00965D85" w:rsidP="008B46DF">
            <w:pPr>
              <w:autoSpaceDE w:val="0"/>
              <w:autoSpaceDN w:val="0"/>
              <w:adjustRightInd w:val="0"/>
              <w:spacing w:after="0"/>
              <w:rPr>
                <w:rFonts w:ascii="Calibri" w:eastAsiaTheme="minorEastAsia" w:hAnsi="Calibri" w:cs="Calibri"/>
                <w:sz w:val="20"/>
                <w:lang w:eastAsia="en-AU"/>
              </w:rPr>
            </w:pPr>
            <w:r w:rsidRPr="00112181">
              <w:rPr>
                <w:rFonts w:ascii="Calibri" w:eastAsiaTheme="minorEastAsia" w:hAnsi="Calibri" w:cs="Calibri"/>
                <w:sz w:val="20"/>
                <w:lang w:eastAsia="en-AU"/>
              </w:rPr>
              <w:t xml:space="preserve"> </w:t>
            </w:r>
          </w:p>
        </w:tc>
        <w:tc>
          <w:tcPr>
            <w:tcW w:w="982" w:type="dxa"/>
            <w:tcBorders>
              <w:top w:val="single" w:sz="6" w:space="0" w:color="auto"/>
              <w:left w:val="nil"/>
              <w:bottom w:val="single" w:sz="12" w:space="0" w:color="000000"/>
              <w:right w:val="nil"/>
            </w:tcBorders>
            <w:shd w:val="clear" w:color="auto" w:fill="auto"/>
          </w:tcPr>
          <w:p w:rsidR="00965D85" w:rsidRPr="00112181" w:rsidRDefault="00965D85" w:rsidP="008B46DF">
            <w:pPr>
              <w:autoSpaceDE w:val="0"/>
              <w:autoSpaceDN w:val="0"/>
              <w:adjustRightInd w:val="0"/>
              <w:spacing w:after="0"/>
              <w:jc w:val="right"/>
              <w:rPr>
                <w:rFonts w:ascii="Calibri" w:eastAsiaTheme="minorEastAsia" w:hAnsi="Calibri" w:cs="Calibri"/>
                <w:b/>
                <w:bCs/>
                <w:sz w:val="20"/>
                <w:lang w:eastAsia="en-AU"/>
              </w:rPr>
            </w:pPr>
            <w:r w:rsidRPr="00112181">
              <w:rPr>
                <w:rFonts w:ascii="Calibri" w:eastAsiaTheme="minorEastAsia" w:hAnsi="Calibri" w:cs="Calibri"/>
                <w:b/>
                <w:bCs/>
                <w:sz w:val="20"/>
                <w:lang w:eastAsia="en-AU"/>
              </w:rPr>
              <w:t>1</w:t>
            </w:r>
            <w:r>
              <w:rPr>
                <w:rFonts w:ascii="Calibri" w:eastAsiaTheme="minorEastAsia" w:hAnsi="Calibri" w:cs="Calibri"/>
                <w:b/>
                <w:bCs/>
                <w:sz w:val="20"/>
                <w:lang w:eastAsia="en-AU"/>
              </w:rPr>
              <w:t>3</w:t>
            </w:r>
            <w:r w:rsidRPr="00112181">
              <w:rPr>
                <w:rFonts w:ascii="Calibri" w:eastAsiaTheme="minorEastAsia" w:hAnsi="Calibri" w:cs="Calibri"/>
                <w:b/>
                <w:bCs/>
                <w:sz w:val="20"/>
                <w:lang w:eastAsia="en-AU"/>
              </w:rPr>
              <w:t>.</w:t>
            </w:r>
            <w:r>
              <w:rPr>
                <w:rFonts w:ascii="Calibri" w:eastAsiaTheme="minorEastAsia" w:hAnsi="Calibri" w:cs="Calibri"/>
                <w:b/>
                <w:bCs/>
                <w:sz w:val="20"/>
                <w:lang w:eastAsia="en-AU"/>
              </w:rPr>
              <w:t>5</w:t>
            </w:r>
          </w:p>
        </w:tc>
        <w:tc>
          <w:tcPr>
            <w:tcW w:w="982" w:type="dxa"/>
            <w:tcBorders>
              <w:top w:val="single" w:sz="6" w:space="0" w:color="auto"/>
              <w:left w:val="nil"/>
              <w:bottom w:val="single" w:sz="12" w:space="0" w:color="000000"/>
              <w:right w:val="nil"/>
            </w:tcBorders>
            <w:shd w:val="clear" w:color="auto" w:fill="auto"/>
          </w:tcPr>
          <w:p w:rsidR="00965D85" w:rsidRPr="00112181" w:rsidRDefault="00965D85" w:rsidP="008B46DF">
            <w:pPr>
              <w:autoSpaceDE w:val="0"/>
              <w:autoSpaceDN w:val="0"/>
              <w:adjustRightInd w:val="0"/>
              <w:spacing w:after="0"/>
              <w:jc w:val="right"/>
              <w:rPr>
                <w:rFonts w:ascii="Calibri" w:eastAsiaTheme="minorEastAsia" w:hAnsi="Calibri" w:cs="Calibri"/>
                <w:b/>
                <w:bCs/>
                <w:sz w:val="20"/>
                <w:lang w:eastAsia="en-AU"/>
              </w:rPr>
            </w:pPr>
            <w:r>
              <w:rPr>
                <w:rFonts w:ascii="Calibri" w:eastAsiaTheme="minorEastAsia" w:hAnsi="Calibri" w:cs="Calibri"/>
                <w:b/>
                <w:bCs/>
                <w:sz w:val="20"/>
                <w:lang w:eastAsia="en-AU"/>
              </w:rPr>
              <w:t>28.9</w:t>
            </w:r>
          </w:p>
        </w:tc>
        <w:tc>
          <w:tcPr>
            <w:tcW w:w="982" w:type="dxa"/>
            <w:tcBorders>
              <w:top w:val="single" w:sz="6" w:space="0" w:color="auto"/>
              <w:left w:val="nil"/>
              <w:bottom w:val="single" w:sz="12" w:space="0" w:color="000000"/>
              <w:right w:val="nil"/>
            </w:tcBorders>
            <w:shd w:val="clear" w:color="auto" w:fill="auto"/>
          </w:tcPr>
          <w:p w:rsidR="00965D85" w:rsidRPr="00112181" w:rsidRDefault="00965D85" w:rsidP="008B46DF">
            <w:pPr>
              <w:autoSpaceDE w:val="0"/>
              <w:autoSpaceDN w:val="0"/>
              <w:adjustRightInd w:val="0"/>
              <w:spacing w:after="0"/>
              <w:jc w:val="right"/>
              <w:rPr>
                <w:rFonts w:ascii="Calibri" w:eastAsiaTheme="minorEastAsia" w:hAnsi="Calibri" w:cs="Calibri"/>
                <w:b/>
                <w:bCs/>
                <w:sz w:val="20"/>
                <w:lang w:eastAsia="en-AU"/>
              </w:rPr>
            </w:pPr>
            <w:r>
              <w:rPr>
                <w:rFonts w:ascii="Calibri" w:eastAsiaTheme="minorEastAsia" w:hAnsi="Calibri" w:cs="Calibri"/>
                <w:b/>
                <w:bCs/>
                <w:sz w:val="20"/>
                <w:lang w:eastAsia="en-AU"/>
              </w:rPr>
              <w:t>23.8</w:t>
            </w:r>
          </w:p>
        </w:tc>
        <w:tc>
          <w:tcPr>
            <w:tcW w:w="983" w:type="dxa"/>
            <w:tcBorders>
              <w:top w:val="single" w:sz="6" w:space="0" w:color="auto"/>
              <w:left w:val="nil"/>
              <w:bottom w:val="single" w:sz="12" w:space="0" w:color="000000"/>
              <w:right w:val="nil"/>
            </w:tcBorders>
            <w:shd w:val="clear" w:color="auto" w:fill="auto"/>
          </w:tcPr>
          <w:p w:rsidR="00965D85" w:rsidRPr="00112181" w:rsidRDefault="00965D85" w:rsidP="008B46DF">
            <w:pPr>
              <w:autoSpaceDE w:val="0"/>
              <w:autoSpaceDN w:val="0"/>
              <w:adjustRightInd w:val="0"/>
              <w:spacing w:after="0"/>
              <w:jc w:val="right"/>
              <w:rPr>
                <w:rFonts w:ascii="Calibri" w:eastAsiaTheme="minorEastAsia" w:hAnsi="Calibri" w:cs="Calibri"/>
                <w:b/>
                <w:bCs/>
                <w:sz w:val="20"/>
                <w:lang w:eastAsia="en-AU"/>
              </w:rPr>
            </w:pPr>
            <w:r>
              <w:rPr>
                <w:rFonts w:ascii="Calibri" w:eastAsiaTheme="minorEastAsia" w:hAnsi="Calibri" w:cs="Calibri"/>
                <w:b/>
                <w:bCs/>
                <w:sz w:val="20"/>
                <w:lang w:eastAsia="en-AU"/>
              </w:rPr>
              <w:t>17.5</w:t>
            </w:r>
          </w:p>
        </w:tc>
      </w:tr>
    </w:tbl>
    <w:p w:rsidR="00965D85" w:rsidRDefault="00965D85" w:rsidP="008B46DF">
      <w:pPr>
        <w:rPr>
          <w:rFonts w:ascii="Times New Roman" w:hAnsi="Times New Roman"/>
          <w:i/>
          <w:sz w:val="20"/>
          <w:lang w:eastAsia="en-AU"/>
        </w:rPr>
      </w:pPr>
      <w:r>
        <w:fldChar w:fldCharType="end"/>
      </w:r>
      <w:r>
        <w:rPr>
          <w:i/>
          <w:sz w:val="18"/>
          <w:szCs w:val="18"/>
        </w:rPr>
        <w:fldChar w:fldCharType="begin" w:fldLock="1"/>
      </w:r>
      <w:r>
        <w:instrText xml:space="preserve"> LINK Excel.Sheet.12 \\\\PDCPTPRDFIL01\\DTFDATA02$\\SECURED\\Budget\\BudgetUpdate\\AppendixA\\AppendixA.xlsx DET!DET_outputs \f 4 \r </w:instrText>
      </w:r>
      <w:r>
        <w:rPr>
          <w:i/>
          <w:sz w:val="18"/>
          <w:szCs w:val="18"/>
        </w:rPr>
        <w:fldChar w:fldCharType="separate"/>
      </w:r>
    </w:p>
    <w:p w:rsidR="00965D85" w:rsidRPr="00FF54D9" w:rsidRDefault="00965D85" w:rsidP="008B46DF">
      <w:pPr>
        <w:pStyle w:val="Heading5"/>
      </w:pPr>
      <w:r>
        <w:fldChar w:fldCharType="end"/>
      </w:r>
      <w:r w:rsidRPr="00E24E74">
        <w:t>Supporting</w:t>
      </w:r>
      <w:r>
        <w:t xml:space="preserve"> kindergarten services</w:t>
      </w:r>
    </w:p>
    <w:p w:rsidR="00965D85" w:rsidRDefault="00965D85" w:rsidP="008B46DF">
      <w:r>
        <w:t>Support will be provided to kindergarten services to:</w:t>
      </w:r>
    </w:p>
    <w:p w:rsidR="00965D85" w:rsidRDefault="00965D85" w:rsidP="008B46DF">
      <w:pPr>
        <w:pStyle w:val="BulletText"/>
      </w:pPr>
      <w:r>
        <w:t>assist sessional kindergarten providers to meet the costs of introducing the new educator to child ratio of 1:11 from 1 January 2016, in line with the requirements of the National Quality Agenda for Early Childhood Education and Care and the Education and Care Services National Law; and</w:t>
      </w:r>
    </w:p>
    <w:p w:rsidR="00965D85" w:rsidRDefault="00965D85" w:rsidP="008B46DF">
      <w:pPr>
        <w:pStyle w:val="BulletText"/>
      </w:pPr>
      <w:r>
        <w:t xml:space="preserve">meet increased demand for the Kindergarten Fee Subsidy and Early Start Kindergarten programs. </w:t>
      </w:r>
    </w:p>
    <w:p w:rsidR="00965D85" w:rsidRPr="00CC4358" w:rsidRDefault="00965D85" w:rsidP="008B46DF">
      <w:r>
        <w:t>This initiative contributes to the Department of Education and Training’s Early Childhood Development output.</w:t>
      </w:r>
    </w:p>
    <w:p w:rsidR="00965D85" w:rsidRDefault="00965D85">
      <w:pPr>
        <w:spacing w:after="0"/>
        <w:rPr>
          <w:rFonts w:ascii="Calibri" w:hAnsi="Calibri"/>
          <w:b/>
          <w:caps/>
          <w:sz w:val="26"/>
          <w:szCs w:val="22"/>
        </w:rPr>
      </w:pPr>
      <w:r>
        <w:br w:type="page"/>
      </w:r>
    </w:p>
    <w:p w:rsidR="00965D85" w:rsidRDefault="00965D85" w:rsidP="00392D14">
      <w:pPr>
        <w:pStyle w:val="Heading1"/>
      </w:pPr>
      <w:bookmarkStart w:id="87" w:name="_Toc436147552"/>
      <w:r>
        <w:lastRenderedPageBreak/>
        <w:t>Department of Environment, Land, Water and Planning</w:t>
      </w:r>
      <w:bookmarkEnd w:id="87"/>
    </w:p>
    <w:p w:rsidR="00965D85" w:rsidRDefault="00965D85" w:rsidP="008B46DF">
      <w:pPr>
        <w:pStyle w:val="Heading3"/>
      </w:pPr>
      <w:r>
        <w:t>Output initiatives</w:t>
      </w:r>
    </w:p>
    <w:p w:rsidR="00965D85" w:rsidRDefault="00965D85" w:rsidP="008B46DF">
      <w:pPr>
        <w:pStyle w:val="Tableheading"/>
        <w:spacing w:before="120"/>
        <w:rPr>
          <w:rFonts w:ascii="Times New Roman" w:hAnsi="Times New Roman"/>
          <w:i/>
          <w:sz w:val="20"/>
          <w:lang w:eastAsia="en-AU"/>
        </w:rPr>
      </w:pPr>
      <w:r>
        <w:t>Table A.5:</w:t>
      </w:r>
      <w:r>
        <w:tab/>
        <w:t>Output initiatives – Environment, Land, Water a</w:t>
      </w:r>
      <w:r w:rsidRPr="00D045FC">
        <w:t>nd Planning</w:t>
      </w:r>
      <w:r>
        <w:fldChar w:fldCharType="begin" w:fldLock="1"/>
      </w:r>
      <w:r>
        <w:instrText xml:space="preserve"> LINK Excel.Sheet.12 \\\\PDCPTPRDFIL01\\DTFDATA02$\\SECURED\\Budget\\BudgetUpdate\\AppendixA\\AppendixA.xlsx DELWP!DELWP_outputs \f 4 \r </w:instrText>
      </w:r>
      <w:r>
        <w:fldChar w:fldCharType="separate"/>
      </w:r>
    </w:p>
    <w:tbl>
      <w:tblPr>
        <w:tblW w:w="7765" w:type="dxa"/>
        <w:tblInd w:w="45" w:type="dxa"/>
        <w:tblLayout w:type="fixed"/>
        <w:tblCellMar>
          <w:left w:w="45" w:type="dxa"/>
          <w:right w:w="45" w:type="dxa"/>
        </w:tblCellMar>
        <w:tblLook w:val="0000" w:firstRow="0" w:lastRow="0" w:firstColumn="0" w:lastColumn="0" w:noHBand="0" w:noVBand="0"/>
      </w:tblPr>
      <w:tblGrid>
        <w:gridCol w:w="4363"/>
        <w:gridCol w:w="850"/>
        <w:gridCol w:w="850"/>
        <w:gridCol w:w="850"/>
        <w:gridCol w:w="852"/>
      </w:tblGrid>
      <w:tr w:rsidR="00965D85" w:rsidRPr="00770D71" w:rsidTr="008B46DF">
        <w:tc>
          <w:tcPr>
            <w:tcW w:w="7765" w:type="dxa"/>
            <w:gridSpan w:val="5"/>
            <w:tcBorders>
              <w:top w:val="nil"/>
              <w:left w:val="nil"/>
              <w:bottom w:val="nil"/>
              <w:right w:val="nil"/>
            </w:tcBorders>
          </w:tcPr>
          <w:p w:rsidR="00965D85" w:rsidRPr="00770D71" w:rsidRDefault="00965D85" w:rsidP="008B46DF">
            <w:pPr>
              <w:pStyle w:val="million"/>
              <w:rPr>
                <w:rFonts w:eastAsiaTheme="minorEastAsia"/>
                <w:lang w:eastAsia="en-AU"/>
              </w:rPr>
            </w:pPr>
            <w:r w:rsidRPr="00770D71">
              <w:rPr>
                <w:rFonts w:eastAsiaTheme="minorEastAsia"/>
                <w:lang w:eastAsia="en-AU"/>
              </w:rPr>
              <w:t>($million)</w:t>
            </w:r>
          </w:p>
        </w:tc>
      </w:tr>
      <w:tr w:rsidR="00965D85" w:rsidRPr="00770D71" w:rsidTr="008B46DF">
        <w:tc>
          <w:tcPr>
            <w:tcW w:w="4363" w:type="dxa"/>
            <w:tcBorders>
              <w:top w:val="nil"/>
              <w:left w:val="nil"/>
              <w:right w:val="nil"/>
            </w:tcBorders>
            <w:shd w:val="solid" w:color="000000" w:fill="auto"/>
          </w:tcPr>
          <w:p w:rsidR="00965D85" w:rsidRPr="00770D71" w:rsidRDefault="00965D85" w:rsidP="008B46DF">
            <w:pPr>
              <w:autoSpaceDE w:val="0"/>
              <w:autoSpaceDN w:val="0"/>
              <w:adjustRightInd w:val="0"/>
              <w:spacing w:after="0"/>
              <w:rPr>
                <w:rFonts w:ascii="Calibri" w:eastAsiaTheme="minorEastAsia" w:hAnsi="Calibri" w:cs="Calibri"/>
                <w:color w:val="FFFFFF" w:themeColor="background1"/>
                <w:sz w:val="20"/>
                <w:lang w:eastAsia="en-AU"/>
              </w:rPr>
            </w:pPr>
          </w:p>
        </w:tc>
        <w:tc>
          <w:tcPr>
            <w:tcW w:w="850" w:type="dxa"/>
            <w:tcBorders>
              <w:top w:val="nil"/>
              <w:left w:val="nil"/>
              <w:right w:val="nil"/>
            </w:tcBorders>
            <w:shd w:val="solid" w:color="000000" w:fill="auto"/>
          </w:tcPr>
          <w:p w:rsidR="00965D85" w:rsidRPr="00770D71" w:rsidRDefault="00965D85" w:rsidP="008B46DF">
            <w:pPr>
              <w:autoSpaceDE w:val="0"/>
              <w:autoSpaceDN w:val="0"/>
              <w:adjustRightInd w:val="0"/>
              <w:spacing w:after="0"/>
              <w:jc w:val="right"/>
              <w:rPr>
                <w:rFonts w:ascii="Calibri" w:eastAsiaTheme="minorEastAsia" w:hAnsi="Calibri" w:cs="Calibri"/>
                <w:i/>
                <w:iCs/>
                <w:color w:val="FFFFFF" w:themeColor="background1"/>
                <w:sz w:val="20"/>
                <w:lang w:eastAsia="en-AU"/>
              </w:rPr>
            </w:pPr>
            <w:r w:rsidRPr="00770D71">
              <w:rPr>
                <w:rFonts w:ascii="Calibri" w:eastAsiaTheme="minorEastAsia" w:hAnsi="Calibri" w:cs="Calibri"/>
                <w:i/>
                <w:iCs/>
                <w:color w:val="FFFFFF" w:themeColor="background1"/>
                <w:sz w:val="20"/>
                <w:lang w:eastAsia="en-AU"/>
              </w:rPr>
              <w:t>2015-16</w:t>
            </w:r>
          </w:p>
        </w:tc>
        <w:tc>
          <w:tcPr>
            <w:tcW w:w="850" w:type="dxa"/>
            <w:tcBorders>
              <w:top w:val="nil"/>
              <w:left w:val="nil"/>
              <w:right w:val="nil"/>
            </w:tcBorders>
            <w:shd w:val="solid" w:color="000000" w:fill="auto"/>
          </w:tcPr>
          <w:p w:rsidR="00965D85" w:rsidRPr="00770D71" w:rsidRDefault="00965D85" w:rsidP="008B46DF">
            <w:pPr>
              <w:autoSpaceDE w:val="0"/>
              <w:autoSpaceDN w:val="0"/>
              <w:adjustRightInd w:val="0"/>
              <w:spacing w:after="0"/>
              <w:jc w:val="right"/>
              <w:rPr>
                <w:rFonts w:ascii="Calibri" w:eastAsiaTheme="minorEastAsia" w:hAnsi="Calibri" w:cs="Calibri"/>
                <w:i/>
                <w:iCs/>
                <w:color w:val="FFFFFF" w:themeColor="background1"/>
                <w:sz w:val="20"/>
                <w:lang w:eastAsia="en-AU"/>
              </w:rPr>
            </w:pPr>
            <w:r w:rsidRPr="00770D71">
              <w:rPr>
                <w:rFonts w:ascii="Calibri" w:eastAsiaTheme="minorEastAsia" w:hAnsi="Calibri" w:cs="Calibri"/>
                <w:i/>
                <w:iCs/>
                <w:color w:val="FFFFFF" w:themeColor="background1"/>
                <w:sz w:val="20"/>
                <w:lang w:eastAsia="en-AU"/>
              </w:rPr>
              <w:t>2016-17</w:t>
            </w:r>
          </w:p>
        </w:tc>
        <w:tc>
          <w:tcPr>
            <w:tcW w:w="850" w:type="dxa"/>
            <w:tcBorders>
              <w:top w:val="nil"/>
              <w:left w:val="nil"/>
              <w:right w:val="nil"/>
            </w:tcBorders>
            <w:shd w:val="solid" w:color="000000" w:fill="auto"/>
          </w:tcPr>
          <w:p w:rsidR="00965D85" w:rsidRPr="00770D71" w:rsidRDefault="00965D85" w:rsidP="008B46DF">
            <w:pPr>
              <w:autoSpaceDE w:val="0"/>
              <w:autoSpaceDN w:val="0"/>
              <w:adjustRightInd w:val="0"/>
              <w:spacing w:after="0"/>
              <w:jc w:val="right"/>
              <w:rPr>
                <w:rFonts w:ascii="Calibri" w:eastAsiaTheme="minorEastAsia" w:hAnsi="Calibri" w:cs="Calibri"/>
                <w:i/>
                <w:iCs/>
                <w:color w:val="FFFFFF" w:themeColor="background1"/>
                <w:sz w:val="20"/>
                <w:lang w:eastAsia="en-AU"/>
              </w:rPr>
            </w:pPr>
            <w:r w:rsidRPr="00770D71">
              <w:rPr>
                <w:rFonts w:ascii="Calibri" w:eastAsiaTheme="minorEastAsia" w:hAnsi="Calibri" w:cs="Calibri"/>
                <w:i/>
                <w:iCs/>
                <w:color w:val="FFFFFF" w:themeColor="background1"/>
                <w:sz w:val="20"/>
                <w:lang w:eastAsia="en-AU"/>
              </w:rPr>
              <w:t>2017-18</w:t>
            </w:r>
          </w:p>
        </w:tc>
        <w:tc>
          <w:tcPr>
            <w:tcW w:w="852" w:type="dxa"/>
            <w:tcBorders>
              <w:top w:val="nil"/>
              <w:left w:val="nil"/>
              <w:right w:val="nil"/>
            </w:tcBorders>
            <w:shd w:val="solid" w:color="000000" w:fill="auto"/>
          </w:tcPr>
          <w:p w:rsidR="00965D85" w:rsidRPr="00770D71" w:rsidRDefault="00965D85" w:rsidP="008B46DF">
            <w:pPr>
              <w:autoSpaceDE w:val="0"/>
              <w:autoSpaceDN w:val="0"/>
              <w:adjustRightInd w:val="0"/>
              <w:spacing w:after="0"/>
              <w:jc w:val="right"/>
              <w:rPr>
                <w:rFonts w:ascii="Calibri" w:eastAsiaTheme="minorEastAsia" w:hAnsi="Calibri" w:cs="Calibri"/>
                <w:i/>
                <w:iCs/>
                <w:color w:val="FFFFFF" w:themeColor="background1"/>
                <w:sz w:val="20"/>
                <w:lang w:eastAsia="en-AU"/>
              </w:rPr>
            </w:pPr>
            <w:r w:rsidRPr="00770D71">
              <w:rPr>
                <w:rFonts w:ascii="Calibri" w:eastAsiaTheme="minorEastAsia" w:hAnsi="Calibri" w:cs="Calibri"/>
                <w:i/>
                <w:iCs/>
                <w:color w:val="FFFFFF" w:themeColor="background1"/>
                <w:sz w:val="20"/>
                <w:lang w:eastAsia="en-AU"/>
              </w:rPr>
              <w:t>2018-19</w:t>
            </w:r>
          </w:p>
        </w:tc>
      </w:tr>
      <w:tr w:rsidR="00965D85" w:rsidRPr="00770D71" w:rsidTr="008B46DF">
        <w:tc>
          <w:tcPr>
            <w:tcW w:w="4363" w:type="dxa"/>
            <w:tcBorders>
              <w:top w:val="nil"/>
              <w:left w:val="nil"/>
              <w:right w:val="nil"/>
            </w:tcBorders>
            <w:shd w:val="clear" w:color="auto" w:fill="FFFFFF"/>
          </w:tcPr>
          <w:p w:rsidR="00965D85" w:rsidRPr="00770D71"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770D71">
              <w:rPr>
                <w:rFonts w:ascii="Calibri" w:eastAsiaTheme="minorEastAsia" w:hAnsi="Calibri" w:cs="Calibri"/>
                <w:color w:val="000000"/>
                <w:sz w:val="20"/>
                <w:lang w:eastAsia="en-AU"/>
              </w:rPr>
              <w:t>Additional aviation resources for firefighting</w:t>
            </w:r>
          </w:p>
        </w:tc>
        <w:tc>
          <w:tcPr>
            <w:tcW w:w="850" w:type="dxa"/>
            <w:tcBorders>
              <w:top w:val="nil"/>
              <w:left w:val="nil"/>
              <w:right w:val="nil"/>
            </w:tcBorders>
            <w:shd w:val="clear" w:color="auto" w:fill="FFFFFF"/>
          </w:tcPr>
          <w:p w:rsidR="00965D85" w:rsidRPr="00770D71"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770D71">
              <w:rPr>
                <w:rFonts w:ascii="Calibri" w:eastAsiaTheme="minorEastAsia" w:hAnsi="Calibri" w:cs="Calibri"/>
                <w:color w:val="000000"/>
                <w:sz w:val="20"/>
                <w:lang w:eastAsia="en-AU"/>
              </w:rPr>
              <w:t>9.1</w:t>
            </w:r>
          </w:p>
        </w:tc>
        <w:tc>
          <w:tcPr>
            <w:tcW w:w="850" w:type="dxa"/>
            <w:tcBorders>
              <w:top w:val="nil"/>
              <w:left w:val="nil"/>
              <w:right w:val="nil"/>
            </w:tcBorders>
            <w:shd w:val="clear" w:color="auto" w:fill="FFFFFF"/>
          </w:tcPr>
          <w:p w:rsidR="00965D85" w:rsidRPr="00770D71"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770D71">
              <w:rPr>
                <w:rFonts w:ascii="Calibri" w:eastAsiaTheme="minorEastAsia" w:hAnsi="Calibri" w:cs="Calibri"/>
                <w:color w:val="000000"/>
                <w:sz w:val="20"/>
                <w:lang w:eastAsia="en-AU"/>
              </w:rPr>
              <w:t>..</w:t>
            </w:r>
          </w:p>
        </w:tc>
        <w:tc>
          <w:tcPr>
            <w:tcW w:w="850" w:type="dxa"/>
            <w:tcBorders>
              <w:top w:val="nil"/>
              <w:left w:val="nil"/>
              <w:right w:val="nil"/>
            </w:tcBorders>
            <w:shd w:val="clear" w:color="auto" w:fill="FFFFFF"/>
          </w:tcPr>
          <w:p w:rsidR="00965D85" w:rsidRPr="00770D71"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770D71">
              <w:rPr>
                <w:rFonts w:ascii="Calibri" w:eastAsiaTheme="minorEastAsia" w:hAnsi="Calibri" w:cs="Calibri"/>
                <w:color w:val="000000"/>
                <w:sz w:val="20"/>
                <w:lang w:eastAsia="en-AU"/>
              </w:rPr>
              <w:t>..</w:t>
            </w:r>
          </w:p>
        </w:tc>
        <w:tc>
          <w:tcPr>
            <w:tcW w:w="852" w:type="dxa"/>
            <w:tcBorders>
              <w:top w:val="nil"/>
              <w:left w:val="nil"/>
              <w:right w:val="nil"/>
            </w:tcBorders>
            <w:shd w:val="clear" w:color="auto" w:fill="FFFFFF"/>
          </w:tcPr>
          <w:p w:rsidR="00965D85" w:rsidRPr="00770D71"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770D71">
              <w:rPr>
                <w:rFonts w:ascii="Calibri" w:eastAsiaTheme="minorEastAsia" w:hAnsi="Calibri" w:cs="Calibri"/>
                <w:color w:val="000000"/>
                <w:sz w:val="20"/>
                <w:lang w:eastAsia="en-AU"/>
              </w:rPr>
              <w:t>..</w:t>
            </w:r>
          </w:p>
        </w:tc>
      </w:tr>
      <w:tr w:rsidR="00965D85" w:rsidRPr="00770D71" w:rsidTr="008B46DF">
        <w:tc>
          <w:tcPr>
            <w:tcW w:w="4363" w:type="dxa"/>
            <w:tcBorders>
              <w:top w:val="nil"/>
              <w:left w:val="nil"/>
              <w:right w:val="nil"/>
            </w:tcBorders>
            <w:shd w:val="clear" w:color="auto" w:fill="FFFFFF"/>
          </w:tcPr>
          <w:p w:rsidR="00965D85" w:rsidRPr="00770D71"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770D71">
              <w:rPr>
                <w:rFonts w:ascii="Calibri" w:eastAsiaTheme="minorEastAsia" w:hAnsi="Calibri" w:cs="Calibri"/>
                <w:color w:val="000000"/>
                <w:sz w:val="20"/>
                <w:lang w:eastAsia="en-AU"/>
              </w:rPr>
              <w:t>Implementation of Plan Melbourne initiatives</w:t>
            </w:r>
          </w:p>
        </w:tc>
        <w:tc>
          <w:tcPr>
            <w:tcW w:w="850" w:type="dxa"/>
            <w:tcBorders>
              <w:top w:val="nil"/>
              <w:left w:val="nil"/>
              <w:right w:val="nil"/>
            </w:tcBorders>
            <w:shd w:val="clear" w:color="auto" w:fill="FFFFFF"/>
          </w:tcPr>
          <w:p w:rsidR="00965D85" w:rsidRPr="00770D71"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770D71">
              <w:rPr>
                <w:rFonts w:ascii="Calibri" w:eastAsiaTheme="minorEastAsia" w:hAnsi="Calibri" w:cs="Calibri"/>
                <w:color w:val="000000"/>
                <w:sz w:val="20"/>
                <w:lang w:eastAsia="en-AU"/>
              </w:rPr>
              <w:t>..</w:t>
            </w:r>
          </w:p>
        </w:tc>
        <w:tc>
          <w:tcPr>
            <w:tcW w:w="850" w:type="dxa"/>
            <w:tcBorders>
              <w:top w:val="nil"/>
              <w:left w:val="nil"/>
              <w:right w:val="nil"/>
            </w:tcBorders>
            <w:shd w:val="clear" w:color="auto" w:fill="FFFFFF"/>
          </w:tcPr>
          <w:p w:rsidR="00965D85" w:rsidRPr="00770D71"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770D71">
              <w:rPr>
                <w:rFonts w:ascii="Calibri" w:eastAsiaTheme="minorEastAsia" w:hAnsi="Calibri" w:cs="Calibri"/>
                <w:color w:val="000000"/>
                <w:sz w:val="20"/>
                <w:lang w:eastAsia="en-AU"/>
              </w:rPr>
              <w:t>1.3</w:t>
            </w:r>
          </w:p>
        </w:tc>
        <w:tc>
          <w:tcPr>
            <w:tcW w:w="850" w:type="dxa"/>
            <w:tcBorders>
              <w:top w:val="nil"/>
              <w:left w:val="nil"/>
              <w:right w:val="nil"/>
            </w:tcBorders>
            <w:shd w:val="clear" w:color="auto" w:fill="FFFFFF"/>
          </w:tcPr>
          <w:p w:rsidR="00965D85" w:rsidRPr="00770D71"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770D71">
              <w:rPr>
                <w:rFonts w:ascii="Calibri" w:eastAsiaTheme="minorEastAsia" w:hAnsi="Calibri" w:cs="Calibri"/>
                <w:color w:val="000000"/>
                <w:sz w:val="20"/>
                <w:lang w:eastAsia="en-AU"/>
              </w:rPr>
              <w:t>..</w:t>
            </w:r>
          </w:p>
        </w:tc>
        <w:tc>
          <w:tcPr>
            <w:tcW w:w="852" w:type="dxa"/>
            <w:tcBorders>
              <w:top w:val="nil"/>
              <w:left w:val="nil"/>
              <w:right w:val="nil"/>
            </w:tcBorders>
            <w:shd w:val="clear" w:color="auto" w:fill="FFFFFF"/>
          </w:tcPr>
          <w:p w:rsidR="00965D85" w:rsidRPr="00770D71"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770D71">
              <w:rPr>
                <w:rFonts w:ascii="Calibri" w:eastAsiaTheme="minorEastAsia" w:hAnsi="Calibri" w:cs="Calibri"/>
                <w:color w:val="000000"/>
                <w:sz w:val="20"/>
                <w:lang w:eastAsia="en-AU"/>
              </w:rPr>
              <w:t>..</w:t>
            </w:r>
          </w:p>
        </w:tc>
      </w:tr>
      <w:tr w:rsidR="00965D85" w:rsidRPr="00770D71" w:rsidTr="008B46DF">
        <w:tc>
          <w:tcPr>
            <w:tcW w:w="4363" w:type="dxa"/>
            <w:tcBorders>
              <w:top w:val="nil"/>
              <w:left w:val="nil"/>
              <w:bottom w:val="single" w:sz="6" w:space="0" w:color="auto"/>
              <w:right w:val="nil"/>
            </w:tcBorders>
            <w:shd w:val="clear" w:color="auto" w:fill="FFFFFF"/>
          </w:tcPr>
          <w:p w:rsidR="00965D85" w:rsidRPr="00770D71"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770D71">
              <w:rPr>
                <w:rFonts w:ascii="Calibri" w:eastAsiaTheme="minorEastAsia" w:hAnsi="Calibri" w:cs="Calibri"/>
                <w:color w:val="000000"/>
                <w:sz w:val="20"/>
                <w:lang w:eastAsia="en-AU"/>
              </w:rPr>
              <w:t>Managing rising groundwater risks in Bendigo</w:t>
            </w:r>
          </w:p>
        </w:tc>
        <w:tc>
          <w:tcPr>
            <w:tcW w:w="850" w:type="dxa"/>
            <w:tcBorders>
              <w:top w:val="nil"/>
              <w:left w:val="nil"/>
              <w:bottom w:val="single" w:sz="6" w:space="0" w:color="auto"/>
              <w:right w:val="nil"/>
            </w:tcBorders>
            <w:shd w:val="clear" w:color="auto" w:fill="FFFFFF"/>
          </w:tcPr>
          <w:p w:rsidR="00965D85" w:rsidRPr="00770D71"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770D71">
              <w:rPr>
                <w:rFonts w:ascii="Calibri" w:eastAsiaTheme="minorEastAsia" w:hAnsi="Calibri" w:cs="Calibri"/>
                <w:color w:val="000000"/>
                <w:sz w:val="20"/>
                <w:lang w:eastAsia="en-AU"/>
              </w:rPr>
              <w:t>6.5</w:t>
            </w:r>
          </w:p>
        </w:tc>
        <w:tc>
          <w:tcPr>
            <w:tcW w:w="850" w:type="dxa"/>
            <w:tcBorders>
              <w:top w:val="nil"/>
              <w:left w:val="nil"/>
              <w:bottom w:val="single" w:sz="6" w:space="0" w:color="auto"/>
              <w:right w:val="nil"/>
            </w:tcBorders>
            <w:shd w:val="clear" w:color="auto" w:fill="FFFFFF"/>
          </w:tcPr>
          <w:p w:rsidR="00965D85" w:rsidRPr="00770D71"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770D71">
              <w:rPr>
                <w:rFonts w:ascii="Calibri" w:eastAsiaTheme="minorEastAsia" w:hAnsi="Calibri" w:cs="Calibri"/>
                <w:color w:val="000000"/>
                <w:sz w:val="20"/>
                <w:lang w:eastAsia="en-AU"/>
              </w:rPr>
              <w:t>..</w:t>
            </w:r>
          </w:p>
        </w:tc>
        <w:tc>
          <w:tcPr>
            <w:tcW w:w="850" w:type="dxa"/>
            <w:tcBorders>
              <w:top w:val="nil"/>
              <w:left w:val="nil"/>
              <w:bottom w:val="single" w:sz="6" w:space="0" w:color="auto"/>
              <w:right w:val="nil"/>
            </w:tcBorders>
            <w:shd w:val="clear" w:color="auto" w:fill="FFFFFF"/>
          </w:tcPr>
          <w:p w:rsidR="00965D85" w:rsidRPr="00770D71"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770D71">
              <w:rPr>
                <w:rFonts w:ascii="Calibri" w:eastAsiaTheme="minorEastAsia" w:hAnsi="Calibri" w:cs="Calibri"/>
                <w:color w:val="000000"/>
                <w:sz w:val="20"/>
                <w:lang w:eastAsia="en-AU"/>
              </w:rPr>
              <w:t>..</w:t>
            </w:r>
          </w:p>
        </w:tc>
        <w:tc>
          <w:tcPr>
            <w:tcW w:w="852" w:type="dxa"/>
            <w:tcBorders>
              <w:top w:val="nil"/>
              <w:left w:val="nil"/>
              <w:bottom w:val="single" w:sz="6" w:space="0" w:color="auto"/>
              <w:right w:val="nil"/>
            </w:tcBorders>
            <w:shd w:val="clear" w:color="auto" w:fill="FFFFFF"/>
          </w:tcPr>
          <w:p w:rsidR="00965D85" w:rsidRPr="00770D71"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770D71">
              <w:rPr>
                <w:rFonts w:ascii="Calibri" w:eastAsiaTheme="minorEastAsia" w:hAnsi="Calibri" w:cs="Calibri"/>
                <w:color w:val="000000"/>
                <w:sz w:val="20"/>
                <w:lang w:eastAsia="en-AU"/>
              </w:rPr>
              <w:t>..</w:t>
            </w:r>
          </w:p>
        </w:tc>
      </w:tr>
      <w:tr w:rsidR="00965D85" w:rsidRPr="00770D71" w:rsidTr="008B46DF">
        <w:tc>
          <w:tcPr>
            <w:tcW w:w="4363" w:type="dxa"/>
            <w:tcBorders>
              <w:top w:val="single" w:sz="6" w:space="0" w:color="auto"/>
              <w:left w:val="nil"/>
              <w:bottom w:val="single" w:sz="12" w:space="0" w:color="auto"/>
              <w:right w:val="nil"/>
            </w:tcBorders>
            <w:shd w:val="solid" w:color="FFFFFF" w:fill="FFFFFF"/>
          </w:tcPr>
          <w:p w:rsidR="00965D85" w:rsidRPr="00770D71" w:rsidRDefault="00965D85" w:rsidP="008B46DF">
            <w:pPr>
              <w:autoSpaceDE w:val="0"/>
              <w:autoSpaceDN w:val="0"/>
              <w:adjustRightInd w:val="0"/>
              <w:spacing w:after="0"/>
              <w:ind w:left="227" w:hanging="227"/>
              <w:rPr>
                <w:rFonts w:ascii="Calibri" w:eastAsiaTheme="minorEastAsia" w:hAnsi="Calibri" w:cs="Calibri"/>
                <w:b/>
                <w:bCs/>
                <w:color w:val="000000"/>
                <w:sz w:val="20"/>
                <w:lang w:eastAsia="en-AU"/>
              </w:rPr>
            </w:pPr>
          </w:p>
        </w:tc>
        <w:tc>
          <w:tcPr>
            <w:tcW w:w="850" w:type="dxa"/>
            <w:tcBorders>
              <w:top w:val="single" w:sz="6" w:space="0" w:color="auto"/>
              <w:left w:val="nil"/>
              <w:bottom w:val="single" w:sz="12" w:space="0" w:color="auto"/>
              <w:right w:val="nil"/>
            </w:tcBorders>
            <w:shd w:val="solid" w:color="FFFFFF" w:fill="FFFFFF"/>
          </w:tcPr>
          <w:p w:rsidR="00965D85" w:rsidRPr="00770D71"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770D71">
              <w:rPr>
                <w:rFonts w:ascii="Calibri" w:eastAsiaTheme="minorEastAsia" w:hAnsi="Calibri" w:cs="Calibri"/>
                <w:b/>
                <w:bCs/>
                <w:color w:val="000000"/>
                <w:sz w:val="20"/>
                <w:lang w:eastAsia="en-AU"/>
              </w:rPr>
              <w:t>15.6</w:t>
            </w:r>
          </w:p>
        </w:tc>
        <w:tc>
          <w:tcPr>
            <w:tcW w:w="850" w:type="dxa"/>
            <w:tcBorders>
              <w:top w:val="single" w:sz="6" w:space="0" w:color="auto"/>
              <w:left w:val="nil"/>
              <w:bottom w:val="single" w:sz="12" w:space="0" w:color="auto"/>
              <w:right w:val="nil"/>
            </w:tcBorders>
            <w:shd w:val="solid" w:color="FFFFFF" w:fill="FFFFFF"/>
          </w:tcPr>
          <w:p w:rsidR="00965D85" w:rsidRPr="00770D71"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770D71">
              <w:rPr>
                <w:rFonts w:ascii="Calibri" w:eastAsiaTheme="minorEastAsia" w:hAnsi="Calibri" w:cs="Calibri"/>
                <w:b/>
                <w:bCs/>
                <w:color w:val="000000"/>
                <w:sz w:val="20"/>
                <w:lang w:eastAsia="en-AU"/>
              </w:rPr>
              <w:t>1.3</w:t>
            </w:r>
          </w:p>
        </w:tc>
        <w:tc>
          <w:tcPr>
            <w:tcW w:w="850" w:type="dxa"/>
            <w:tcBorders>
              <w:top w:val="single" w:sz="6" w:space="0" w:color="auto"/>
              <w:left w:val="nil"/>
              <w:bottom w:val="single" w:sz="12" w:space="0" w:color="auto"/>
              <w:right w:val="nil"/>
            </w:tcBorders>
            <w:shd w:val="solid" w:color="FFFFFF" w:fill="FFFFFF"/>
          </w:tcPr>
          <w:p w:rsidR="00965D85" w:rsidRPr="00770D71"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770D71">
              <w:rPr>
                <w:rFonts w:ascii="Calibri" w:eastAsiaTheme="minorEastAsia" w:hAnsi="Calibri" w:cs="Calibri"/>
                <w:b/>
                <w:bCs/>
                <w:color w:val="000000"/>
                <w:sz w:val="20"/>
                <w:lang w:eastAsia="en-AU"/>
              </w:rPr>
              <w:t>..</w:t>
            </w:r>
          </w:p>
        </w:tc>
        <w:tc>
          <w:tcPr>
            <w:tcW w:w="852" w:type="dxa"/>
            <w:tcBorders>
              <w:top w:val="single" w:sz="6" w:space="0" w:color="auto"/>
              <w:left w:val="nil"/>
              <w:bottom w:val="single" w:sz="12" w:space="0" w:color="auto"/>
              <w:right w:val="nil"/>
            </w:tcBorders>
            <w:shd w:val="solid" w:color="FFFFFF" w:fill="FFFFFF"/>
          </w:tcPr>
          <w:p w:rsidR="00965D85" w:rsidRPr="00770D71"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770D71">
              <w:rPr>
                <w:rFonts w:ascii="Calibri" w:eastAsiaTheme="minorEastAsia" w:hAnsi="Calibri" w:cs="Calibri"/>
                <w:b/>
                <w:bCs/>
                <w:color w:val="000000"/>
                <w:sz w:val="20"/>
                <w:lang w:eastAsia="en-AU"/>
              </w:rPr>
              <w:t>..</w:t>
            </w:r>
          </w:p>
        </w:tc>
      </w:tr>
    </w:tbl>
    <w:p w:rsidR="00965D85" w:rsidRPr="00776214" w:rsidRDefault="00965D85" w:rsidP="008B46DF">
      <w:pPr>
        <w:pStyle w:val="million"/>
      </w:pPr>
      <w:r>
        <w:fldChar w:fldCharType="end"/>
      </w:r>
    </w:p>
    <w:p w:rsidR="00965D85" w:rsidRDefault="00965D85" w:rsidP="008B46DF">
      <w:pPr>
        <w:pStyle w:val="Heading5"/>
      </w:pPr>
      <w:r w:rsidRPr="00D96FE8">
        <w:t>Additional aviation resources for firefighting</w:t>
      </w:r>
    </w:p>
    <w:p w:rsidR="00965D85" w:rsidRDefault="00965D85" w:rsidP="008B46DF">
      <w:r>
        <w:t>An additional five firefighting aviation resources including two large air tankers, two helitaks and one fixed wing aircraft will be available to support the State’s firefighting capability, responding to the expected higher fire risk profile for the 2015</w:t>
      </w:r>
      <w:r>
        <w:noBreakHyphen/>
        <w:t>16 summer period.</w:t>
      </w:r>
    </w:p>
    <w:p w:rsidR="00965D85" w:rsidRPr="004106A2" w:rsidRDefault="00965D85" w:rsidP="008B46DF">
      <w:r>
        <w:t>This initiative contributes to the Department of Environment, Land, Water and Planning’s Fire and Emergency Management output.</w:t>
      </w:r>
    </w:p>
    <w:p w:rsidR="00965D85" w:rsidRDefault="00965D85" w:rsidP="008B46DF">
      <w:pPr>
        <w:pStyle w:val="Heading5"/>
      </w:pPr>
      <w:r w:rsidRPr="001973A0">
        <w:t>Implementation of Plan Melbourne initiatives</w:t>
      </w:r>
    </w:p>
    <w:p w:rsidR="00965D85" w:rsidRDefault="00965D85" w:rsidP="008B46DF">
      <w:r>
        <w:t>Funding is provided for improvements to the Broadmeadows Central Activity District as part of Plan Melbourne.</w:t>
      </w:r>
    </w:p>
    <w:p w:rsidR="00965D85" w:rsidRDefault="00965D85" w:rsidP="008B46DF">
      <w:r>
        <w:t>This initiative contributes to the Department of Environment, Land, Water and Planning’s Planning, Building and Heritage output.</w:t>
      </w:r>
    </w:p>
    <w:p w:rsidR="00965D85" w:rsidRDefault="00965D85" w:rsidP="008B46DF">
      <w:pPr>
        <w:pStyle w:val="Heading5"/>
      </w:pPr>
      <w:r w:rsidRPr="00D96FE8">
        <w:t>Managing rising groundwater risks in Bendigo</w:t>
      </w:r>
    </w:p>
    <w:p w:rsidR="00965D85" w:rsidRDefault="00965D85" w:rsidP="008B46DF">
      <w:r>
        <w:t>Funding is provided to manage the risks associated with rising poor quality groundwater in Bendigo.</w:t>
      </w:r>
    </w:p>
    <w:p w:rsidR="00965D85" w:rsidRDefault="00965D85" w:rsidP="008B46DF">
      <w:r>
        <w:t xml:space="preserve">This initiative contributes to the Department of Environment, Land, Water and Planning’s Effective Water Management and Supply output. </w:t>
      </w:r>
    </w:p>
    <w:p w:rsidR="00965D85" w:rsidRDefault="00965D85" w:rsidP="008B46DF"/>
    <w:p w:rsidR="00965D85" w:rsidRDefault="00965D85">
      <w:pPr>
        <w:spacing w:after="0"/>
        <w:rPr>
          <w:rFonts w:ascii="Calibri" w:hAnsi="Calibri"/>
          <w:b/>
          <w:i/>
          <w:kern w:val="28"/>
          <w:sz w:val="24"/>
          <w:szCs w:val="22"/>
        </w:rPr>
      </w:pPr>
      <w:r>
        <w:br w:type="page"/>
      </w:r>
    </w:p>
    <w:p w:rsidR="00965D85" w:rsidRDefault="00965D85" w:rsidP="008B46DF">
      <w:pPr>
        <w:pStyle w:val="Heading3"/>
      </w:pPr>
      <w:r>
        <w:lastRenderedPageBreak/>
        <w:t>Asset initiatives</w:t>
      </w:r>
    </w:p>
    <w:p w:rsidR="00965D85" w:rsidRPr="00C50BB3" w:rsidRDefault="00965D85" w:rsidP="008B46DF">
      <w:pPr>
        <w:pStyle w:val="Tableheading"/>
        <w:spacing w:before="120"/>
      </w:pPr>
      <w:r>
        <w:t>Table A.6:</w:t>
      </w:r>
      <w:r>
        <w:tab/>
        <w:t>Asset initiatives – Environment, Land, Water a</w:t>
      </w:r>
      <w:r w:rsidRPr="00D045FC">
        <w:t>nd Planning</w:t>
      </w:r>
    </w:p>
    <w:p w:rsidR="00965D85" w:rsidRDefault="00965D85" w:rsidP="008B46DF">
      <w:pPr>
        <w:pStyle w:val="million"/>
        <w:rPr>
          <w:rFonts w:ascii="Times New Roman" w:hAnsi="Times New Roman"/>
          <w:i w:val="0"/>
          <w:sz w:val="20"/>
          <w:szCs w:val="20"/>
          <w:lang w:eastAsia="en-AU"/>
        </w:rPr>
      </w:pPr>
      <w:r w:rsidRPr="00544266">
        <w:t>($</w:t>
      </w:r>
      <w:r>
        <w:t> million</w:t>
      </w:r>
      <w:r w:rsidRPr="00544266">
        <w:t>)</w:t>
      </w:r>
      <w:r>
        <w:fldChar w:fldCharType="begin" w:fldLock="1"/>
      </w:r>
      <w:r>
        <w:instrText xml:space="preserve"> LINK Excel.Sheet.12 "\\\\PDCPTPRDFIL01\\DTFDATA02$\\SECURED\\Budget\\BudgetUpdate\\AppendixA\\AppendixA.xlsx" "DELWP!DELWP_assets"\* MERGEFORMAT\f 4 \r </w:instrText>
      </w:r>
      <w:r>
        <w:fldChar w:fldCharType="separate"/>
      </w:r>
    </w:p>
    <w:tbl>
      <w:tblPr>
        <w:tblW w:w="7768" w:type="dxa"/>
        <w:tblInd w:w="45" w:type="dxa"/>
        <w:tblLayout w:type="fixed"/>
        <w:tblCellMar>
          <w:left w:w="45" w:type="dxa"/>
          <w:right w:w="45" w:type="dxa"/>
        </w:tblCellMar>
        <w:tblLook w:val="0000" w:firstRow="0" w:lastRow="0" w:firstColumn="0" w:lastColumn="0" w:noHBand="0" w:noVBand="0"/>
      </w:tblPr>
      <w:tblGrid>
        <w:gridCol w:w="3240"/>
        <w:gridCol w:w="926"/>
        <w:gridCol w:w="927"/>
        <w:gridCol w:w="926"/>
        <w:gridCol w:w="927"/>
        <w:gridCol w:w="822"/>
      </w:tblGrid>
      <w:tr w:rsidR="00965D85" w:rsidRPr="00D71705" w:rsidTr="008B46DF">
        <w:trPr>
          <w:cantSplit/>
          <w:tblHeader/>
        </w:trPr>
        <w:tc>
          <w:tcPr>
            <w:tcW w:w="3240" w:type="dxa"/>
            <w:tcBorders>
              <w:top w:val="nil"/>
              <w:left w:val="nil"/>
              <w:right w:val="nil"/>
            </w:tcBorders>
            <w:shd w:val="solid" w:color="000000" w:fill="auto"/>
          </w:tcPr>
          <w:p w:rsidR="00965D85" w:rsidRPr="00D71705" w:rsidRDefault="00965D85" w:rsidP="008B46DF">
            <w:pPr>
              <w:autoSpaceDE w:val="0"/>
              <w:autoSpaceDN w:val="0"/>
              <w:adjustRightInd w:val="0"/>
              <w:spacing w:after="0"/>
              <w:rPr>
                <w:rFonts w:ascii="Calibri" w:eastAsiaTheme="minorEastAsia" w:hAnsi="Calibri" w:cs="Calibri"/>
                <w:color w:val="FFFFFF" w:themeColor="background1"/>
                <w:sz w:val="20"/>
                <w:lang w:eastAsia="en-AU"/>
              </w:rPr>
            </w:pPr>
          </w:p>
        </w:tc>
        <w:tc>
          <w:tcPr>
            <w:tcW w:w="926" w:type="dxa"/>
            <w:tcBorders>
              <w:top w:val="nil"/>
              <w:left w:val="nil"/>
              <w:right w:val="nil"/>
            </w:tcBorders>
            <w:shd w:val="solid" w:color="000000" w:fill="auto"/>
          </w:tcPr>
          <w:p w:rsidR="00965D85" w:rsidRPr="00D71705" w:rsidRDefault="00965D85" w:rsidP="008B46DF">
            <w:pPr>
              <w:autoSpaceDE w:val="0"/>
              <w:autoSpaceDN w:val="0"/>
              <w:adjustRightInd w:val="0"/>
              <w:spacing w:after="0"/>
              <w:jc w:val="right"/>
              <w:rPr>
                <w:rFonts w:ascii="Calibri" w:eastAsiaTheme="minorEastAsia" w:hAnsi="Calibri" w:cs="Calibri"/>
                <w:i/>
                <w:iCs/>
                <w:color w:val="FFFFFF" w:themeColor="background1"/>
                <w:sz w:val="20"/>
                <w:lang w:eastAsia="en-AU"/>
              </w:rPr>
            </w:pPr>
            <w:r w:rsidRPr="00D71705">
              <w:rPr>
                <w:rFonts w:ascii="Calibri" w:eastAsiaTheme="minorEastAsia" w:hAnsi="Calibri" w:cs="Calibri"/>
                <w:i/>
                <w:iCs/>
                <w:color w:val="FFFFFF" w:themeColor="background1"/>
                <w:sz w:val="20"/>
                <w:lang w:eastAsia="en-AU"/>
              </w:rPr>
              <w:t>2015</w:t>
            </w:r>
            <w:r>
              <w:rPr>
                <w:rFonts w:ascii="Calibri" w:eastAsiaTheme="minorEastAsia" w:hAnsi="Calibri" w:cs="Calibri"/>
                <w:i/>
                <w:iCs/>
                <w:color w:val="FFFFFF" w:themeColor="background1"/>
                <w:sz w:val="20"/>
                <w:lang w:eastAsia="en-AU"/>
              </w:rPr>
              <w:noBreakHyphen/>
            </w:r>
            <w:r w:rsidRPr="00D71705">
              <w:rPr>
                <w:rFonts w:ascii="Calibri" w:eastAsiaTheme="minorEastAsia" w:hAnsi="Calibri" w:cs="Calibri"/>
                <w:i/>
                <w:iCs/>
                <w:color w:val="FFFFFF" w:themeColor="background1"/>
                <w:sz w:val="20"/>
                <w:lang w:eastAsia="en-AU"/>
              </w:rPr>
              <w:t>16</w:t>
            </w:r>
          </w:p>
        </w:tc>
        <w:tc>
          <w:tcPr>
            <w:tcW w:w="927" w:type="dxa"/>
            <w:tcBorders>
              <w:top w:val="nil"/>
              <w:left w:val="nil"/>
              <w:right w:val="nil"/>
            </w:tcBorders>
            <w:shd w:val="solid" w:color="000000" w:fill="auto"/>
          </w:tcPr>
          <w:p w:rsidR="00965D85" w:rsidRPr="00D71705" w:rsidRDefault="00965D85" w:rsidP="008B46DF">
            <w:pPr>
              <w:autoSpaceDE w:val="0"/>
              <w:autoSpaceDN w:val="0"/>
              <w:adjustRightInd w:val="0"/>
              <w:spacing w:after="0"/>
              <w:jc w:val="right"/>
              <w:rPr>
                <w:rFonts w:ascii="Calibri" w:eastAsiaTheme="minorEastAsia" w:hAnsi="Calibri" w:cs="Calibri"/>
                <w:i/>
                <w:iCs/>
                <w:color w:val="FFFFFF" w:themeColor="background1"/>
                <w:sz w:val="20"/>
                <w:lang w:eastAsia="en-AU"/>
              </w:rPr>
            </w:pPr>
            <w:r w:rsidRPr="00D71705">
              <w:rPr>
                <w:rFonts w:ascii="Calibri" w:eastAsiaTheme="minorEastAsia" w:hAnsi="Calibri" w:cs="Calibri"/>
                <w:i/>
                <w:iCs/>
                <w:color w:val="FFFFFF" w:themeColor="background1"/>
                <w:sz w:val="20"/>
                <w:lang w:eastAsia="en-AU"/>
              </w:rPr>
              <w:t>2016</w:t>
            </w:r>
            <w:r>
              <w:rPr>
                <w:rFonts w:ascii="Calibri" w:eastAsiaTheme="minorEastAsia" w:hAnsi="Calibri" w:cs="Calibri"/>
                <w:i/>
                <w:iCs/>
                <w:color w:val="FFFFFF" w:themeColor="background1"/>
                <w:sz w:val="20"/>
                <w:lang w:eastAsia="en-AU"/>
              </w:rPr>
              <w:noBreakHyphen/>
            </w:r>
            <w:r w:rsidRPr="00D71705">
              <w:rPr>
                <w:rFonts w:ascii="Calibri" w:eastAsiaTheme="minorEastAsia" w:hAnsi="Calibri" w:cs="Calibri"/>
                <w:i/>
                <w:iCs/>
                <w:color w:val="FFFFFF" w:themeColor="background1"/>
                <w:sz w:val="20"/>
                <w:lang w:eastAsia="en-AU"/>
              </w:rPr>
              <w:t>17</w:t>
            </w:r>
          </w:p>
        </w:tc>
        <w:tc>
          <w:tcPr>
            <w:tcW w:w="926" w:type="dxa"/>
            <w:tcBorders>
              <w:top w:val="nil"/>
              <w:left w:val="nil"/>
              <w:right w:val="nil"/>
            </w:tcBorders>
            <w:shd w:val="solid" w:color="000000" w:fill="auto"/>
          </w:tcPr>
          <w:p w:rsidR="00965D85" w:rsidRPr="00D71705" w:rsidRDefault="00965D85" w:rsidP="008B46DF">
            <w:pPr>
              <w:autoSpaceDE w:val="0"/>
              <w:autoSpaceDN w:val="0"/>
              <w:adjustRightInd w:val="0"/>
              <w:spacing w:after="0"/>
              <w:jc w:val="right"/>
              <w:rPr>
                <w:rFonts w:ascii="Calibri" w:eastAsiaTheme="minorEastAsia" w:hAnsi="Calibri" w:cs="Calibri"/>
                <w:i/>
                <w:iCs/>
                <w:color w:val="FFFFFF" w:themeColor="background1"/>
                <w:sz w:val="20"/>
                <w:lang w:eastAsia="en-AU"/>
              </w:rPr>
            </w:pPr>
            <w:r w:rsidRPr="00D71705">
              <w:rPr>
                <w:rFonts w:ascii="Calibri" w:eastAsiaTheme="minorEastAsia" w:hAnsi="Calibri" w:cs="Calibri"/>
                <w:i/>
                <w:iCs/>
                <w:color w:val="FFFFFF" w:themeColor="background1"/>
                <w:sz w:val="20"/>
                <w:lang w:eastAsia="en-AU"/>
              </w:rPr>
              <w:t>2017</w:t>
            </w:r>
            <w:r>
              <w:rPr>
                <w:rFonts w:ascii="Calibri" w:eastAsiaTheme="minorEastAsia" w:hAnsi="Calibri" w:cs="Calibri"/>
                <w:i/>
                <w:iCs/>
                <w:color w:val="FFFFFF" w:themeColor="background1"/>
                <w:sz w:val="20"/>
                <w:lang w:eastAsia="en-AU"/>
              </w:rPr>
              <w:noBreakHyphen/>
            </w:r>
            <w:r w:rsidRPr="00D71705">
              <w:rPr>
                <w:rFonts w:ascii="Calibri" w:eastAsiaTheme="minorEastAsia" w:hAnsi="Calibri" w:cs="Calibri"/>
                <w:i/>
                <w:iCs/>
                <w:color w:val="FFFFFF" w:themeColor="background1"/>
                <w:sz w:val="20"/>
                <w:lang w:eastAsia="en-AU"/>
              </w:rPr>
              <w:t>18</w:t>
            </w:r>
          </w:p>
        </w:tc>
        <w:tc>
          <w:tcPr>
            <w:tcW w:w="927" w:type="dxa"/>
            <w:tcBorders>
              <w:top w:val="nil"/>
              <w:left w:val="nil"/>
              <w:right w:val="nil"/>
            </w:tcBorders>
            <w:shd w:val="solid" w:color="000000" w:fill="auto"/>
          </w:tcPr>
          <w:p w:rsidR="00965D85" w:rsidRPr="00D71705" w:rsidRDefault="00965D85" w:rsidP="008B46DF">
            <w:pPr>
              <w:autoSpaceDE w:val="0"/>
              <w:autoSpaceDN w:val="0"/>
              <w:adjustRightInd w:val="0"/>
              <w:spacing w:after="0"/>
              <w:jc w:val="right"/>
              <w:rPr>
                <w:rFonts w:ascii="Calibri" w:eastAsiaTheme="minorEastAsia" w:hAnsi="Calibri" w:cs="Calibri"/>
                <w:i/>
                <w:iCs/>
                <w:color w:val="FFFFFF" w:themeColor="background1"/>
                <w:sz w:val="20"/>
                <w:lang w:eastAsia="en-AU"/>
              </w:rPr>
            </w:pPr>
            <w:r w:rsidRPr="00D71705">
              <w:rPr>
                <w:rFonts w:ascii="Calibri" w:eastAsiaTheme="minorEastAsia" w:hAnsi="Calibri" w:cs="Calibri"/>
                <w:i/>
                <w:iCs/>
                <w:color w:val="FFFFFF" w:themeColor="background1"/>
                <w:sz w:val="20"/>
                <w:lang w:eastAsia="en-AU"/>
              </w:rPr>
              <w:t>2018</w:t>
            </w:r>
            <w:r>
              <w:rPr>
                <w:rFonts w:ascii="Calibri" w:eastAsiaTheme="minorEastAsia" w:hAnsi="Calibri" w:cs="Calibri"/>
                <w:i/>
                <w:iCs/>
                <w:color w:val="FFFFFF" w:themeColor="background1"/>
                <w:sz w:val="20"/>
                <w:lang w:eastAsia="en-AU"/>
              </w:rPr>
              <w:noBreakHyphen/>
            </w:r>
            <w:r w:rsidRPr="00D71705">
              <w:rPr>
                <w:rFonts w:ascii="Calibri" w:eastAsiaTheme="minorEastAsia" w:hAnsi="Calibri" w:cs="Calibri"/>
                <w:i/>
                <w:iCs/>
                <w:color w:val="FFFFFF" w:themeColor="background1"/>
                <w:sz w:val="20"/>
                <w:lang w:eastAsia="en-AU"/>
              </w:rPr>
              <w:t>19</w:t>
            </w:r>
          </w:p>
        </w:tc>
        <w:tc>
          <w:tcPr>
            <w:tcW w:w="822" w:type="dxa"/>
            <w:tcBorders>
              <w:top w:val="nil"/>
              <w:left w:val="nil"/>
              <w:right w:val="nil"/>
            </w:tcBorders>
            <w:shd w:val="solid" w:color="000000" w:fill="auto"/>
          </w:tcPr>
          <w:p w:rsidR="00965D85" w:rsidRPr="00D71705" w:rsidRDefault="00965D85" w:rsidP="008B46DF">
            <w:pPr>
              <w:autoSpaceDE w:val="0"/>
              <w:autoSpaceDN w:val="0"/>
              <w:adjustRightInd w:val="0"/>
              <w:spacing w:after="0"/>
              <w:jc w:val="right"/>
              <w:rPr>
                <w:rFonts w:ascii="Calibri" w:eastAsiaTheme="minorEastAsia" w:hAnsi="Calibri" w:cs="Calibri"/>
                <w:i/>
                <w:iCs/>
                <w:color w:val="FFFFFF" w:themeColor="background1"/>
                <w:sz w:val="20"/>
                <w:lang w:eastAsia="en-AU"/>
              </w:rPr>
            </w:pPr>
            <w:r w:rsidRPr="00D71705">
              <w:rPr>
                <w:rFonts w:ascii="Calibri" w:eastAsiaTheme="minorEastAsia" w:hAnsi="Calibri" w:cs="Calibri"/>
                <w:i/>
                <w:iCs/>
                <w:color w:val="FFFFFF" w:themeColor="background1"/>
                <w:sz w:val="20"/>
                <w:lang w:eastAsia="en-AU"/>
              </w:rPr>
              <w:t>TEI</w:t>
            </w:r>
          </w:p>
        </w:tc>
      </w:tr>
      <w:tr w:rsidR="00965D85" w:rsidRPr="00D71705" w:rsidTr="008B46DF">
        <w:trPr>
          <w:cantSplit/>
        </w:trPr>
        <w:tc>
          <w:tcPr>
            <w:tcW w:w="3240" w:type="dxa"/>
            <w:tcBorders>
              <w:top w:val="nil"/>
              <w:left w:val="nil"/>
              <w:bottom w:val="single" w:sz="6" w:space="0" w:color="auto"/>
              <w:right w:val="nil"/>
            </w:tcBorders>
            <w:shd w:val="clear" w:color="auto" w:fill="FFFFFF"/>
          </w:tcPr>
          <w:p w:rsidR="00965D85" w:rsidRPr="00D71705"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D71705">
              <w:rPr>
                <w:rFonts w:ascii="Calibri" w:eastAsiaTheme="minorEastAsia" w:hAnsi="Calibri" w:cs="Calibri"/>
                <w:color w:val="000000"/>
                <w:sz w:val="20"/>
                <w:lang w:eastAsia="en-AU"/>
              </w:rPr>
              <w:t>Implementation of Plan Melbourne initiatives</w:t>
            </w:r>
          </w:p>
        </w:tc>
        <w:tc>
          <w:tcPr>
            <w:tcW w:w="926" w:type="dxa"/>
            <w:tcBorders>
              <w:top w:val="nil"/>
              <w:left w:val="nil"/>
              <w:bottom w:val="single" w:sz="6" w:space="0" w:color="auto"/>
              <w:right w:val="nil"/>
            </w:tcBorders>
            <w:shd w:val="clear" w:color="auto" w:fill="FFFFFF"/>
          </w:tcPr>
          <w:p w:rsidR="00965D85" w:rsidRPr="00D71705"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D71705">
              <w:rPr>
                <w:rFonts w:ascii="Calibri" w:eastAsiaTheme="minorEastAsia" w:hAnsi="Calibri" w:cs="Calibri"/>
                <w:color w:val="000000"/>
                <w:sz w:val="20"/>
                <w:lang w:eastAsia="en-AU"/>
              </w:rPr>
              <w:t>..</w:t>
            </w:r>
          </w:p>
        </w:tc>
        <w:tc>
          <w:tcPr>
            <w:tcW w:w="927" w:type="dxa"/>
            <w:tcBorders>
              <w:top w:val="nil"/>
              <w:left w:val="nil"/>
              <w:bottom w:val="single" w:sz="6" w:space="0" w:color="auto"/>
              <w:right w:val="nil"/>
            </w:tcBorders>
            <w:shd w:val="clear" w:color="auto" w:fill="FFFFFF"/>
          </w:tcPr>
          <w:p w:rsidR="00965D85" w:rsidRPr="00D71705"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D71705">
              <w:rPr>
                <w:rFonts w:ascii="Calibri" w:eastAsiaTheme="minorEastAsia" w:hAnsi="Calibri" w:cs="Calibri"/>
                <w:color w:val="000000"/>
                <w:sz w:val="20"/>
                <w:lang w:eastAsia="en-AU"/>
              </w:rPr>
              <w:t>13.0</w:t>
            </w:r>
          </w:p>
        </w:tc>
        <w:tc>
          <w:tcPr>
            <w:tcW w:w="926" w:type="dxa"/>
            <w:tcBorders>
              <w:top w:val="nil"/>
              <w:left w:val="nil"/>
              <w:bottom w:val="single" w:sz="6" w:space="0" w:color="auto"/>
              <w:right w:val="nil"/>
            </w:tcBorders>
            <w:shd w:val="clear" w:color="auto" w:fill="FFFFFF"/>
          </w:tcPr>
          <w:p w:rsidR="00965D85" w:rsidRPr="00D71705"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D71705">
              <w:rPr>
                <w:rFonts w:ascii="Calibri" w:eastAsiaTheme="minorEastAsia" w:hAnsi="Calibri" w:cs="Calibri"/>
                <w:color w:val="000000"/>
                <w:sz w:val="20"/>
                <w:lang w:eastAsia="en-AU"/>
              </w:rPr>
              <w:t>..</w:t>
            </w:r>
          </w:p>
        </w:tc>
        <w:tc>
          <w:tcPr>
            <w:tcW w:w="927" w:type="dxa"/>
            <w:tcBorders>
              <w:top w:val="nil"/>
              <w:left w:val="nil"/>
              <w:bottom w:val="single" w:sz="6" w:space="0" w:color="auto"/>
              <w:right w:val="nil"/>
            </w:tcBorders>
            <w:shd w:val="clear" w:color="auto" w:fill="FFFFFF"/>
          </w:tcPr>
          <w:p w:rsidR="00965D85" w:rsidRPr="00D71705"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D71705">
              <w:rPr>
                <w:rFonts w:ascii="Calibri" w:eastAsiaTheme="minorEastAsia" w:hAnsi="Calibri" w:cs="Calibri"/>
                <w:color w:val="000000"/>
                <w:sz w:val="20"/>
                <w:lang w:eastAsia="en-AU"/>
              </w:rPr>
              <w:t>..</w:t>
            </w:r>
          </w:p>
        </w:tc>
        <w:tc>
          <w:tcPr>
            <w:tcW w:w="822" w:type="dxa"/>
            <w:tcBorders>
              <w:top w:val="nil"/>
              <w:left w:val="nil"/>
              <w:bottom w:val="single" w:sz="6" w:space="0" w:color="auto"/>
              <w:right w:val="nil"/>
            </w:tcBorders>
            <w:shd w:val="clear" w:color="auto" w:fill="FFFFFF"/>
          </w:tcPr>
          <w:p w:rsidR="00965D85" w:rsidRPr="00D71705"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D71705">
              <w:rPr>
                <w:rFonts w:ascii="Calibri" w:eastAsiaTheme="minorEastAsia" w:hAnsi="Calibri" w:cs="Calibri"/>
                <w:color w:val="000000"/>
                <w:sz w:val="20"/>
                <w:lang w:eastAsia="en-AU"/>
              </w:rPr>
              <w:t>13.0</w:t>
            </w:r>
          </w:p>
        </w:tc>
      </w:tr>
      <w:tr w:rsidR="00965D85" w:rsidRPr="00D71705" w:rsidTr="008B46DF">
        <w:trPr>
          <w:cantSplit/>
        </w:trPr>
        <w:tc>
          <w:tcPr>
            <w:tcW w:w="3240" w:type="dxa"/>
            <w:tcBorders>
              <w:top w:val="single" w:sz="6" w:space="0" w:color="auto"/>
              <w:left w:val="nil"/>
              <w:bottom w:val="single" w:sz="12" w:space="0" w:color="auto"/>
              <w:right w:val="nil"/>
            </w:tcBorders>
            <w:shd w:val="solid" w:color="FFFFFF" w:fill="FFFFFF"/>
          </w:tcPr>
          <w:p w:rsidR="00965D85" w:rsidRPr="00D71705" w:rsidRDefault="00965D85" w:rsidP="008B46DF">
            <w:pPr>
              <w:autoSpaceDE w:val="0"/>
              <w:autoSpaceDN w:val="0"/>
              <w:adjustRightInd w:val="0"/>
              <w:spacing w:after="0"/>
              <w:ind w:left="227" w:hanging="227"/>
              <w:rPr>
                <w:rFonts w:ascii="Calibri" w:eastAsiaTheme="minorEastAsia" w:hAnsi="Calibri" w:cs="Calibri"/>
                <w:b/>
                <w:bCs/>
                <w:color w:val="000000"/>
                <w:sz w:val="20"/>
                <w:lang w:eastAsia="en-AU"/>
              </w:rPr>
            </w:pPr>
          </w:p>
        </w:tc>
        <w:tc>
          <w:tcPr>
            <w:tcW w:w="926" w:type="dxa"/>
            <w:tcBorders>
              <w:top w:val="single" w:sz="6" w:space="0" w:color="auto"/>
              <w:left w:val="nil"/>
              <w:bottom w:val="single" w:sz="12" w:space="0" w:color="auto"/>
              <w:right w:val="nil"/>
            </w:tcBorders>
            <w:shd w:val="solid" w:color="FFFFFF" w:fill="FFFFFF"/>
          </w:tcPr>
          <w:p w:rsidR="00965D85" w:rsidRPr="00D71705"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D71705">
              <w:rPr>
                <w:rFonts w:ascii="Calibri" w:eastAsiaTheme="minorEastAsia" w:hAnsi="Calibri" w:cs="Calibri"/>
                <w:b/>
                <w:bCs/>
                <w:color w:val="000000"/>
                <w:sz w:val="20"/>
                <w:lang w:eastAsia="en-AU"/>
              </w:rPr>
              <w:t>..</w:t>
            </w:r>
          </w:p>
        </w:tc>
        <w:tc>
          <w:tcPr>
            <w:tcW w:w="927" w:type="dxa"/>
            <w:tcBorders>
              <w:top w:val="single" w:sz="6" w:space="0" w:color="auto"/>
              <w:left w:val="nil"/>
              <w:bottom w:val="single" w:sz="12" w:space="0" w:color="auto"/>
              <w:right w:val="nil"/>
            </w:tcBorders>
            <w:shd w:val="solid" w:color="FFFFFF" w:fill="FFFFFF"/>
          </w:tcPr>
          <w:p w:rsidR="00965D85" w:rsidRPr="00D71705"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D71705">
              <w:rPr>
                <w:rFonts w:ascii="Calibri" w:eastAsiaTheme="minorEastAsia" w:hAnsi="Calibri" w:cs="Calibri"/>
                <w:b/>
                <w:bCs/>
                <w:color w:val="000000"/>
                <w:sz w:val="20"/>
                <w:lang w:eastAsia="en-AU"/>
              </w:rPr>
              <w:t>13.0</w:t>
            </w:r>
          </w:p>
        </w:tc>
        <w:tc>
          <w:tcPr>
            <w:tcW w:w="926" w:type="dxa"/>
            <w:tcBorders>
              <w:top w:val="single" w:sz="6" w:space="0" w:color="auto"/>
              <w:left w:val="nil"/>
              <w:bottom w:val="single" w:sz="12" w:space="0" w:color="auto"/>
              <w:right w:val="nil"/>
            </w:tcBorders>
            <w:shd w:val="solid" w:color="FFFFFF" w:fill="FFFFFF"/>
          </w:tcPr>
          <w:p w:rsidR="00965D85" w:rsidRPr="00D71705"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D71705">
              <w:rPr>
                <w:rFonts w:ascii="Calibri" w:eastAsiaTheme="minorEastAsia" w:hAnsi="Calibri" w:cs="Calibri"/>
                <w:b/>
                <w:bCs/>
                <w:color w:val="000000"/>
                <w:sz w:val="20"/>
                <w:lang w:eastAsia="en-AU"/>
              </w:rPr>
              <w:t>..</w:t>
            </w:r>
          </w:p>
        </w:tc>
        <w:tc>
          <w:tcPr>
            <w:tcW w:w="927" w:type="dxa"/>
            <w:tcBorders>
              <w:top w:val="single" w:sz="6" w:space="0" w:color="auto"/>
              <w:left w:val="nil"/>
              <w:bottom w:val="single" w:sz="12" w:space="0" w:color="auto"/>
              <w:right w:val="nil"/>
            </w:tcBorders>
            <w:shd w:val="solid" w:color="FFFFFF" w:fill="FFFFFF"/>
          </w:tcPr>
          <w:p w:rsidR="00965D85" w:rsidRPr="00D71705"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D71705">
              <w:rPr>
                <w:rFonts w:ascii="Calibri" w:eastAsiaTheme="minorEastAsia" w:hAnsi="Calibri" w:cs="Calibri"/>
                <w:b/>
                <w:bCs/>
                <w:color w:val="000000"/>
                <w:sz w:val="20"/>
                <w:lang w:eastAsia="en-AU"/>
              </w:rPr>
              <w:t>..</w:t>
            </w:r>
          </w:p>
        </w:tc>
        <w:tc>
          <w:tcPr>
            <w:tcW w:w="822" w:type="dxa"/>
            <w:tcBorders>
              <w:top w:val="single" w:sz="6" w:space="0" w:color="auto"/>
              <w:left w:val="nil"/>
              <w:bottom w:val="single" w:sz="12" w:space="0" w:color="auto"/>
              <w:right w:val="nil"/>
            </w:tcBorders>
            <w:shd w:val="solid" w:color="FFFFFF" w:fill="FFFFFF"/>
          </w:tcPr>
          <w:p w:rsidR="00965D85" w:rsidRPr="00D71705"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D71705">
              <w:rPr>
                <w:rFonts w:ascii="Calibri" w:eastAsiaTheme="minorEastAsia" w:hAnsi="Calibri" w:cs="Calibri"/>
                <w:b/>
                <w:bCs/>
                <w:color w:val="000000"/>
                <w:sz w:val="20"/>
                <w:lang w:eastAsia="en-AU"/>
              </w:rPr>
              <w:t>13.0</w:t>
            </w:r>
          </w:p>
        </w:tc>
      </w:tr>
    </w:tbl>
    <w:p w:rsidR="00965D85" w:rsidRDefault="00965D85" w:rsidP="008B46DF">
      <w:r>
        <w:fldChar w:fldCharType="end"/>
      </w:r>
    </w:p>
    <w:p w:rsidR="00965D85" w:rsidRDefault="00965D85" w:rsidP="008B46DF">
      <w:pPr>
        <w:pStyle w:val="Heading5"/>
      </w:pPr>
      <w:r w:rsidRPr="001973A0">
        <w:t>Implementation of Plan Melbourne initiatives</w:t>
      </w:r>
    </w:p>
    <w:p w:rsidR="00965D85" w:rsidRDefault="00965D85" w:rsidP="008B46DF">
      <w:r>
        <w:t>Funding is allocated for the delivery of a number of priority Plan Melbourne projects.</w:t>
      </w:r>
    </w:p>
    <w:p w:rsidR="00965D85" w:rsidRDefault="00965D85" w:rsidP="008B46DF">
      <w:pPr>
        <w:rPr>
          <w:rFonts w:ascii="Calibri" w:hAnsi="Calibri"/>
          <w:b/>
          <w:caps/>
          <w:sz w:val="26"/>
          <w:szCs w:val="22"/>
        </w:rPr>
      </w:pPr>
      <w:r>
        <w:t xml:space="preserve">This initiative contributes to the Department of Environment, Land, Water and Planning’s Planning, Building and Heritage output. </w:t>
      </w:r>
      <w:r>
        <w:br w:type="page"/>
      </w:r>
    </w:p>
    <w:p w:rsidR="00965D85" w:rsidRDefault="00965D85" w:rsidP="00392D14">
      <w:pPr>
        <w:pStyle w:val="Heading1"/>
      </w:pPr>
      <w:bookmarkStart w:id="88" w:name="_Toc436147553"/>
      <w:r w:rsidRPr="00611C53">
        <w:lastRenderedPageBreak/>
        <w:t>Department of Justice and Regulation</w:t>
      </w:r>
      <w:bookmarkEnd w:id="88"/>
    </w:p>
    <w:p w:rsidR="00965D85" w:rsidRDefault="00965D85" w:rsidP="008B46DF">
      <w:pPr>
        <w:pStyle w:val="Heading3"/>
      </w:pPr>
      <w:r w:rsidRPr="00611C53">
        <w:t>Output initiatives</w:t>
      </w:r>
      <w:r>
        <w:t xml:space="preserve"> </w:t>
      </w:r>
    </w:p>
    <w:p w:rsidR="00965D85" w:rsidRDefault="00965D85" w:rsidP="008B46DF">
      <w:pPr>
        <w:pStyle w:val="Tableheading"/>
        <w:rPr>
          <w:rFonts w:ascii="Times New Roman" w:hAnsi="Times New Roman"/>
          <w:i/>
          <w:sz w:val="20"/>
          <w:lang w:eastAsia="en-AU"/>
        </w:rPr>
      </w:pPr>
      <w:r>
        <w:t>Table A.7:</w:t>
      </w:r>
      <w:r>
        <w:tab/>
        <w:t xml:space="preserve">Output initiatives – </w:t>
      </w:r>
      <w:r w:rsidRPr="00611C53">
        <w:t>Justice and Regulation</w:t>
      </w:r>
      <w:r>
        <w:fldChar w:fldCharType="begin" w:fldLock="1"/>
      </w:r>
      <w:r>
        <w:instrText xml:space="preserve"> LINK Excel.Sheet.12 "\\\\PDCPTPRDFIL01\\DTFDATA02$\\SECURED\\Budget\\BudgetUpdate\\AppendixA\\AppendixA.xlsx" "DJR!DJR_outputs"\* MERGEFORMAT\f 4 \r </w:instrText>
      </w:r>
      <w:r>
        <w:fldChar w:fldCharType="separate"/>
      </w:r>
    </w:p>
    <w:tbl>
      <w:tblPr>
        <w:tblW w:w="7765" w:type="dxa"/>
        <w:tblInd w:w="45" w:type="dxa"/>
        <w:tblLayout w:type="fixed"/>
        <w:tblCellMar>
          <w:left w:w="45" w:type="dxa"/>
          <w:right w:w="45" w:type="dxa"/>
        </w:tblCellMar>
        <w:tblLook w:val="0000" w:firstRow="0" w:lastRow="0" w:firstColumn="0" w:lastColumn="0" w:noHBand="0" w:noVBand="0"/>
      </w:tblPr>
      <w:tblGrid>
        <w:gridCol w:w="4363"/>
        <w:gridCol w:w="850"/>
        <w:gridCol w:w="850"/>
        <w:gridCol w:w="850"/>
        <w:gridCol w:w="852"/>
      </w:tblGrid>
      <w:tr w:rsidR="00965D85" w:rsidRPr="00C36D49" w:rsidTr="008B46DF">
        <w:trPr>
          <w:cantSplit/>
          <w:tblHeader/>
        </w:trPr>
        <w:tc>
          <w:tcPr>
            <w:tcW w:w="7765" w:type="dxa"/>
            <w:gridSpan w:val="5"/>
            <w:tcBorders>
              <w:top w:val="nil"/>
              <w:left w:val="nil"/>
              <w:bottom w:val="single" w:sz="6" w:space="0" w:color="auto"/>
              <w:right w:val="nil"/>
            </w:tcBorders>
          </w:tcPr>
          <w:p w:rsidR="00965D85" w:rsidRPr="00C36D49" w:rsidRDefault="00965D85" w:rsidP="008B46DF">
            <w:pPr>
              <w:pStyle w:val="million"/>
              <w:rPr>
                <w:rFonts w:eastAsiaTheme="minorEastAsia"/>
                <w:lang w:eastAsia="en-AU"/>
              </w:rPr>
            </w:pPr>
            <w:r w:rsidRPr="00C36D49">
              <w:rPr>
                <w:rFonts w:eastAsiaTheme="minorEastAsia"/>
                <w:lang w:eastAsia="en-AU"/>
              </w:rPr>
              <w:t>($million)</w:t>
            </w:r>
          </w:p>
        </w:tc>
      </w:tr>
      <w:tr w:rsidR="00965D85" w:rsidRPr="00C36D49" w:rsidTr="008B46DF">
        <w:trPr>
          <w:cantSplit/>
          <w:tblHeader/>
        </w:trPr>
        <w:tc>
          <w:tcPr>
            <w:tcW w:w="4363" w:type="dxa"/>
            <w:tcBorders>
              <w:top w:val="nil"/>
              <w:left w:val="nil"/>
              <w:right w:val="nil"/>
            </w:tcBorders>
            <w:shd w:val="solid" w:color="000000" w:fill="auto"/>
          </w:tcPr>
          <w:p w:rsidR="00965D85" w:rsidRPr="00C36D49" w:rsidRDefault="00965D85" w:rsidP="008B46DF">
            <w:pPr>
              <w:autoSpaceDE w:val="0"/>
              <w:autoSpaceDN w:val="0"/>
              <w:adjustRightInd w:val="0"/>
              <w:spacing w:after="0"/>
              <w:rPr>
                <w:rFonts w:ascii="Calibri" w:eastAsiaTheme="minorEastAsia" w:hAnsi="Calibri" w:cs="Calibri"/>
                <w:color w:val="000000"/>
                <w:sz w:val="20"/>
                <w:lang w:eastAsia="en-AU"/>
              </w:rPr>
            </w:pPr>
          </w:p>
        </w:tc>
        <w:tc>
          <w:tcPr>
            <w:tcW w:w="850" w:type="dxa"/>
            <w:tcBorders>
              <w:top w:val="nil"/>
              <w:left w:val="nil"/>
              <w:right w:val="nil"/>
            </w:tcBorders>
            <w:shd w:val="solid" w:color="000000" w:fill="auto"/>
          </w:tcPr>
          <w:p w:rsidR="00965D85" w:rsidRPr="008F4664" w:rsidRDefault="00965D85" w:rsidP="008B46DF">
            <w:pPr>
              <w:autoSpaceDE w:val="0"/>
              <w:autoSpaceDN w:val="0"/>
              <w:adjustRightInd w:val="0"/>
              <w:spacing w:after="0"/>
              <w:jc w:val="right"/>
              <w:rPr>
                <w:rFonts w:ascii="Calibri" w:eastAsiaTheme="minorEastAsia" w:hAnsi="Calibri" w:cs="Calibri"/>
                <w:i/>
                <w:iCs/>
                <w:color w:val="FFFFFF" w:themeColor="background1"/>
                <w:sz w:val="20"/>
                <w:lang w:eastAsia="en-AU"/>
              </w:rPr>
            </w:pPr>
            <w:r w:rsidRPr="008F4664">
              <w:rPr>
                <w:rFonts w:ascii="Calibri" w:eastAsiaTheme="minorEastAsia" w:hAnsi="Calibri" w:cs="Calibri"/>
                <w:i/>
                <w:iCs/>
                <w:color w:val="FFFFFF" w:themeColor="background1"/>
                <w:sz w:val="20"/>
                <w:lang w:eastAsia="en-AU"/>
              </w:rPr>
              <w:t>2015-16</w:t>
            </w:r>
          </w:p>
        </w:tc>
        <w:tc>
          <w:tcPr>
            <w:tcW w:w="850" w:type="dxa"/>
            <w:tcBorders>
              <w:top w:val="nil"/>
              <w:left w:val="nil"/>
              <w:right w:val="nil"/>
            </w:tcBorders>
            <w:shd w:val="solid" w:color="000000" w:fill="auto"/>
          </w:tcPr>
          <w:p w:rsidR="00965D85" w:rsidRPr="008F4664" w:rsidRDefault="00965D85" w:rsidP="008B46DF">
            <w:pPr>
              <w:autoSpaceDE w:val="0"/>
              <w:autoSpaceDN w:val="0"/>
              <w:adjustRightInd w:val="0"/>
              <w:spacing w:after="0"/>
              <w:jc w:val="right"/>
              <w:rPr>
                <w:rFonts w:ascii="Calibri" w:eastAsiaTheme="minorEastAsia" w:hAnsi="Calibri" w:cs="Calibri"/>
                <w:i/>
                <w:iCs/>
                <w:color w:val="FFFFFF" w:themeColor="background1"/>
                <w:sz w:val="20"/>
                <w:lang w:eastAsia="en-AU"/>
              </w:rPr>
            </w:pPr>
            <w:r w:rsidRPr="008F4664">
              <w:rPr>
                <w:rFonts w:ascii="Calibri" w:eastAsiaTheme="minorEastAsia" w:hAnsi="Calibri" w:cs="Calibri"/>
                <w:i/>
                <w:iCs/>
                <w:color w:val="FFFFFF" w:themeColor="background1"/>
                <w:sz w:val="20"/>
                <w:lang w:eastAsia="en-AU"/>
              </w:rPr>
              <w:t>2016-17</w:t>
            </w:r>
          </w:p>
        </w:tc>
        <w:tc>
          <w:tcPr>
            <w:tcW w:w="850" w:type="dxa"/>
            <w:tcBorders>
              <w:top w:val="nil"/>
              <w:left w:val="nil"/>
              <w:right w:val="nil"/>
            </w:tcBorders>
            <w:shd w:val="solid" w:color="000000" w:fill="auto"/>
          </w:tcPr>
          <w:p w:rsidR="00965D85" w:rsidRPr="008F4664" w:rsidRDefault="00965D85" w:rsidP="008B46DF">
            <w:pPr>
              <w:autoSpaceDE w:val="0"/>
              <w:autoSpaceDN w:val="0"/>
              <w:adjustRightInd w:val="0"/>
              <w:spacing w:after="0"/>
              <w:jc w:val="right"/>
              <w:rPr>
                <w:rFonts w:ascii="Calibri" w:eastAsiaTheme="minorEastAsia" w:hAnsi="Calibri" w:cs="Calibri"/>
                <w:i/>
                <w:iCs/>
                <w:color w:val="FFFFFF" w:themeColor="background1"/>
                <w:sz w:val="20"/>
                <w:lang w:eastAsia="en-AU"/>
              </w:rPr>
            </w:pPr>
            <w:r w:rsidRPr="008F4664">
              <w:rPr>
                <w:rFonts w:ascii="Calibri" w:eastAsiaTheme="minorEastAsia" w:hAnsi="Calibri" w:cs="Calibri"/>
                <w:i/>
                <w:iCs/>
                <w:color w:val="FFFFFF" w:themeColor="background1"/>
                <w:sz w:val="20"/>
                <w:lang w:eastAsia="en-AU"/>
              </w:rPr>
              <w:t>2017-18</w:t>
            </w:r>
          </w:p>
        </w:tc>
        <w:tc>
          <w:tcPr>
            <w:tcW w:w="852" w:type="dxa"/>
            <w:tcBorders>
              <w:top w:val="nil"/>
              <w:left w:val="nil"/>
              <w:right w:val="nil"/>
            </w:tcBorders>
            <w:shd w:val="solid" w:color="000000" w:fill="auto"/>
          </w:tcPr>
          <w:p w:rsidR="00965D85" w:rsidRPr="008F4664" w:rsidRDefault="00965D85" w:rsidP="008B46DF">
            <w:pPr>
              <w:autoSpaceDE w:val="0"/>
              <w:autoSpaceDN w:val="0"/>
              <w:adjustRightInd w:val="0"/>
              <w:spacing w:after="0"/>
              <w:jc w:val="right"/>
              <w:rPr>
                <w:rFonts w:ascii="Calibri" w:eastAsiaTheme="minorEastAsia" w:hAnsi="Calibri" w:cs="Calibri"/>
                <w:i/>
                <w:iCs/>
                <w:color w:val="FFFFFF" w:themeColor="background1"/>
                <w:sz w:val="20"/>
                <w:lang w:eastAsia="en-AU"/>
              </w:rPr>
            </w:pPr>
            <w:r w:rsidRPr="008F4664">
              <w:rPr>
                <w:rFonts w:ascii="Calibri" w:eastAsiaTheme="minorEastAsia" w:hAnsi="Calibri" w:cs="Calibri"/>
                <w:i/>
                <w:iCs/>
                <w:color w:val="FFFFFF" w:themeColor="background1"/>
                <w:sz w:val="20"/>
                <w:lang w:eastAsia="en-AU"/>
              </w:rPr>
              <w:t>2018-19</w:t>
            </w:r>
          </w:p>
        </w:tc>
      </w:tr>
      <w:tr w:rsidR="00965D85" w:rsidRPr="00C36D49" w:rsidTr="008B46DF">
        <w:trPr>
          <w:cantSplit/>
        </w:trPr>
        <w:tc>
          <w:tcPr>
            <w:tcW w:w="4363" w:type="dxa"/>
            <w:tcBorders>
              <w:top w:val="nil"/>
              <w:left w:val="nil"/>
              <w:right w:val="nil"/>
            </w:tcBorders>
            <w:shd w:val="clear" w:color="auto" w:fill="FFFFFF"/>
          </w:tcPr>
          <w:p w:rsidR="00965D85" w:rsidRPr="00C36D4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C36D49">
              <w:rPr>
                <w:rFonts w:ascii="Calibri" w:eastAsiaTheme="minorEastAsia" w:hAnsi="Calibri" w:cs="Calibri"/>
                <w:color w:val="000000"/>
                <w:sz w:val="20"/>
                <w:lang w:eastAsia="en-AU"/>
              </w:rPr>
              <w:t xml:space="preserve">Night Network </w:t>
            </w:r>
            <w:r>
              <w:rPr>
                <w:rFonts w:ascii="Calibri" w:eastAsiaTheme="minorEastAsia" w:hAnsi="Calibri" w:cs="Calibri"/>
                <w:color w:val="000000"/>
                <w:sz w:val="20"/>
                <w:lang w:eastAsia="en-AU"/>
              </w:rPr>
              <w:t>–</w:t>
            </w:r>
            <w:r w:rsidRPr="00C36D49">
              <w:rPr>
                <w:rFonts w:ascii="Calibri" w:eastAsiaTheme="minorEastAsia" w:hAnsi="Calibri" w:cs="Calibri"/>
                <w:color w:val="000000"/>
                <w:sz w:val="20"/>
                <w:lang w:eastAsia="en-AU"/>
              </w:rPr>
              <w:t xml:space="preserve"> transport security</w:t>
            </w:r>
          </w:p>
        </w:tc>
        <w:tc>
          <w:tcPr>
            <w:tcW w:w="850" w:type="dxa"/>
            <w:tcBorders>
              <w:top w:val="nil"/>
              <w:left w:val="nil"/>
              <w:right w:val="nil"/>
            </w:tcBorders>
            <w:shd w:val="clear" w:color="auto" w:fill="FFFFFF"/>
          </w:tcPr>
          <w:p w:rsidR="00965D85" w:rsidRPr="00C36D4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C36D49">
              <w:rPr>
                <w:rFonts w:ascii="Calibri" w:eastAsiaTheme="minorEastAsia" w:hAnsi="Calibri" w:cs="Calibri"/>
                <w:color w:val="000000"/>
                <w:sz w:val="20"/>
                <w:lang w:eastAsia="en-AU"/>
              </w:rPr>
              <w:t>23.1</w:t>
            </w:r>
          </w:p>
        </w:tc>
        <w:tc>
          <w:tcPr>
            <w:tcW w:w="850" w:type="dxa"/>
            <w:tcBorders>
              <w:top w:val="nil"/>
              <w:left w:val="nil"/>
              <w:right w:val="nil"/>
            </w:tcBorders>
            <w:shd w:val="clear" w:color="auto" w:fill="FFFFFF"/>
          </w:tcPr>
          <w:p w:rsidR="00965D85" w:rsidRPr="00C36D4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C36D49">
              <w:rPr>
                <w:rFonts w:ascii="Calibri" w:eastAsiaTheme="minorEastAsia" w:hAnsi="Calibri" w:cs="Calibri"/>
                <w:color w:val="000000"/>
                <w:sz w:val="20"/>
                <w:lang w:eastAsia="en-AU"/>
              </w:rPr>
              <w:t>11.0</w:t>
            </w:r>
          </w:p>
        </w:tc>
        <w:tc>
          <w:tcPr>
            <w:tcW w:w="850" w:type="dxa"/>
            <w:tcBorders>
              <w:top w:val="nil"/>
              <w:left w:val="nil"/>
              <w:right w:val="nil"/>
            </w:tcBorders>
            <w:shd w:val="clear" w:color="auto" w:fill="FFFFFF"/>
          </w:tcPr>
          <w:p w:rsidR="00965D85" w:rsidRPr="00C36D4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C36D49">
              <w:rPr>
                <w:rFonts w:ascii="Calibri" w:eastAsiaTheme="minorEastAsia" w:hAnsi="Calibri" w:cs="Calibri"/>
                <w:color w:val="000000"/>
                <w:sz w:val="20"/>
                <w:lang w:eastAsia="en-AU"/>
              </w:rPr>
              <w:t>..</w:t>
            </w:r>
          </w:p>
        </w:tc>
        <w:tc>
          <w:tcPr>
            <w:tcW w:w="852" w:type="dxa"/>
            <w:tcBorders>
              <w:top w:val="nil"/>
              <w:left w:val="nil"/>
              <w:right w:val="nil"/>
            </w:tcBorders>
            <w:shd w:val="clear" w:color="auto" w:fill="FFFFFF"/>
          </w:tcPr>
          <w:p w:rsidR="00965D85" w:rsidRPr="00C36D4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C36D49">
              <w:rPr>
                <w:rFonts w:ascii="Calibri" w:eastAsiaTheme="minorEastAsia" w:hAnsi="Calibri" w:cs="Calibri"/>
                <w:color w:val="000000"/>
                <w:sz w:val="20"/>
                <w:lang w:eastAsia="en-AU"/>
              </w:rPr>
              <w:t>..</w:t>
            </w:r>
          </w:p>
        </w:tc>
      </w:tr>
      <w:tr w:rsidR="00965D85" w:rsidRPr="00C36D49" w:rsidTr="008B46DF">
        <w:trPr>
          <w:cantSplit/>
        </w:trPr>
        <w:tc>
          <w:tcPr>
            <w:tcW w:w="4363" w:type="dxa"/>
            <w:tcBorders>
              <w:top w:val="nil"/>
              <w:left w:val="nil"/>
              <w:bottom w:val="single" w:sz="6" w:space="0" w:color="auto"/>
              <w:right w:val="nil"/>
            </w:tcBorders>
            <w:shd w:val="clear" w:color="auto" w:fill="FFFFFF"/>
          </w:tcPr>
          <w:p w:rsidR="00965D85" w:rsidRPr="00C36D49"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C36D49">
              <w:rPr>
                <w:rFonts w:ascii="Calibri" w:eastAsiaTheme="minorEastAsia" w:hAnsi="Calibri" w:cs="Calibri"/>
                <w:color w:val="000000"/>
                <w:sz w:val="20"/>
                <w:lang w:eastAsia="en-AU"/>
              </w:rPr>
              <w:t>Summer Fire Information and Education Program</w:t>
            </w:r>
          </w:p>
        </w:tc>
        <w:tc>
          <w:tcPr>
            <w:tcW w:w="850" w:type="dxa"/>
            <w:tcBorders>
              <w:top w:val="nil"/>
              <w:left w:val="nil"/>
              <w:bottom w:val="single" w:sz="6" w:space="0" w:color="auto"/>
              <w:right w:val="nil"/>
            </w:tcBorders>
            <w:shd w:val="clear" w:color="auto" w:fill="FFFFFF"/>
          </w:tcPr>
          <w:p w:rsidR="00965D85" w:rsidRPr="00C36D4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C36D49">
              <w:rPr>
                <w:rFonts w:ascii="Calibri" w:eastAsiaTheme="minorEastAsia" w:hAnsi="Calibri" w:cs="Calibri"/>
                <w:color w:val="000000"/>
                <w:sz w:val="20"/>
                <w:lang w:eastAsia="en-AU"/>
              </w:rPr>
              <w:t>3.0</w:t>
            </w:r>
          </w:p>
        </w:tc>
        <w:tc>
          <w:tcPr>
            <w:tcW w:w="850" w:type="dxa"/>
            <w:tcBorders>
              <w:top w:val="nil"/>
              <w:left w:val="nil"/>
              <w:bottom w:val="single" w:sz="6" w:space="0" w:color="auto"/>
              <w:right w:val="nil"/>
            </w:tcBorders>
            <w:shd w:val="clear" w:color="auto" w:fill="FFFFFF"/>
          </w:tcPr>
          <w:p w:rsidR="00965D85" w:rsidRPr="00C36D4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C36D49">
              <w:rPr>
                <w:rFonts w:ascii="Calibri" w:eastAsiaTheme="minorEastAsia" w:hAnsi="Calibri" w:cs="Calibri"/>
                <w:color w:val="000000"/>
                <w:sz w:val="20"/>
                <w:lang w:eastAsia="en-AU"/>
              </w:rPr>
              <w:t>..</w:t>
            </w:r>
          </w:p>
        </w:tc>
        <w:tc>
          <w:tcPr>
            <w:tcW w:w="850" w:type="dxa"/>
            <w:tcBorders>
              <w:top w:val="nil"/>
              <w:left w:val="nil"/>
              <w:bottom w:val="single" w:sz="6" w:space="0" w:color="auto"/>
              <w:right w:val="nil"/>
            </w:tcBorders>
            <w:shd w:val="clear" w:color="auto" w:fill="FFFFFF"/>
          </w:tcPr>
          <w:p w:rsidR="00965D85" w:rsidRPr="00C36D4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C36D49">
              <w:rPr>
                <w:rFonts w:ascii="Calibri" w:eastAsiaTheme="minorEastAsia" w:hAnsi="Calibri" w:cs="Calibri"/>
                <w:color w:val="000000"/>
                <w:sz w:val="20"/>
                <w:lang w:eastAsia="en-AU"/>
              </w:rPr>
              <w:t>..</w:t>
            </w:r>
          </w:p>
        </w:tc>
        <w:tc>
          <w:tcPr>
            <w:tcW w:w="852" w:type="dxa"/>
            <w:tcBorders>
              <w:top w:val="nil"/>
              <w:left w:val="nil"/>
              <w:bottom w:val="single" w:sz="6" w:space="0" w:color="auto"/>
              <w:right w:val="nil"/>
            </w:tcBorders>
            <w:shd w:val="clear" w:color="auto" w:fill="FFFFFF"/>
          </w:tcPr>
          <w:p w:rsidR="00965D85" w:rsidRPr="00C36D49"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C36D49">
              <w:rPr>
                <w:rFonts w:ascii="Calibri" w:eastAsiaTheme="minorEastAsia" w:hAnsi="Calibri" w:cs="Calibri"/>
                <w:color w:val="000000"/>
                <w:sz w:val="20"/>
                <w:lang w:eastAsia="en-AU"/>
              </w:rPr>
              <w:t>..</w:t>
            </w:r>
          </w:p>
        </w:tc>
      </w:tr>
      <w:tr w:rsidR="00965D85" w:rsidRPr="00C36D49" w:rsidTr="008B46DF">
        <w:trPr>
          <w:cantSplit/>
        </w:trPr>
        <w:tc>
          <w:tcPr>
            <w:tcW w:w="4363" w:type="dxa"/>
            <w:tcBorders>
              <w:top w:val="single" w:sz="6" w:space="0" w:color="auto"/>
              <w:left w:val="nil"/>
              <w:bottom w:val="single" w:sz="12" w:space="0" w:color="auto"/>
              <w:right w:val="nil"/>
            </w:tcBorders>
            <w:shd w:val="solid" w:color="FFFFFF" w:fill="FFFFFF"/>
          </w:tcPr>
          <w:p w:rsidR="00965D85" w:rsidRPr="00C36D49" w:rsidRDefault="00965D85" w:rsidP="008B46DF">
            <w:pPr>
              <w:autoSpaceDE w:val="0"/>
              <w:autoSpaceDN w:val="0"/>
              <w:adjustRightInd w:val="0"/>
              <w:spacing w:after="0"/>
              <w:ind w:left="227" w:hanging="227"/>
              <w:rPr>
                <w:rFonts w:ascii="Calibri" w:eastAsiaTheme="minorEastAsia" w:hAnsi="Calibri" w:cs="Calibri"/>
                <w:b/>
                <w:bCs/>
                <w:color w:val="000000"/>
                <w:sz w:val="20"/>
                <w:lang w:eastAsia="en-AU"/>
              </w:rPr>
            </w:pPr>
          </w:p>
        </w:tc>
        <w:tc>
          <w:tcPr>
            <w:tcW w:w="850" w:type="dxa"/>
            <w:tcBorders>
              <w:top w:val="single" w:sz="6" w:space="0" w:color="auto"/>
              <w:left w:val="nil"/>
              <w:bottom w:val="single" w:sz="12" w:space="0" w:color="auto"/>
              <w:right w:val="nil"/>
            </w:tcBorders>
            <w:shd w:val="solid" w:color="FFFFFF" w:fill="FFFFFF"/>
          </w:tcPr>
          <w:p w:rsidR="00965D85" w:rsidRPr="00C36D4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C36D49">
              <w:rPr>
                <w:rFonts w:ascii="Calibri" w:eastAsiaTheme="minorEastAsia" w:hAnsi="Calibri" w:cs="Calibri"/>
                <w:b/>
                <w:bCs/>
                <w:color w:val="000000"/>
                <w:sz w:val="20"/>
                <w:lang w:eastAsia="en-AU"/>
              </w:rPr>
              <w:t>26.1</w:t>
            </w:r>
          </w:p>
        </w:tc>
        <w:tc>
          <w:tcPr>
            <w:tcW w:w="850" w:type="dxa"/>
            <w:tcBorders>
              <w:top w:val="single" w:sz="6" w:space="0" w:color="auto"/>
              <w:left w:val="nil"/>
              <w:bottom w:val="single" w:sz="12" w:space="0" w:color="auto"/>
              <w:right w:val="nil"/>
            </w:tcBorders>
            <w:shd w:val="solid" w:color="FFFFFF" w:fill="FFFFFF"/>
          </w:tcPr>
          <w:p w:rsidR="00965D85" w:rsidRPr="00C36D4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C36D49">
              <w:rPr>
                <w:rFonts w:ascii="Calibri" w:eastAsiaTheme="minorEastAsia" w:hAnsi="Calibri" w:cs="Calibri"/>
                <w:b/>
                <w:bCs/>
                <w:color w:val="000000"/>
                <w:sz w:val="20"/>
                <w:lang w:eastAsia="en-AU"/>
              </w:rPr>
              <w:t>11.0</w:t>
            </w:r>
          </w:p>
        </w:tc>
        <w:tc>
          <w:tcPr>
            <w:tcW w:w="850" w:type="dxa"/>
            <w:tcBorders>
              <w:top w:val="single" w:sz="6" w:space="0" w:color="auto"/>
              <w:left w:val="nil"/>
              <w:bottom w:val="single" w:sz="12" w:space="0" w:color="auto"/>
              <w:right w:val="nil"/>
            </w:tcBorders>
            <w:shd w:val="solid" w:color="FFFFFF" w:fill="FFFFFF"/>
          </w:tcPr>
          <w:p w:rsidR="00965D85" w:rsidRPr="00C36D4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C36D49">
              <w:rPr>
                <w:rFonts w:ascii="Calibri" w:eastAsiaTheme="minorEastAsia" w:hAnsi="Calibri" w:cs="Calibri"/>
                <w:b/>
                <w:bCs/>
                <w:color w:val="000000"/>
                <w:sz w:val="20"/>
                <w:lang w:eastAsia="en-AU"/>
              </w:rPr>
              <w:t>..</w:t>
            </w:r>
          </w:p>
        </w:tc>
        <w:tc>
          <w:tcPr>
            <w:tcW w:w="852" w:type="dxa"/>
            <w:tcBorders>
              <w:top w:val="single" w:sz="6" w:space="0" w:color="auto"/>
              <w:left w:val="nil"/>
              <w:bottom w:val="single" w:sz="12" w:space="0" w:color="auto"/>
              <w:right w:val="nil"/>
            </w:tcBorders>
            <w:shd w:val="solid" w:color="FFFFFF" w:fill="FFFFFF"/>
          </w:tcPr>
          <w:p w:rsidR="00965D85" w:rsidRPr="00C36D49"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C36D49">
              <w:rPr>
                <w:rFonts w:ascii="Calibri" w:eastAsiaTheme="minorEastAsia" w:hAnsi="Calibri" w:cs="Calibri"/>
                <w:b/>
                <w:bCs/>
                <w:color w:val="000000"/>
                <w:sz w:val="20"/>
                <w:lang w:eastAsia="en-AU"/>
              </w:rPr>
              <w:t>..</w:t>
            </w:r>
          </w:p>
        </w:tc>
      </w:tr>
    </w:tbl>
    <w:p w:rsidR="00965D85" w:rsidRDefault="00965D85" w:rsidP="008B46DF">
      <w:r>
        <w:fldChar w:fldCharType="end"/>
      </w:r>
    </w:p>
    <w:p w:rsidR="00965D85" w:rsidRPr="006E1BBB" w:rsidRDefault="00965D85" w:rsidP="008B46DF">
      <w:pPr>
        <w:pStyle w:val="Heading5"/>
      </w:pPr>
      <w:r w:rsidRPr="006E1BBB">
        <w:t>Night Network – transport security</w:t>
      </w:r>
    </w:p>
    <w:p w:rsidR="00965D85" w:rsidRPr="006E1BBB" w:rsidRDefault="00965D85" w:rsidP="008B46DF">
      <w:r w:rsidRPr="006E1BBB">
        <w:t>Funding is provided for an additional 109 Protective Services Officers and 62 Transit Police to provide security during the Night Network 24 hour public transport on weekends initiative trial.</w:t>
      </w:r>
    </w:p>
    <w:p w:rsidR="00965D85" w:rsidRDefault="00965D85" w:rsidP="008B46DF">
      <w:r w:rsidRPr="006E1BBB">
        <w:t>This initiative contributes to the Department of Justice and Regulation</w:t>
      </w:r>
      <w:r>
        <w:t>’</w:t>
      </w:r>
      <w:r w:rsidRPr="006E1BBB">
        <w:t>s Policing Services output.</w:t>
      </w:r>
    </w:p>
    <w:p w:rsidR="00965D85" w:rsidRDefault="00965D85" w:rsidP="008B46DF">
      <w:pPr>
        <w:pStyle w:val="Heading5"/>
      </w:pPr>
      <w:r>
        <w:t>Summer Fire Information and Education Program</w:t>
      </w:r>
    </w:p>
    <w:p w:rsidR="00965D85" w:rsidRDefault="00965D85" w:rsidP="008B46DF">
      <w:r>
        <w:t>The program will promote key fire safety advice around leaving early and community awareness of fire risk and planning in preparation for the 2015</w:t>
      </w:r>
      <w:r>
        <w:noBreakHyphen/>
        <w:t>16 summer period. This will be achieved through the utilisation of direct marketing, traditional and social media and public relations.</w:t>
      </w:r>
    </w:p>
    <w:p w:rsidR="00965D85" w:rsidRDefault="00965D85" w:rsidP="008B46DF">
      <w:r>
        <w:t>This initiative contributes to the Department of Justice and Regulation’s Emergency Management Capability output.</w:t>
      </w:r>
    </w:p>
    <w:p w:rsidR="00965D85" w:rsidRDefault="00965D85">
      <w:pPr>
        <w:spacing w:after="0"/>
        <w:rPr>
          <w:rFonts w:ascii="Calibri" w:hAnsi="Calibri"/>
          <w:b/>
          <w:caps/>
          <w:sz w:val="26"/>
          <w:szCs w:val="22"/>
        </w:rPr>
      </w:pPr>
      <w:r>
        <w:br w:type="page"/>
      </w:r>
    </w:p>
    <w:p w:rsidR="00965D85" w:rsidRDefault="00965D85" w:rsidP="00392D14">
      <w:pPr>
        <w:pStyle w:val="Heading1"/>
      </w:pPr>
      <w:bookmarkStart w:id="89" w:name="_Toc436147554"/>
      <w:r w:rsidRPr="00AB543A">
        <w:lastRenderedPageBreak/>
        <w:t>Department of Treasury and Finance</w:t>
      </w:r>
      <w:bookmarkEnd w:id="89"/>
    </w:p>
    <w:p w:rsidR="00965D85" w:rsidRDefault="00965D85" w:rsidP="008B46DF">
      <w:pPr>
        <w:pStyle w:val="Heading3"/>
      </w:pPr>
      <w:r w:rsidRPr="00611C53">
        <w:t>Output initiatives</w:t>
      </w:r>
    </w:p>
    <w:p w:rsidR="00965D85" w:rsidRDefault="00965D85" w:rsidP="008B46DF">
      <w:pPr>
        <w:pStyle w:val="Tableheading"/>
      </w:pPr>
      <w:r>
        <w:t>Table A.8:</w:t>
      </w:r>
      <w:r>
        <w:tab/>
        <w:t xml:space="preserve">Output initiatives – </w:t>
      </w:r>
      <w:r w:rsidRPr="00AB543A">
        <w:t>Treasury and Finance</w:t>
      </w:r>
    </w:p>
    <w:p w:rsidR="00965D85" w:rsidRDefault="00965D85" w:rsidP="008B46DF">
      <w:pPr>
        <w:pStyle w:val="million"/>
        <w:rPr>
          <w:rFonts w:ascii="Times New Roman" w:hAnsi="Times New Roman"/>
          <w:i w:val="0"/>
          <w:sz w:val="20"/>
          <w:szCs w:val="20"/>
          <w:lang w:eastAsia="en-AU"/>
        </w:rPr>
      </w:pPr>
      <w:r w:rsidRPr="00611C53">
        <w:t>($</w:t>
      </w:r>
      <w:r>
        <w:t> million)</w:t>
      </w:r>
      <w:r>
        <w:fldChar w:fldCharType="begin" w:fldLock="1"/>
      </w:r>
      <w:r>
        <w:instrText xml:space="preserve"> LINK Excel.Sheet.12 "\\\\PDCPTPRDFIL01\\DTFDATA02$\\SECURED\\Budget\\BudgetUpdate\\AppendixA\\AppendixA.xlsx" "DTF!DTF_outputs"\* MERGEFORMAT\f 4 \r </w:instrText>
      </w:r>
      <w:r>
        <w:fldChar w:fldCharType="separate"/>
      </w:r>
    </w:p>
    <w:tbl>
      <w:tblPr>
        <w:tblW w:w="7768" w:type="dxa"/>
        <w:tblInd w:w="45" w:type="dxa"/>
        <w:tblLayout w:type="fixed"/>
        <w:tblCellMar>
          <w:left w:w="45" w:type="dxa"/>
          <w:right w:w="45" w:type="dxa"/>
        </w:tblCellMar>
        <w:tblLook w:val="0000" w:firstRow="0" w:lastRow="0" w:firstColumn="0" w:lastColumn="0" w:noHBand="0" w:noVBand="0"/>
      </w:tblPr>
      <w:tblGrid>
        <w:gridCol w:w="3912"/>
        <w:gridCol w:w="964"/>
        <w:gridCol w:w="964"/>
        <w:gridCol w:w="964"/>
        <w:gridCol w:w="964"/>
      </w:tblGrid>
      <w:tr w:rsidR="00965D85" w:rsidRPr="00D71705" w:rsidTr="008B46DF">
        <w:trPr>
          <w:cantSplit/>
          <w:tblHeader/>
        </w:trPr>
        <w:tc>
          <w:tcPr>
            <w:tcW w:w="3912" w:type="dxa"/>
            <w:tcBorders>
              <w:top w:val="single" w:sz="6" w:space="0" w:color="auto"/>
              <w:left w:val="single" w:sz="6" w:space="0" w:color="auto"/>
              <w:bottom w:val="single" w:sz="6" w:space="0" w:color="auto"/>
              <w:right w:val="nil"/>
            </w:tcBorders>
            <w:shd w:val="solid" w:color="000000" w:fill="auto"/>
          </w:tcPr>
          <w:p w:rsidR="00965D85" w:rsidRPr="00D71705" w:rsidRDefault="00965D85" w:rsidP="008B46DF">
            <w:pPr>
              <w:autoSpaceDE w:val="0"/>
              <w:autoSpaceDN w:val="0"/>
              <w:adjustRightInd w:val="0"/>
              <w:spacing w:after="0"/>
              <w:rPr>
                <w:rFonts w:ascii="Calibri" w:eastAsiaTheme="minorEastAsia" w:hAnsi="Calibri" w:cs="Calibri"/>
                <w:color w:val="FFFFFF" w:themeColor="background1"/>
                <w:sz w:val="20"/>
                <w:lang w:eastAsia="en-AU"/>
              </w:rPr>
            </w:pPr>
          </w:p>
        </w:tc>
        <w:tc>
          <w:tcPr>
            <w:tcW w:w="964" w:type="dxa"/>
            <w:tcBorders>
              <w:top w:val="single" w:sz="6" w:space="0" w:color="auto"/>
              <w:left w:val="nil"/>
              <w:bottom w:val="single" w:sz="6" w:space="0" w:color="auto"/>
              <w:right w:val="nil"/>
            </w:tcBorders>
            <w:shd w:val="solid" w:color="000000" w:fill="auto"/>
          </w:tcPr>
          <w:p w:rsidR="00965D85" w:rsidRPr="00D71705" w:rsidRDefault="00965D85" w:rsidP="008B46DF">
            <w:pPr>
              <w:autoSpaceDE w:val="0"/>
              <w:autoSpaceDN w:val="0"/>
              <w:adjustRightInd w:val="0"/>
              <w:spacing w:after="0"/>
              <w:jc w:val="right"/>
              <w:rPr>
                <w:rFonts w:ascii="Calibri" w:eastAsiaTheme="minorEastAsia" w:hAnsi="Calibri" w:cs="Calibri"/>
                <w:i/>
                <w:iCs/>
                <w:color w:val="FFFFFF" w:themeColor="background1"/>
                <w:sz w:val="20"/>
                <w:lang w:eastAsia="en-AU"/>
              </w:rPr>
            </w:pPr>
            <w:r w:rsidRPr="00D71705">
              <w:rPr>
                <w:rFonts w:ascii="Calibri" w:eastAsiaTheme="minorEastAsia" w:hAnsi="Calibri" w:cs="Calibri"/>
                <w:i/>
                <w:iCs/>
                <w:color w:val="FFFFFF" w:themeColor="background1"/>
                <w:sz w:val="20"/>
                <w:lang w:eastAsia="en-AU"/>
              </w:rPr>
              <w:t>2015</w:t>
            </w:r>
            <w:r>
              <w:rPr>
                <w:rFonts w:ascii="Calibri" w:eastAsiaTheme="minorEastAsia" w:hAnsi="Calibri" w:cs="Calibri"/>
                <w:i/>
                <w:iCs/>
                <w:color w:val="FFFFFF" w:themeColor="background1"/>
                <w:sz w:val="20"/>
                <w:lang w:eastAsia="en-AU"/>
              </w:rPr>
              <w:noBreakHyphen/>
            </w:r>
            <w:r w:rsidRPr="00D71705">
              <w:rPr>
                <w:rFonts w:ascii="Calibri" w:eastAsiaTheme="minorEastAsia" w:hAnsi="Calibri" w:cs="Calibri"/>
                <w:i/>
                <w:iCs/>
                <w:color w:val="FFFFFF" w:themeColor="background1"/>
                <w:sz w:val="20"/>
                <w:lang w:eastAsia="en-AU"/>
              </w:rPr>
              <w:t>16</w:t>
            </w:r>
          </w:p>
        </w:tc>
        <w:tc>
          <w:tcPr>
            <w:tcW w:w="964" w:type="dxa"/>
            <w:tcBorders>
              <w:top w:val="single" w:sz="6" w:space="0" w:color="auto"/>
              <w:left w:val="nil"/>
              <w:bottom w:val="single" w:sz="6" w:space="0" w:color="auto"/>
              <w:right w:val="nil"/>
            </w:tcBorders>
            <w:shd w:val="solid" w:color="000000" w:fill="auto"/>
          </w:tcPr>
          <w:p w:rsidR="00965D85" w:rsidRPr="00D71705" w:rsidRDefault="00965D85" w:rsidP="008B46DF">
            <w:pPr>
              <w:autoSpaceDE w:val="0"/>
              <w:autoSpaceDN w:val="0"/>
              <w:adjustRightInd w:val="0"/>
              <w:spacing w:after="0"/>
              <w:jc w:val="right"/>
              <w:rPr>
                <w:rFonts w:ascii="Calibri" w:eastAsiaTheme="minorEastAsia" w:hAnsi="Calibri" w:cs="Calibri"/>
                <w:i/>
                <w:iCs/>
                <w:color w:val="FFFFFF" w:themeColor="background1"/>
                <w:sz w:val="20"/>
                <w:lang w:eastAsia="en-AU"/>
              </w:rPr>
            </w:pPr>
            <w:r w:rsidRPr="00D71705">
              <w:rPr>
                <w:rFonts w:ascii="Calibri" w:eastAsiaTheme="minorEastAsia" w:hAnsi="Calibri" w:cs="Calibri"/>
                <w:i/>
                <w:iCs/>
                <w:color w:val="FFFFFF" w:themeColor="background1"/>
                <w:sz w:val="20"/>
                <w:lang w:eastAsia="en-AU"/>
              </w:rPr>
              <w:t>2016</w:t>
            </w:r>
            <w:r>
              <w:rPr>
                <w:rFonts w:ascii="Calibri" w:eastAsiaTheme="minorEastAsia" w:hAnsi="Calibri" w:cs="Calibri"/>
                <w:i/>
                <w:iCs/>
                <w:color w:val="FFFFFF" w:themeColor="background1"/>
                <w:sz w:val="20"/>
                <w:lang w:eastAsia="en-AU"/>
              </w:rPr>
              <w:noBreakHyphen/>
            </w:r>
            <w:r w:rsidRPr="00D71705">
              <w:rPr>
                <w:rFonts w:ascii="Calibri" w:eastAsiaTheme="minorEastAsia" w:hAnsi="Calibri" w:cs="Calibri"/>
                <w:i/>
                <w:iCs/>
                <w:color w:val="FFFFFF" w:themeColor="background1"/>
                <w:sz w:val="20"/>
                <w:lang w:eastAsia="en-AU"/>
              </w:rPr>
              <w:t>17</w:t>
            </w:r>
          </w:p>
        </w:tc>
        <w:tc>
          <w:tcPr>
            <w:tcW w:w="964" w:type="dxa"/>
            <w:tcBorders>
              <w:top w:val="single" w:sz="6" w:space="0" w:color="auto"/>
              <w:left w:val="nil"/>
              <w:bottom w:val="single" w:sz="6" w:space="0" w:color="auto"/>
              <w:right w:val="nil"/>
            </w:tcBorders>
            <w:shd w:val="solid" w:color="000000" w:fill="auto"/>
          </w:tcPr>
          <w:p w:rsidR="00965D85" w:rsidRPr="00D71705" w:rsidRDefault="00965D85" w:rsidP="008B46DF">
            <w:pPr>
              <w:autoSpaceDE w:val="0"/>
              <w:autoSpaceDN w:val="0"/>
              <w:adjustRightInd w:val="0"/>
              <w:spacing w:after="0"/>
              <w:jc w:val="right"/>
              <w:rPr>
                <w:rFonts w:ascii="Calibri" w:eastAsiaTheme="minorEastAsia" w:hAnsi="Calibri" w:cs="Calibri"/>
                <w:i/>
                <w:iCs/>
                <w:color w:val="FFFFFF" w:themeColor="background1"/>
                <w:sz w:val="20"/>
                <w:lang w:eastAsia="en-AU"/>
              </w:rPr>
            </w:pPr>
            <w:r w:rsidRPr="00D71705">
              <w:rPr>
                <w:rFonts w:ascii="Calibri" w:eastAsiaTheme="minorEastAsia" w:hAnsi="Calibri" w:cs="Calibri"/>
                <w:i/>
                <w:iCs/>
                <w:color w:val="FFFFFF" w:themeColor="background1"/>
                <w:sz w:val="20"/>
                <w:lang w:eastAsia="en-AU"/>
              </w:rPr>
              <w:t>2017</w:t>
            </w:r>
            <w:r>
              <w:rPr>
                <w:rFonts w:ascii="Calibri" w:eastAsiaTheme="minorEastAsia" w:hAnsi="Calibri" w:cs="Calibri"/>
                <w:i/>
                <w:iCs/>
                <w:color w:val="FFFFFF" w:themeColor="background1"/>
                <w:sz w:val="20"/>
                <w:lang w:eastAsia="en-AU"/>
              </w:rPr>
              <w:noBreakHyphen/>
            </w:r>
            <w:r w:rsidRPr="00D71705">
              <w:rPr>
                <w:rFonts w:ascii="Calibri" w:eastAsiaTheme="minorEastAsia" w:hAnsi="Calibri" w:cs="Calibri"/>
                <w:i/>
                <w:iCs/>
                <w:color w:val="FFFFFF" w:themeColor="background1"/>
                <w:sz w:val="20"/>
                <w:lang w:eastAsia="en-AU"/>
              </w:rPr>
              <w:t>18</w:t>
            </w:r>
          </w:p>
        </w:tc>
        <w:tc>
          <w:tcPr>
            <w:tcW w:w="964" w:type="dxa"/>
            <w:tcBorders>
              <w:top w:val="single" w:sz="6" w:space="0" w:color="auto"/>
              <w:left w:val="nil"/>
              <w:bottom w:val="single" w:sz="6" w:space="0" w:color="auto"/>
              <w:right w:val="nil"/>
            </w:tcBorders>
            <w:shd w:val="solid" w:color="000000" w:fill="auto"/>
          </w:tcPr>
          <w:p w:rsidR="00965D85" w:rsidRPr="00D71705" w:rsidRDefault="00965D85" w:rsidP="008B46DF">
            <w:pPr>
              <w:autoSpaceDE w:val="0"/>
              <w:autoSpaceDN w:val="0"/>
              <w:adjustRightInd w:val="0"/>
              <w:spacing w:after="0"/>
              <w:jc w:val="right"/>
              <w:rPr>
                <w:rFonts w:ascii="Calibri" w:eastAsiaTheme="minorEastAsia" w:hAnsi="Calibri" w:cs="Calibri"/>
                <w:i/>
                <w:iCs/>
                <w:color w:val="FFFFFF" w:themeColor="background1"/>
                <w:sz w:val="20"/>
                <w:lang w:eastAsia="en-AU"/>
              </w:rPr>
            </w:pPr>
            <w:r w:rsidRPr="00D71705">
              <w:rPr>
                <w:rFonts w:ascii="Calibri" w:eastAsiaTheme="minorEastAsia" w:hAnsi="Calibri" w:cs="Calibri"/>
                <w:i/>
                <w:iCs/>
                <w:color w:val="FFFFFF" w:themeColor="background1"/>
                <w:sz w:val="20"/>
                <w:lang w:eastAsia="en-AU"/>
              </w:rPr>
              <w:t>2018</w:t>
            </w:r>
            <w:r>
              <w:rPr>
                <w:rFonts w:ascii="Calibri" w:eastAsiaTheme="minorEastAsia" w:hAnsi="Calibri" w:cs="Calibri"/>
                <w:i/>
                <w:iCs/>
                <w:color w:val="FFFFFF" w:themeColor="background1"/>
                <w:sz w:val="20"/>
                <w:lang w:eastAsia="en-AU"/>
              </w:rPr>
              <w:noBreakHyphen/>
            </w:r>
            <w:r w:rsidRPr="00D71705">
              <w:rPr>
                <w:rFonts w:ascii="Calibri" w:eastAsiaTheme="minorEastAsia" w:hAnsi="Calibri" w:cs="Calibri"/>
                <w:i/>
                <w:iCs/>
                <w:color w:val="FFFFFF" w:themeColor="background1"/>
                <w:sz w:val="20"/>
                <w:lang w:eastAsia="en-AU"/>
              </w:rPr>
              <w:t>19</w:t>
            </w:r>
          </w:p>
        </w:tc>
      </w:tr>
      <w:tr w:rsidR="00965D85" w:rsidRPr="00D71705" w:rsidTr="008B46DF">
        <w:trPr>
          <w:cantSplit/>
        </w:trPr>
        <w:tc>
          <w:tcPr>
            <w:tcW w:w="3912" w:type="dxa"/>
            <w:tcBorders>
              <w:top w:val="single" w:sz="6" w:space="0" w:color="auto"/>
              <w:left w:val="nil"/>
              <w:bottom w:val="single" w:sz="6" w:space="0" w:color="auto"/>
              <w:right w:val="nil"/>
            </w:tcBorders>
            <w:shd w:val="clear" w:color="auto" w:fill="FFFFFF"/>
          </w:tcPr>
          <w:p w:rsidR="00965D85" w:rsidRPr="00D71705"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D71705">
              <w:rPr>
                <w:rFonts w:ascii="Calibri" w:eastAsiaTheme="minorEastAsia" w:hAnsi="Calibri" w:cs="Calibri"/>
                <w:color w:val="000000"/>
                <w:sz w:val="20"/>
                <w:lang w:eastAsia="en-AU"/>
              </w:rPr>
              <w:t>Western Distributor project development</w:t>
            </w:r>
          </w:p>
        </w:tc>
        <w:tc>
          <w:tcPr>
            <w:tcW w:w="964" w:type="dxa"/>
            <w:tcBorders>
              <w:top w:val="single" w:sz="6" w:space="0" w:color="auto"/>
              <w:left w:val="nil"/>
              <w:bottom w:val="single" w:sz="6" w:space="0" w:color="auto"/>
              <w:right w:val="nil"/>
            </w:tcBorders>
            <w:shd w:val="clear" w:color="auto" w:fill="FFFFFF"/>
          </w:tcPr>
          <w:p w:rsidR="00965D85" w:rsidRPr="00D71705"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D71705">
              <w:rPr>
                <w:rFonts w:ascii="Calibri" w:eastAsiaTheme="minorEastAsia" w:hAnsi="Calibri" w:cs="Calibri"/>
                <w:color w:val="000000"/>
                <w:sz w:val="20"/>
                <w:lang w:eastAsia="en-AU"/>
              </w:rPr>
              <w:t>10.0</w:t>
            </w:r>
          </w:p>
        </w:tc>
        <w:tc>
          <w:tcPr>
            <w:tcW w:w="964" w:type="dxa"/>
            <w:tcBorders>
              <w:top w:val="single" w:sz="6" w:space="0" w:color="auto"/>
              <w:left w:val="nil"/>
              <w:bottom w:val="single" w:sz="6" w:space="0" w:color="auto"/>
              <w:right w:val="nil"/>
            </w:tcBorders>
            <w:shd w:val="clear" w:color="auto" w:fill="FFFFFF"/>
          </w:tcPr>
          <w:p w:rsidR="00965D85" w:rsidRPr="00D71705"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D71705">
              <w:rPr>
                <w:rFonts w:ascii="Calibri" w:eastAsiaTheme="minorEastAsia" w:hAnsi="Calibri" w:cs="Calibri"/>
                <w:color w:val="000000"/>
                <w:sz w:val="20"/>
                <w:lang w:eastAsia="en-AU"/>
              </w:rPr>
              <w:t>..</w:t>
            </w:r>
          </w:p>
        </w:tc>
        <w:tc>
          <w:tcPr>
            <w:tcW w:w="964" w:type="dxa"/>
            <w:tcBorders>
              <w:top w:val="single" w:sz="6" w:space="0" w:color="auto"/>
              <w:left w:val="nil"/>
              <w:bottom w:val="single" w:sz="6" w:space="0" w:color="auto"/>
              <w:right w:val="nil"/>
            </w:tcBorders>
            <w:shd w:val="clear" w:color="auto" w:fill="FFFFFF"/>
          </w:tcPr>
          <w:p w:rsidR="00965D85" w:rsidRPr="00D71705"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D71705">
              <w:rPr>
                <w:rFonts w:ascii="Calibri" w:eastAsiaTheme="minorEastAsia" w:hAnsi="Calibri" w:cs="Calibri"/>
                <w:color w:val="000000"/>
                <w:sz w:val="20"/>
                <w:lang w:eastAsia="en-AU"/>
              </w:rPr>
              <w:t>..</w:t>
            </w:r>
          </w:p>
        </w:tc>
        <w:tc>
          <w:tcPr>
            <w:tcW w:w="964" w:type="dxa"/>
            <w:tcBorders>
              <w:top w:val="single" w:sz="6" w:space="0" w:color="auto"/>
              <w:left w:val="nil"/>
              <w:bottom w:val="single" w:sz="6" w:space="0" w:color="auto"/>
              <w:right w:val="nil"/>
            </w:tcBorders>
            <w:shd w:val="clear" w:color="auto" w:fill="FFFFFF"/>
          </w:tcPr>
          <w:p w:rsidR="00965D85" w:rsidRPr="00D71705"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D71705">
              <w:rPr>
                <w:rFonts w:ascii="Calibri" w:eastAsiaTheme="minorEastAsia" w:hAnsi="Calibri" w:cs="Calibri"/>
                <w:color w:val="000000"/>
                <w:sz w:val="20"/>
                <w:lang w:eastAsia="en-AU"/>
              </w:rPr>
              <w:t>..</w:t>
            </w:r>
          </w:p>
        </w:tc>
      </w:tr>
      <w:tr w:rsidR="00965D85" w:rsidRPr="00D71705" w:rsidTr="008B46DF">
        <w:trPr>
          <w:cantSplit/>
        </w:trPr>
        <w:tc>
          <w:tcPr>
            <w:tcW w:w="3912" w:type="dxa"/>
            <w:tcBorders>
              <w:top w:val="single" w:sz="6" w:space="0" w:color="auto"/>
              <w:left w:val="nil"/>
              <w:bottom w:val="single" w:sz="12" w:space="0" w:color="auto"/>
              <w:right w:val="nil"/>
            </w:tcBorders>
            <w:shd w:val="solid" w:color="FFFFFF" w:fill="FFFFFF"/>
          </w:tcPr>
          <w:p w:rsidR="00965D85" w:rsidRPr="00D71705" w:rsidRDefault="00965D85" w:rsidP="008B46DF">
            <w:pPr>
              <w:autoSpaceDE w:val="0"/>
              <w:autoSpaceDN w:val="0"/>
              <w:adjustRightInd w:val="0"/>
              <w:spacing w:after="0"/>
              <w:ind w:left="227" w:hanging="227"/>
              <w:rPr>
                <w:rFonts w:ascii="Calibri" w:eastAsiaTheme="minorEastAsia" w:hAnsi="Calibri" w:cs="Calibri"/>
                <w:b/>
                <w:bCs/>
                <w:color w:val="000000"/>
                <w:sz w:val="20"/>
                <w:lang w:eastAsia="en-AU"/>
              </w:rPr>
            </w:pPr>
          </w:p>
        </w:tc>
        <w:tc>
          <w:tcPr>
            <w:tcW w:w="964" w:type="dxa"/>
            <w:tcBorders>
              <w:top w:val="single" w:sz="6" w:space="0" w:color="auto"/>
              <w:left w:val="nil"/>
              <w:bottom w:val="single" w:sz="12" w:space="0" w:color="auto"/>
              <w:right w:val="nil"/>
            </w:tcBorders>
            <w:shd w:val="solid" w:color="FFFFFF" w:fill="FFFFFF"/>
          </w:tcPr>
          <w:p w:rsidR="00965D85" w:rsidRPr="00D71705"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D71705">
              <w:rPr>
                <w:rFonts w:ascii="Calibri" w:eastAsiaTheme="minorEastAsia" w:hAnsi="Calibri" w:cs="Calibri"/>
                <w:b/>
                <w:bCs/>
                <w:color w:val="000000"/>
                <w:sz w:val="20"/>
                <w:lang w:eastAsia="en-AU"/>
              </w:rPr>
              <w:t>10.0</w:t>
            </w:r>
          </w:p>
        </w:tc>
        <w:tc>
          <w:tcPr>
            <w:tcW w:w="964" w:type="dxa"/>
            <w:tcBorders>
              <w:top w:val="single" w:sz="6" w:space="0" w:color="auto"/>
              <w:left w:val="nil"/>
              <w:bottom w:val="single" w:sz="12" w:space="0" w:color="auto"/>
              <w:right w:val="nil"/>
            </w:tcBorders>
            <w:shd w:val="solid" w:color="FFFFFF" w:fill="FFFFFF"/>
          </w:tcPr>
          <w:p w:rsidR="00965D85" w:rsidRPr="00D71705"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D71705">
              <w:rPr>
                <w:rFonts w:ascii="Calibri" w:eastAsiaTheme="minorEastAsia" w:hAnsi="Calibri" w:cs="Calibri"/>
                <w:b/>
                <w:bCs/>
                <w:color w:val="000000"/>
                <w:sz w:val="20"/>
                <w:lang w:eastAsia="en-AU"/>
              </w:rPr>
              <w:t>..</w:t>
            </w:r>
          </w:p>
        </w:tc>
        <w:tc>
          <w:tcPr>
            <w:tcW w:w="964" w:type="dxa"/>
            <w:tcBorders>
              <w:top w:val="single" w:sz="6" w:space="0" w:color="auto"/>
              <w:left w:val="nil"/>
              <w:bottom w:val="single" w:sz="12" w:space="0" w:color="auto"/>
              <w:right w:val="nil"/>
            </w:tcBorders>
            <w:shd w:val="solid" w:color="FFFFFF" w:fill="FFFFFF"/>
          </w:tcPr>
          <w:p w:rsidR="00965D85" w:rsidRPr="00D71705"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D71705">
              <w:rPr>
                <w:rFonts w:ascii="Calibri" w:eastAsiaTheme="minorEastAsia" w:hAnsi="Calibri" w:cs="Calibri"/>
                <w:b/>
                <w:bCs/>
                <w:color w:val="000000"/>
                <w:sz w:val="20"/>
                <w:lang w:eastAsia="en-AU"/>
              </w:rPr>
              <w:t>..</w:t>
            </w:r>
          </w:p>
        </w:tc>
        <w:tc>
          <w:tcPr>
            <w:tcW w:w="964" w:type="dxa"/>
            <w:tcBorders>
              <w:top w:val="single" w:sz="6" w:space="0" w:color="auto"/>
              <w:left w:val="nil"/>
              <w:bottom w:val="single" w:sz="12" w:space="0" w:color="auto"/>
              <w:right w:val="nil"/>
            </w:tcBorders>
            <w:shd w:val="solid" w:color="FFFFFF" w:fill="FFFFFF"/>
          </w:tcPr>
          <w:p w:rsidR="00965D85" w:rsidRPr="00D71705"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D71705">
              <w:rPr>
                <w:rFonts w:ascii="Calibri" w:eastAsiaTheme="minorEastAsia" w:hAnsi="Calibri" w:cs="Calibri"/>
                <w:b/>
                <w:bCs/>
                <w:color w:val="000000"/>
                <w:sz w:val="20"/>
                <w:lang w:eastAsia="en-AU"/>
              </w:rPr>
              <w:t>..</w:t>
            </w:r>
          </w:p>
        </w:tc>
      </w:tr>
    </w:tbl>
    <w:p w:rsidR="00965D85" w:rsidRPr="00776214" w:rsidRDefault="00965D85" w:rsidP="008B46DF">
      <w:r>
        <w:fldChar w:fldCharType="end"/>
      </w:r>
      <w:r w:rsidRPr="00776214">
        <w:t xml:space="preserve"> </w:t>
      </w:r>
    </w:p>
    <w:p w:rsidR="00965D85" w:rsidRDefault="00965D85" w:rsidP="008B46DF">
      <w:pPr>
        <w:pStyle w:val="Heading5"/>
      </w:pPr>
      <w:r w:rsidRPr="00AB543A">
        <w:t>Western Distributor project development</w:t>
      </w:r>
    </w:p>
    <w:p w:rsidR="00965D85" w:rsidRDefault="00965D85" w:rsidP="008B46DF">
      <w:r>
        <w:t>Funding will enable options analysis and project development to be progressed for the business case and assessment of market</w:t>
      </w:r>
      <w:r>
        <w:noBreakHyphen/>
        <w:t xml:space="preserve">led proposals for the Western Distributor project. </w:t>
      </w:r>
    </w:p>
    <w:p w:rsidR="00965D85" w:rsidRDefault="00965D85" w:rsidP="008B46DF">
      <w:r>
        <w:t>This initiative contributes to the Department of Treasury and Finance’s Land and Infrastructure Investment Management output.</w:t>
      </w:r>
    </w:p>
    <w:p w:rsidR="00965D85" w:rsidRDefault="00965D85">
      <w:pPr>
        <w:spacing w:after="0"/>
        <w:rPr>
          <w:rFonts w:ascii="Calibri" w:hAnsi="Calibri"/>
          <w:b/>
          <w:caps/>
          <w:sz w:val="26"/>
          <w:szCs w:val="22"/>
        </w:rPr>
      </w:pPr>
      <w:r>
        <w:br w:type="page"/>
      </w:r>
    </w:p>
    <w:p w:rsidR="00965D85" w:rsidRPr="00392D14" w:rsidRDefault="00965D85" w:rsidP="00392D14">
      <w:pPr>
        <w:pStyle w:val="Heading1"/>
      </w:pPr>
      <w:bookmarkStart w:id="90" w:name="_Toc436147555"/>
      <w:r w:rsidRPr="00392D14">
        <w:lastRenderedPageBreak/>
        <w:t>Parliament</w:t>
      </w:r>
      <w:bookmarkEnd w:id="90"/>
    </w:p>
    <w:p w:rsidR="00965D85" w:rsidRDefault="00965D85" w:rsidP="008B46DF">
      <w:pPr>
        <w:pStyle w:val="Heading3"/>
      </w:pPr>
      <w:r>
        <w:t>Output initiatives</w:t>
      </w:r>
    </w:p>
    <w:p w:rsidR="00965D85" w:rsidRPr="00C50BB3" w:rsidRDefault="00965D85" w:rsidP="008B46DF">
      <w:pPr>
        <w:pStyle w:val="Tableheading"/>
      </w:pPr>
      <w:r>
        <w:t>Table A.9:</w:t>
      </w:r>
      <w:r>
        <w:tab/>
        <w:t>Output initiatives – Parliament</w:t>
      </w:r>
    </w:p>
    <w:p w:rsidR="00965D85" w:rsidRDefault="00965D85" w:rsidP="008B46DF">
      <w:pPr>
        <w:pStyle w:val="million"/>
        <w:rPr>
          <w:rFonts w:ascii="Times New Roman" w:hAnsi="Times New Roman"/>
          <w:i w:val="0"/>
          <w:sz w:val="20"/>
          <w:szCs w:val="20"/>
          <w:lang w:eastAsia="en-AU"/>
        </w:rPr>
      </w:pPr>
      <w:r>
        <w:t>($ million)</w:t>
      </w:r>
      <w:r>
        <w:fldChar w:fldCharType="begin" w:fldLock="1"/>
      </w:r>
      <w:r>
        <w:instrText xml:space="preserve"> LINK Excel.Sheet.12 "\\\\PDCPTPRDFIL01\\DTFDATA02$\\SECURED\\Budget\\BudgetUpdate\\AppendixA\\AppendixA.xlsx" "Parliament!Parl_outputs"\* MERGEFORMAT\f 4 \r </w:instrText>
      </w:r>
      <w:r>
        <w:fldChar w:fldCharType="separate"/>
      </w:r>
    </w:p>
    <w:tbl>
      <w:tblPr>
        <w:tblW w:w="7768" w:type="dxa"/>
        <w:tblInd w:w="45" w:type="dxa"/>
        <w:tblLayout w:type="fixed"/>
        <w:tblCellMar>
          <w:left w:w="45" w:type="dxa"/>
          <w:right w:w="45" w:type="dxa"/>
        </w:tblCellMar>
        <w:tblLook w:val="0000" w:firstRow="0" w:lastRow="0" w:firstColumn="0" w:lastColumn="0" w:noHBand="0" w:noVBand="0"/>
      </w:tblPr>
      <w:tblGrid>
        <w:gridCol w:w="3969"/>
        <w:gridCol w:w="907"/>
        <w:gridCol w:w="964"/>
        <w:gridCol w:w="964"/>
        <w:gridCol w:w="964"/>
      </w:tblGrid>
      <w:tr w:rsidR="00965D85" w:rsidRPr="00D71705" w:rsidTr="008B46DF">
        <w:trPr>
          <w:cantSplit/>
          <w:tblHeader/>
        </w:trPr>
        <w:tc>
          <w:tcPr>
            <w:tcW w:w="3969" w:type="dxa"/>
            <w:tcBorders>
              <w:top w:val="single" w:sz="6" w:space="0" w:color="auto"/>
              <w:left w:val="single" w:sz="6" w:space="0" w:color="auto"/>
              <w:bottom w:val="single" w:sz="6" w:space="0" w:color="auto"/>
              <w:right w:val="nil"/>
            </w:tcBorders>
            <w:shd w:val="solid" w:color="000000" w:fill="auto"/>
          </w:tcPr>
          <w:p w:rsidR="00965D85" w:rsidRPr="00D71705" w:rsidRDefault="00965D85" w:rsidP="008B46DF">
            <w:pPr>
              <w:autoSpaceDE w:val="0"/>
              <w:autoSpaceDN w:val="0"/>
              <w:adjustRightInd w:val="0"/>
              <w:spacing w:after="0"/>
              <w:rPr>
                <w:rFonts w:ascii="Calibri" w:eastAsiaTheme="minorEastAsia" w:hAnsi="Calibri" w:cs="Calibri"/>
                <w:color w:val="FFFFFF" w:themeColor="background1"/>
                <w:sz w:val="20"/>
                <w:lang w:eastAsia="en-AU"/>
              </w:rPr>
            </w:pPr>
          </w:p>
        </w:tc>
        <w:tc>
          <w:tcPr>
            <w:tcW w:w="907" w:type="dxa"/>
            <w:tcBorders>
              <w:top w:val="single" w:sz="6" w:space="0" w:color="auto"/>
              <w:left w:val="nil"/>
              <w:bottom w:val="single" w:sz="6" w:space="0" w:color="auto"/>
              <w:right w:val="nil"/>
            </w:tcBorders>
            <w:shd w:val="solid" w:color="000000" w:fill="auto"/>
          </w:tcPr>
          <w:p w:rsidR="00965D85" w:rsidRPr="00D71705" w:rsidRDefault="00965D85" w:rsidP="008B46DF">
            <w:pPr>
              <w:autoSpaceDE w:val="0"/>
              <w:autoSpaceDN w:val="0"/>
              <w:adjustRightInd w:val="0"/>
              <w:spacing w:after="0"/>
              <w:jc w:val="right"/>
              <w:rPr>
                <w:rFonts w:ascii="Calibri" w:eastAsiaTheme="minorEastAsia" w:hAnsi="Calibri" w:cs="Calibri"/>
                <w:i/>
                <w:iCs/>
                <w:color w:val="FFFFFF" w:themeColor="background1"/>
                <w:sz w:val="20"/>
                <w:lang w:eastAsia="en-AU"/>
              </w:rPr>
            </w:pPr>
            <w:r w:rsidRPr="00D71705">
              <w:rPr>
                <w:rFonts w:ascii="Calibri" w:eastAsiaTheme="minorEastAsia" w:hAnsi="Calibri" w:cs="Calibri"/>
                <w:i/>
                <w:iCs/>
                <w:color w:val="FFFFFF" w:themeColor="background1"/>
                <w:sz w:val="20"/>
                <w:lang w:eastAsia="en-AU"/>
              </w:rPr>
              <w:t>2015</w:t>
            </w:r>
            <w:r>
              <w:rPr>
                <w:rFonts w:ascii="Calibri" w:eastAsiaTheme="minorEastAsia" w:hAnsi="Calibri" w:cs="Calibri"/>
                <w:i/>
                <w:iCs/>
                <w:color w:val="FFFFFF" w:themeColor="background1"/>
                <w:sz w:val="20"/>
                <w:lang w:eastAsia="en-AU"/>
              </w:rPr>
              <w:noBreakHyphen/>
            </w:r>
            <w:r w:rsidRPr="00D71705">
              <w:rPr>
                <w:rFonts w:ascii="Calibri" w:eastAsiaTheme="minorEastAsia" w:hAnsi="Calibri" w:cs="Calibri"/>
                <w:i/>
                <w:iCs/>
                <w:color w:val="FFFFFF" w:themeColor="background1"/>
                <w:sz w:val="20"/>
                <w:lang w:eastAsia="en-AU"/>
              </w:rPr>
              <w:t>16</w:t>
            </w:r>
          </w:p>
        </w:tc>
        <w:tc>
          <w:tcPr>
            <w:tcW w:w="964" w:type="dxa"/>
            <w:tcBorders>
              <w:top w:val="single" w:sz="6" w:space="0" w:color="auto"/>
              <w:left w:val="nil"/>
              <w:bottom w:val="single" w:sz="6" w:space="0" w:color="auto"/>
              <w:right w:val="nil"/>
            </w:tcBorders>
            <w:shd w:val="solid" w:color="000000" w:fill="auto"/>
          </w:tcPr>
          <w:p w:rsidR="00965D85" w:rsidRPr="00D71705" w:rsidRDefault="00965D85" w:rsidP="008B46DF">
            <w:pPr>
              <w:autoSpaceDE w:val="0"/>
              <w:autoSpaceDN w:val="0"/>
              <w:adjustRightInd w:val="0"/>
              <w:spacing w:after="0"/>
              <w:jc w:val="right"/>
              <w:rPr>
                <w:rFonts w:ascii="Calibri" w:eastAsiaTheme="minorEastAsia" w:hAnsi="Calibri" w:cs="Calibri"/>
                <w:i/>
                <w:iCs/>
                <w:color w:val="FFFFFF" w:themeColor="background1"/>
                <w:sz w:val="20"/>
                <w:lang w:eastAsia="en-AU"/>
              </w:rPr>
            </w:pPr>
            <w:r w:rsidRPr="00D71705">
              <w:rPr>
                <w:rFonts w:ascii="Calibri" w:eastAsiaTheme="minorEastAsia" w:hAnsi="Calibri" w:cs="Calibri"/>
                <w:i/>
                <w:iCs/>
                <w:color w:val="FFFFFF" w:themeColor="background1"/>
                <w:sz w:val="20"/>
                <w:lang w:eastAsia="en-AU"/>
              </w:rPr>
              <w:t>2016</w:t>
            </w:r>
            <w:r>
              <w:rPr>
                <w:rFonts w:ascii="Calibri" w:eastAsiaTheme="minorEastAsia" w:hAnsi="Calibri" w:cs="Calibri"/>
                <w:i/>
                <w:iCs/>
                <w:color w:val="FFFFFF" w:themeColor="background1"/>
                <w:sz w:val="20"/>
                <w:lang w:eastAsia="en-AU"/>
              </w:rPr>
              <w:noBreakHyphen/>
            </w:r>
            <w:r w:rsidRPr="00D71705">
              <w:rPr>
                <w:rFonts w:ascii="Calibri" w:eastAsiaTheme="minorEastAsia" w:hAnsi="Calibri" w:cs="Calibri"/>
                <w:i/>
                <w:iCs/>
                <w:color w:val="FFFFFF" w:themeColor="background1"/>
                <w:sz w:val="20"/>
                <w:lang w:eastAsia="en-AU"/>
              </w:rPr>
              <w:t>17</w:t>
            </w:r>
          </w:p>
        </w:tc>
        <w:tc>
          <w:tcPr>
            <w:tcW w:w="964" w:type="dxa"/>
            <w:tcBorders>
              <w:top w:val="single" w:sz="6" w:space="0" w:color="auto"/>
              <w:left w:val="nil"/>
              <w:bottom w:val="single" w:sz="6" w:space="0" w:color="auto"/>
              <w:right w:val="nil"/>
            </w:tcBorders>
            <w:shd w:val="solid" w:color="000000" w:fill="auto"/>
          </w:tcPr>
          <w:p w:rsidR="00965D85" w:rsidRPr="00D71705" w:rsidRDefault="00965D85" w:rsidP="008B46DF">
            <w:pPr>
              <w:autoSpaceDE w:val="0"/>
              <w:autoSpaceDN w:val="0"/>
              <w:adjustRightInd w:val="0"/>
              <w:spacing w:after="0"/>
              <w:jc w:val="right"/>
              <w:rPr>
                <w:rFonts w:ascii="Calibri" w:eastAsiaTheme="minorEastAsia" w:hAnsi="Calibri" w:cs="Calibri"/>
                <w:i/>
                <w:iCs/>
                <w:color w:val="FFFFFF" w:themeColor="background1"/>
                <w:sz w:val="20"/>
                <w:lang w:eastAsia="en-AU"/>
              </w:rPr>
            </w:pPr>
            <w:r w:rsidRPr="00D71705">
              <w:rPr>
                <w:rFonts w:ascii="Calibri" w:eastAsiaTheme="minorEastAsia" w:hAnsi="Calibri" w:cs="Calibri"/>
                <w:i/>
                <w:iCs/>
                <w:color w:val="FFFFFF" w:themeColor="background1"/>
                <w:sz w:val="20"/>
                <w:lang w:eastAsia="en-AU"/>
              </w:rPr>
              <w:t>2017</w:t>
            </w:r>
            <w:r>
              <w:rPr>
                <w:rFonts w:ascii="Calibri" w:eastAsiaTheme="minorEastAsia" w:hAnsi="Calibri" w:cs="Calibri"/>
                <w:i/>
                <w:iCs/>
                <w:color w:val="FFFFFF" w:themeColor="background1"/>
                <w:sz w:val="20"/>
                <w:lang w:eastAsia="en-AU"/>
              </w:rPr>
              <w:noBreakHyphen/>
            </w:r>
            <w:r w:rsidRPr="00D71705">
              <w:rPr>
                <w:rFonts w:ascii="Calibri" w:eastAsiaTheme="minorEastAsia" w:hAnsi="Calibri" w:cs="Calibri"/>
                <w:i/>
                <w:iCs/>
                <w:color w:val="FFFFFF" w:themeColor="background1"/>
                <w:sz w:val="20"/>
                <w:lang w:eastAsia="en-AU"/>
              </w:rPr>
              <w:t>18</w:t>
            </w:r>
          </w:p>
        </w:tc>
        <w:tc>
          <w:tcPr>
            <w:tcW w:w="964" w:type="dxa"/>
            <w:tcBorders>
              <w:top w:val="single" w:sz="6" w:space="0" w:color="auto"/>
              <w:left w:val="nil"/>
              <w:bottom w:val="single" w:sz="6" w:space="0" w:color="auto"/>
              <w:right w:val="nil"/>
            </w:tcBorders>
            <w:shd w:val="solid" w:color="000000" w:fill="auto"/>
          </w:tcPr>
          <w:p w:rsidR="00965D85" w:rsidRPr="00D71705" w:rsidRDefault="00965D85" w:rsidP="008B46DF">
            <w:pPr>
              <w:autoSpaceDE w:val="0"/>
              <w:autoSpaceDN w:val="0"/>
              <w:adjustRightInd w:val="0"/>
              <w:spacing w:after="0"/>
              <w:jc w:val="right"/>
              <w:rPr>
                <w:rFonts w:ascii="Calibri" w:eastAsiaTheme="minorEastAsia" w:hAnsi="Calibri" w:cs="Calibri"/>
                <w:i/>
                <w:iCs/>
                <w:color w:val="FFFFFF" w:themeColor="background1"/>
                <w:sz w:val="20"/>
                <w:lang w:eastAsia="en-AU"/>
              </w:rPr>
            </w:pPr>
            <w:r w:rsidRPr="00D71705">
              <w:rPr>
                <w:rFonts w:ascii="Calibri" w:eastAsiaTheme="minorEastAsia" w:hAnsi="Calibri" w:cs="Calibri"/>
                <w:i/>
                <w:iCs/>
                <w:color w:val="FFFFFF" w:themeColor="background1"/>
                <w:sz w:val="20"/>
                <w:lang w:eastAsia="en-AU"/>
              </w:rPr>
              <w:t>2018</w:t>
            </w:r>
            <w:r>
              <w:rPr>
                <w:rFonts w:ascii="Calibri" w:eastAsiaTheme="minorEastAsia" w:hAnsi="Calibri" w:cs="Calibri"/>
                <w:i/>
                <w:iCs/>
                <w:color w:val="FFFFFF" w:themeColor="background1"/>
                <w:sz w:val="20"/>
                <w:lang w:eastAsia="en-AU"/>
              </w:rPr>
              <w:noBreakHyphen/>
            </w:r>
            <w:r w:rsidRPr="00D71705">
              <w:rPr>
                <w:rFonts w:ascii="Calibri" w:eastAsiaTheme="minorEastAsia" w:hAnsi="Calibri" w:cs="Calibri"/>
                <w:i/>
                <w:iCs/>
                <w:color w:val="FFFFFF" w:themeColor="background1"/>
                <w:sz w:val="20"/>
                <w:lang w:eastAsia="en-AU"/>
              </w:rPr>
              <w:t>19</w:t>
            </w:r>
          </w:p>
        </w:tc>
      </w:tr>
      <w:tr w:rsidR="00965D85" w:rsidRPr="00D71705" w:rsidTr="008B46DF">
        <w:trPr>
          <w:cantSplit/>
        </w:trPr>
        <w:tc>
          <w:tcPr>
            <w:tcW w:w="3969" w:type="dxa"/>
            <w:tcBorders>
              <w:top w:val="single" w:sz="6" w:space="0" w:color="auto"/>
              <w:left w:val="nil"/>
              <w:bottom w:val="single" w:sz="6" w:space="0" w:color="auto"/>
              <w:right w:val="nil"/>
            </w:tcBorders>
            <w:shd w:val="clear" w:color="auto" w:fill="FFFFFF"/>
          </w:tcPr>
          <w:p w:rsidR="00965D85" w:rsidRPr="00D71705"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D71705">
              <w:rPr>
                <w:rFonts w:ascii="Calibri" w:eastAsiaTheme="minorEastAsia" w:hAnsi="Calibri" w:cs="Calibri"/>
                <w:color w:val="000000"/>
                <w:sz w:val="20"/>
                <w:lang w:eastAsia="en-AU"/>
              </w:rPr>
              <w:t xml:space="preserve">Appointment of additional parliamentary advisors </w:t>
            </w:r>
          </w:p>
        </w:tc>
        <w:tc>
          <w:tcPr>
            <w:tcW w:w="907" w:type="dxa"/>
            <w:tcBorders>
              <w:top w:val="single" w:sz="6" w:space="0" w:color="auto"/>
              <w:left w:val="nil"/>
              <w:bottom w:val="single" w:sz="6" w:space="0" w:color="auto"/>
              <w:right w:val="nil"/>
            </w:tcBorders>
            <w:shd w:val="clear" w:color="auto" w:fill="FFFFFF"/>
          </w:tcPr>
          <w:p w:rsidR="00965D85" w:rsidRPr="00D71705"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D71705">
              <w:rPr>
                <w:rFonts w:ascii="Calibri" w:eastAsiaTheme="minorEastAsia" w:hAnsi="Calibri" w:cs="Calibri"/>
                <w:color w:val="000000"/>
                <w:sz w:val="20"/>
                <w:lang w:eastAsia="en-AU"/>
              </w:rPr>
              <w:t>0.5</w:t>
            </w:r>
          </w:p>
        </w:tc>
        <w:tc>
          <w:tcPr>
            <w:tcW w:w="964" w:type="dxa"/>
            <w:tcBorders>
              <w:top w:val="single" w:sz="6" w:space="0" w:color="auto"/>
              <w:left w:val="nil"/>
              <w:bottom w:val="single" w:sz="6" w:space="0" w:color="auto"/>
              <w:right w:val="nil"/>
            </w:tcBorders>
            <w:shd w:val="clear" w:color="auto" w:fill="FFFFFF"/>
          </w:tcPr>
          <w:p w:rsidR="00965D85" w:rsidRPr="00D71705"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D71705">
              <w:rPr>
                <w:rFonts w:ascii="Calibri" w:eastAsiaTheme="minorEastAsia" w:hAnsi="Calibri" w:cs="Calibri"/>
                <w:color w:val="000000"/>
                <w:sz w:val="20"/>
                <w:lang w:eastAsia="en-AU"/>
              </w:rPr>
              <w:t>0.5</w:t>
            </w:r>
          </w:p>
        </w:tc>
        <w:tc>
          <w:tcPr>
            <w:tcW w:w="964" w:type="dxa"/>
            <w:tcBorders>
              <w:top w:val="single" w:sz="6" w:space="0" w:color="auto"/>
              <w:left w:val="nil"/>
              <w:bottom w:val="single" w:sz="6" w:space="0" w:color="auto"/>
              <w:right w:val="nil"/>
            </w:tcBorders>
            <w:shd w:val="clear" w:color="auto" w:fill="FFFFFF"/>
          </w:tcPr>
          <w:p w:rsidR="00965D85" w:rsidRPr="00D71705"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D71705">
              <w:rPr>
                <w:rFonts w:ascii="Calibri" w:eastAsiaTheme="minorEastAsia" w:hAnsi="Calibri" w:cs="Calibri"/>
                <w:color w:val="000000"/>
                <w:sz w:val="20"/>
                <w:lang w:eastAsia="en-AU"/>
              </w:rPr>
              <w:t>0.5</w:t>
            </w:r>
          </w:p>
        </w:tc>
        <w:tc>
          <w:tcPr>
            <w:tcW w:w="964" w:type="dxa"/>
            <w:tcBorders>
              <w:top w:val="single" w:sz="6" w:space="0" w:color="auto"/>
              <w:left w:val="nil"/>
              <w:bottom w:val="single" w:sz="6" w:space="0" w:color="auto"/>
              <w:right w:val="nil"/>
            </w:tcBorders>
            <w:shd w:val="clear" w:color="auto" w:fill="FFFFFF"/>
          </w:tcPr>
          <w:p w:rsidR="00965D85" w:rsidRPr="00D71705"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D71705">
              <w:rPr>
                <w:rFonts w:ascii="Calibri" w:eastAsiaTheme="minorEastAsia" w:hAnsi="Calibri" w:cs="Calibri"/>
                <w:color w:val="000000"/>
                <w:sz w:val="20"/>
                <w:lang w:eastAsia="en-AU"/>
              </w:rPr>
              <w:t>0.5</w:t>
            </w:r>
          </w:p>
        </w:tc>
      </w:tr>
      <w:tr w:rsidR="00965D85" w:rsidRPr="00D71705" w:rsidTr="008B46DF">
        <w:trPr>
          <w:cantSplit/>
        </w:trPr>
        <w:tc>
          <w:tcPr>
            <w:tcW w:w="3969" w:type="dxa"/>
            <w:tcBorders>
              <w:top w:val="single" w:sz="6" w:space="0" w:color="auto"/>
              <w:left w:val="nil"/>
              <w:bottom w:val="single" w:sz="12" w:space="0" w:color="auto"/>
              <w:right w:val="nil"/>
            </w:tcBorders>
            <w:shd w:val="solid" w:color="FFFFFF" w:fill="FFFFFF"/>
          </w:tcPr>
          <w:p w:rsidR="00965D85" w:rsidRPr="00D71705" w:rsidRDefault="00965D85" w:rsidP="008B46DF">
            <w:pPr>
              <w:autoSpaceDE w:val="0"/>
              <w:autoSpaceDN w:val="0"/>
              <w:adjustRightInd w:val="0"/>
              <w:spacing w:after="0"/>
              <w:ind w:left="227" w:hanging="227"/>
              <w:rPr>
                <w:rFonts w:ascii="Calibri" w:eastAsiaTheme="minorEastAsia" w:hAnsi="Calibri" w:cs="Calibri"/>
                <w:b/>
                <w:bCs/>
                <w:color w:val="000000"/>
                <w:sz w:val="20"/>
                <w:lang w:eastAsia="en-AU"/>
              </w:rPr>
            </w:pPr>
          </w:p>
        </w:tc>
        <w:tc>
          <w:tcPr>
            <w:tcW w:w="907" w:type="dxa"/>
            <w:tcBorders>
              <w:top w:val="single" w:sz="6" w:space="0" w:color="auto"/>
              <w:left w:val="nil"/>
              <w:bottom w:val="single" w:sz="12" w:space="0" w:color="auto"/>
              <w:right w:val="nil"/>
            </w:tcBorders>
            <w:shd w:val="solid" w:color="FFFFFF" w:fill="FFFFFF"/>
          </w:tcPr>
          <w:p w:rsidR="00965D85" w:rsidRPr="00D71705"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D71705">
              <w:rPr>
                <w:rFonts w:ascii="Calibri" w:eastAsiaTheme="minorEastAsia" w:hAnsi="Calibri" w:cs="Calibri"/>
                <w:b/>
                <w:bCs/>
                <w:color w:val="000000"/>
                <w:sz w:val="20"/>
                <w:lang w:eastAsia="en-AU"/>
              </w:rPr>
              <w:t>0.5</w:t>
            </w:r>
          </w:p>
        </w:tc>
        <w:tc>
          <w:tcPr>
            <w:tcW w:w="964" w:type="dxa"/>
            <w:tcBorders>
              <w:top w:val="single" w:sz="6" w:space="0" w:color="auto"/>
              <w:left w:val="nil"/>
              <w:bottom w:val="single" w:sz="12" w:space="0" w:color="auto"/>
              <w:right w:val="nil"/>
            </w:tcBorders>
            <w:shd w:val="solid" w:color="FFFFFF" w:fill="FFFFFF"/>
          </w:tcPr>
          <w:p w:rsidR="00965D85" w:rsidRPr="00D71705"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D71705">
              <w:rPr>
                <w:rFonts w:ascii="Calibri" w:eastAsiaTheme="minorEastAsia" w:hAnsi="Calibri" w:cs="Calibri"/>
                <w:b/>
                <w:bCs/>
                <w:color w:val="000000"/>
                <w:sz w:val="20"/>
                <w:lang w:eastAsia="en-AU"/>
              </w:rPr>
              <w:t>0.5</w:t>
            </w:r>
          </w:p>
        </w:tc>
        <w:tc>
          <w:tcPr>
            <w:tcW w:w="964" w:type="dxa"/>
            <w:tcBorders>
              <w:top w:val="single" w:sz="6" w:space="0" w:color="auto"/>
              <w:left w:val="nil"/>
              <w:bottom w:val="single" w:sz="12" w:space="0" w:color="auto"/>
              <w:right w:val="nil"/>
            </w:tcBorders>
            <w:shd w:val="solid" w:color="FFFFFF" w:fill="FFFFFF"/>
          </w:tcPr>
          <w:p w:rsidR="00965D85" w:rsidRPr="00D71705"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D71705">
              <w:rPr>
                <w:rFonts w:ascii="Calibri" w:eastAsiaTheme="minorEastAsia" w:hAnsi="Calibri" w:cs="Calibri"/>
                <w:b/>
                <w:bCs/>
                <w:color w:val="000000"/>
                <w:sz w:val="20"/>
                <w:lang w:eastAsia="en-AU"/>
              </w:rPr>
              <w:t>0.5</w:t>
            </w:r>
          </w:p>
        </w:tc>
        <w:tc>
          <w:tcPr>
            <w:tcW w:w="964" w:type="dxa"/>
            <w:tcBorders>
              <w:top w:val="single" w:sz="6" w:space="0" w:color="auto"/>
              <w:left w:val="nil"/>
              <w:bottom w:val="single" w:sz="12" w:space="0" w:color="auto"/>
              <w:right w:val="nil"/>
            </w:tcBorders>
            <w:shd w:val="solid" w:color="FFFFFF" w:fill="FFFFFF"/>
          </w:tcPr>
          <w:p w:rsidR="00965D85" w:rsidRPr="00D71705"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D71705">
              <w:rPr>
                <w:rFonts w:ascii="Calibri" w:eastAsiaTheme="minorEastAsia" w:hAnsi="Calibri" w:cs="Calibri"/>
                <w:b/>
                <w:bCs/>
                <w:color w:val="000000"/>
                <w:sz w:val="20"/>
                <w:lang w:eastAsia="en-AU"/>
              </w:rPr>
              <w:t>0.5</w:t>
            </w:r>
          </w:p>
        </w:tc>
      </w:tr>
    </w:tbl>
    <w:p w:rsidR="00965D85" w:rsidRPr="00776214" w:rsidRDefault="00965D85" w:rsidP="008B46DF">
      <w:r>
        <w:fldChar w:fldCharType="end"/>
      </w:r>
      <w:r w:rsidRPr="00776214">
        <w:t xml:space="preserve"> </w:t>
      </w:r>
    </w:p>
    <w:p w:rsidR="00965D85" w:rsidRDefault="00965D85" w:rsidP="008B46DF">
      <w:pPr>
        <w:pStyle w:val="Heading5"/>
      </w:pPr>
      <w:r w:rsidRPr="00AB543A">
        <w:t>Appointment of ad</w:t>
      </w:r>
      <w:r>
        <w:t>ditional parliamentary advisors</w:t>
      </w:r>
    </w:p>
    <w:p w:rsidR="00965D85" w:rsidRDefault="00965D85" w:rsidP="008B46DF">
      <w:r>
        <w:t>Four additional advisors will be employed to support independent and cross</w:t>
      </w:r>
      <w:r>
        <w:noBreakHyphen/>
        <w:t>bench members in the Parliament.</w:t>
      </w:r>
    </w:p>
    <w:p w:rsidR="00965D85" w:rsidRDefault="00965D85" w:rsidP="008B46DF">
      <w:r>
        <w:t>This initiative contributes to Parliament’s Parliamentary Services output.</w:t>
      </w:r>
    </w:p>
    <w:p w:rsidR="00965D85" w:rsidRDefault="00965D85">
      <w:pPr>
        <w:spacing w:after="0"/>
        <w:rPr>
          <w:rFonts w:ascii="Calibri" w:hAnsi="Calibri"/>
          <w:b/>
          <w:caps/>
          <w:sz w:val="26"/>
          <w:szCs w:val="22"/>
        </w:rPr>
      </w:pPr>
      <w:r>
        <w:br w:type="page"/>
      </w:r>
    </w:p>
    <w:p w:rsidR="00965D85" w:rsidRPr="00392D14" w:rsidRDefault="00965D85" w:rsidP="00392D14">
      <w:pPr>
        <w:pStyle w:val="Heading1"/>
      </w:pPr>
      <w:bookmarkStart w:id="91" w:name="_Toc436147556"/>
      <w:r w:rsidRPr="00392D14">
        <w:lastRenderedPageBreak/>
        <w:t>Courts</w:t>
      </w:r>
      <w:bookmarkEnd w:id="91"/>
    </w:p>
    <w:p w:rsidR="00965D85" w:rsidRDefault="00965D85" w:rsidP="008B46DF">
      <w:pPr>
        <w:pStyle w:val="Heading3"/>
      </w:pPr>
      <w:r>
        <w:t>Output initiatives</w:t>
      </w:r>
    </w:p>
    <w:p w:rsidR="00965D85" w:rsidRPr="00C50BB3" w:rsidRDefault="00965D85" w:rsidP="008B46DF">
      <w:pPr>
        <w:pStyle w:val="Tableheading"/>
      </w:pPr>
      <w:r>
        <w:t>Table A.10:</w:t>
      </w:r>
      <w:r>
        <w:tab/>
        <w:t>Output initiatives – Courts</w:t>
      </w:r>
    </w:p>
    <w:p w:rsidR="00965D85" w:rsidRDefault="00965D85" w:rsidP="008B46DF">
      <w:pPr>
        <w:pStyle w:val="million"/>
        <w:rPr>
          <w:rFonts w:ascii="Times New Roman" w:hAnsi="Times New Roman"/>
          <w:i w:val="0"/>
          <w:sz w:val="20"/>
          <w:szCs w:val="20"/>
          <w:lang w:eastAsia="en-AU"/>
        </w:rPr>
      </w:pPr>
      <w:r>
        <w:t>($ million)</w:t>
      </w:r>
      <w:r>
        <w:fldChar w:fldCharType="begin" w:fldLock="1"/>
      </w:r>
      <w:r>
        <w:instrText xml:space="preserve"> LINK Excel.Sheet.12 "\\\\PDCPTPRDFIL01\\DTFDATA02$\\SECURED\\Budget\\BudgetUpdate\\AppendixA\\AppendixA.xlsx" "Courts!Courts_outputs"\* MERGEFORMAT\f 4 \r </w:instrText>
      </w:r>
      <w:r>
        <w:fldChar w:fldCharType="separate"/>
      </w:r>
    </w:p>
    <w:tbl>
      <w:tblPr>
        <w:tblW w:w="7768" w:type="dxa"/>
        <w:tblInd w:w="45" w:type="dxa"/>
        <w:tblLayout w:type="fixed"/>
        <w:tblCellMar>
          <w:left w:w="45" w:type="dxa"/>
          <w:right w:w="45" w:type="dxa"/>
        </w:tblCellMar>
        <w:tblLook w:val="0000" w:firstRow="0" w:lastRow="0" w:firstColumn="0" w:lastColumn="0" w:noHBand="0" w:noVBand="0"/>
      </w:tblPr>
      <w:tblGrid>
        <w:gridCol w:w="3912"/>
        <w:gridCol w:w="964"/>
        <w:gridCol w:w="964"/>
        <w:gridCol w:w="964"/>
        <w:gridCol w:w="964"/>
      </w:tblGrid>
      <w:tr w:rsidR="00965D85" w:rsidRPr="00D71705" w:rsidTr="008B46DF">
        <w:trPr>
          <w:cantSplit/>
          <w:tblHeader/>
        </w:trPr>
        <w:tc>
          <w:tcPr>
            <w:tcW w:w="3912" w:type="dxa"/>
            <w:tcBorders>
              <w:top w:val="single" w:sz="6" w:space="0" w:color="auto"/>
              <w:left w:val="single" w:sz="6" w:space="0" w:color="auto"/>
              <w:bottom w:val="single" w:sz="6" w:space="0" w:color="auto"/>
              <w:right w:val="nil"/>
            </w:tcBorders>
            <w:shd w:val="solid" w:color="000000" w:fill="auto"/>
          </w:tcPr>
          <w:p w:rsidR="00965D85" w:rsidRPr="00D71705" w:rsidRDefault="00965D85" w:rsidP="008B46DF">
            <w:pPr>
              <w:autoSpaceDE w:val="0"/>
              <w:autoSpaceDN w:val="0"/>
              <w:adjustRightInd w:val="0"/>
              <w:spacing w:after="0"/>
              <w:rPr>
                <w:rFonts w:ascii="Calibri" w:eastAsiaTheme="minorEastAsia" w:hAnsi="Calibri" w:cs="Calibri"/>
                <w:color w:val="FFFFFF" w:themeColor="background1"/>
                <w:sz w:val="20"/>
                <w:lang w:eastAsia="en-AU"/>
              </w:rPr>
            </w:pPr>
          </w:p>
        </w:tc>
        <w:tc>
          <w:tcPr>
            <w:tcW w:w="964" w:type="dxa"/>
            <w:tcBorders>
              <w:top w:val="single" w:sz="6" w:space="0" w:color="auto"/>
              <w:left w:val="nil"/>
              <w:bottom w:val="single" w:sz="6" w:space="0" w:color="auto"/>
              <w:right w:val="nil"/>
            </w:tcBorders>
            <w:shd w:val="solid" w:color="000000" w:fill="auto"/>
          </w:tcPr>
          <w:p w:rsidR="00965D85" w:rsidRPr="00D71705" w:rsidRDefault="00965D85" w:rsidP="008B46DF">
            <w:pPr>
              <w:autoSpaceDE w:val="0"/>
              <w:autoSpaceDN w:val="0"/>
              <w:adjustRightInd w:val="0"/>
              <w:spacing w:after="0"/>
              <w:jc w:val="right"/>
              <w:rPr>
                <w:rFonts w:ascii="Calibri" w:eastAsiaTheme="minorEastAsia" w:hAnsi="Calibri" w:cs="Calibri"/>
                <w:i/>
                <w:iCs/>
                <w:color w:val="FFFFFF" w:themeColor="background1"/>
                <w:sz w:val="20"/>
                <w:lang w:eastAsia="en-AU"/>
              </w:rPr>
            </w:pPr>
            <w:r w:rsidRPr="00D71705">
              <w:rPr>
                <w:rFonts w:ascii="Calibri" w:eastAsiaTheme="minorEastAsia" w:hAnsi="Calibri" w:cs="Calibri"/>
                <w:i/>
                <w:iCs/>
                <w:color w:val="FFFFFF" w:themeColor="background1"/>
                <w:sz w:val="20"/>
                <w:lang w:eastAsia="en-AU"/>
              </w:rPr>
              <w:t>2015</w:t>
            </w:r>
            <w:r>
              <w:rPr>
                <w:rFonts w:ascii="Calibri" w:eastAsiaTheme="minorEastAsia" w:hAnsi="Calibri" w:cs="Calibri"/>
                <w:i/>
                <w:iCs/>
                <w:color w:val="FFFFFF" w:themeColor="background1"/>
                <w:sz w:val="20"/>
                <w:lang w:eastAsia="en-AU"/>
              </w:rPr>
              <w:noBreakHyphen/>
            </w:r>
            <w:r w:rsidRPr="00D71705">
              <w:rPr>
                <w:rFonts w:ascii="Calibri" w:eastAsiaTheme="minorEastAsia" w:hAnsi="Calibri" w:cs="Calibri"/>
                <w:i/>
                <w:iCs/>
                <w:color w:val="FFFFFF" w:themeColor="background1"/>
                <w:sz w:val="20"/>
                <w:lang w:eastAsia="en-AU"/>
              </w:rPr>
              <w:t>16</w:t>
            </w:r>
          </w:p>
        </w:tc>
        <w:tc>
          <w:tcPr>
            <w:tcW w:w="964" w:type="dxa"/>
            <w:tcBorders>
              <w:top w:val="single" w:sz="6" w:space="0" w:color="auto"/>
              <w:left w:val="nil"/>
              <w:bottom w:val="single" w:sz="6" w:space="0" w:color="auto"/>
              <w:right w:val="nil"/>
            </w:tcBorders>
            <w:shd w:val="solid" w:color="000000" w:fill="auto"/>
          </w:tcPr>
          <w:p w:rsidR="00965D85" w:rsidRPr="00D71705" w:rsidRDefault="00965D85" w:rsidP="008B46DF">
            <w:pPr>
              <w:autoSpaceDE w:val="0"/>
              <w:autoSpaceDN w:val="0"/>
              <w:adjustRightInd w:val="0"/>
              <w:spacing w:after="0"/>
              <w:jc w:val="right"/>
              <w:rPr>
                <w:rFonts w:ascii="Calibri" w:eastAsiaTheme="minorEastAsia" w:hAnsi="Calibri" w:cs="Calibri"/>
                <w:i/>
                <w:iCs/>
                <w:color w:val="FFFFFF" w:themeColor="background1"/>
                <w:sz w:val="20"/>
                <w:lang w:eastAsia="en-AU"/>
              </w:rPr>
            </w:pPr>
            <w:r w:rsidRPr="00D71705">
              <w:rPr>
                <w:rFonts w:ascii="Calibri" w:eastAsiaTheme="minorEastAsia" w:hAnsi="Calibri" w:cs="Calibri"/>
                <w:i/>
                <w:iCs/>
                <w:color w:val="FFFFFF" w:themeColor="background1"/>
                <w:sz w:val="20"/>
                <w:lang w:eastAsia="en-AU"/>
              </w:rPr>
              <w:t>2016</w:t>
            </w:r>
            <w:r>
              <w:rPr>
                <w:rFonts w:ascii="Calibri" w:eastAsiaTheme="minorEastAsia" w:hAnsi="Calibri" w:cs="Calibri"/>
                <w:i/>
                <w:iCs/>
                <w:color w:val="FFFFFF" w:themeColor="background1"/>
                <w:sz w:val="20"/>
                <w:lang w:eastAsia="en-AU"/>
              </w:rPr>
              <w:noBreakHyphen/>
            </w:r>
            <w:r w:rsidRPr="00D71705">
              <w:rPr>
                <w:rFonts w:ascii="Calibri" w:eastAsiaTheme="minorEastAsia" w:hAnsi="Calibri" w:cs="Calibri"/>
                <w:i/>
                <w:iCs/>
                <w:color w:val="FFFFFF" w:themeColor="background1"/>
                <w:sz w:val="20"/>
                <w:lang w:eastAsia="en-AU"/>
              </w:rPr>
              <w:t>17</w:t>
            </w:r>
          </w:p>
        </w:tc>
        <w:tc>
          <w:tcPr>
            <w:tcW w:w="964" w:type="dxa"/>
            <w:tcBorders>
              <w:top w:val="single" w:sz="6" w:space="0" w:color="auto"/>
              <w:left w:val="nil"/>
              <w:bottom w:val="single" w:sz="6" w:space="0" w:color="auto"/>
              <w:right w:val="nil"/>
            </w:tcBorders>
            <w:shd w:val="solid" w:color="000000" w:fill="auto"/>
          </w:tcPr>
          <w:p w:rsidR="00965D85" w:rsidRPr="00D71705" w:rsidRDefault="00965D85" w:rsidP="008B46DF">
            <w:pPr>
              <w:autoSpaceDE w:val="0"/>
              <w:autoSpaceDN w:val="0"/>
              <w:adjustRightInd w:val="0"/>
              <w:spacing w:after="0"/>
              <w:jc w:val="right"/>
              <w:rPr>
                <w:rFonts w:ascii="Calibri" w:eastAsiaTheme="minorEastAsia" w:hAnsi="Calibri" w:cs="Calibri"/>
                <w:i/>
                <w:iCs/>
                <w:color w:val="FFFFFF" w:themeColor="background1"/>
                <w:sz w:val="20"/>
                <w:lang w:eastAsia="en-AU"/>
              </w:rPr>
            </w:pPr>
            <w:r w:rsidRPr="00D71705">
              <w:rPr>
                <w:rFonts w:ascii="Calibri" w:eastAsiaTheme="minorEastAsia" w:hAnsi="Calibri" w:cs="Calibri"/>
                <w:i/>
                <w:iCs/>
                <w:color w:val="FFFFFF" w:themeColor="background1"/>
                <w:sz w:val="20"/>
                <w:lang w:eastAsia="en-AU"/>
              </w:rPr>
              <w:t>2017</w:t>
            </w:r>
            <w:r>
              <w:rPr>
                <w:rFonts w:ascii="Calibri" w:eastAsiaTheme="minorEastAsia" w:hAnsi="Calibri" w:cs="Calibri"/>
                <w:i/>
                <w:iCs/>
                <w:color w:val="FFFFFF" w:themeColor="background1"/>
                <w:sz w:val="20"/>
                <w:lang w:eastAsia="en-AU"/>
              </w:rPr>
              <w:noBreakHyphen/>
            </w:r>
            <w:r w:rsidRPr="00D71705">
              <w:rPr>
                <w:rFonts w:ascii="Calibri" w:eastAsiaTheme="minorEastAsia" w:hAnsi="Calibri" w:cs="Calibri"/>
                <w:i/>
                <w:iCs/>
                <w:color w:val="FFFFFF" w:themeColor="background1"/>
                <w:sz w:val="20"/>
                <w:lang w:eastAsia="en-AU"/>
              </w:rPr>
              <w:t>18</w:t>
            </w:r>
          </w:p>
        </w:tc>
        <w:tc>
          <w:tcPr>
            <w:tcW w:w="964" w:type="dxa"/>
            <w:tcBorders>
              <w:top w:val="single" w:sz="6" w:space="0" w:color="auto"/>
              <w:left w:val="nil"/>
              <w:bottom w:val="single" w:sz="6" w:space="0" w:color="auto"/>
              <w:right w:val="nil"/>
            </w:tcBorders>
            <w:shd w:val="solid" w:color="000000" w:fill="auto"/>
          </w:tcPr>
          <w:p w:rsidR="00965D85" w:rsidRPr="00D71705" w:rsidRDefault="00965D85" w:rsidP="008B46DF">
            <w:pPr>
              <w:autoSpaceDE w:val="0"/>
              <w:autoSpaceDN w:val="0"/>
              <w:adjustRightInd w:val="0"/>
              <w:spacing w:after="0"/>
              <w:jc w:val="right"/>
              <w:rPr>
                <w:rFonts w:ascii="Calibri" w:eastAsiaTheme="minorEastAsia" w:hAnsi="Calibri" w:cs="Calibri"/>
                <w:i/>
                <w:iCs/>
                <w:color w:val="FFFFFF" w:themeColor="background1"/>
                <w:sz w:val="20"/>
                <w:lang w:eastAsia="en-AU"/>
              </w:rPr>
            </w:pPr>
            <w:r w:rsidRPr="00D71705">
              <w:rPr>
                <w:rFonts w:ascii="Calibri" w:eastAsiaTheme="minorEastAsia" w:hAnsi="Calibri" w:cs="Calibri"/>
                <w:i/>
                <w:iCs/>
                <w:color w:val="FFFFFF" w:themeColor="background1"/>
                <w:sz w:val="20"/>
                <w:lang w:eastAsia="en-AU"/>
              </w:rPr>
              <w:t>2018</w:t>
            </w:r>
            <w:r>
              <w:rPr>
                <w:rFonts w:ascii="Calibri" w:eastAsiaTheme="minorEastAsia" w:hAnsi="Calibri" w:cs="Calibri"/>
                <w:i/>
                <w:iCs/>
                <w:color w:val="FFFFFF" w:themeColor="background1"/>
                <w:sz w:val="20"/>
                <w:lang w:eastAsia="en-AU"/>
              </w:rPr>
              <w:noBreakHyphen/>
            </w:r>
            <w:r w:rsidRPr="00D71705">
              <w:rPr>
                <w:rFonts w:ascii="Calibri" w:eastAsiaTheme="minorEastAsia" w:hAnsi="Calibri" w:cs="Calibri"/>
                <w:i/>
                <w:iCs/>
                <w:color w:val="FFFFFF" w:themeColor="background1"/>
                <w:sz w:val="20"/>
                <w:lang w:eastAsia="en-AU"/>
              </w:rPr>
              <w:t>19</w:t>
            </w:r>
          </w:p>
        </w:tc>
      </w:tr>
      <w:tr w:rsidR="00965D85" w:rsidRPr="00D71705" w:rsidTr="008B46DF">
        <w:trPr>
          <w:cantSplit/>
        </w:trPr>
        <w:tc>
          <w:tcPr>
            <w:tcW w:w="3912" w:type="dxa"/>
            <w:tcBorders>
              <w:top w:val="single" w:sz="6" w:space="0" w:color="auto"/>
              <w:left w:val="nil"/>
              <w:bottom w:val="single" w:sz="6" w:space="0" w:color="auto"/>
              <w:right w:val="nil"/>
            </w:tcBorders>
            <w:shd w:val="clear" w:color="auto" w:fill="FFFFFF"/>
          </w:tcPr>
          <w:p w:rsidR="00965D85" w:rsidRPr="00D71705"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D71705">
              <w:rPr>
                <w:rFonts w:ascii="Calibri" w:eastAsiaTheme="minorEastAsia" w:hAnsi="Calibri" w:cs="Calibri"/>
                <w:color w:val="000000"/>
                <w:sz w:val="20"/>
                <w:lang w:eastAsia="en-AU"/>
              </w:rPr>
              <w:t xml:space="preserve">Heidelberg Court </w:t>
            </w:r>
            <w:r>
              <w:rPr>
                <w:rFonts w:ascii="Calibri" w:eastAsiaTheme="minorEastAsia" w:hAnsi="Calibri" w:cs="Calibri"/>
                <w:color w:val="000000"/>
                <w:sz w:val="20"/>
                <w:lang w:eastAsia="en-AU"/>
              </w:rPr>
              <w:t>r</w:t>
            </w:r>
            <w:r w:rsidRPr="00D71705">
              <w:rPr>
                <w:rFonts w:ascii="Calibri" w:eastAsiaTheme="minorEastAsia" w:hAnsi="Calibri" w:cs="Calibri"/>
                <w:color w:val="000000"/>
                <w:sz w:val="20"/>
                <w:lang w:eastAsia="en-AU"/>
              </w:rPr>
              <w:t>emediation</w:t>
            </w:r>
          </w:p>
        </w:tc>
        <w:tc>
          <w:tcPr>
            <w:tcW w:w="964" w:type="dxa"/>
            <w:tcBorders>
              <w:top w:val="single" w:sz="6" w:space="0" w:color="auto"/>
              <w:left w:val="nil"/>
              <w:bottom w:val="single" w:sz="6" w:space="0" w:color="auto"/>
              <w:right w:val="nil"/>
            </w:tcBorders>
            <w:shd w:val="clear" w:color="auto" w:fill="FFFFFF"/>
          </w:tcPr>
          <w:p w:rsidR="00965D85" w:rsidRPr="00D71705"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D71705">
              <w:rPr>
                <w:rFonts w:ascii="Calibri" w:eastAsiaTheme="minorEastAsia" w:hAnsi="Calibri" w:cs="Calibri"/>
                <w:color w:val="000000"/>
                <w:sz w:val="20"/>
                <w:lang w:eastAsia="en-AU"/>
              </w:rPr>
              <w:t>0.5</w:t>
            </w:r>
          </w:p>
        </w:tc>
        <w:tc>
          <w:tcPr>
            <w:tcW w:w="964" w:type="dxa"/>
            <w:tcBorders>
              <w:top w:val="single" w:sz="6" w:space="0" w:color="auto"/>
              <w:left w:val="nil"/>
              <w:bottom w:val="single" w:sz="6" w:space="0" w:color="auto"/>
              <w:right w:val="nil"/>
            </w:tcBorders>
            <w:shd w:val="clear" w:color="auto" w:fill="FFFFFF"/>
          </w:tcPr>
          <w:p w:rsidR="00965D85" w:rsidRPr="00D71705"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D71705">
              <w:rPr>
                <w:rFonts w:ascii="Calibri" w:eastAsiaTheme="minorEastAsia" w:hAnsi="Calibri" w:cs="Calibri"/>
                <w:color w:val="000000"/>
                <w:sz w:val="20"/>
                <w:lang w:eastAsia="en-AU"/>
              </w:rPr>
              <w:t>..</w:t>
            </w:r>
          </w:p>
        </w:tc>
        <w:tc>
          <w:tcPr>
            <w:tcW w:w="964" w:type="dxa"/>
            <w:tcBorders>
              <w:top w:val="single" w:sz="6" w:space="0" w:color="auto"/>
              <w:left w:val="nil"/>
              <w:bottom w:val="single" w:sz="6" w:space="0" w:color="auto"/>
              <w:right w:val="nil"/>
            </w:tcBorders>
            <w:shd w:val="clear" w:color="auto" w:fill="FFFFFF"/>
          </w:tcPr>
          <w:p w:rsidR="00965D85" w:rsidRPr="00D71705"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D71705">
              <w:rPr>
                <w:rFonts w:ascii="Calibri" w:eastAsiaTheme="minorEastAsia" w:hAnsi="Calibri" w:cs="Calibri"/>
                <w:color w:val="000000"/>
                <w:sz w:val="20"/>
                <w:lang w:eastAsia="en-AU"/>
              </w:rPr>
              <w:t>..</w:t>
            </w:r>
          </w:p>
        </w:tc>
        <w:tc>
          <w:tcPr>
            <w:tcW w:w="964" w:type="dxa"/>
            <w:tcBorders>
              <w:top w:val="single" w:sz="6" w:space="0" w:color="auto"/>
              <w:left w:val="nil"/>
              <w:bottom w:val="single" w:sz="6" w:space="0" w:color="auto"/>
              <w:right w:val="nil"/>
            </w:tcBorders>
            <w:shd w:val="clear" w:color="auto" w:fill="FFFFFF"/>
          </w:tcPr>
          <w:p w:rsidR="00965D85" w:rsidRPr="00D71705"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D71705">
              <w:rPr>
                <w:rFonts w:ascii="Calibri" w:eastAsiaTheme="minorEastAsia" w:hAnsi="Calibri" w:cs="Calibri"/>
                <w:color w:val="000000"/>
                <w:sz w:val="20"/>
                <w:lang w:eastAsia="en-AU"/>
              </w:rPr>
              <w:t>..</w:t>
            </w:r>
          </w:p>
        </w:tc>
      </w:tr>
      <w:tr w:rsidR="00965D85" w:rsidRPr="00D71705" w:rsidTr="008B46DF">
        <w:trPr>
          <w:cantSplit/>
        </w:trPr>
        <w:tc>
          <w:tcPr>
            <w:tcW w:w="3912" w:type="dxa"/>
            <w:tcBorders>
              <w:top w:val="single" w:sz="6" w:space="0" w:color="auto"/>
              <w:left w:val="nil"/>
              <w:bottom w:val="single" w:sz="12" w:space="0" w:color="auto"/>
              <w:right w:val="nil"/>
            </w:tcBorders>
            <w:shd w:val="solid" w:color="FFFFFF" w:fill="FFFFFF"/>
          </w:tcPr>
          <w:p w:rsidR="00965D85" w:rsidRPr="00D71705" w:rsidRDefault="00965D85" w:rsidP="008B46DF">
            <w:pPr>
              <w:autoSpaceDE w:val="0"/>
              <w:autoSpaceDN w:val="0"/>
              <w:adjustRightInd w:val="0"/>
              <w:spacing w:after="0"/>
              <w:ind w:left="227" w:hanging="227"/>
              <w:rPr>
                <w:rFonts w:ascii="Calibri" w:eastAsiaTheme="minorEastAsia" w:hAnsi="Calibri" w:cs="Calibri"/>
                <w:b/>
                <w:bCs/>
                <w:color w:val="000000"/>
                <w:sz w:val="20"/>
                <w:lang w:eastAsia="en-AU"/>
              </w:rPr>
            </w:pPr>
          </w:p>
        </w:tc>
        <w:tc>
          <w:tcPr>
            <w:tcW w:w="964" w:type="dxa"/>
            <w:tcBorders>
              <w:top w:val="single" w:sz="6" w:space="0" w:color="auto"/>
              <w:left w:val="nil"/>
              <w:bottom w:val="single" w:sz="12" w:space="0" w:color="auto"/>
              <w:right w:val="nil"/>
            </w:tcBorders>
            <w:shd w:val="solid" w:color="FFFFFF" w:fill="FFFFFF"/>
          </w:tcPr>
          <w:p w:rsidR="00965D85" w:rsidRPr="00D71705"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D71705">
              <w:rPr>
                <w:rFonts w:ascii="Calibri" w:eastAsiaTheme="minorEastAsia" w:hAnsi="Calibri" w:cs="Calibri"/>
                <w:b/>
                <w:bCs/>
                <w:color w:val="000000"/>
                <w:sz w:val="20"/>
                <w:lang w:eastAsia="en-AU"/>
              </w:rPr>
              <w:t>0.5</w:t>
            </w:r>
          </w:p>
        </w:tc>
        <w:tc>
          <w:tcPr>
            <w:tcW w:w="964" w:type="dxa"/>
            <w:tcBorders>
              <w:top w:val="single" w:sz="6" w:space="0" w:color="auto"/>
              <w:left w:val="nil"/>
              <w:bottom w:val="single" w:sz="12" w:space="0" w:color="auto"/>
              <w:right w:val="nil"/>
            </w:tcBorders>
            <w:shd w:val="solid" w:color="FFFFFF" w:fill="FFFFFF"/>
          </w:tcPr>
          <w:p w:rsidR="00965D85" w:rsidRPr="00D71705"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D71705">
              <w:rPr>
                <w:rFonts w:ascii="Calibri" w:eastAsiaTheme="minorEastAsia" w:hAnsi="Calibri" w:cs="Calibri"/>
                <w:b/>
                <w:bCs/>
                <w:color w:val="000000"/>
                <w:sz w:val="20"/>
                <w:lang w:eastAsia="en-AU"/>
              </w:rPr>
              <w:t>..</w:t>
            </w:r>
          </w:p>
        </w:tc>
        <w:tc>
          <w:tcPr>
            <w:tcW w:w="964" w:type="dxa"/>
            <w:tcBorders>
              <w:top w:val="single" w:sz="6" w:space="0" w:color="auto"/>
              <w:left w:val="nil"/>
              <w:bottom w:val="single" w:sz="12" w:space="0" w:color="auto"/>
              <w:right w:val="nil"/>
            </w:tcBorders>
            <w:shd w:val="solid" w:color="FFFFFF" w:fill="FFFFFF"/>
          </w:tcPr>
          <w:p w:rsidR="00965D85" w:rsidRPr="00D71705"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D71705">
              <w:rPr>
                <w:rFonts w:ascii="Calibri" w:eastAsiaTheme="minorEastAsia" w:hAnsi="Calibri" w:cs="Calibri"/>
                <w:b/>
                <w:bCs/>
                <w:color w:val="000000"/>
                <w:sz w:val="20"/>
                <w:lang w:eastAsia="en-AU"/>
              </w:rPr>
              <w:t>..</w:t>
            </w:r>
          </w:p>
        </w:tc>
        <w:tc>
          <w:tcPr>
            <w:tcW w:w="964" w:type="dxa"/>
            <w:tcBorders>
              <w:top w:val="single" w:sz="6" w:space="0" w:color="auto"/>
              <w:left w:val="nil"/>
              <w:bottom w:val="single" w:sz="12" w:space="0" w:color="auto"/>
              <w:right w:val="nil"/>
            </w:tcBorders>
            <w:shd w:val="solid" w:color="FFFFFF" w:fill="FFFFFF"/>
          </w:tcPr>
          <w:p w:rsidR="00965D85" w:rsidRPr="00D71705"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D71705">
              <w:rPr>
                <w:rFonts w:ascii="Calibri" w:eastAsiaTheme="minorEastAsia" w:hAnsi="Calibri" w:cs="Calibri"/>
                <w:b/>
                <w:bCs/>
                <w:color w:val="000000"/>
                <w:sz w:val="20"/>
                <w:lang w:eastAsia="en-AU"/>
              </w:rPr>
              <w:t>..</w:t>
            </w:r>
          </w:p>
        </w:tc>
      </w:tr>
    </w:tbl>
    <w:p w:rsidR="00965D85" w:rsidRPr="00776214" w:rsidRDefault="00965D85" w:rsidP="008B46DF">
      <w:r>
        <w:fldChar w:fldCharType="end"/>
      </w:r>
      <w:r w:rsidRPr="00776214">
        <w:t xml:space="preserve"> </w:t>
      </w:r>
    </w:p>
    <w:p w:rsidR="00965D85" w:rsidRDefault="00965D85" w:rsidP="008B46DF">
      <w:pPr>
        <w:pStyle w:val="Heading5"/>
      </w:pPr>
      <w:r w:rsidRPr="00D85BCB">
        <w:t xml:space="preserve">Heidelberg Court </w:t>
      </w:r>
      <w:r>
        <w:t>r</w:t>
      </w:r>
      <w:r w:rsidRPr="00D85BCB">
        <w:t>emediation</w:t>
      </w:r>
    </w:p>
    <w:p w:rsidR="00965D85" w:rsidRDefault="00965D85" w:rsidP="008B46DF">
      <w:r>
        <w:t>The Heidelberg Court suffered severe flooding in February 2015 due to a burst water main, requiring court operations to be shut down and cases to be reallocated to other courts or to be adjourned. Funding is provided to assist in remediation works to bring the court back up to an operational standard.</w:t>
      </w:r>
    </w:p>
    <w:p w:rsidR="00965D85" w:rsidRDefault="00965D85" w:rsidP="008B46DF">
      <w:r>
        <w:t>This initiative contributes to Court Services Victoria’s Courts output.</w:t>
      </w:r>
    </w:p>
    <w:p w:rsidR="00965D85" w:rsidRDefault="00965D85" w:rsidP="008B46DF">
      <w:pPr>
        <w:pStyle w:val="Heading3"/>
      </w:pPr>
      <w:r>
        <w:t>Asset initiatives</w:t>
      </w:r>
    </w:p>
    <w:p w:rsidR="00965D85" w:rsidRPr="00C50BB3" w:rsidRDefault="00965D85" w:rsidP="008B46DF">
      <w:pPr>
        <w:pStyle w:val="Tableheading"/>
      </w:pPr>
      <w:r>
        <w:t>Table A.11:</w:t>
      </w:r>
      <w:r>
        <w:tab/>
        <w:t>Asset initiatives – Courts</w:t>
      </w:r>
    </w:p>
    <w:p w:rsidR="00965D85" w:rsidRDefault="00965D85" w:rsidP="008B46DF">
      <w:pPr>
        <w:pStyle w:val="million"/>
        <w:rPr>
          <w:rFonts w:ascii="Times New Roman" w:hAnsi="Times New Roman"/>
          <w:i w:val="0"/>
          <w:sz w:val="20"/>
          <w:szCs w:val="20"/>
          <w:lang w:eastAsia="en-AU"/>
        </w:rPr>
      </w:pPr>
      <w:r>
        <w:t>($ million)</w:t>
      </w:r>
      <w:r>
        <w:fldChar w:fldCharType="begin" w:fldLock="1"/>
      </w:r>
      <w:r>
        <w:instrText xml:space="preserve"> LINK Excel.Sheet.12 "\\\\PDCPTPRDFIL01\\DTFDATA02$\\SECURED\\Budget\\BudgetUpdate\\AppendixA\\AppendixA.xlsx" "Courts!Courts_assets"\* MERGEFORMAT\f 4 \r </w:instrText>
      </w:r>
      <w:r>
        <w:fldChar w:fldCharType="separate"/>
      </w:r>
    </w:p>
    <w:tbl>
      <w:tblPr>
        <w:tblW w:w="7768" w:type="dxa"/>
        <w:tblInd w:w="45" w:type="dxa"/>
        <w:tblLayout w:type="fixed"/>
        <w:tblCellMar>
          <w:left w:w="45" w:type="dxa"/>
          <w:right w:w="45" w:type="dxa"/>
        </w:tblCellMar>
        <w:tblLook w:val="0000" w:firstRow="0" w:lastRow="0" w:firstColumn="0" w:lastColumn="0" w:noHBand="0" w:noVBand="0"/>
      </w:tblPr>
      <w:tblGrid>
        <w:gridCol w:w="3330"/>
        <w:gridCol w:w="904"/>
        <w:gridCol w:w="904"/>
        <w:gridCol w:w="904"/>
        <w:gridCol w:w="904"/>
        <w:gridCol w:w="822"/>
      </w:tblGrid>
      <w:tr w:rsidR="00965D85" w:rsidRPr="00D71705" w:rsidTr="008B46DF">
        <w:trPr>
          <w:cantSplit/>
          <w:tblHeader/>
        </w:trPr>
        <w:tc>
          <w:tcPr>
            <w:tcW w:w="3330" w:type="dxa"/>
            <w:tcBorders>
              <w:top w:val="single" w:sz="6" w:space="0" w:color="auto"/>
              <w:left w:val="single" w:sz="6" w:space="0" w:color="auto"/>
              <w:bottom w:val="single" w:sz="6" w:space="0" w:color="auto"/>
              <w:right w:val="nil"/>
            </w:tcBorders>
            <w:shd w:val="solid" w:color="000000" w:fill="auto"/>
          </w:tcPr>
          <w:p w:rsidR="00965D85" w:rsidRPr="00D71705" w:rsidRDefault="00965D85" w:rsidP="008B46DF">
            <w:pPr>
              <w:autoSpaceDE w:val="0"/>
              <w:autoSpaceDN w:val="0"/>
              <w:adjustRightInd w:val="0"/>
              <w:spacing w:after="0"/>
              <w:rPr>
                <w:rFonts w:ascii="Calibri" w:eastAsiaTheme="minorEastAsia" w:hAnsi="Calibri" w:cs="Calibri"/>
                <w:color w:val="FFFFFF" w:themeColor="background1"/>
                <w:sz w:val="20"/>
                <w:lang w:eastAsia="en-AU"/>
              </w:rPr>
            </w:pPr>
          </w:p>
        </w:tc>
        <w:tc>
          <w:tcPr>
            <w:tcW w:w="904" w:type="dxa"/>
            <w:tcBorders>
              <w:top w:val="single" w:sz="6" w:space="0" w:color="auto"/>
              <w:left w:val="nil"/>
              <w:bottom w:val="single" w:sz="6" w:space="0" w:color="auto"/>
              <w:right w:val="nil"/>
            </w:tcBorders>
            <w:shd w:val="solid" w:color="000000" w:fill="auto"/>
          </w:tcPr>
          <w:p w:rsidR="00965D85" w:rsidRPr="00D71705" w:rsidRDefault="00965D85" w:rsidP="008B46DF">
            <w:pPr>
              <w:autoSpaceDE w:val="0"/>
              <w:autoSpaceDN w:val="0"/>
              <w:adjustRightInd w:val="0"/>
              <w:spacing w:after="0"/>
              <w:jc w:val="right"/>
              <w:rPr>
                <w:rFonts w:ascii="Calibri" w:eastAsiaTheme="minorEastAsia" w:hAnsi="Calibri" w:cs="Calibri"/>
                <w:i/>
                <w:iCs/>
                <w:color w:val="FFFFFF" w:themeColor="background1"/>
                <w:sz w:val="20"/>
                <w:lang w:eastAsia="en-AU"/>
              </w:rPr>
            </w:pPr>
            <w:r w:rsidRPr="00D71705">
              <w:rPr>
                <w:rFonts w:ascii="Calibri" w:eastAsiaTheme="minorEastAsia" w:hAnsi="Calibri" w:cs="Calibri"/>
                <w:i/>
                <w:iCs/>
                <w:color w:val="FFFFFF" w:themeColor="background1"/>
                <w:sz w:val="20"/>
                <w:lang w:eastAsia="en-AU"/>
              </w:rPr>
              <w:t>2015</w:t>
            </w:r>
            <w:r>
              <w:rPr>
                <w:rFonts w:ascii="Calibri" w:eastAsiaTheme="minorEastAsia" w:hAnsi="Calibri" w:cs="Calibri"/>
                <w:i/>
                <w:iCs/>
                <w:color w:val="FFFFFF" w:themeColor="background1"/>
                <w:sz w:val="20"/>
                <w:lang w:eastAsia="en-AU"/>
              </w:rPr>
              <w:noBreakHyphen/>
            </w:r>
            <w:r w:rsidRPr="00D71705">
              <w:rPr>
                <w:rFonts w:ascii="Calibri" w:eastAsiaTheme="minorEastAsia" w:hAnsi="Calibri" w:cs="Calibri"/>
                <w:i/>
                <w:iCs/>
                <w:color w:val="FFFFFF" w:themeColor="background1"/>
                <w:sz w:val="20"/>
                <w:lang w:eastAsia="en-AU"/>
              </w:rPr>
              <w:t>16</w:t>
            </w:r>
          </w:p>
        </w:tc>
        <w:tc>
          <w:tcPr>
            <w:tcW w:w="904" w:type="dxa"/>
            <w:tcBorders>
              <w:top w:val="single" w:sz="6" w:space="0" w:color="auto"/>
              <w:left w:val="nil"/>
              <w:bottom w:val="single" w:sz="6" w:space="0" w:color="auto"/>
              <w:right w:val="nil"/>
            </w:tcBorders>
            <w:shd w:val="solid" w:color="000000" w:fill="auto"/>
          </w:tcPr>
          <w:p w:rsidR="00965D85" w:rsidRPr="00D71705" w:rsidRDefault="00965D85" w:rsidP="008B46DF">
            <w:pPr>
              <w:autoSpaceDE w:val="0"/>
              <w:autoSpaceDN w:val="0"/>
              <w:adjustRightInd w:val="0"/>
              <w:spacing w:after="0"/>
              <w:jc w:val="right"/>
              <w:rPr>
                <w:rFonts w:ascii="Calibri" w:eastAsiaTheme="minorEastAsia" w:hAnsi="Calibri" w:cs="Calibri"/>
                <w:i/>
                <w:iCs/>
                <w:color w:val="FFFFFF" w:themeColor="background1"/>
                <w:sz w:val="20"/>
                <w:lang w:eastAsia="en-AU"/>
              </w:rPr>
            </w:pPr>
            <w:r w:rsidRPr="00D71705">
              <w:rPr>
                <w:rFonts w:ascii="Calibri" w:eastAsiaTheme="minorEastAsia" w:hAnsi="Calibri" w:cs="Calibri"/>
                <w:i/>
                <w:iCs/>
                <w:color w:val="FFFFFF" w:themeColor="background1"/>
                <w:sz w:val="20"/>
                <w:lang w:eastAsia="en-AU"/>
              </w:rPr>
              <w:t>2016</w:t>
            </w:r>
            <w:r>
              <w:rPr>
                <w:rFonts w:ascii="Calibri" w:eastAsiaTheme="minorEastAsia" w:hAnsi="Calibri" w:cs="Calibri"/>
                <w:i/>
                <w:iCs/>
                <w:color w:val="FFFFFF" w:themeColor="background1"/>
                <w:sz w:val="20"/>
                <w:lang w:eastAsia="en-AU"/>
              </w:rPr>
              <w:noBreakHyphen/>
            </w:r>
            <w:r w:rsidRPr="00D71705">
              <w:rPr>
                <w:rFonts w:ascii="Calibri" w:eastAsiaTheme="minorEastAsia" w:hAnsi="Calibri" w:cs="Calibri"/>
                <w:i/>
                <w:iCs/>
                <w:color w:val="FFFFFF" w:themeColor="background1"/>
                <w:sz w:val="20"/>
                <w:lang w:eastAsia="en-AU"/>
              </w:rPr>
              <w:t>17</w:t>
            </w:r>
          </w:p>
        </w:tc>
        <w:tc>
          <w:tcPr>
            <w:tcW w:w="904" w:type="dxa"/>
            <w:tcBorders>
              <w:top w:val="single" w:sz="6" w:space="0" w:color="auto"/>
              <w:left w:val="nil"/>
              <w:bottom w:val="single" w:sz="6" w:space="0" w:color="auto"/>
              <w:right w:val="nil"/>
            </w:tcBorders>
            <w:shd w:val="solid" w:color="000000" w:fill="auto"/>
          </w:tcPr>
          <w:p w:rsidR="00965D85" w:rsidRPr="00D71705" w:rsidRDefault="00965D85" w:rsidP="008B46DF">
            <w:pPr>
              <w:autoSpaceDE w:val="0"/>
              <w:autoSpaceDN w:val="0"/>
              <w:adjustRightInd w:val="0"/>
              <w:spacing w:after="0"/>
              <w:jc w:val="right"/>
              <w:rPr>
                <w:rFonts w:ascii="Calibri" w:eastAsiaTheme="minorEastAsia" w:hAnsi="Calibri" w:cs="Calibri"/>
                <w:i/>
                <w:iCs/>
                <w:color w:val="FFFFFF" w:themeColor="background1"/>
                <w:sz w:val="20"/>
                <w:lang w:eastAsia="en-AU"/>
              </w:rPr>
            </w:pPr>
            <w:r w:rsidRPr="00D71705">
              <w:rPr>
                <w:rFonts w:ascii="Calibri" w:eastAsiaTheme="minorEastAsia" w:hAnsi="Calibri" w:cs="Calibri"/>
                <w:i/>
                <w:iCs/>
                <w:color w:val="FFFFFF" w:themeColor="background1"/>
                <w:sz w:val="20"/>
                <w:lang w:eastAsia="en-AU"/>
              </w:rPr>
              <w:t>2017</w:t>
            </w:r>
            <w:r>
              <w:rPr>
                <w:rFonts w:ascii="Calibri" w:eastAsiaTheme="minorEastAsia" w:hAnsi="Calibri" w:cs="Calibri"/>
                <w:i/>
                <w:iCs/>
                <w:color w:val="FFFFFF" w:themeColor="background1"/>
                <w:sz w:val="20"/>
                <w:lang w:eastAsia="en-AU"/>
              </w:rPr>
              <w:noBreakHyphen/>
            </w:r>
            <w:r w:rsidRPr="00D71705">
              <w:rPr>
                <w:rFonts w:ascii="Calibri" w:eastAsiaTheme="minorEastAsia" w:hAnsi="Calibri" w:cs="Calibri"/>
                <w:i/>
                <w:iCs/>
                <w:color w:val="FFFFFF" w:themeColor="background1"/>
                <w:sz w:val="20"/>
                <w:lang w:eastAsia="en-AU"/>
              </w:rPr>
              <w:t>18</w:t>
            </w:r>
          </w:p>
        </w:tc>
        <w:tc>
          <w:tcPr>
            <w:tcW w:w="904" w:type="dxa"/>
            <w:tcBorders>
              <w:top w:val="single" w:sz="6" w:space="0" w:color="auto"/>
              <w:left w:val="nil"/>
              <w:bottom w:val="single" w:sz="6" w:space="0" w:color="auto"/>
              <w:right w:val="nil"/>
            </w:tcBorders>
            <w:shd w:val="solid" w:color="000000" w:fill="auto"/>
          </w:tcPr>
          <w:p w:rsidR="00965D85" w:rsidRPr="00D71705" w:rsidRDefault="00965D85" w:rsidP="008B46DF">
            <w:pPr>
              <w:autoSpaceDE w:val="0"/>
              <w:autoSpaceDN w:val="0"/>
              <w:adjustRightInd w:val="0"/>
              <w:spacing w:after="0"/>
              <w:jc w:val="right"/>
              <w:rPr>
                <w:rFonts w:ascii="Calibri" w:eastAsiaTheme="minorEastAsia" w:hAnsi="Calibri" w:cs="Calibri"/>
                <w:i/>
                <w:iCs/>
                <w:color w:val="FFFFFF" w:themeColor="background1"/>
                <w:sz w:val="20"/>
                <w:lang w:eastAsia="en-AU"/>
              </w:rPr>
            </w:pPr>
            <w:r w:rsidRPr="00D71705">
              <w:rPr>
                <w:rFonts w:ascii="Calibri" w:eastAsiaTheme="minorEastAsia" w:hAnsi="Calibri" w:cs="Calibri"/>
                <w:i/>
                <w:iCs/>
                <w:color w:val="FFFFFF" w:themeColor="background1"/>
                <w:sz w:val="20"/>
                <w:lang w:eastAsia="en-AU"/>
              </w:rPr>
              <w:t>2018</w:t>
            </w:r>
            <w:r>
              <w:rPr>
                <w:rFonts w:ascii="Calibri" w:eastAsiaTheme="minorEastAsia" w:hAnsi="Calibri" w:cs="Calibri"/>
                <w:i/>
                <w:iCs/>
                <w:color w:val="FFFFFF" w:themeColor="background1"/>
                <w:sz w:val="20"/>
                <w:lang w:eastAsia="en-AU"/>
              </w:rPr>
              <w:noBreakHyphen/>
            </w:r>
            <w:r w:rsidRPr="00D71705">
              <w:rPr>
                <w:rFonts w:ascii="Calibri" w:eastAsiaTheme="minorEastAsia" w:hAnsi="Calibri" w:cs="Calibri"/>
                <w:i/>
                <w:iCs/>
                <w:color w:val="FFFFFF" w:themeColor="background1"/>
                <w:sz w:val="20"/>
                <w:lang w:eastAsia="en-AU"/>
              </w:rPr>
              <w:t>19</w:t>
            </w:r>
          </w:p>
        </w:tc>
        <w:tc>
          <w:tcPr>
            <w:tcW w:w="822" w:type="dxa"/>
            <w:tcBorders>
              <w:top w:val="single" w:sz="6" w:space="0" w:color="auto"/>
              <w:left w:val="nil"/>
              <w:bottom w:val="single" w:sz="6" w:space="0" w:color="auto"/>
              <w:right w:val="nil"/>
            </w:tcBorders>
            <w:shd w:val="solid" w:color="000000" w:fill="auto"/>
          </w:tcPr>
          <w:p w:rsidR="00965D85" w:rsidRPr="00D71705" w:rsidRDefault="00965D85" w:rsidP="008B46DF">
            <w:pPr>
              <w:autoSpaceDE w:val="0"/>
              <w:autoSpaceDN w:val="0"/>
              <w:adjustRightInd w:val="0"/>
              <w:spacing w:after="0"/>
              <w:jc w:val="right"/>
              <w:rPr>
                <w:rFonts w:ascii="Calibri" w:eastAsiaTheme="minorEastAsia" w:hAnsi="Calibri" w:cs="Calibri"/>
                <w:i/>
                <w:iCs/>
                <w:color w:val="FFFFFF" w:themeColor="background1"/>
                <w:sz w:val="20"/>
                <w:lang w:eastAsia="en-AU"/>
              </w:rPr>
            </w:pPr>
            <w:r w:rsidRPr="00D71705">
              <w:rPr>
                <w:rFonts w:ascii="Calibri" w:eastAsiaTheme="minorEastAsia" w:hAnsi="Calibri" w:cs="Calibri"/>
                <w:i/>
                <w:iCs/>
                <w:color w:val="FFFFFF" w:themeColor="background1"/>
                <w:sz w:val="20"/>
                <w:lang w:eastAsia="en-AU"/>
              </w:rPr>
              <w:t>TEI</w:t>
            </w:r>
          </w:p>
        </w:tc>
      </w:tr>
      <w:tr w:rsidR="00965D85" w:rsidRPr="00D71705" w:rsidTr="008B46DF">
        <w:trPr>
          <w:cantSplit/>
        </w:trPr>
        <w:tc>
          <w:tcPr>
            <w:tcW w:w="3330" w:type="dxa"/>
            <w:tcBorders>
              <w:top w:val="single" w:sz="6" w:space="0" w:color="auto"/>
              <w:left w:val="nil"/>
              <w:bottom w:val="single" w:sz="6" w:space="0" w:color="auto"/>
              <w:right w:val="nil"/>
            </w:tcBorders>
            <w:shd w:val="clear" w:color="auto" w:fill="FFFFFF"/>
          </w:tcPr>
          <w:p w:rsidR="00965D85" w:rsidRPr="00D71705"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D71705">
              <w:rPr>
                <w:rFonts w:ascii="Calibri" w:eastAsiaTheme="minorEastAsia" w:hAnsi="Calibri" w:cs="Calibri"/>
                <w:color w:val="000000"/>
                <w:sz w:val="20"/>
                <w:lang w:eastAsia="en-AU"/>
              </w:rPr>
              <w:t xml:space="preserve">Heidelberg Court </w:t>
            </w:r>
            <w:r>
              <w:rPr>
                <w:rFonts w:ascii="Calibri" w:eastAsiaTheme="minorEastAsia" w:hAnsi="Calibri" w:cs="Calibri"/>
                <w:color w:val="000000"/>
                <w:sz w:val="20"/>
                <w:lang w:eastAsia="en-AU"/>
              </w:rPr>
              <w:t>r</w:t>
            </w:r>
            <w:r w:rsidRPr="00D71705">
              <w:rPr>
                <w:rFonts w:ascii="Calibri" w:eastAsiaTheme="minorEastAsia" w:hAnsi="Calibri" w:cs="Calibri"/>
                <w:color w:val="000000"/>
                <w:sz w:val="20"/>
                <w:lang w:eastAsia="en-AU"/>
              </w:rPr>
              <w:t>emediation</w:t>
            </w:r>
          </w:p>
        </w:tc>
        <w:tc>
          <w:tcPr>
            <w:tcW w:w="904" w:type="dxa"/>
            <w:tcBorders>
              <w:top w:val="single" w:sz="6" w:space="0" w:color="auto"/>
              <w:left w:val="nil"/>
              <w:bottom w:val="single" w:sz="6" w:space="0" w:color="auto"/>
              <w:right w:val="nil"/>
            </w:tcBorders>
            <w:shd w:val="clear" w:color="auto" w:fill="FFFFFF"/>
          </w:tcPr>
          <w:p w:rsidR="00965D85" w:rsidRPr="00D71705"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D71705">
              <w:rPr>
                <w:rFonts w:ascii="Calibri" w:eastAsiaTheme="minorEastAsia" w:hAnsi="Calibri" w:cs="Calibri"/>
                <w:color w:val="000000"/>
                <w:sz w:val="20"/>
                <w:lang w:eastAsia="en-AU"/>
              </w:rPr>
              <w:t>2.9</w:t>
            </w:r>
          </w:p>
        </w:tc>
        <w:tc>
          <w:tcPr>
            <w:tcW w:w="904" w:type="dxa"/>
            <w:tcBorders>
              <w:top w:val="single" w:sz="6" w:space="0" w:color="auto"/>
              <w:left w:val="nil"/>
              <w:bottom w:val="single" w:sz="6" w:space="0" w:color="auto"/>
              <w:right w:val="nil"/>
            </w:tcBorders>
            <w:shd w:val="clear" w:color="auto" w:fill="FFFFFF"/>
          </w:tcPr>
          <w:p w:rsidR="00965D85" w:rsidRPr="00D71705"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D71705">
              <w:rPr>
                <w:rFonts w:ascii="Calibri" w:eastAsiaTheme="minorEastAsia" w:hAnsi="Calibri" w:cs="Calibri"/>
                <w:color w:val="000000"/>
                <w:sz w:val="20"/>
                <w:lang w:eastAsia="en-AU"/>
              </w:rPr>
              <w:t>..</w:t>
            </w:r>
          </w:p>
        </w:tc>
        <w:tc>
          <w:tcPr>
            <w:tcW w:w="904" w:type="dxa"/>
            <w:tcBorders>
              <w:top w:val="single" w:sz="6" w:space="0" w:color="auto"/>
              <w:left w:val="nil"/>
              <w:bottom w:val="single" w:sz="6" w:space="0" w:color="auto"/>
              <w:right w:val="nil"/>
            </w:tcBorders>
            <w:shd w:val="clear" w:color="auto" w:fill="FFFFFF"/>
          </w:tcPr>
          <w:p w:rsidR="00965D85" w:rsidRPr="00D71705"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D71705">
              <w:rPr>
                <w:rFonts w:ascii="Calibri" w:eastAsiaTheme="minorEastAsia" w:hAnsi="Calibri" w:cs="Calibri"/>
                <w:color w:val="000000"/>
                <w:sz w:val="20"/>
                <w:lang w:eastAsia="en-AU"/>
              </w:rPr>
              <w:t>..</w:t>
            </w:r>
          </w:p>
        </w:tc>
        <w:tc>
          <w:tcPr>
            <w:tcW w:w="904" w:type="dxa"/>
            <w:tcBorders>
              <w:top w:val="single" w:sz="6" w:space="0" w:color="auto"/>
              <w:left w:val="nil"/>
              <w:bottom w:val="single" w:sz="6" w:space="0" w:color="auto"/>
              <w:right w:val="nil"/>
            </w:tcBorders>
            <w:shd w:val="clear" w:color="auto" w:fill="FFFFFF"/>
          </w:tcPr>
          <w:p w:rsidR="00965D85" w:rsidRPr="00D71705"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D71705">
              <w:rPr>
                <w:rFonts w:ascii="Calibri" w:eastAsiaTheme="minorEastAsia" w:hAnsi="Calibri" w:cs="Calibri"/>
                <w:color w:val="000000"/>
                <w:sz w:val="20"/>
                <w:lang w:eastAsia="en-AU"/>
              </w:rPr>
              <w:t>..</w:t>
            </w:r>
          </w:p>
        </w:tc>
        <w:tc>
          <w:tcPr>
            <w:tcW w:w="822" w:type="dxa"/>
            <w:tcBorders>
              <w:top w:val="single" w:sz="6" w:space="0" w:color="auto"/>
              <w:left w:val="nil"/>
              <w:bottom w:val="single" w:sz="6" w:space="0" w:color="auto"/>
              <w:right w:val="nil"/>
            </w:tcBorders>
            <w:shd w:val="clear" w:color="auto" w:fill="FFFFFF"/>
          </w:tcPr>
          <w:p w:rsidR="00965D85" w:rsidRPr="00D71705"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D71705">
              <w:rPr>
                <w:rFonts w:ascii="Calibri" w:eastAsiaTheme="minorEastAsia" w:hAnsi="Calibri" w:cs="Calibri"/>
                <w:color w:val="000000"/>
                <w:sz w:val="20"/>
                <w:lang w:eastAsia="en-AU"/>
              </w:rPr>
              <w:t>2.9</w:t>
            </w:r>
          </w:p>
        </w:tc>
      </w:tr>
      <w:tr w:rsidR="00965D85" w:rsidRPr="00D71705" w:rsidTr="008B46DF">
        <w:trPr>
          <w:cantSplit/>
        </w:trPr>
        <w:tc>
          <w:tcPr>
            <w:tcW w:w="3330" w:type="dxa"/>
            <w:tcBorders>
              <w:top w:val="single" w:sz="6" w:space="0" w:color="auto"/>
              <w:left w:val="nil"/>
              <w:bottom w:val="single" w:sz="12" w:space="0" w:color="auto"/>
              <w:right w:val="nil"/>
            </w:tcBorders>
            <w:shd w:val="solid" w:color="FFFFFF" w:fill="FFFFFF"/>
          </w:tcPr>
          <w:p w:rsidR="00965D85" w:rsidRPr="00D71705" w:rsidRDefault="00965D85" w:rsidP="008B46DF">
            <w:pPr>
              <w:autoSpaceDE w:val="0"/>
              <w:autoSpaceDN w:val="0"/>
              <w:adjustRightInd w:val="0"/>
              <w:spacing w:after="0"/>
              <w:ind w:left="227" w:hanging="227"/>
              <w:rPr>
                <w:rFonts w:ascii="Calibri" w:eastAsiaTheme="minorEastAsia" w:hAnsi="Calibri" w:cs="Calibri"/>
                <w:b/>
                <w:bCs/>
                <w:color w:val="000000"/>
                <w:sz w:val="20"/>
                <w:lang w:eastAsia="en-AU"/>
              </w:rPr>
            </w:pPr>
          </w:p>
        </w:tc>
        <w:tc>
          <w:tcPr>
            <w:tcW w:w="904" w:type="dxa"/>
            <w:tcBorders>
              <w:top w:val="single" w:sz="6" w:space="0" w:color="auto"/>
              <w:left w:val="nil"/>
              <w:bottom w:val="single" w:sz="12" w:space="0" w:color="auto"/>
              <w:right w:val="nil"/>
            </w:tcBorders>
            <w:shd w:val="solid" w:color="FFFFFF" w:fill="FFFFFF"/>
          </w:tcPr>
          <w:p w:rsidR="00965D85" w:rsidRPr="00D71705"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D71705">
              <w:rPr>
                <w:rFonts w:ascii="Calibri" w:eastAsiaTheme="minorEastAsia" w:hAnsi="Calibri" w:cs="Calibri"/>
                <w:b/>
                <w:bCs/>
                <w:color w:val="000000"/>
                <w:sz w:val="20"/>
                <w:lang w:eastAsia="en-AU"/>
              </w:rPr>
              <w:t>2.9</w:t>
            </w:r>
          </w:p>
        </w:tc>
        <w:tc>
          <w:tcPr>
            <w:tcW w:w="904" w:type="dxa"/>
            <w:tcBorders>
              <w:top w:val="single" w:sz="6" w:space="0" w:color="auto"/>
              <w:left w:val="nil"/>
              <w:bottom w:val="single" w:sz="12" w:space="0" w:color="auto"/>
              <w:right w:val="nil"/>
            </w:tcBorders>
            <w:shd w:val="solid" w:color="FFFFFF" w:fill="FFFFFF"/>
          </w:tcPr>
          <w:p w:rsidR="00965D85" w:rsidRPr="00D71705"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D71705">
              <w:rPr>
                <w:rFonts w:ascii="Calibri" w:eastAsiaTheme="minorEastAsia" w:hAnsi="Calibri" w:cs="Calibri"/>
                <w:b/>
                <w:bCs/>
                <w:color w:val="000000"/>
                <w:sz w:val="20"/>
                <w:lang w:eastAsia="en-AU"/>
              </w:rPr>
              <w:t>..</w:t>
            </w:r>
          </w:p>
        </w:tc>
        <w:tc>
          <w:tcPr>
            <w:tcW w:w="904" w:type="dxa"/>
            <w:tcBorders>
              <w:top w:val="single" w:sz="6" w:space="0" w:color="auto"/>
              <w:left w:val="nil"/>
              <w:bottom w:val="single" w:sz="12" w:space="0" w:color="auto"/>
              <w:right w:val="nil"/>
            </w:tcBorders>
            <w:shd w:val="solid" w:color="FFFFFF" w:fill="FFFFFF"/>
          </w:tcPr>
          <w:p w:rsidR="00965D85" w:rsidRPr="00D71705"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D71705">
              <w:rPr>
                <w:rFonts w:ascii="Calibri" w:eastAsiaTheme="minorEastAsia" w:hAnsi="Calibri" w:cs="Calibri"/>
                <w:b/>
                <w:bCs/>
                <w:color w:val="000000"/>
                <w:sz w:val="20"/>
                <w:lang w:eastAsia="en-AU"/>
              </w:rPr>
              <w:t>..</w:t>
            </w:r>
          </w:p>
        </w:tc>
        <w:tc>
          <w:tcPr>
            <w:tcW w:w="904" w:type="dxa"/>
            <w:tcBorders>
              <w:top w:val="single" w:sz="6" w:space="0" w:color="auto"/>
              <w:left w:val="nil"/>
              <w:bottom w:val="single" w:sz="12" w:space="0" w:color="auto"/>
              <w:right w:val="nil"/>
            </w:tcBorders>
            <w:shd w:val="solid" w:color="FFFFFF" w:fill="FFFFFF"/>
          </w:tcPr>
          <w:p w:rsidR="00965D85" w:rsidRPr="00D71705"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D71705">
              <w:rPr>
                <w:rFonts w:ascii="Calibri" w:eastAsiaTheme="minorEastAsia" w:hAnsi="Calibri" w:cs="Calibri"/>
                <w:b/>
                <w:bCs/>
                <w:color w:val="000000"/>
                <w:sz w:val="20"/>
                <w:lang w:eastAsia="en-AU"/>
              </w:rPr>
              <w:t>..</w:t>
            </w:r>
          </w:p>
        </w:tc>
        <w:tc>
          <w:tcPr>
            <w:tcW w:w="822" w:type="dxa"/>
            <w:tcBorders>
              <w:top w:val="single" w:sz="6" w:space="0" w:color="auto"/>
              <w:left w:val="nil"/>
              <w:bottom w:val="single" w:sz="12" w:space="0" w:color="auto"/>
              <w:right w:val="nil"/>
            </w:tcBorders>
            <w:shd w:val="solid" w:color="FFFFFF" w:fill="FFFFFF"/>
          </w:tcPr>
          <w:p w:rsidR="00965D85" w:rsidRPr="00D71705"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D71705">
              <w:rPr>
                <w:rFonts w:ascii="Calibri" w:eastAsiaTheme="minorEastAsia" w:hAnsi="Calibri" w:cs="Calibri"/>
                <w:b/>
                <w:bCs/>
                <w:color w:val="000000"/>
                <w:sz w:val="20"/>
                <w:lang w:eastAsia="en-AU"/>
              </w:rPr>
              <w:t>2.9</w:t>
            </w:r>
          </w:p>
        </w:tc>
      </w:tr>
    </w:tbl>
    <w:p w:rsidR="00965D85" w:rsidRPr="00776214" w:rsidRDefault="00965D85" w:rsidP="008B46DF">
      <w:r>
        <w:fldChar w:fldCharType="end"/>
      </w:r>
      <w:r w:rsidRPr="00776214">
        <w:t xml:space="preserve"> </w:t>
      </w:r>
    </w:p>
    <w:p w:rsidR="00965D85" w:rsidRPr="00C91C00" w:rsidRDefault="00965D85" w:rsidP="008B46DF">
      <w:pPr>
        <w:pStyle w:val="Heading5"/>
      </w:pPr>
      <w:r w:rsidRPr="00C91C00">
        <w:t xml:space="preserve">Heidelberg Court </w:t>
      </w:r>
      <w:r>
        <w:t>r</w:t>
      </w:r>
      <w:r w:rsidRPr="00C91C00">
        <w:t>emediation</w:t>
      </w:r>
    </w:p>
    <w:p w:rsidR="00965D85" w:rsidRDefault="00965D85" w:rsidP="008B46DF">
      <w:r w:rsidRPr="00225A40">
        <w:t>Refer to the output initiative for a description of this initiative.</w:t>
      </w:r>
    </w:p>
    <w:p w:rsidR="00965D85" w:rsidRPr="00C50A7F" w:rsidRDefault="00965D85" w:rsidP="008B46DF">
      <w:pPr>
        <w:spacing w:after="0"/>
      </w:pPr>
    </w:p>
    <w:p w:rsidR="00965D85" w:rsidRDefault="00965D85" w:rsidP="00DF54C9">
      <w:pPr>
        <w:sectPr w:rsidR="00965D85" w:rsidSect="00DF54C9">
          <w:footerReference w:type="even" r:id="rId29"/>
          <w:footerReference w:type="default" r:id="rId30"/>
          <w:type w:val="oddPage"/>
          <w:pgSz w:w="9979" w:h="14175" w:code="138"/>
          <w:pgMar w:top="1140" w:right="1140" w:bottom="1140" w:left="1140" w:header="720" w:footer="431" w:gutter="0"/>
          <w:cols w:space="708"/>
          <w:docGrid w:linePitch="360"/>
        </w:sectPr>
      </w:pPr>
    </w:p>
    <w:p w:rsidR="00965D85" w:rsidRPr="00427D0E" w:rsidRDefault="00965D85" w:rsidP="00074C4D">
      <w:pPr>
        <w:pStyle w:val="ChapterHeading"/>
      </w:pPr>
      <w:bookmarkStart w:id="92" w:name="_Toc436147557"/>
      <w:r w:rsidRPr="00427D0E">
        <w:lastRenderedPageBreak/>
        <w:t>Appe</w:t>
      </w:r>
      <w:r>
        <w:t>ndix B – Amendments to the 2015</w:t>
      </w:r>
      <w:r>
        <w:noBreakHyphen/>
      </w:r>
      <w:r w:rsidRPr="00427D0E">
        <w:t>1</w:t>
      </w:r>
      <w:r>
        <w:t>6</w:t>
      </w:r>
      <w:r w:rsidRPr="00427D0E">
        <w:t xml:space="preserve"> output performance measures</w:t>
      </w:r>
      <w:bookmarkEnd w:id="92"/>
    </w:p>
    <w:p w:rsidR="00965D85" w:rsidRDefault="00965D85" w:rsidP="00392D14">
      <w:r>
        <w:t xml:space="preserve">Output measures for all departments were published in Chapter 2 and Appendix A of Budget Paper No. 3 </w:t>
      </w:r>
      <w:r>
        <w:rPr>
          <w:i/>
        </w:rPr>
        <w:t>Service Delivery</w:t>
      </w:r>
      <w:r>
        <w:t>. The Public Accounts and Estimates Committee has completed their review of</w:t>
      </w:r>
      <w:r w:rsidRPr="00420229">
        <w:t xml:space="preserve"> </w:t>
      </w:r>
      <w:r>
        <w:t xml:space="preserve">the measures which were substantially changed and proposed to be discontinued and tabled their report in Parliament on </w:t>
      </w:r>
      <w:r w:rsidRPr="00FD31DC">
        <w:t>12</w:t>
      </w:r>
      <w:r>
        <w:t> </w:t>
      </w:r>
      <w:r w:rsidRPr="00FD31DC">
        <w:t>November</w:t>
      </w:r>
      <w:r>
        <w:t> 2015. The Government will consider the Committee’s report and respond to the recommendations within the legislated timeline. All agreed changes to output performance measures will be reflected in the next budget publication.</w:t>
      </w:r>
    </w:p>
    <w:p w:rsidR="00965D85" w:rsidRDefault="00965D85">
      <w:pPr>
        <w:spacing w:after="0"/>
      </w:pPr>
      <w:r>
        <w:br w:type="page"/>
      </w:r>
    </w:p>
    <w:p w:rsidR="00965D85" w:rsidRPr="001F325D" w:rsidRDefault="00965D85" w:rsidP="008B46DF"/>
    <w:p w:rsidR="00965D85" w:rsidRDefault="00965D85" w:rsidP="00DF54C9">
      <w:pPr>
        <w:sectPr w:rsidR="00965D85" w:rsidSect="00F302FC">
          <w:footerReference w:type="even" r:id="rId31"/>
          <w:footerReference w:type="default" r:id="rId32"/>
          <w:type w:val="oddPage"/>
          <w:pgSz w:w="9979" w:h="14181" w:code="138"/>
          <w:pgMar w:top="1138" w:right="1138" w:bottom="1138" w:left="1138" w:header="720" w:footer="432" w:gutter="0"/>
          <w:cols w:space="708"/>
          <w:docGrid w:linePitch="360"/>
        </w:sectPr>
      </w:pPr>
    </w:p>
    <w:p w:rsidR="00965D85" w:rsidRPr="00427D0E" w:rsidRDefault="00965D85" w:rsidP="00074C4D">
      <w:pPr>
        <w:pStyle w:val="ChapterHeading"/>
      </w:pPr>
      <w:bookmarkStart w:id="93" w:name="_Toc436038542"/>
      <w:bookmarkStart w:id="94" w:name="_Toc436147558"/>
      <w:r w:rsidRPr="00427D0E">
        <w:lastRenderedPageBreak/>
        <w:t>Appendix C – Tax expenditures and concessions</w:t>
      </w:r>
      <w:bookmarkEnd w:id="93"/>
      <w:bookmarkEnd w:id="94"/>
    </w:p>
    <w:p w:rsidR="00965D85" w:rsidRPr="001F325D" w:rsidRDefault="00965D85" w:rsidP="001F325D">
      <w:r w:rsidRPr="00C524E2">
        <w:t>Tax expenditures and concessions are important because they represent foregone revenue to the State. They may take a number of different forms, for example, concessions, benefits and incentives delivered through the tax system. Regardless of form, they provide preferential financial benefit for certain taxpayers, activities or assets compared with normal taxation treatment.</w:t>
      </w:r>
    </w:p>
    <w:p w:rsidR="00965D85" w:rsidRPr="00427D0E" w:rsidRDefault="00965D85" w:rsidP="001F325D">
      <w:pPr>
        <w:pStyle w:val="Heading1"/>
      </w:pPr>
      <w:bookmarkStart w:id="95" w:name="_Toc436038543"/>
      <w:bookmarkStart w:id="96" w:name="_Toc436147559"/>
      <w:r w:rsidRPr="00427D0E">
        <w:t>Tax expenditures</w:t>
      </w:r>
      <w:bookmarkEnd w:id="95"/>
      <w:bookmarkEnd w:id="96"/>
    </w:p>
    <w:p w:rsidR="00965D85" w:rsidRDefault="00965D85" w:rsidP="008B46DF">
      <w:r w:rsidRPr="00DB7D0D">
        <w:t>In 2015</w:t>
      </w:r>
      <w:r>
        <w:noBreakHyphen/>
      </w:r>
      <w:r w:rsidRPr="00DB7D0D">
        <w:t>16, tax expenditures are forecast to be $5.</w:t>
      </w:r>
      <w:r>
        <w:t>0</w:t>
      </w:r>
      <w:r w:rsidRPr="00DB7D0D">
        <w:t> billion, 3</w:t>
      </w:r>
      <w:r>
        <w:t>7 per cent</w:t>
      </w:r>
      <w:r w:rsidRPr="00DB7D0D">
        <w:t xml:space="preserve"> of which will accrue to property owners.</w:t>
      </w:r>
      <w:r>
        <w:t xml:space="preserve"> </w:t>
      </w:r>
    </w:p>
    <w:p w:rsidR="00965D85" w:rsidRDefault="00965D85" w:rsidP="008B46DF">
      <w:r>
        <w:t>Tax expenditures outlined below can include tax</w:t>
      </w:r>
      <w:r>
        <w:noBreakHyphen/>
        <w:t xml:space="preserve">free thresholds, exemptions or reduced rates, and deductions or rebates of a tax for a certain type of taxpayer, activity or asset. </w:t>
      </w:r>
    </w:p>
    <w:p w:rsidR="00965D85" w:rsidRDefault="00965D85" w:rsidP="008B46DF">
      <w:r>
        <w:t>Tax expenditures are estimated by taking the difference between the reduced tax paid by a person or entity receiving preferential treatment and the tax paid by similar taxpayers who do not receive that treatment. They exclude benefits arising from broadly applicable marginal tax rates as part of a tax scale.</w:t>
      </w:r>
    </w:p>
    <w:p w:rsidR="00965D85" w:rsidRDefault="00965D85" w:rsidP="008B46DF">
      <w:r>
        <w:t>Table C.1 shows aggregate tax expenditure estimates by the main tax categories for the period 2014</w:t>
      </w:r>
      <w:r>
        <w:noBreakHyphen/>
        <w:t>15 to 2018</w:t>
      </w:r>
      <w:r>
        <w:noBreakHyphen/>
        <w:t>19, excluding the effect of tax free thresholds for land tax and payroll tax, which are available to the entire community. In estimating tax expenditures, the simplifying assumption is made that taxpayer behaviour is unchanged by the concession.</w:t>
      </w:r>
    </w:p>
    <w:p w:rsidR="00965D85" w:rsidRDefault="00965D85" w:rsidP="008B46DF">
      <w:r>
        <w:t>Growth in the value of Victorian aggregate tax expenditures is largely determined by the growth profile of land tax expenditures. The biennial revaluation cycle drives growth in land tax expenditures. For example, a revaluation year such as 2016</w:t>
      </w:r>
      <w:r>
        <w:noBreakHyphen/>
        <w:t>17, sees strong growth in expenditures, with more muted growth in the following year.</w:t>
      </w:r>
    </w:p>
    <w:p w:rsidR="00965D85" w:rsidRDefault="00965D85" w:rsidP="008B46DF">
      <w:pPr>
        <w:pStyle w:val="Heading1"/>
      </w:pPr>
      <w:r>
        <w:br w:type="page"/>
      </w:r>
    </w:p>
    <w:p w:rsidR="00965D85" w:rsidRPr="006C4793" w:rsidRDefault="00965D85" w:rsidP="006C4793">
      <w:pPr>
        <w:pStyle w:val="Tableheading"/>
      </w:pPr>
      <w:r w:rsidRPr="006C4793">
        <w:rPr>
          <w:rStyle w:val="TableheadingChar"/>
          <w:b/>
        </w:rPr>
        <w:lastRenderedPageBreak/>
        <w:t xml:space="preserve">Table C.1: </w:t>
      </w:r>
      <w:r w:rsidRPr="006C4793">
        <w:rPr>
          <w:rStyle w:val="TableheadingChar"/>
          <w:b/>
        </w:rPr>
        <w:tab/>
        <w:t>Estimates of aggregate tax expenditures (excluding thresholds) by type of tax</w:t>
      </w:r>
      <w:r w:rsidRPr="006C4793">
        <w:rPr>
          <w:rStyle w:val="TableheadingChar"/>
          <w:b/>
          <w:vertAlign w:val="superscript"/>
        </w:rPr>
        <w:t>(a)</w:t>
      </w:r>
      <w:r>
        <w:fldChar w:fldCharType="begin" w:fldLock="1"/>
      </w:r>
      <w:r w:rsidRPr="006C4793">
        <w:instrText xml:space="preserve"> LINK Excel.Sheet.12 \\\\PDCPTPRDFIL01\\DTFDATA02$\\SECURED\\Budget\\BudgetUpdate\\AppendixC\\2015-15BudUpd_AppC_Tables.xlsx Taxexp!Taxexp \f 4 \r </w:instrText>
      </w:r>
      <w:r>
        <w:instrText xml:space="preserve"> \* MERGEFORMAT </w:instrText>
      </w:r>
      <w:r>
        <w:fldChar w:fldCharType="separate"/>
      </w:r>
    </w:p>
    <w:tbl>
      <w:tblPr>
        <w:tblW w:w="7768" w:type="dxa"/>
        <w:tblInd w:w="28" w:type="dxa"/>
        <w:tblLayout w:type="fixed"/>
        <w:tblCellMar>
          <w:left w:w="45" w:type="dxa"/>
          <w:right w:w="45" w:type="dxa"/>
        </w:tblCellMar>
        <w:tblLook w:val="0000" w:firstRow="0" w:lastRow="0" w:firstColumn="0" w:lastColumn="0" w:noHBand="0" w:noVBand="0"/>
      </w:tblPr>
      <w:tblGrid>
        <w:gridCol w:w="2777"/>
        <w:gridCol w:w="188"/>
        <w:gridCol w:w="800"/>
        <w:gridCol w:w="8"/>
        <w:gridCol w:w="988"/>
        <w:gridCol w:w="9"/>
        <w:gridCol w:w="996"/>
        <w:gridCol w:w="998"/>
        <w:gridCol w:w="1004"/>
      </w:tblGrid>
      <w:tr w:rsidR="00965D85" w:rsidRPr="006C4793" w:rsidTr="008B46DF">
        <w:trPr>
          <w:cantSplit/>
          <w:tblHeader/>
        </w:trPr>
        <w:tc>
          <w:tcPr>
            <w:tcW w:w="7768" w:type="dxa"/>
            <w:gridSpan w:val="9"/>
            <w:tcBorders>
              <w:bottom w:val="nil"/>
              <w:right w:val="nil"/>
            </w:tcBorders>
            <w:shd w:val="clear" w:color="auto" w:fill="auto"/>
            <w:vAlign w:val="bottom"/>
          </w:tcPr>
          <w:p w:rsidR="00965D85" w:rsidRPr="006C4793" w:rsidRDefault="00965D85" w:rsidP="008B46DF">
            <w:pPr>
              <w:pStyle w:val="million"/>
              <w:rPr>
                <w:rFonts w:eastAsiaTheme="minorEastAsia"/>
                <w:lang w:eastAsia="en-AU"/>
              </w:rPr>
            </w:pPr>
            <w:r w:rsidRPr="006C4793">
              <w:rPr>
                <w:rFonts w:eastAsiaTheme="minorEastAsia"/>
                <w:lang w:eastAsia="en-AU"/>
              </w:rPr>
              <w:t xml:space="preserve">($ million) </w:t>
            </w:r>
          </w:p>
        </w:tc>
      </w:tr>
      <w:tr w:rsidR="00965D85" w:rsidRPr="006C4793" w:rsidTr="008B46DF">
        <w:trPr>
          <w:cantSplit/>
          <w:tblHeader/>
        </w:trPr>
        <w:tc>
          <w:tcPr>
            <w:tcW w:w="2778" w:type="dxa"/>
            <w:tcBorders>
              <w:top w:val="nil"/>
              <w:left w:val="single" w:sz="6" w:space="0" w:color="auto"/>
              <w:bottom w:val="single" w:sz="6" w:space="0" w:color="auto"/>
              <w:right w:val="nil"/>
            </w:tcBorders>
            <w:shd w:val="clear" w:color="000000" w:fill="000000"/>
            <w:vAlign w:val="bottom"/>
          </w:tcPr>
          <w:p w:rsidR="00965D85" w:rsidRPr="006C4793" w:rsidRDefault="00965D85" w:rsidP="006C4793">
            <w:pPr>
              <w:pStyle w:val="Tabletextheading"/>
              <w:jc w:val="left"/>
              <w:rPr>
                <w:rFonts w:eastAsiaTheme="minorEastAsia"/>
                <w:color w:val="FFFFFF"/>
                <w:lang w:eastAsia="en-AU"/>
              </w:rPr>
            </w:pPr>
            <w:r w:rsidRPr="006C4793">
              <w:rPr>
                <w:rFonts w:eastAsiaTheme="minorEastAsia"/>
                <w:color w:val="FFFFFF"/>
                <w:lang w:eastAsia="en-AU"/>
              </w:rPr>
              <w:t>Description</w:t>
            </w:r>
          </w:p>
        </w:tc>
        <w:tc>
          <w:tcPr>
            <w:tcW w:w="996" w:type="dxa"/>
            <w:gridSpan w:val="3"/>
            <w:tcBorders>
              <w:top w:val="nil"/>
              <w:left w:val="nil"/>
              <w:bottom w:val="single" w:sz="6" w:space="0" w:color="auto"/>
              <w:right w:val="nil"/>
            </w:tcBorders>
            <w:shd w:val="clear" w:color="000000" w:fill="000000"/>
            <w:vAlign w:val="bottom"/>
          </w:tcPr>
          <w:p w:rsidR="00965D85" w:rsidRPr="006C4793" w:rsidRDefault="00965D85" w:rsidP="006C4793">
            <w:pPr>
              <w:pStyle w:val="Tabletextheading"/>
              <w:rPr>
                <w:rFonts w:eastAsiaTheme="minorEastAsia"/>
                <w:color w:val="FFFFFF"/>
                <w:lang w:eastAsia="en-AU"/>
              </w:rPr>
            </w:pPr>
            <w:r w:rsidRPr="006C4793">
              <w:rPr>
                <w:rFonts w:eastAsiaTheme="minorEastAsia"/>
                <w:color w:val="FFFFFF"/>
                <w:lang w:eastAsia="en-AU"/>
              </w:rPr>
              <w:t>2014</w:t>
            </w:r>
            <w:r>
              <w:rPr>
                <w:rFonts w:eastAsiaTheme="minorEastAsia"/>
                <w:color w:val="FFFFFF"/>
                <w:lang w:eastAsia="en-AU"/>
              </w:rPr>
              <w:noBreakHyphen/>
            </w:r>
            <w:r w:rsidRPr="006C4793">
              <w:rPr>
                <w:rFonts w:eastAsiaTheme="minorEastAsia"/>
                <w:color w:val="FFFFFF"/>
                <w:lang w:eastAsia="en-AU"/>
              </w:rPr>
              <w:t>15</w:t>
            </w:r>
          </w:p>
        </w:tc>
        <w:tc>
          <w:tcPr>
            <w:tcW w:w="998" w:type="dxa"/>
            <w:gridSpan w:val="2"/>
            <w:tcBorders>
              <w:top w:val="nil"/>
              <w:left w:val="nil"/>
              <w:bottom w:val="single" w:sz="6" w:space="0" w:color="auto"/>
              <w:right w:val="nil"/>
            </w:tcBorders>
            <w:shd w:val="clear" w:color="000000" w:fill="000000"/>
            <w:vAlign w:val="bottom"/>
          </w:tcPr>
          <w:p w:rsidR="00965D85" w:rsidRPr="006C4793" w:rsidRDefault="00965D85" w:rsidP="006C4793">
            <w:pPr>
              <w:pStyle w:val="Tabletextheading"/>
              <w:rPr>
                <w:rFonts w:eastAsiaTheme="minorEastAsia"/>
                <w:color w:val="FFFFFF"/>
                <w:lang w:eastAsia="en-AU"/>
              </w:rPr>
            </w:pPr>
            <w:r w:rsidRPr="006C4793">
              <w:rPr>
                <w:rFonts w:eastAsiaTheme="minorEastAsia"/>
                <w:color w:val="FFFFFF"/>
                <w:lang w:eastAsia="en-AU"/>
              </w:rPr>
              <w:t>2015</w:t>
            </w:r>
            <w:r>
              <w:rPr>
                <w:rFonts w:eastAsiaTheme="minorEastAsia"/>
                <w:color w:val="FFFFFF"/>
                <w:lang w:eastAsia="en-AU"/>
              </w:rPr>
              <w:noBreakHyphen/>
            </w:r>
            <w:r w:rsidRPr="006C4793">
              <w:rPr>
                <w:rFonts w:eastAsiaTheme="minorEastAsia"/>
                <w:color w:val="FFFFFF"/>
                <w:lang w:eastAsia="en-AU"/>
              </w:rPr>
              <w:t>16</w:t>
            </w:r>
          </w:p>
        </w:tc>
        <w:tc>
          <w:tcPr>
            <w:tcW w:w="997" w:type="dxa"/>
            <w:tcBorders>
              <w:top w:val="nil"/>
              <w:left w:val="nil"/>
              <w:bottom w:val="single" w:sz="6" w:space="0" w:color="auto"/>
              <w:right w:val="nil"/>
            </w:tcBorders>
            <w:shd w:val="clear" w:color="000000" w:fill="000000"/>
            <w:vAlign w:val="bottom"/>
          </w:tcPr>
          <w:p w:rsidR="00965D85" w:rsidRPr="006C4793" w:rsidRDefault="00965D85" w:rsidP="006C4793">
            <w:pPr>
              <w:pStyle w:val="Tabletextheading"/>
              <w:rPr>
                <w:rFonts w:eastAsiaTheme="minorEastAsia"/>
                <w:color w:val="FFFFFF"/>
                <w:lang w:eastAsia="en-AU"/>
              </w:rPr>
            </w:pPr>
            <w:r w:rsidRPr="006C4793">
              <w:rPr>
                <w:rFonts w:eastAsiaTheme="minorEastAsia"/>
                <w:color w:val="FFFFFF"/>
                <w:lang w:eastAsia="en-AU"/>
              </w:rPr>
              <w:t>2016</w:t>
            </w:r>
            <w:r>
              <w:rPr>
                <w:rFonts w:eastAsiaTheme="minorEastAsia"/>
                <w:color w:val="FFFFFF"/>
                <w:lang w:eastAsia="en-AU"/>
              </w:rPr>
              <w:noBreakHyphen/>
            </w:r>
            <w:r w:rsidRPr="006C4793">
              <w:rPr>
                <w:rFonts w:eastAsiaTheme="minorEastAsia"/>
                <w:color w:val="FFFFFF"/>
                <w:lang w:eastAsia="en-AU"/>
              </w:rPr>
              <w:t>17</w:t>
            </w:r>
          </w:p>
        </w:tc>
        <w:tc>
          <w:tcPr>
            <w:tcW w:w="999" w:type="dxa"/>
            <w:tcBorders>
              <w:top w:val="nil"/>
              <w:left w:val="nil"/>
              <w:bottom w:val="single" w:sz="6" w:space="0" w:color="auto"/>
              <w:right w:val="nil"/>
            </w:tcBorders>
            <w:shd w:val="clear" w:color="000000" w:fill="000000"/>
            <w:vAlign w:val="bottom"/>
          </w:tcPr>
          <w:p w:rsidR="00965D85" w:rsidRPr="006C4793" w:rsidRDefault="00965D85" w:rsidP="006C4793">
            <w:pPr>
              <w:pStyle w:val="Tabletextheading"/>
              <w:rPr>
                <w:rFonts w:eastAsiaTheme="minorEastAsia"/>
                <w:color w:val="FFFFFF"/>
                <w:lang w:eastAsia="en-AU"/>
              </w:rPr>
            </w:pPr>
            <w:r w:rsidRPr="006C4793">
              <w:rPr>
                <w:rFonts w:eastAsiaTheme="minorEastAsia"/>
                <w:color w:val="FFFFFF"/>
                <w:lang w:eastAsia="en-AU"/>
              </w:rPr>
              <w:t>2017</w:t>
            </w:r>
            <w:r>
              <w:rPr>
                <w:rFonts w:eastAsiaTheme="minorEastAsia"/>
                <w:color w:val="FFFFFF"/>
                <w:lang w:eastAsia="en-AU"/>
              </w:rPr>
              <w:noBreakHyphen/>
            </w:r>
            <w:r w:rsidRPr="006C4793">
              <w:rPr>
                <w:rFonts w:eastAsiaTheme="minorEastAsia"/>
                <w:color w:val="FFFFFF"/>
                <w:lang w:eastAsia="en-AU"/>
              </w:rPr>
              <w:t>18</w:t>
            </w:r>
          </w:p>
        </w:tc>
        <w:tc>
          <w:tcPr>
            <w:tcW w:w="1000" w:type="dxa"/>
            <w:tcBorders>
              <w:top w:val="nil"/>
              <w:left w:val="nil"/>
              <w:bottom w:val="single" w:sz="6" w:space="0" w:color="auto"/>
              <w:right w:val="single" w:sz="6" w:space="0" w:color="auto"/>
            </w:tcBorders>
            <w:shd w:val="clear" w:color="000000" w:fill="000000"/>
            <w:vAlign w:val="bottom"/>
          </w:tcPr>
          <w:p w:rsidR="00965D85" w:rsidRPr="006C4793" w:rsidRDefault="00965D85" w:rsidP="006C4793">
            <w:pPr>
              <w:pStyle w:val="Tabletextheading"/>
              <w:rPr>
                <w:rFonts w:eastAsiaTheme="minorEastAsia"/>
                <w:color w:val="FFFFFF"/>
                <w:lang w:eastAsia="en-AU"/>
              </w:rPr>
            </w:pPr>
            <w:r w:rsidRPr="006C4793">
              <w:rPr>
                <w:rFonts w:eastAsiaTheme="minorEastAsia"/>
                <w:color w:val="FFFFFF"/>
                <w:lang w:eastAsia="en-AU"/>
              </w:rPr>
              <w:t>2018</w:t>
            </w:r>
            <w:r>
              <w:rPr>
                <w:rFonts w:eastAsiaTheme="minorEastAsia"/>
                <w:color w:val="FFFFFF"/>
                <w:lang w:eastAsia="en-AU"/>
              </w:rPr>
              <w:noBreakHyphen/>
            </w:r>
            <w:r w:rsidRPr="006C4793">
              <w:rPr>
                <w:rFonts w:eastAsiaTheme="minorEastAsia"/>
                <w:color w:val="FFFFFF"/>
                <w:lang w:eastAsia="en-AU"/>
              </w:rPr>
              <w:t>19</w:t>
            </w:r>
          </w:p>
        </w:tc>
      </w:tr>
      <w:tr w:rsidR="00965D85" w:rsidRPr="006C4793" w:rsidTr="008B46DF">
        <w:trPr>
          <w:cantSplit/>
        </w:trPr>
        <w:tc>
          <w:tcPr>
            <w:tcW w:w="2778" w:type="dxa"/>
            <w:tcBorders>
              <w:top w:val="single" w:sz="6" w:space="0" w:color="auto"/>
              <w:left w:val="nil"/>
              <w:bottom w:val="nil"/>
              <w:right w:val="nil"/>
            </w:tcBorders>
            <w:shd w:val="solid" w:color="FFFFFF" w:fill="auto"/>
          </w:tcPr>
          <w:p w:rsidR="00965D85" w:rsidRPr="006C4793" w:rsidRDefault="00965D85" w:rsidP="006C4793">
            <w:pPr>
              <w:autoSpaceDE w:val="0"/>
              <w:autoSpaceDN w:val="0"/>
              <w:adjustRightInd w:val="0"/>
              <w:spacing w:after="0"/>
              <w:rPr>
                <w:rFonts w:ascii="Calibri" w:eastAsiaTheme="minorEastAsia" w:hAnsi="Calibri" w:cs="Calibri"/>
                <w:sz w:val="20"/>
                <w:lang w:eastAsia="en-AU"/>
              </w:rPr>
            </w:pPr>
            <w:r w:rsidRPr="006C4793">
              <w:rPr>
                <w:rFonts w:ascii="Calibri" w:eastAsiaTheme="minorEastAsia" w:hAnsi="Calibri" w:cs="Calibri"/>
                <w:sz w:val="20"/>
                <w:lang w:eastAsia="en-AU"/>
              </w:rPr>
              <w:t>Land tax</w:t>
            </w:r>
          </w:p>
        </w:tc>
        <w:tc>
          <w:tcPr>
            <w:tcW w:w="996" w:type="dxa"/>
            <w:gridSpan w:val="3"/>
            <w:tcBorders>
              <w:top w:val="single" w:sz="6" w:space="0" w:color="auto"/>
              <w:left w:val="nil"/>
              <w:bottom w:val="nil"/>
              <w:right w:val="nil"/>
            </w:tcBorders>
            <w:shd w:val="solid" w:color="FFFFFF" w:fill="auto"/>
          </w:tcPr>
          <w:p w:rsidR="00965D85" w:rsidRPr="006C4793" w:rsidRDefault="00965D85" w:rsidP="008B46DF">
            <w:pPr>
              <w:autoSpaceDE w:val="0"/>
              <w:autoSpaceDN w:val="0"/>
              <w:adjustRightInd w:val="0"/>
              <w:spacing w:after="0"/>
              <w:jc w:val="right"/>
              <w:rPr>
                <w:rFonts w:ascii="Calibri" w:eastAsiaTheme="minorEastAsia" w:hAnsi="Calibri" w:cs="Calibri"/>
                <w:sz w:val="20"/>
                <w:lang w:eastAsia="en-AU"/>
              </w:rPr>
            </w:pPr>
            <w:r w:rsidRPr="006C4793">
              <w:rPr>
                <w:rFonts w:ascii="Calibri" w:eastAsiaTheme="minorEastAsia" w:hAnsi="Calibri" w:cs="Calibri"/>
                <w:sz w:val="20"/>
                <w:lang w:eastAsia="en-AU"/>
              </w:rPr>
              <w:t>2 987.8</w:t>
            </w:r>
          </w:p>
        </w:tc>
        <w:tc>
          <w:tcPr>
            <w:tcW w:w="998" w:type="dxa"/>
            <w:gridSpan w:val="2"/>
            <w:tcBorders>
              <w:top w:val="single" w:sz="6" w:space="0" w:color="auto"/>
              <w:left w:val="nil"/>
              <w:bottom w:val="nil"/>
              <w:right w:val="nil"/>
            </w:tcBorders>
            <w:shd w:val="solid" w:color="FFFFFF" w:fill="auto"/>
          </w:tcPr>
          <w:p w:rsidR="00965D85" w:rsidRPr="006C4793" w:rsidRDefault="00965D85" w:rsidP="008B46DF">
            <w:pPr>
              <w:autoSpaceDE w:val="0"/>
              <w:autoSpaceDN w:val="0"/>
              <w:adjustRightInd w:val="0"/>
              <w:spacing w:after="0"/>
              <w:jc w:val="right"/>
              <w:rPr>
                <w:rFonts w:ascii="Calibri" w:eastAsiaTheme="minorEastAsia" w:hAnsi="Calibri" w:cs="Calibri"/>
                <w:sz w:val="20"/>
                <w:lang w:eastAsia="en-AU"/>
              </w:rPr>
            </w:pPr>
            <w:r w:rsidRPr="006C4793">
              <w:rPr>
                <w:rFonts w:ascii="Calibri" w:eastAsiaTheme="minorEastAsia" w:hAnsi="Calibri" w:cs="Calibri"/>
                <w:sz w:val="20"/>
                <w:lang w:eastAsia="en-AU"/>
              </w:rPr>
              <w:t>2 967.0</w:t>
            </w:r>
          </w:p>
        </w:tc>
        <w:tc>
          <w:tcPr>
            <w:tcW w:w="997" w:type="dxa"/>
            <w:tcBorders>
              <w:top w:val="single" w:sz="6" w:space="0" w:color="auto"/>
              <w:left w:val="nil"/>
              <w:bottom w:val="nil"/>
              <w:right w:val="nil"/>
            </w:tcBorders>
            <w:shd w:val="solid" w:color="FFFFFF" w:fill="auto"/>
          </w:tcPr>
          <w:p w:rsidR="00965D85" w:rsidRPr="006C4793" w:rsidRDefault="00965D85" w:rsidP="008B46DF">
            <w:pPr>
              <w:autoSpaceDE w:val="0"/>
              <w:autoSpaceDN w:val="0"/>
              <w:adjustRightInd w:val="0"/>
              <w:spacing w:after="0"/>
              <w:jc w:val="right"/>
              <w:rPr>
                <w:rFonts w:ascii="Calibri" w:eastAsiaTheme="minorEastAsia" w:hAnsi="Calibri" w:cs="Calibri"/>
                <w:sz w:val="20"/>
                <w:lang w:eastAsia="en-AU"/>
              </w:rPr>
            </w:pPr>
            <w:r w:rsidRPr="006C4793">
              <w:rPr>
                <w:rFonts w:ascii="Calibri" w:eastAsiaTheme="minorEastAsia" w:hAnsi="Calibri" w:cs="Calibri"/>
                <w:sz w:val="20"/>
                <w:lang w:eastAsia="en-AU"/>
              </w:rPr>
              <w:t>3 363.5</w:t>
            </w:r>
          </w:p>
        </w:tc>
        <w:tc>
          <w:tcPr>
            <w:tcW w:w="999" w:type="dxa"/>
            <w:tcBorders>
              <w:top w:val="single" w:sz="6" w:space="0" w:color="auto"/>
              <w:left w:val="nil"/>
              <w:bottom w:val="nil"/>
              <w:right w:val="nil"/>
            </w:tcBorders>
            <w:shd w:val="solid" w:color="FFFFFF" w:fill="auto"/>
          </w:tcPr>
          <w:p w:rsidR="00965D85" w:rsidRPr="006C4793" w:rsidRDefault="00965D85" w:rsidP="008B46DF">
            <w:pPr>
              <w:autoSpaceDE w:val="0"/>
              <w:autoSpaceDN w:val="0"/>
              <w:adjustRightInd w:val="0"/>
              <w:spacing w:after="0"/>
              <w:jc w:val="right"/>
              <w:rPr>
                <w:rFonts w:ascii="Calibri" w:eastAsiaTheme="minorEastAsia" w:hAnsi="Calibri" w:cs="Calibri"/>
                <w:sz w:val="20"/>
                <w:lang w:eastAsia="en-AU"/>
              </w:rPr>
            </w:pPr>
            <w:r w:rsidRPr="006C4793">
              <w:rPr>
                <w:rFonts w:ascii="Calibri" w:eastAsiaTheme="minorEastAsia" w:hAnsi="Calibri" w:cs="Calibri"/>
                <w:sz w:val="20"/>
                <w:lang w:eastAsia="en-AU"/>
              </w:rPr>
              <w:t>3 283.1</w:t>
            </w:r>
          </w:p>
        </w:tc>
        <w:tc>
          <w:tcPr>
            <w:tcW w:w="1000" w:type="dxa"/>
            <w:tcBorders>
              <w:top w:val="single" w:sz="6" w:space="0" w:color="auto"/>
              <w:left w:val="nil"/>
              <w:bottom w:val="nil"/>
              <w:right w:val="nil"/>
            </w:tcBorders>
            <w:shd w:val="solid" w:color="FFFFFF" w:fill="auto"/>
          </w:tcPr>
          <w:p w:rsidR="00965D85" w:rsidRPr="006C4793" w:rsidRDefault="00965D85" w:rsidP="008B46DF">
            <w:pPr>
              <w:autoSpaceDE w:val="0"/>
              <w:autoSpaceDN w:val="0"/>
              <w:adjustRightInd w:val="0"/>
              <w:spacing w:after="0"/>
              <w:jc w:val="right"/>
              <w:rPr>
                <w:rFonts w:ascii="Calibri" w:eastAsiaTheme="minorEastAsia" w:hAnsi="Calibri" w:cs="Calibri"/>
                <w:sz w:val="20"/>
                <w:lang w:eastAsia="en-AU"/>
              </w:rPr>
            </w:pPr>
            <w:r w:rsidRPr="006C4793">
              <w:rPr>
                <w:rFonts w:ascii="Calibri" w:eastAsiaTheme="minorEastAsia" w:hAnsi="Calibri" w:cs="Calibri"/>
                <w:sz w:val="20"/>
                <w:lang w:eastAsia="en-AU"/>
              </w:rPr>
              <w:t>3 720.7</w:t>
            </w:r>
          </w:p>
        </w:tc>
      </w:tr>
      <w:tr w:rsidR="00965D85" w:rsidRPr="006C4793" w:rsidTr="008B46DF">
        <w:trPr>
          <w:cantSplit/>
        </w:trPr>
        <w:tc>
          <w:tcPr>
            <w:tcW w:w="2778" w:type="dxa"/>
            <w:tcBorders>
              <w:top w:val="nil"/>
              <w:left w:val="nil"/>
              <w:bottom w:val="nil"/>
              <w:right w:val="nil"/>
            </w:tcBorders>
            <w:shd w:val="solid" w:color="FFFFFF" w:fill="auto"/>
          </w:tcPr>
          <w:p w:rsidR="00965D85" w:rsidRPr="006C4793" w:rsidRDefault="00965D85" w:rsidP="006C4793">
            <w:pPr>
              <w:autoSpaceDE w:val="0"/>
              <w:autoSpaceDN w:val="0"/>
              <w:adjustRightInd w:val="0"/>
              <w:spacing w:after="0"/>
              <w:rPr>
                <w:rFonts w:ascii="Calibri" w:eastAsiaTheme="minorEastAsia" w:hAnsi="Calibri" w:cs="Calibri"/>
                <w:sz w:val="20"/>
                <w:lang w:eastAsia="en-AU"/>
              </w:rPr>
            </w:pPr>
            <w:r w:rsidRPr="006C4793">
              <w:rPr>
                <w:rFonts w:ascii="Calibri" w:eastAsiaTheme="minorEastAsia" w:hAnsi="Calibri" w:cs="Calibri"/>
                <w:sz w:val="20"/>
                <w:lang w:eastAsia="en-AU"/>
              </w:rPr>
              <w:t>Fire Services Property Levy</w:t>
            </w:r>
          </w:p>
        </w:tc>
        <w:tc>
          <w:tcPr>
            <w:tcW w:w="996" w:type="dxa"/>
            <w:gridSpan w:val="3"/>
            <w:tcBorders>
              <w:top w:val="nil"/>
              <w:left w:val="nil"/>
              <w:bottom w:val="nil"/>
              <w:right w:val="nil"/>
            </w:tcBorders>
            <w:shd w:val="solid" w:color="FFFFFF" w:fill="auto"/>
          </w:tcPr>
          <w:p w:rsidR="00965D85" w:rsidRPr="006C4793" w:rsidRDefault="00965D85" w:rsidP="008B46DF">
            <w:pPr>
              <w:autoSpaceDE w:val="0"/>
              <w:autoSpaceDN w:val="0"/>
              <w:adjustRightInd w:val="0"/>
              <w:spacing w:after="0"/>
              <w:jc w:val="right"/>
              <w:rPr>
                <w:rFonts w:ascii="Calibri" w:eastAsiaTheme="minorEastAsia" w:hAnsi="Calibri" w:cs="Calibri"/>
                <w:sz w:val="20"/>
                <w:lang w:eastAsia="en-AU"/>
              </w:rPr>
            </w:pPr>
            <w:r w:rsidRPr="006C4793">
              <w:rPr>
                <w:rFonts w:ascii="Calibri" w:eastAsiaTheme="minorEastAsia" w:hAnsi="Calibri" w:cs="Calibri"/>
                <w:sz w:val="20"/>
                <w:lang w:eastAsia="en-AU"/>
              </w:rPr>
              <w:t>21.7</w:t>
            </w:r>
          </w:p>
        </w:tc>
        <w:tc>
          <w:tcPr>
            <w:tcW w:w="998" w:type="dxa"/>
            <w:gridSpan w:val="2"/>
            <w:tcBorders>
              <w:top w:val="nil"/>
              <w:left w:val="nil"/>
              <w:bottom w:val="nil"/>
              <w:right w:val="nil"/>
            </w:tcBorders>
            <w:shd w:val="solid" w:color="FFFFFF" w:fill="auto"/>
          </w:tcPr>
          <w:p w:rsidR="00965D85" w:rsidRPr="006C4793" w:rsidRDefault="00965D85" w:rsidP="008B46DF">
            <w:pPr>
              <w:autoSpaceDE w:val="0"/>
              <w:autoSpaceDN w:val="0"/>
              <w:adjustRightInd w:val="0"/>
              <w:spacing w:after="0"/>
              <w:jc w:val="right"/>
              <w:rPr>
                <w:rFonts w:ascii="Calibri" w:eastAsiaTheme="minorEastAsia" w:hAnsi="Calibri" w:cs="Calibri"/>
                <w:sz w:val="20"/>
                <w:lang w:eastAsia="en-AU"/>
              </w:rPr>
            </w:pPr>
            <w:r w:rsidRPr="006C4793">
              <w:rPr>
                <w:rFonts w:ascii="Calibri" w:eastAsiaTheme="minorEastAsia" w:hAnsi="Calibri" w:cs="Calibri"/>
                <w:sz w:val="20"/>
                <w:lang w:eastAsia="en-AU"/>
              </w:rPr>
              <w:t>21.9</w:t>
            </w:r>
          </w:p>
        </w:tc>
        <w:tc>
          <w:tcPr>
            <w:tcW w:w="997" w:type="dxa"/>
            <w:tcBorders>
              <w:top w:val="nil"/>
              <w:left w:val="nil"/>
              <w:bottom w:val="nil"/>
              <w:right w:val="nil"/>
            </w:tcBorders>
            <w:shd w:val="solid" w:color="FFFFFF" w:fill="auto"/>
          </w:tcPr>
          <w:p w:rsidR="00965D85" w:rsidRPr="006C4793" w:rsidRDefault="00965D85" w:rsidP="008B46DF">
            <w:pPr>
              <w:autoSpaceDE w:val="0"/>
              <w:autoSpaceDN w:val="0"/>
              <w:adjustRightInd w:val="0"/>
              <w:spacing w:after="0"/>
              <w:jc w:val="right"/>
              <w:rPr>
                <w:rFonts w:ascii="Calibri" w:eastAsiaTheme="minorEastAsia" w:hAnsi="Calibri" w:cs="Calibri"/>
                <w:sz w:val="20"/>
                <w:lang w:eastAsia="en-AU"/>
              </w:rPr>
            </w:pPr>
            <w:r w:rsidRPr="006C4793">
              <w:rPr>
                <w:rFonts w:ascii="Calibri" w:eastAsiaTheme="minorEastAsia" w:hAnsi="Calibri" w:cs="Calibri"/>
                <w:sz w:val="20"/>
                <w:lang w:eastAsia="en-AU"/>
              </w:rPr>
              <w:t>22.1</w:t>
            </w:r>
          </w:p>
        </w:tc>
        <w:tc>
          <w:tcPr>
            <w:tcW w:w="999" w:type="dxa"/>
            <w:tcBorders>
              <w:top w:val="nil"/>
              <w:left w:val="nil"/>
              <w:bottom w:val="nil"/>
              <w:right w:val="nil"/>
            </w:tcBorders>
            <w:shd w:val="solid" w:color="FFFFFF" w:fill="auto"/>
          </w:tcPr>
          <w:p w:rsidR="00965D85" w:rsidRPr="006C4793" w:rsidRDefault="00965D85" w:rsidP="008B46DF">
            <w:pPr>
              <w:autoSpaceDE w:val="0"/>
              <w:autoSpaceDN w:val="0"/>
              <w:adjustRightInd w:val="0"/>
              <w:spacing w:after="0"/>
              <w:jc w:val="right"/>
              <w:rPr>
                <w:rFonts w:ascii="Calibri" w:eastAsiaTheme="minorEastAsia" w:hAnsi="Calibri" w:cs="Calibri"/>
                <w:sz w:val="20"/>
                <w:lang w:eastAsia="en-AU"/>
              </w:rPr>
            </w:pPr>
            <w:r w:rsidRPr="006C4793">
              <w:rPr>
                <w:rFonts w:ascii="Calibri" w:eastAsiaTheme="minorEastAsia" w:hAnsi="Calibri" w:cs="Calibri"/>
                <w:sz w:val="20"/>
                <w:lang w:eastAsia="en-AU"/>
              </w:rPr>
              <w:t>22.3</w:t>
            </w:r>
          </w:p>
        </w:tc>
        <w:tc>
          <w:tcPr>
            <w:tcW w:w="1000" w:type="dxa"/>
            <w:tcBorders>
              <w:top w:val="nil"/>
              <w:left w:val="nil"/>
              <w:bottom w:val="nil"/>
              <w:right w:val="nil"/>
            </w:tcBorders>
            <w:shd w:val="solid" w:color="FFFFFF" w:fill="auto"/>
          </w:tcPr>
          <w:p w:rsidR="00965D85" w:rsidRPr="006C4793" w:rsidRDefault="00965D85" w:rsidP="008B46DF">
            <w:pPr>
              <w:autoSpaceDE w:val="0"/>
              <w:autoSpaceDN w:val="0"/>
              <w:adjustRightInd w:val="0"/>
              <w:spacing w:after="0"/>
              <w:jc w:val="right"/>
              <w:rPr>
                <w:rFonts w:ascii="Calibri" w:eastAsiaTheme="minorEastAsia" w:hAnsi="Calibri" w:cs="Calibri"/>
                <w:sz w:val="20"/>
                <w:lang w:eastAsia="en-AU"/>
              </w:rPr>
            </w:pPr>
            <w:r w:rsidRPr="006C4793">
              <w:rPr>
                <w:rFonts w:ascii="Calibri" w:eastAsiaTheme="minorEastAsia" w:hAnsi="Calibri" w:cs="Calibri"/>
                <w:sz w:val="20"/>
                <w:lang w:eastAsia="en-AU"/>
              </w:rPr>
              <w:t>22.5</w:t>
            </w:r>
          </w:p>
        </w:tc>
      </w:tr>
      <w:tr w:rsidR="00965D85" w:rsidRPr="006C4793" w:rsidTr="008B46DF">
        <w:trPr>
          <w:cantSplit/>
        </w:trPr>
        <w:tc>
          <w:tcPr>
            <w:tcW w:w="2778" w:type="dxa"/>
            <w:tcBorders>
              <w:top w:val="nil"/>
              <w:left w:val="nil"/>
              <w:bottom w:val="nil"/>
              <w:right w:val="nil"/>
            </w:tcBorders>
            <w:shd w:val="solid" w:color="FFFFFF" w:fill="auto"/>
          </w:tcPr>
          <w:p w:rsidR="00965D85" w:rsidRPr="006C4793" w:rsidRDefault="00965D85" w:rsidP="006C4793">
            <w:pPr>
              <w:autoSpaceDE w:val="0"/>
              <w:autoSpaceDN w:val="0"/>
              <w:adjustRightInd w:val="0"/>
              <w:spacing w:after="0"/>
              <w:rPr>
                <w:rFonts w:ascii="Calibri" w:eastAsiaTheme="minorEastAsia" w:hAnsi="Calibri" w:cs="Calibri"/>
                <w:sz w:val="20"/>
                <w:lang w:eastAsia="en-AU"/>
              </w:rPr>
            </w:pPr>
            <w:r w:rsidRPr="006C4793">
              <w:rPr>
                <w:rFonts w:ascii="Calibri" w:eastAsiaTheme="minorEastAsia" w:hAnsi="Calibri" w:cs="Calibri"/>
                <w:sz w:val="20"/>
                <w:lang w:eastAsia="en-AU"/>
              </w:rPr>
              <w:t>Payroll tax</w:t>
            </w:r>
          </w:p>
        </w:tc>
        <w:tc>
          <w:tcPr>
            <w:tcW w:w="996" w:type="dxa"/>
            <w:gridSpan w:val="3"/>
            <w:tcBorders>
              <w:top w:val="nil"/>
              <w:left w:val="nil"/>
              <w:bottom w:val="nil"/>
              <w:right w:val="nil"/>
            </w:tcBorders>
            <w:shd w:val="solid" w:color="FFFFFF" w:fill="auto"/>
          </w:tcPr>
          <w:p w:rsidR="00965D85" w:rsidRPr="006C4793" w:rsidRDefault="00965D85" w:rsidP="008B46DF">
            <w:pPr>
              <w:autoSpaceDE w:val="0"/>
              <w:autoSpaceDN w:val="0"/>
              <w:adjustRightInd w:val="0"/>
              <w:spacing w:after="0"/>
              <w:jc w:val="right"/>
              <w:rPr>
                <w:rFonts w:ascii="Calibri" w:eastAsiaTheme="minorEastAsia" w:hAnsi="Calibri" w:cs="Calibri"/>
                <w:sz w:val="20"/>
                <w:lang w:eastAsia="en-AU"/>
              </w:rPr>
            </w:pPr>
            <w:r w:rsidRPr="006C4793">
              <w:rPr>
                <w:rFonts w:ascii="Calibri" w:eastAsiaTheme="minorEastAsia" w:hAnsi="Calibri" w:cs="Calibri"/>
                <w:sz w:val="20"/>
                <w:lang w:eastAsia="en-AU"/>
              </w:rPr>
              <w:t>1 152.6</w:t>
            </w:r>
          </w:p>
        </w:tc>
        <w:tc>
          <w:tcPr>
            <w:tcW w:w="998" w:type="dxa"/>
            <w:gridSpan w:val="2"/>
            <w:tcBorders>
              <w:top w:val="nil"/>
              <w:left w:val="nil"/>
              <w:bottom w:val="nil"/>
              <w:right w:val="nil"/>
            </w:tcBorders>
            <w:shd w:val="solid" w:color="FFFFFF" w:fill="auto"/>
          </w:tcPr>
          <w:p w:rsidR="00965D85" w:rsidRPr="006C4793" w:rsidRDefault="00965D85" w:rsidP="008B46DF">
            <w:pPr>
              <w:autoSpaceDE w:val="0"/>
              <w:autoSpaceDN w:val="0"/>
              <w:adjustRightInd w:val="0"/>
              <w:spacing w:after="0"/>
              <w:jc w:val="right"/>
              <w:rPr>
                <w:rFonts w:ascii="Calibri" w:eastAsiaTheme="minorEastAsia" w:hAnsi="Calibri" w:cs="Calibri"/>
                <w:sz w:val="20"/>
                <w:lang w:eastAsia="en-AU"/>
              </w:rPr>
            </w:pPr>
            <w:r w:rsidRPr="006C4793">
              <w:rPr>
                <w:rFonts w:ascii="Calibri" w:eastAsiaTheme="minorEastAsia" w:hAnsi="Calibri" w:cs="Calibri"/>
                <w:sz w:val="20"/>
                <w:lang w:eastAsia="en-AU"/>
              </w:rPr>
              <w:t>1 210.0</w:t>
            </w:r>
          </w:p>
        </w:tc>
        <w:tc>
          <w:tcPr>
            <w:tcW w:w="997" w:type="dxa"/>
            <w:tcBorders>
              <w:top w:val="nil"/>
              <w:left w:val="nil"/>
              <w:bottom w:val="nil"/>
              <w:right w:val="nil"/>
            </w:tcBorders>
            <w:shd w:val="solid" w:color="FFFFFF" w:fill="auto"/>
          </w:tcPr>
          <w:p w:rsidR="00965D85" w:rsidRPr="006C4793" w:rsidRDefault="00965D85" w:rsidP="008B46DF">
            <w:pPr>
              <w:autoSpaceDE w:val="0"/>
              <w:autoSpaceDN w:val="0"/>
              <w:adjustRightInd w:val="0"/>
              <w:spacing w:after="0"/>
              <w:jc w:val="right"/>
              <w:rPr>
                <w:rFonts w:ascii="Calibri" w:eastAsiaTheme="minorEastAsia" w:hAnsi="Calibri" w:cs="Calibri"/>
                <w:sz w:val="20"/>
                <w:lang w:eastAsia="en-AU"/>
              </w:rPr>
            </w:pPr>
            <w:r w:rsidRPr="006C4793">
              <w:rPr>
                <w:rFonts w:ascii="Calibri" w:eastAsiaTheme="minorEastAsia" w:hAnsi="Calibri" w:cs="Calibri"/>
                <w:sz w:val="20"/>
                <w:lang w:eastAsia="en-AU"/>
              </w:rPr>
              <w:t>1 288.2</w:t>
            </w:r>
          </w:p>
        </w:tc>
        <w:tc>
          <w:tcPr>
            <w:tcW w:w="999" w:type="dxa"/>
            <w:tcBorders>
              <w:top w:val="nil"/>
              <w:left w:val="nil"/>
              <w:bottom w:val="nil"/>
              <w:right w:val="nil"/>
            </w:tcBorders>
            <w:shd w:val="solid" w:color="FFFFFF" w:fill="auto"/>
          </w:tcPr>
          <w:p w:rsidR="00965D85" w:rsidRPr="006C4793" w:rsidRDefault="00965D85" w:rsidP="008B46DF">
            <w:pPr>
              <w:autoSpaceDE w:val="0"/>
              <w:autoSpaceDN w:val="0"/>
              <w:adjustRightInd w:val="0"/>
              <w:spacing w:after="0"/>
              <w:jc w:val="right"/>
              <w:rPr>
                <w:rFonts w:ascii="Calibri" w:eastAsiaTheme="minorEastAsia" w:hAnsi="Calibri" w:cs="Calibri"/>
                <w:sz w:val="20"/>
                <w:lang w:eastAsia="en-AU"/>
              </w:rPr>
            </w:pPr>
            <w:r w:rsidRPr="006C4793">
              <w:rPr>
                <w:rFonts w:ascii="Calibri" w:eastAsiaTheme="minorEastAsia" w:hAnsi="Calibri" w:cs="Calibri"/>
                <w:sz w:val="20"/>
                <w:lang w:eastAsia="en-AU"/>
              </w:rPr>
              <w:t>1 362.6</w:t>
            </w:r>
          </w:p>
        </w:tc>
        <w:tc>
          <w:tcPr>
            <w:tcW w:w="1000" w:type="dxa"/>
            <w:tcBorders>
              <w:top w:val="nil"/>
              <w:left w:val="nil"/>
              <w:bottom w:val="nil"/>
              <w:right w:val="nil"/>
            </w:tcBorders>
            <w:shd w:val="solid" w:color="FFFFFF" w:fill="auto"/>
          </w:tcPr>
          <w:p w:rsidR="00965D85" w:rsidRPr="006C4793" w:rsidRDefault="00965D85" w:rsidP="008B46DF">
            <w:pPr>
              <w:autoSpaceDE w:val="0"/>
              <w:autoSpaceDN w:val="0"/>
              <w:adjustRightInd w:val="0"/>
              <w:spacing w:after="0"/>
              <w:jc w:val="right"/>
              <w:rPr>
                <w:rFonts w:ascii="Calibri" w:eastAsiaTheme="minorEastAsia" w:hAnsi="Calibri" w:cs="Calibri"/>
                <w:sz w:val="20"/>
                <w:lang w:eastAsia="en-AU"/>
              </w:rPr>
            </w:pPr>
            <w:r w:rsidRPr="006C4793">
              <w:rPr>
                <w:rFonts w:ascii="Calibri" w:eastAsiaTheme="minorEastAsia" w:hAnsi="Calibri" w:cs="Calibri"/>
                <w:sz w:val="20"/>
                <w:lang w:eastAsia="en-AU"/>
              </w:rPr>
              <w:t>1 440.0</w:t>
            </w:r>
          </w:p>
        </w:tc>
      </w:tr>
      <w:tr w:rsidR="00965D85" w:rsidRPr="006C4793" w:rsidTr="008B46DF">
        <w:trPr>
          <w:cantSplit/>
        </w:trPr>
        <w:tc>
          <w:tcPr>
            <w:tcW w:w="2778" w:type="dxa"/>
            <w:tcBorders>
              <w:top w:val="nil"/>
              <w:left w:val="nil"/>
              <w:bottom w:val="nil"/>
              <w:right w:val="nil"/>
            </w:tcBorders>
            <w:shd w:val="solid" w:color="FFFFFF" w:fill="auto"/>
          </w:tcPr>
          <w:p w:rsidR="00965D85" w:rsidRPr="006C4793" w:rsidRDefault="00965D85" w:rsidP="006C4793">
            <w:pPr>
              <w:autoSpaceDE w:val="0"/>
              <w:autoSpaceDN w:val="0"/>
              <w:adjustRightInd w:val="0"/>
              <w:spacing w:after="0"/>
              <w:rPr>
                <w:rFonts w:ascii="Calibri" w:eastAsiaTheme="minorEastAsia" w:hAnsi="Calibri" w:cs="Calibri"/>
                <w:sz w:val="20"/>
                <w:lang w:eastAsia="en-AU"/>
              </w:rPr>
            </w:pPr>
            <w:r w:rsidRPr="006C4793">
              <w:rPr>
                <w:rFonts w:ascii="Calibri" w:eastAsiaTheme="minorEastAsia" w:hAnsi="Calibri" w:cs="Calibri"/>
                <w:sz w:val="20"/>
                <w:lang w:eastAsia="en-AU"/>
              </w:rPr>
              <w:t>Gambling tax</w:t>
            </w:r>
          </w:p>
        </w:tc>
        <w:tc>
          <w:tcPr>
            <w:tcW w:w="996" w:type="dxa"/>
            <w:gridSpan w:val="3"/>
            <w:tcBorders>
              <w:top w:val="nil"/>
              <w:left w:val="nil"/>
              <w:bottom w:val="nil"/>
              <w:right w:val="nil"/>
            </w:tcBorders>
            <w:shd w:val="solid" w:color="FFFFFF" w:fill="auto"/>
          </w:tcPr>
          <w:p w:rsidR="00965D85" w:rsidRPr="006C4793" w:rsidRDefault="00965D85" w:rsidP="008B46DF">
            <w:pPr>
              <w:autoSpaceDE w:val="0"/>
              <w:autoSpaceDN w:val="0"/>
              <w:adjustRightInd w:val="0"/>
              <w:spacing w:after="0"/>
              <w:jc w:val="right"/>
              <w:rPr>
                <w:rFonts w:ascii="Calibri" w:eastAsiaTheme="minorEastAsia" w:hAnsi="Calibri" w:cs="Calibri"/>
                <w:sz w:val="20"/>
                <w:lang w:eastAsia="en-AU"/>
              </w:rPr>
            </w:pPr>
            <w:r w:rsidRPr="006C4793">
              <w:rPr>
                <w:rFonts w:ascii="Calibri" w:eastAsiaTheme="minorEastAsia" w:hAnsi="Calibri" w:cs="Calibri"/>
                <w:sz w:val="20"/>
                <w:lang w:eastAsia="en-AU"/>
              </w:rPr>
              <w:t xml:space="preserve"> 73.9</w:t>
            </w:r>
          </w:p>
        </w:tc>
        <w:tc>
          <w:tcPr>
            <w:tcW w:w="998" w:type="dxa"/>
            <w:gridSpan w:val="2"/>
            <w:tcBorders>
              <w:top w:val="nil"/>
              <w:left w:val="nil"/>
              <w:bottom w:val="nil"/>
              <w:right w:val="nil"/>
            </w:tcBorders>
            <w:shd w:val="solid" w:color="FFFFFF" w:fill="auto"/>
          </w:tcPr>
          <w:p w:rsidR="00965D85" w:rsidRPr="006C4793" w:rsidRDefault="00965D85" w:rsidP="008B46DF">
            <w:pPr>
              <w:autoSpaceDE w:val="0"/>
              <w:autoSpaceDN w:val="0"/>
              <w:adjustRightInd w:val="0"/>
              <w:spacing w:after="0"/>
              <w:jc w:val="right"/>
              <w:rPr>
                <w:rFonts w:ascii="Calibri" w:eastAsiaTheme="minorEastAsia" w:hAnsi="Calibri" w:cs="Calibri"/>
                <w:sz w:val="20"/>
                <w:lang w:eastAsia="en-AU"/>
              </w:rPr>
            </w:pPr>
            <w:r w:rsidRPr="006C4793">
              <w:rPr>
                <w:rFonts w:ascii="Calibri" w:eastAsiaTheme="minorEastAsia" w:hAnsi="Calibri" w:cs="Calibri"/>
                <w:sz w:val="20"/>
                <w:lang w:eastAsia="en-AU"/>
              </w:rPr>
              <w:t xml:space="preserve"> 73.7</w:t>
            </w:r>
          </w:p>
        </w:tc>
        <w:tc>
          <w:tcPr>
            <w:tcW w:w="997" w:type="dxa"/>
            <w:tcBorders>
              <w:top w:val="nil"/>
              <w:left w:val="nil"/>
              <w:bottom w:val="nil"/>
              <w:right w:val="nil"/>
            </w:tcBorders>
            <w:shd w:val="solid" w:color="FFFFFF" w:fill="auto"/>
          </w:tcPr>
          <w:p w:rsidR="00965D85" w:rsidRPr="006C4793" w:rsidRDefault="00965D85" w:rsidP="008B46DF">
            <w:pPr>
              <w:autoSpaceDE w:val="0"/>
              <w:autoSpaceDN w:val="0"/>
              <w:adjustRightInd w:val="0"/>
              <w:spacing w:after="0"/>
              <w:jc w:val="right"/>
              <w:rPr>
                <w:rFonts w:ascii="Calibri" w:eastAsiaTheme="minorEastAsia" w:hAnsi="Calibri" w:cs="Calibri"/>
                <w:sz w:val="20"/>
                <w:lang w:eastAsia="en-AU"/>
              </w:rPr>
            </w:pPr>
            <w:r w:rsidRPr="006C4793">
              <w:rPr>
                <w:rFonts w:ascii="Calibri" w:eastAsiaTheme="minorEastAsia" w:hAnsi="Calibri" w:cs="Calibri"/>
                <w:sz w:val="20"/>
                <w:lang w:eastAsia="en-AU"/>
              </w:rPr>
              <w:t xml:space="preserve"> 74.3</w:t>
            </w:r>
          </w:p>
        </w:tc>
        <w:tc>
          <w:tcPr>
            <w:tcW w:w="999" w:type="dxa"/>
            <w:tcBorders>
              <w:top w:val="nil"/>
              <w:left w:val="nil"/>
              <w:bottom w:val="nil"/>
              <w:right w:val="nil"/>
            </w:tcBorders>
            <w:shd w:val="solid" w:color="FFFFFF" w:fill="auto"/>
          </w:tcPr>
          <w:p w:rsidR="00965D85" w:rsidRPr="006C4793" w:rsidRDefault="00965D85" w:rsidP="008B46DF">
            <w:pPr>
              <w:autoSpaceDE w:val="0"/>
              <w:autoSpaceDN w:val="0"/>
              <w:adjustRightInd w:val="0"/>
              <w:spacing w:after="0"/>
              <w:jc w:val="right"/>
              <w:rPr>
                <w:rFonts w:ascii="Calibri" w:eastAsiaTheme="minorEastAsia" w:hAnsi="Calibri" w:cs="Calibri"/>
                <w:sz w:val="20"/>
                <w:lang w:eastAsia="en-AU"/>
              </w:rPr>
            </w:pPr>
            <w:r w:rsidRPr="006C4793">
              <w:rPr>
                <w:rFonts w:ascii="Calibri" w:eastAsiaTheme="minorEastAsia" w:hAnsi="Calibri" w:cs="Calibri"/>
                <w:sz w:val="20"/>
                <w:lang w:eastAsia="en-AU"/>
              </w:rPr>
              <w:t xml:space="preserve"> 76.0</w:t>
            </w:r>
          </w:p>
        </w:tc>
        <w:tc>
          <w:tcPr>
            <w:tcW w:w="1000" w:type="dxa"/>
            <w:tcBorders>
              <w:top w:val="nil"/>
              <w:left w:val="nil"/>
              <w:bottom w:val="nil"/>
              <w:right w:val="nil"/>
            </w:tcBorders>
            <w:shd w:val="solid" w:color="FFFFFF" w:fill="auto"/>
          </w:tcPr>
          <w:p w:rsidR="00965D85" w:rsidRPr="006C4793" w:rsidRDefault="00965D85" w:rsidP="008B46DF">
            <w:pPr>
              <w:autoSpaceDE w:val="0"/>
              <w:autoSpaceDN w:val="0"/>
              <w:adjustRightInd w:val="0"/>
              <w:spacing w:after="0"/>
              <w:jc w:val="right"/>
              <w:rPr>
                <w:rFonts w:ascii="Calibri" w:eastAsiaTheme="minorEastAsia" w:hAnsi="Calibri" w:cs="Calibri"/>
                <w:sz w:val="20"/>
                <w:lang w:eastAsia="en-AU"/>
              </w:rPr>
            </w:pPr>
            <w:r w:rsidRPr="006C4793">
              <w:rPr>
                <w:rFonts w:ascii="Calibri" w:eastAsiaTheme="minorEastAsia" w:hAnsi="Calibri" w:cs="Calibri"/>
                <w:sz w:val="20"/>
                <w:lang w:eastAsia="en-AU"/>
              </w:rPr>
              <w:t xml:space="preserve"> 76.3</w:t>
            </w:r>
          </w:p>
        </w:tc>
      </w:tr>
      <w:tr w:rsidR="00965D85" w:rsidRPr="006C4793" w:rsidTr="008B46DF">
        <w:trPr>
          <w:cantSplit/>
        </w:trPr>
        <w:tc>
          <w:tcPr>
            <w:tcW w:w="2778" w:type="dxa"/>
            <w:tcBorders>
              <w:top w:val="nil"/>
              <w:left w:val="nil"/>
              <w:bottom w:val="nil"/>
              <w:right w:val="nil"/>
            </w:tcBorders>
            <w:shd w:val="solid" w:color="FFFFFF" w:fill="auto"/>
          </w:tcPr>
          <w:p w:rsidR="00965D85" w:rsidRPr="006C4793" w:rsidRDefault="00965D85" w:rsidP="006C4793">
            <w:pPr>
              <w:autoSpaceDE w:val="0"/>
              <w:autoSpaceDN w:val="0"/>
              <w:adjustRightInd w:val="0"/>
              <w:spacing w:after="0"/>
              <w:rPr>
                <w:rFonts w:ascii="Calibri" w:eastAsiaTheme="minorEastAsia" w:hAnsi="Calibri" w:cs="Calibri"/>
                <w:sz w:val="20"/>
                <w:lang w:eastAsia="en-AU"/>
              </w:rPr>
            </w:pPr>
            <w:r w:rsidRPr="006C4793">
              <w:rPr>
                <w:rFonts w:ascii="Calibri" w:eastAsiaTheme="minorEastAsia" w:hAnsi="Calibri" w:cs="Calibri"/>
                <w:sz w:val="20"/>
                <w:lang w:eastAsia="en-AU"/>
              </w:rPr>
              <w:t>Motor vehicle taxes</w:t>
            </w:r>
          </w:p>
        </w:tc>
        <w:tc>
          <w:tcPr>
            <w:tcW w:w="996" w:type="dxa"/>
            <w:gridSpan w:val="3"/>
            <w:tcBorders>
              <w:top w:val="nil"/>
              <w:left w:val="nil"/>
              <w:bottom w:val="nil"/>
              <w:right w:val="nil"/>
            </w:tcBorders>
            <w:shd w:val="solid" w:color="FFFFFF" w:fill="auto"/>
          </w:tcPr>
          <w:p w:rsidR="00965D85" w:rsidRPr="006C4793" w:rsidRDefault="00965D85" w:rsidP="008B46DF">
            <w:pPr>
              <w:autoSpaceDE w:val="0"/>
              <w:autoSpaceDN w:val="0"/>
              <w:adjustRightInd w:val="0"/>
              <w:spacing w:after="0"/>
              <w:jc w:val="right"/>
              <w:rPr>
                <w:rFonts w:ascii="Calibri" w:eastAsiaTheme="minorEastAsia" w:hAnsi="Calibri" w:cs="Calibri"/>
                <w:sz w:val="20"/>
                <w:lang w:eastAsia="en-AU"/>
              </w:rPr>
            </w:pPr>
            <w:r w:rsidRPr="006C4793">
              <w:rPr>
                <w:rFonts w:ascii="Calibri" w:eastAsiaTheme="minorEastAsia" w:hAnsi="Calibri" w:cs="Calibri"/>
                <w:sz w:val="20"/>
                <w:lang w:eastAsia="en-AU"/>
              </w:rPr>
              <w:t xml:space="preserve"> 164.6</w:t>
            </w:r>
          </w:p>
        </w:tc>
        <w:tc>
          <w:tcPr>
            <w:tcW w:w="998" w:type="dxa"/>
            <w:gridSpan w:val="2"/>
            <w:tcBorders>
              <w:top w:val="nil"/>
              <w:left w:val="nil"/>
              <w:bottom w:val="nil"/>
              <w:right w:val="nil"/>
            </w:tcBorders>
            <w:shd w:val="solid" w:color="FFFFFF" w:fill="auto"/>
          </w:tcPr>
          <w:p w:rsidR="00965D85" w:rsidRPr="006C4793" w:rsidRDefault="00965D85" w:rsidP="008B46DF">
            <w:pPr>
              <w:autoSpaceDE w:val="0"/>
              <w:autoSpaceDN w:val="0"/>
              <w:adjustRightInd w:val="0"/>
              <w:spacing w:after="0"/>
              <w:jc w:val="right"/>
              <w:rPr>
                <w:rFonts w:ascii="Calibri" w:eastAsiaTheme="minorEastAsia" w:hAnsi="Calibri" w:cs="Calibri"/>
                <w:sz w:val="20"/>
                <w:lang w:eastAsia="en-AU"/>
              </w:rPr>
            </w:pPr>
            <w:r w:rsidRPr="006C4793">
              <w:rPr>
                <w:rFonts w:ascii="Calibri" w:eastAsiaTheme="minorEastAsia" w:hAnsi="Calibri" w:cs="Calibri"/>
                <w:sz w:val="20"/>
                <w:lang w:eastAsia="en-AU"/>
              </w:rPr>
              <w:t xml:space="preserve"> 176.6</w:t>
            </w:r>
          </w:p>
        </w:tc>
        <w:tc>
          <w:tcPr>
            <w:tcW w:w="997" w:type="dxa"/>
            <w:tcBorders>
              <w:top w:val="nil"/>
              <w:left w:val="nil"/>
              <w:bottom w:val="nil"/>
              <w:right w:val="nil"/>
            </w:tcBorders>
            <w:shd w:val="solid" w:color="FFFFFF" w:fill="auto"/>
          </w:tcPr>
          <w:p w:rsidR="00965D85" w:rsidRPr="006C4793" w:rsidRDefault="00965D85" w:rsidP="008B46DF">
            <w:pPr>
              <w:autoSpaceDE w:val="0"/>
              <w:autoSpaceDN w:val="0"/>
              <w:adjustRightInd w:val="0"/>
              <w:spacing w:after="0"/>
              <w:jc w:val="right"/>
              <w:rPr>
                <w:rFonts w:ascii="Calibri" w:eastAsiaTheme="minorEastAsia" w:hAnsi="Calibri" w:cs="Calibri"/>
                <w:sz w:val="20"/>
                <w:lang w:eastAsia="en-AU"/>
              </w:rPr>
            </w:pPr>
            <w:r w:rsidRPr="006C4793">
              <w:rPr>
                <w:rFonts w:ascii="Calibri" w:eastAsiaTheme="minorEastAsia" w:hAnsi="Calibri" w:cs="Calibri"/>
                <w:sz w:val="20"/>
                <w:lang w:eastAsia="en-AU"/>
              </w:rPr>
              <w:t xml:space="preserve"> 188.5</w:t>
            </w:r>
          </w:p>
        </w:tc>
        <w:tc>
          <w:tcPr>
            <w:tcW w:w="999" w:type="dxa"/>
            <w:tcBorders>
              <w:top w:val="nil"/>
              <w:left w:val="nil"/>
              <w:bottom w:val="nil"/>
              <w:right w:val="nil"/>
            </w:tcBorders>
            <w:shd w:val="solid" w:color="FFFFFF" w:fill="auto"/>
          </w:tcPr>
          <w:p w:rsidR="00965D85" w:rsidRPr="006C4793" w:rsidRDefault="00965D85" w:rsidP="008B46DF">
            <w:pPr>
              <w:autoSpaceDE w:val="0"/>
              <w:autoSpaceDN w:val="0"/>
              <w:adjustRightInd w:val="0"/>
              <w:spacing w:after="0"/>
              <w:jc w:val="right"/>
              <w:rPr>
                <w:rFonts w:ascii="Calibri" w:eastAsiaTheme="minorEastAsia" w:hAnsi="Calibri" w:cs="Calibri"/>
                <w:sz w:val="20"/>
                <w:lang w:eastAsia="en-AU"/>
              </w:rPr>
            </w:pPr>
            <w:r w:rsidRPr="006C4793">
              <w:rPr>
                <w:rFonts w:ascii="Calibri" w:eastAsiaTheme="minorEastAsia" w:hAnsi="Calibri" w:cs="Calibri"/>
                <w:sz w:val="20"/>
                <w:lang w:eastAsia="en-AU"/>
              </w:rPr>
              <w:t xml:space="preserve"> 195.9</w:t>
            </w:r>
          </w:p>
        </w:tc>
        <w:tc>
          <w:tcPr>
            <w:tcW w:w="1000" w:type="dxa"/>
            <w:tcBorders>
              <w:top w:val="nil"/>
              <w:left w:val="nil"/>
              <w:bottom w:val="nil"/>
              <w:right w:val="nil"/>
            </w:tcBorders>
            <w:shd w:val="solid" w:color="FFFFFF" w:fill="auto"/>
          </w:tcPr>
          <w:p w:rsidR="00965D85" w:rsidRPr="006C4793" w:rsidRDefault="00965D85" w:rsidP="008B46DF">
            <w:pPr>
              <w:autoSpaceDE w:val="0"/>
              <w:autoSpaceDN w:val="0"/>
              <w:adjustRightInd w:val="0"/>
              <w:spacing w:after="0"/>
              <w:jc w:val="right"/>
              <w:rPr>
                <w:rFonts w:ascii="Calibri" w:eastAsiaTheme="minorEastAsia" w:hAnsi="Calibri" w:cs="Calibri"/>
                <w:sz w:val="20"/>
                <w:lang w:eastAsia="en-AU"/>
              </w:rPr>
            </w:pPr>
            <w:r w:rsidRPr="006C4793">
              <w:rPr>
                <w:rFonts w:ascii="Calibri" w:eastAsiaTheme="minorEastAsia" w:hAnsi="Calibri" w:cs="Calibri"/>
                <w:sz w:val="20"/>
                <w:lang w:eastAsia="en-AU"/>
              </w:rPr>
              <w:t xml:space="preserve"> 203.6</w:t>
            </w:r>
          </w:p>
        </w:tc>
      </w:tr>
      <w:tr w:rsidR="00965D85" w:rsidRPr="006C4793" w:rsidTr="008B46DF">
        <w:trPr>
          <w:cantSplit/>
        </w:trPr>
        <w:tc>
          <w:tcPr>
            <w:tcW w:w="2778" w:type="dxa"/>
            <w:tcBorders>
              <w:top w:val="nil"/>
              <w:left w:val="nil"/>
              <w:bottom w:val="nil"/>
              <w:right w:val="nil"/>
            </w:tcBorders>
            <w:shd w:val="solid" w:color="FFFFFF" w:fill="auto"/>
          </w:tcPr>
          <w:p w:rsidR="00965D85" w:rsidRPr="006C4793" w:rsidRDefault="00965D85" w:rsidP="006C4793">
            <w:pPr>
              <w:autoSpaceDE w:val="0"/>
              <w:autoSpaceDN w:val="0"/>
              <w:adjustRightInd w:val="0"/>
              <w:spacing w:after="0"/>
              <w:rPr>
                <w:rFonts w:ascii="Calibri" w:eastAsiaTheme="minorEastAsia" w:hAnsi="Calibri" w:cs="Calibri"/>
                <w:sz w:val="20"/>
                <w:vertAlign w:val="superscript"/>
                <w:lang w:eastAsia="en-AU"/>
              </w:rPr>
            </w:pPr>
            <w:r w:rsidRPr="006C4793">
              <w:rPr>
                <w:rFonts w:ascii="Calibri" w:eastAsiaTheme="minorEastAsia" w:hAnsi="Calibri" w:cs="Calibri"/>
                <w:sz w:val="20"/>
                <w:lang w:eastAsia="en-AU"/>
              </w:rPr>
              <w:t xml:space="preserve">Transfer duties </w:t>
            </w:r>
            <w:r w:rsidRPr="006C4793">
              <w:rPr>
                <w:rFonts w:ascii="Calibri" w:eastAsiaTheme="minorEastAsia" w:hAnsi="Calibri" w:cs="Calibri"/>
                <w:sz w:val="20"/>
                <w:vertAlign w:val="superscript"/>
                <w:lang w:eastAsia="en-AU"/>
              </w:rPr>
              <w:t>(b)</w:t>
            </w:r>
          </w:p>
        </w:tc>
        <w:tc>
          <w:tcPr>
            <w:tcW w:w="996" w:type="dxa"/>
            <w:gridSpan w:val="3"/>
            <w:tcBorders>
              <w:top w:val="nil"/>
              <w:left w:val="nil"/>
              <w:bottom w:val="nil"/>
              <w:right w:val="nil"/>
            </w:tcBorders>
            <w:shd w:val="solid" w:color="FFFFFF" w:fill="auto"/>
          </w:tcPr>
          <w:p w:rsidR="00965D85" w:rsidRPr="006C4793" w:rsidRDefault="00965D85" w:rsidP="008B46DF">
            <w:pPr>
              <w:autoSpaceDE w:val="0"/>
              <w:autoSpaceDN w:val="0"/>
              <w:adjustRightInd w:val="0"/>
              <w:spacing w:after="0"/>
              <w:jc w:val="right"/>
              <w:rPr>
                <w:rFonts w:ascii="Calibri" w:eastAsiaTheme="minorEastAsia" w:hAnsi="Calibri" w:cs="Calibri"/>
                <w:sz w:val="20"/>
                <w:lang w:eastAsia="en-AU"/>
              </w:rPr>
            </w:pPr>
            <w:r w:rsidRPr="006C4793">
              <w:rPr>
                <w:rFonts w:ascii="Calibri" w:eastAsiaTheme="minorEastAsia" w:hAnsi="Calibri" w:cs="Calibri"/>
                <w:sz w:val="20"/>
                <w:lang w:eastAsia="en-AU"/>
              </w:rPr>
              <w:t xml:space="preserve"> 669.8</w:t>
            </w:r>
          </w:p>
        </w:tc>
        <w:tc>
          <w:tcPr>
            <w:tcW w:w="998" w:type="dxa"/>
            <w:gridSpan w:val="2"/>
            <w:tcBorders>
              <w:top w:val="nil"/>
              <w:left w:val="nil"/>
              <w:bottom w:val="nil"/>
              <w:right w:val="nil"/>
            </w:tcBorders>
            <w:shd w:val="solid" w:color="FFFFFF" w:fill="auto"/>
          </w:tcPr>
          <w:p w:rsidR="00965D85" w:rsidRPr="006C4793" w:rsidRDefault="00965D85" w:rsidP="008B46DF">
            <w:pPr>
              <w:autoSpaceDE w:val="0"/>
              <w:autoSpaceDN w:val="0"/>
              <w:adjustRightInd w:val="0"/>
              <w:spacing w:after="0"/>
              <w:jc w:val="right"/>
              <w:rPr>
                <w:rFonts w:ascii="Calibri" w:eastAsiaTheme="minorEastAsia" w:hAnsi="Calibri" w:cs="Calibri"/>
                <w:sz w:val="20"/>
                <w:lang w:eastAsia="en-AU"/>
              </w:rPr>
            </w:pPr>
            <w:r w:rsidRPr="006C4793">
              <w:rPr>
                <w:rFonts w:ascii="Calibri" w:eastAsiaTheme="minorEastAsia" w:hAnsi="Calibri" w:cs="Calibri"/>
                <w:sz w:val="20"/>
                <w:lang w:eastAsia="en-AU"/>
              </w:rPr>
              <w:t xml:space="preserve"> 462.0</w:t>
            </w:r>
          </w:p>
        </w:tc>
        <w:tc>
          <w:tcPr>
            <w:tcW w:w="997" w:type="dxa"/>
            <w:tcBorders>
              <w:top w:val="nil"/>
              <w:left w:val="nil"/>
              <w:bottom w:val="nil"/>
              <w:right w:val="nil"/>
            </w:tcBorders>
            <w:shd w:val="solid" w:color="FFFFFF" w:fill="auto"/>
          </w:tcPr>
          <w:p w:rsidR="00965D85" w:rsidRPr="006C4793" w:rsidRDefault="00965D85" w:rsidP="008B46DF">
            <w:pPr>
              <w:autoSpaceDE w:val="0"/>
              <w:autoSpaceDN w:val="0"/>
              <w:adjustRightInd w:val="0"/>
              <w:spacing w:after="0"/>
              <w:jc w:val="right"/>
              <w:rPr>
                <w:rFonts w:ascii="Calibri" w:eastAsiaTheme="minorEastAsia" w:hAnsi="Calibri" w:cs="Calibri"/>
                <w:sz w:val="20"/>
                <w:lang w:eastAsia="en-AU"/>
              </w:rPr>
            </w:pPr>
            <w:r w:rsidRPr="006C4793">
              <w:rPr>
                <w:rFonts w:ascii="Calibri" w:eastAsiaTheme="minorEastAsia" w:hAnsi="Calibri" w:cs="Calibri"/>
                <w:sz w:val="20"/>
                <w:lang w:eastAsia="en-AU"/>
              </w:rPr>
              <w:t xml:space="preserve"> 604.7</w:t>
            </w:r>
          </w:p>
        </w:tc>
        <w:tc>
          <w:tcPr>
            <w:tcW w:w="999" w:type="dxa"/>
            <w:tcBorders>
              <w:top w:val="nil"/>
              <w:left w:val="nil"/>
              <w:bottom w:val="nil"/>
              <w:right w:val="nil"/>
            </w:tcBorders>
            <w:shd w:val="solid" w:color="FFFFFF" w:fill="auto"/>
          </w:tcPr>
          <w:p w:rsidR="00965D85" w:rsidRPr="006C4793" w:rsidRDefault="00965D85" w:rsidP="008B46DF">
            <w:pPr>
              <w:autoSpaceDE w:val="0"/>
              <w:autoSpaceDN w:val="0"/>
              <w:adjustRightInd w:val="0"/>
              <w:spacing w:after="0"/>
              <w:jc w:val="right"/>
              <w:rPr>
                <w:rFonts w:ascii="Calibri" w:eastAsiaTheme="minorEastAsia" w:hAnsi="Calibri" w:cs="Calibri"/>
                <w:sz w:val="20"/>
                <w:lang w:eastAsia="en-AU"/>
              </w:rPr>
            </w:pPr>
            <w:r w:rsidRPr="006C4793">
              <w:rPr>
                <w:rFonts w:ascii="Calibri" w:eastAsiaTheme="minorEastAsia" w:hAnsi="Calibri" w:cs="Calibri"/>
                <w:sz w:val="20"/>
                <w:lang w:eastAsia="en-AU"/>
              </w:rPr>
              <w:t xml:space="preserve"> 610.1</w:t>
            </w:r>
          </w:p>
        </w:tc>
        <w:tc>
          <w:tcPr>
            <w:tcW w:w="1000" w:type="dxa"/>
            <w:tcBorders>
              <w:top w:val="nil"/>
              <w:left w:val="nil"/>
              <w:bottom w:val="nil"/>
              <w:right w:val="nil"/>
            </w:tcBorders>
            <w:shd w:val="solid" w:color="FFFFFF" w:fill="auto"/>
          </w:tcPr>
          <w:p w:rsidR="00965D85" w:rsidRPr="006C4793" w:rsidRDefault="00965D85" w:rsidP="008B46DF">
            <w:pPr>
              <w:autoSpaceDE w:val="0"/>
              <w:autoSpaceDN w:val="0"/>
              <w:adjustRightInd w:val="0"/>
              <w:spacing w:after="0"/>
              <w:jc w:val="right"/>
              <w:rPr>
                <w:rFonts w:ascii="Calibri" w:eastAsiaTheme="minorEastAsia" w:hAnsi="Calibri" w:cs="Calibri"/>
                <w:sz w:val="20"/>
                <w:lang w:eastAsia="en-AU"/>
              </w:rPr>
            </w:pPr>
            <w:r w:rsidRPr="006C4793">
              <w:rPr>
                <w:rFonts w:ascii="Calibri" w:eastAsiaTheme="minorEastAsia" w:hAnsi="Calibri" w:cs="Calibri"/>
                <w:sz w:val="20"/>
                <w:lang w:eastAsia="en-AU"/>
              </w:rPr>
              <w:t xml:space="preserve"> 615.4</w:t>
            </w:r>
          </w:p>
        </w:tc>
      </w:tr>
      <w:tr w:rsidR="00965D85" w:rsidRPr="006C4793" w:rsidTr="008B46DF">
        <w:trPr>
          <w:cantSplit/>
        </w:trPr>
        <w:tc>
          <w:tcPr>
            <w:tcW w:w="2778" w:type="dxa"/>
            <w:tcBorders>
              <w:top w:val="nil"/>
              <w:left w:val="nil"/>
              <w:bottom w:val="single" w:sz="6" w:space="0" w:color="auto"/>
              <w:right w:val="nil"/>
            </w:tcBorders>
            <w:shd w:val="solid" w:color="FFFFFF" w:fill="auto"/>
          </w:tcPr>
          <w:p w:rsidR="00965D85" w:rsidRPr="006C4793" w:rsidRDefault="00965D85" w:rsidP="006C4793">
            <w:pPr>
              <w:autoSpaceDE w:val="0"/>
              <w:autoSpaceDN w:val="0"/>
              <w:adjustRightInd w:val="0"/>
              <w:spacing w:after="0"/>
              <w:rPr>
                <w:rFonts w:ascii="Calibri" w:eastAsiaTheme="minorEastAsia" w:hAnsi="Calibri" w:cs="Calibri"/>
                <w:sz w:val="20"/>
                <w:lang w:eastAsia="en-AU"/>
              </w:rPr>
            </w:pPr>
            <w:r w:rsidRPr="006C4793">
              <w:rPr>
                <w:rFonts w:ascii="Calibri" w:eastAsiaTheme="minorEastAsia" w:hAnsi="Calibri" w:cs="Calibri"/>
                <w:sz w:val="20"/>
                <w:lang w:eastAsia="en-AU"/>
              </w:rPr>
              <w:t>Congestion levy</w:t>
            </w:r>
          </w:p>
        </w:tc>
        <w:tc>
          <w:tcPr>
            <w:tcW w:w="996" w:type="dxa"/>
            <w:gridSpan w:val="3"/>
            <w:tcBorders>
              <w:top w:val="nil"/>
              <w:left w:val="nil"/>
              <w:bottom w:val="single" w:sz="6" w:space="0" w:color="auto"/>
              <w:right w:val="nil"/>
            </w:tcBorders>
            <w:shd w:val="solid" w:color="FFFFFF" w:fill="auto"/>
          </w:tcPr>
          <w:p w:rsidR="00965D85" w:rsidRPr="006C4793" w:rsidRDefault="00965D85" w:rsidP="008B46DF">
            <w:pPr>
              <w:autoSpaceDE w:val="0"/>
              <w:autoSpaceDN w:val="0"/>
              <w:adjustRightInd w:val="0"/>
              <w:spacing w:after="0"/>
              <w:jc w:val="right"/>
              <w:rPr>
                <w:rFonts w:ascii="Calibri" w:eastAsiaTheme="minorEastAsia" w:hAnsi="Calibri" w:cs="Calibri"/>
                <w:sz w:val="20"/>
                <w:lang w:eastAsia="en-AU"/>
              </w:rPr>
            </w:pPr>
            <w:r w:rsidRPr="006C4793">
              <w:rPr>
                <w:rFonts w:ascii="Calibri" w:eastAsiaTheme="minorEastAsia" w:hAnsi="Calibri" w:cs="Calibri"/>
                <w:sz w:val="20"/>
                <w:lang w:eastAsia="en-AU"/>
              </w:rPr>
              <w:t xml:space="preserve"> 42.7</w:t>
            </w:r>
          </w:p>
        </w:tc>
        <w:tc>
          <w:tcPr>
            <w:tcW w:w="998" w:type="dxa"/>
            <w:gridSpan w:val="2"/>
            <w:tcBorders>
              <w:top w:val="nil"/>
              <w:left w:val="nil"/>
              <w:bottom w:val="single" w:sz="6" w:space="0" w:color="auto"/>
              <w:right w:val="nil"/>
            </w:tcBorders>
            <w:shd w:val="solid" w:color="FFFFFF" w:fill="auto"/>
          </w:tcPr>
          <w:p w:rsidR="00965D85" w:rsidRPr="006C4793" w:rsidRDefault="00965D85" w:rsidP="008B46DF">
            <w:pPr>
              <w:autoSpaceDE w:val="0"/>
              <w:autoSpaceDN w:val="0"/>
              <w:adjustRightInd w:val="0"/>
              <w:spacing w:after="0"/>
              <w:jc w:val="right"/>
              <w:rPr>
                <w:rFonts w:ascii="Calibri" w:eastAsiaTheme="minorEastAsia" w:hAnsi="Calibri" w:cs="Calibri"/>
                <w:sz w:val="20"/>
                <w:lang w:eastAsia="en-AU"/>
              </w:rPr>
            </w:pPr>
            <w:r w:rsidRPr="006C4793">
              <w:rPr>
                <w:rFonts w:ascii="Calibri" w:eastAsiaTheme="minorEastAsia" w:hAnsi="Calibri" w:cs="Calibri"/>
                <w:sz w:val="20"/>
                <w:lang w:eastAsia="en-AU"/>
              </w:rPr>
              <w:t xml:space="preserve"> 43.7</w:t>
            </w:r>
          </w:p>
        </w:tc>
        <w:tc>
          <w:tcPr>
            <w:tcW w:w="997" w:type="dxa"/>
            <w:tcBorders>
              <w:top w:val="nil"/>
              <w:left w:val="nil"/>
              <w:bottom w:val="single" w:sz="6" w:space="0" w:color="auto"/>
              <w:right w:val="nil"/>
            </w:tcBorders>
            <w:shd w:val="solid" w:color="FFFFFF" w:fill="auto"/>
          </w:tcPr>
          <w:p w:rsidR="00965D85" w:rsidRPr="006C4793" w:rsidRDefault="00965D85" w:rsidP="008B46DF">
            <w:pPr>
              <w:autoSpaceDE w:val="0"/>
              <w:autoSpaceDN w:val="0"/>
              <w:adjustRightInd w:val="0"/>
              <w:spacing w:after="0"/>
              <w:jc w:val="right"/>
              <w:rPr>
                <w:rFonts w:ascii="Calibri" w:eastAsiaTheme="minorEastAsia" w:hAnsi="Calibri" w:cs="Calibri"/>
                <w:sz w:val="20"/>
                <w:lang w:eastAsia="en-AU"/>
              </w:rPr>
            </w:pPr>
            <w:r w:rsidRPr="006C4793">
              <w:rPr>
                <w:rFonts w:ascii="Calibri" w:eastAsiaTheme="minorEastAsia" w:hAnsi="Calibri" w:cs="Calibri"/>
                <w:sz w:val="20"/>
                <w:lang w:eastAsia="en-AU"/>
              </w:rPr>
              <w:t xml:space="preserve"> 44.8</w:t>
            </w:r>
          </w:p>
        </w:tc>
        <w:tc>
          <w:tcPr>
            <w:tcW w:w="999" w:type="dxa"/>
            <w:tcBorders>
              <w:top w:val="nil"/>
              <w:left w:val="nil"/>
              <w:bottom w:val="single" w:sz="6" w:space="0" w:color="auto"/>
              <w:right w:val="nil"/>
            </w:tcBorders>
            <w:shd w:val="solid" w:color="FFFFFF" w:fill="auto"/>
          </w:tcPr>
          <w:p w:rsidR="00965D85" w:rsidRPr="006C4793" w:rsidRDefault="00965D85" w:rsidP="008B46DF">
            <w:pPr>
              <w:autoSpaceDE w:val="0"/>
              <w:autoSpaceDN w:val="0"/>
              <w:adjustRightInd w:val="0"/>
              <w:spacing w:after="0"/>
              <w:jc w:val="right"/>
              <w:rPr>
                <w:rFonts w:ascii="Calibri" w:eastAsiaTheme="minorEastAsia" w:hAnsi="Calibri" w:cs="Calibri"/>
                <w:sz w:val="20"/>
                <w:lang w:eastAsia="en-AU"/>
              </w:rPr>
            </w:pPr>
            <w:r w:rsidRPr="006C4793">
              <w:rPr>
                <w:rFonts w:ascii="Calibri" w:eastAsiaTheme="minorEastAsia" w:hAnsi="Calibri" w:cs="Calibri"/>
                <w:sz w:val="20"/>
                <w:lang w:eastAsia="en-AU"/>
              </w:rPr>
              <w:t xml:space="preserve"> 46.0</w:t>
            </w:r>
          </w:p>
        </w:tc>
        <w:tc>
          <w:tcPr>
            <w:tcW w:w="1000" w:type="dxa"/>
            <w:tcBorders>
              <w:top w:val="nil"/>
              <w:left w:val="nil"/>
              <w:bottom w:val="single" w:sz="6" w:space="0" w:color="auto"/>
              <w:right w:val="nil"/>
            </w:tcBorders>
            <w:shd w:val="solid" w:color="FFFFFF" w:fill="auto"/>
          </w:tcPr>
          <w:p w:rsidR="00965D85" w:rsidRPr="006C4793" w:rsidRDefault="00965D85" w:rsidP="008B46DF">
            <w:pPr>
              <w:autoSpaceDE w:val="0"/>
              <w:autoSpaceDN w:val="0"/>
              <w:adjustRightInd w:val="0"/>
              <w:spacing w:after="0"/>
              <w:jc w:val="right"/>
              <w:rPr>
                <w:rFonts w:ascii="Calibri" w:eastAsiaTheme="minorEastAsia" w:hAnsi="Calibri" w:cs="Calibri"/>
                <w:sz w:val="20"/>
                <w:lang w:eastAsia="en-AU"/>
              </w:rPr>
            </w:pPr>
            <w:r w:rsidRPr="006C4793">
              <w:rPr>
                <w:rFonts w:ascii="Calibri" w:eastAsiaTheme="minorEastAsia" w:hAnsi="Calibri" w:cs="Calibri"/>
                <w:sz w:val="20"/>
                <w:lang w:eastAsia="en-AU"/>
              </w:rPr>
              <w:t xml:space="preserve"> 47.2</w:t>
            </w:r>
          </w:p>
        </w:tc>
      </w:tr>
      <w:tr w:rsidR="00965D85" w:rsidRPr="006C4793" w:rsidTr="008B46DF">
        <w:trPr>
          <w:cantSplit/>
        </w:trPr>
        <w:tc>
          <w:tcPr>
            <w:tcW w:w="2966" w:type="dxa"/>
            <w:gridSpan w:val="2"/>
            <w:tcBorders>
              <w:top w:val="single" w:sz="6" w:space="0" w:color="auto"/>
              <w:left w:val="nil"/>
              <w:bottom w:val="single" w:sz="12" w:space="0" w:color="000000"/>
              <w:right w:val="nil"/>
            </w:tcBorders>
            <w:shd w:val="solid" w:color="FFFFFF" w:fill="auto"/>
          </w:tcPr>
          <w:p w:rsidR="00965D85" w:rsidRPr="006C4793" w:rsidRDefault="00965D85" w:rsidP="006C4793">
            <w:pPr>
              <w:autoSpaceDE w:val="0"/>
              <w:autoSpaceDN w:val="0"/>
              <w:adjustRightInd w:val="0"/>
              <w:spacing w:after="0"/>
              <w:rPr>
                <w:rFonts w:ascii="Calibri" w:eastAsiaTheme="minorEastAsia" w:hAnsi="Calibri" w:cs="Calibri"/>
                <w:b/>
                <w:bCs/>
                <w:sz w:val="20"/>
                <w:lang w:eastAsia="en-AU"/>
              </w:rPr>
            </w:pPr>
            <w:r w:rsidRPr="006C4793">
              <w:rPr>
                <w:rFonts w:ascii="Calibri" w:eastAsiaTheme="minorEastAsia" w:hAnsi="Calibri" w:cs="Calibri"/>
                <w:b/>
                <w:bCs/>
                <w:sz w:val="20"/>
                <w:lang w:eastAsia="en-AU"/>
              </w:rPr>
              <w:t>Total estimated tax expenditures</w:t>
            </w:r>
          </w:p>
        </w:tc>
        <w:tc>
          <w:tcPr>
            <w:tcW w:w="800" w:type="dxa"/>
            <w:tcBorders>
              <w:top w:val="single" w:sz="6" w:space="0" w:color="auto"/>
              <w:left w:val="nil"/>
              <w:bottom w:val="single" w:sz="12" w:space="0" w:color="000000"/>
              <w:right w:val="nil"/>
            </w:tcBorders>
            <w:shd w:val="solid" w:color="FFFFFF" w:fill="auto"/>
          </w:tcPr>
          <w:p w:rsidR="00965D85" w:rsidRPr="006C4793" w:rsidRDefault="00965D85" w:rsidP="008B46DF">
            <w:pPr>
              <w:autoSpaceDE w:val="0"/>
              <w:autoSpaceDN w:val="0"/>
              <w:adjustRightInd w:val="0"/>
              <w:spacing w:after="0"/>
              <w:jc w:val="right"/>
              <w:rPr>
                <w:rFonts w:ascii="Calibri" w:eastAsiaTheme="minorEastAsia" w:hAnsi="Calibri" w:cs="Calibri"/>
                <w:b/>
                <w:bCs/>
                <w:sz w:val="20"/>
                <w:lang w:eastAsia="en-AU"/>
              </w:rPr>
            </w:pPr>
            <w:r w:rsidRPr="006C4793">
              <w:rPr>
                <w:rFonts w:ascii="Calibri" w:eastAsiaTheme="minorEastAsia" w:hAnsi="Calibri" w:cs="Calibri"/>
                <w:b/>
                <w:bCs/>
                <w:sz w:val="20"/>
                <w:lang w:eastAsia="en-AU"/>
              </w:rPr>
              <w:t>5 112.9</w:t>
            </w:r>
          </w:p>
        </w:tc>
        <w:tc>
          <w:tcPr>
            <w:tcW w:w="997" w:type="dxa"/>
            <w:gridSpan w:val="2"/>
            <w:tcBorders>
              <w:top w:val="single" w:sz="6" w:space="0" w:color="auto"/>
              <w:left w:val="nil"/>
              <w:bottom w:val="single" w:sz="12" w:space="0" w:color="000000"/>
              <w:right w:val="nil"/>
            </w:tcBorders>
            <w:shd w:val="solid" w:color="FFFFFF" w:fill="auto"/>
          </w:tcPr>
          <w:p w:rsidR="00965D85" w:rsidRPr="006C4793" w:rsidRDefault="00965D85" w:rsidP="008B46DF">
            <w:pPr>
              <w:autoSpaceDE w:val="0"/>
              <w:autoSpaceDN w:val="0"/>
              <w:adjustRightInd w:val="0"/>
              <w:spacing w:after="0"/>
              <w:jc w:val="right"/>
              <w:rPr>
                <w:rFonts w:ascii="Calibri" w:eastAsiaTheme="minorEastAsia" w:hAnsi="Calibri" w:cs="Calibri"/>
                <w:b/>
                <w:bCs/>
                <w:sz w:val="20"/>
                <w:lang w:eastAsia="en-AU"/>
              </w:rPr>
            </w:pPr>
            <w:r w:rsidRPr="006C4793">
              <w:rPr>
                <w:rFonts w:ascii="Calibri" w:eastAsiaTheme="minorEastAsia" w:hAnsi="Calibri" w:cs="Calibri"/>
                <w:b/>
                <w:bCs/>
                <w:sz w:val="20"/>
                <w:lang w:eastAsia="en-AU"/>
              </w:rPr>
              <w:t>4 954.9</w:t>
            </w:r>
          </w:p>
        </w:tc>
        <w:tc>
          <w:tcPr>
            <w:tcW w:w="1006" w:type="dxa"/>
            <w:gridSpan w:val="2"/>
            <w:tcBorders>
              <w:top w:val="single" w:sz="6" w:space="0" w:color="auto"/>
              <w:left w:val="nil"/>
              <w:bottom w:val="single" w:sz="12" w:space="0" w:color="000000"/>
              <w:right w:val="nil"/>
            </w:tcBorders>
            <w:shd w:val="solid" w:color="FFFFFF" w:fill="auto"/>
          </w:tcPr>
          <w:p w:rsidR="00965D85" w:rsidRPr="006C4793" w:rsidRDefault="00965D85" w:rsidP="008B46DF">
            <w:pPr>
              <w:autoSpaceDE w:val="0"/>
              <w:autoSpaceDN w:val="0"/>
              <w:adjustRightInd w:val="0"/>
              <w:spacing w:after="0"/>
              <w:jc w:val="right"/>
              <w:rPr>
                <w:rFonts w:ascii="Calibri" w:eastAsiaTheme="minorEastAsia" w:hAnsi="Calibri" w:cs="Calibri"/>
                <w:b/>
                <w:bCs/>
                <w:sz w:val="20"/>
                <w:lang w:eastAsia="en-AU"/>
              </w:rPr>
            </w:pPr>
            <w:r w:rsidRPr="006C4793">
              <w:rPr>
                <w:rFonts w:ascii="Calibri" w:eastAsiaTheme="minorEastAsia" w:hAnsi="Calibri" w:cs="Calibri"/>
                <w:b/>
                <w:bCs/>
                <w:sz w:val="20"/>
                <w:lang w:eastAsia="en-AU"/>
              </w:rPr>
              <w:t>5 586.1</w:t>
            </w:r>
          </w:p>
        </w:tc>
        <w:tc>
          <w:tcPr>
            <w:tcW w:w="994" w:type="dxa"/>
            <w:tcBorders>
              <w:top w:val="single" w:sz="6" w:space="0" w:color="auto"/>
              <w:left w:val="nil"/>
              <w:bottom w:val="single" w:sz="12" w:space="0" w:color="000000"/>
              <w:right w:val="nil"/>
            </w:tcBorders>
            <w:shd w:val="solid" w:color="FFFFFF" w:fill="auto"/>
          </w:tcPr>
          <w:p w:rsidR="00965D85" w:rsidRPr="006C4793" w:rsidRDefault="00965D85" w:rsidP="008B46DF">
            <w:pPr>
              <w:autoSpaceDE w:val="0"/>
              <w:autoSpaceDN w:val="0"/>
              <w:adjustRightInd w:val="0"/>
              <w:spacing w:after="0"/>
              <w:jc w:val="right"/>
              <w:rPr>
                <w:rFonts w:ascii="Calibri" w:eastAsiaTheme="minorEastAsia" w:hAnsi="Calibri" w:cs="Calibri"/>
                <w:b/>
                <w:bCs/>
                <w:sz w:val="20"/>
                <w:lang w:eastAsia="en-AU"/>
              </w:rPr>
            </w:pPr>
            <w:r w:rsidRPr="006C4793">
              <w:rPr>
                <w:rFonts w:ascii="Calibri" w:eastAsiaTheme="minorEastAsia" w:hAnsi="Calibri" w:cs="Calibri"/>
                <w:b/>
                <w:bCs/>
                <w:sz w:val="20"/>
                <w:lang w:eastAsia="en-AU"/>
              </w:rPr>
              <w:t>5 595.9</w:t>
            </w:r>
          </w:p>
        </w:tc>
        <w:tc>
          <w:tcPr>
            <w:tcW w:w="1005" w:type="dxa"/>
            <w:tcBorders>
              <w:top w:val="single" w:sz="6" w:space="0" w:color="auto"/>
              <w:left w:val="nil"/>
              <w:bottom w:val="single" w:sz="12" w:space="0" w:color="000000"/>
              <w:right w:val="nil"/>
            </w:tcBorders>
            <w:shd w:val="solid" w:color="FFFFFF" w:fill="auto"/>
          </w:tcPr>
          <w:p w:rsidR="00965D85" w:rsidRPr="006C4793" w:rsidRDefault="00965D85" w:rsidP="008B46DF">
            <w:pPr>
              <w:autoSpaceDE w:val="0"/>
              <w:autoSpaceDN w:val="0"/>
              <w:adjustRightInd w:val="0"/>
              <w:spacing w:after="0"/>
              <w:jc w:val="right"/>
              <w:rPr>
                <w:rFonts w:ascii="Calibri" w:eastAsiaTheme="minorEastAsia" w:hAnsi="Calibri" w:cs="Calibri"/>
                <w:b/>
                <w:bCs/>
                <w:sz w:val="20"/>
                <w:lang w:eastAsia="en-AU"/>
              </w:rPr>
            </w:pPr>
            <w:r w:rsidRPr="006C4793">
              <w:rPr>
                <w:rFonts w:ascii="Calibri" w:eastAsiaTheme="minorEastAsia" w:hAnsi="Calibri" w:cs="Calibri"/>
                <w:b/>
                <w:bCs/>
                <w:sz w:val="20"/>
                <w:lang w:eastAsia="en-AU"/>
              </w:rPr>
              <w:t>6 125.7</w:t>
            </w:r>
          </w:p>
        </w:tc>
      </w:tr>
    </w:tbl>
    <w:p w:rsidR="00965D85" w:rsidRDefault="00965D85" w:rsidP="008B46DF">
      <w:pPr>
        <w:pStyle w:val="Source"/>
      </w:pPr>
      <w:r>
        <w:rPr>
          <w:vertAlign w:val="superscript"/>
          <w:lang w:eastAsia="en-AU"/>
        </w:rPr>
        <w:fldChar w:fldCharType="end"/>
      </w:r>
      <w:r>
        <w:t>Source: Department of Treasury and Finance</w:t>
      </w:r>
    </w:p>
    <w:p w:rsidR="00965D85" w:rsidRDefault="00965D85" w:rsidP="008B46DF">
      <w:pPr>
        <w:pStyle w:val="Notes"/>
      </w:pPr>
      <w:r>
        <w:t>Notes:</w:t>
      </w:r>
    </w:p>
    <w:p w:rsidR="00965D85" w:rsidRDefault="00965D85" w:rsidP="008B46DF">
      <w:pPr>
        <w:pStyle w:val="Notes"/>
      </w:pPr>
      <w:r>
        <w:t>(a)</w:t>
      </w:r>
      <w:r>
        <w:tab/>
        <w:t>Tax expenditures associated with thresholds are excluded due to the different nature of these expenditures to other taxation expenditures. Expenditures are benefits that target certain taxpayers or activities, whereas thresholds exclude transactions below a certain size.</w:t>
      </w:r>
    </w:p>
    <w:p w:rsidR="00965D85" w:rsidRDefault="00965D85" w:rsidP="008B46DF">
      <w:pPr>
        <w:pStyle w:val="Notes"/>
      </w:pPr>
      <w:r>
        <w:t>(b)</w:t>
      </w:r>
      <w:r>
        <w:tab/>
        <w:t>Estimates for transfer duties expenditures decline in 2015</w:t>
      </w:r>
      <w:r>
        <w:noBreakHyphen/>
        <w:t xml:space="preserve">16 due to lower than expected levels of </w:t>
      </w:r>
      <w:r w:rsidRPr="00384AC6">
        <w:t xml:space="preserve">corporate reconstruction </w:t>
      </w:r>
      <w:r>
        <w:t xml:space="preserve">during </w:t>
      </w:r>
      <w:r w:rsidRPr="00384AC6">
        <w:t>the first four months of 2015</w:t>
      </w:r>
      <w:r>
        <w:noBreakHyphen/>
      </w:r>
      <w:r w:rsidRPr="00384AC6">
        <w:t xml:space="preserve">16. </w:t>
      </w:r>
      <w:r>
        <w:t>E</w:t>
      </w:r>
      <w:r w:rsidRPr="00384AC6">
        <w:t>stimates for corporate reconstruction are expected to return to trend across the forward estimates.</w:t>
      </w:r>
    </w:p>
    <w:p w:rsidR="00965D85" w:rsidRDefault="00965D85" w:rsidP="008B46DF">
      <w:pPr>
        <w:pStyle w:val="Notes"/>
      </w:pPr>
    </w:p>
    <w:p w:rsidR="00965D85" w:rsidRPr="00427D0E" w:rsidRDefault="00965D85" w:rsidP="001F325D">
      <w:pPr>
        <w:pStyle w:val="Heading1"/>
      </w:pPr>
      <w:bookmarkStart w:id="97" w:name="_Toc436038544"/>
      <w:bookmarkStart w:id="98" w:name="_Toc436147560"/>
      <w:r w:rsidRPr="00427D0E">
        <w:t>Concessions</w:t>
      </w:r>
      <w:bookmarkEnd w:id="97"/>
      <w:bookmarkEnd w:id="98"/>
    </w:p>
    <w:p w:rsidR="00965D85" w:rsidRDefault="00965D85" w:rsidP="008B46DF">
      <w:r>
        <w:t xml:space="preserve">Concessions are a direct budget outlay or reduction in government charges that have the effect of reducing the price of a good or service for particular groups. Over the past decade, the State </w:t>
      </w:r>
      <w:r w:rsidRPr="006765A1">
        <w:t>has provided $13.</w:t>
      </w:r>
      <w:r>
        <w:t>9</w:t>
      </w:r>
      <w:r w:rsidRPr="006765A1">
        <w:t> billion in</w:t>
      </w:r>
      <w:r>
        <w:t xml:space="preserve"> concessions expenditure. </w:t>
      </w:r>
    </w:p>
    <w:p w:rsidR="00965D85" w:rsidRDefault="00965D85" w:rsidP="006C4793">
      <w:r>
        <w:t>Certain characteristics of the consumer, such as possession of a Commonwealth Government Pensioner Concession Card or Health Care Card, are the basis for entitlement. Concessions allow certain groups in the community to access or purchase important amenities like energy, education, health and transportation at a reduced or zero cost.</w:t>
      </w:r>
    </w:p>
    <w:p w:rsidR="00965D85" w:rsidRDefault="00965D85" w:rsidP="008B46DF">
      <w:r>
        <w:t xml:space="preserve">Eligible concession card holders receive reduced bills for energy, municipal rates, water and sewerage, funded by the State and paid to service providers. </w:t>
      </w:r>
    </w:p>
    <w:p w:rsidR="00965D85" w:rsidRDefault="00965D85" w:rsidP="008B46DF">
      <w:r>
        <w:t>Education concessions include concessions for preschool and for vocational education and training.</w:t>
      </w:r>
    </w:p>
    <w:p w:rsidR="00965D85" w:rsidRDefault="00965D85" w:rsidP="008B46DF">
      <w:r>
        <w:t xml:space="preserve">Hardship schemes include the Utility Relief Grants Scheme and payment to State Trustees through a Community Service Agreement. The Utility Relief Grants Scheme assists Victorians unable to pay utility bills due to temporary financial crisis. State Trustees provide trustee services, including managing the legal and financial affairs of Victorians unable to do so independently. </w:t>
      </w:r>
    </w:p>
    <w:p w:rsidR="00965D85" w:rsidRDefault="00965D85" w:rsidP="008B46DF">
      <w:r>
        <w:t>The social and community services category includes assistance to non</w:t>
      </w:r>
      <w:r>
        <w:noBreakHyphen/>
        <w:t xml:space="preserve">profit organisations such as the Bereavement Assistance Limited, the Charity Freight Service and food relief organisations. </w:t>
      </w:r>
    </w:p>
    <w:p w:rsidR="00965D85" w:rsidRDefault="00965D85" w:rsidP="008B46DF">
      <w:r>
        <w:t>Private transport concessions consist of a discount on Transport Accident Commission premiums and funding of the Multi Purpose Taxi Program.</w:t>
      </w:r>
    </w:p>
    <w:p w:rsidR="00965D85" w:rsidRDefault="00965D85" w:rsidP="008B46DF">
      <w:r>
        <w:lastRenderedPageBreak/>
        <w:t xml:space="preserve">Table C.2 classifies the major concessions by category. </w:t>
      </w:r>
    </w:p>
    <w:p w:rsidR="00965D85" w:rsidRPr="00381470" w:rsidRDefault="00965D85" w:rsidP="008B46DF">
      <w:pPr>
        <w:pStyle w:val="Tableheading"/>
        <w:rPr>
          <w:rFonts w:ascii="Times New Roman" w:hAnsi="Times New Roman"/>
          <w:b w:val="0"/>
          <w:sz w:val="20"/>
          <w:lang w:eastAsia="en-AU"/>
        </w:rPr>
      </w:pPr>
      <w:r w:rsidRPr="00A31661">
        <w:t xml:space="preserve">Table </w:t>
      </w:r>
      <w:r>
        <w:t>C</w:t>
      </w:r>
      <w:r w:rsidRPr="00A31661">
        <w:t>.</w:t>
      </w:r>
      <w:r>
        <w:t>2</w:t>
      </w:r>
      <w:r w:rsidRPr="00A31661">
        <w:t xml:space="preserve">: </w:t>
      </w:r>
      <w:r w:rsidRPr="00A31661">
        <w:tab/>
      </w:r>
      <w:r w:rsidRPr="00FF067A">
        <w:t>Concessions by category</w:t>
      </w:r>
      <w:r w:rsidRPr="00FF067A">
        <w:rPr>
          <w:vertAlign w:val="superscript"/>
          <w:lang w:eastAsia="en-AU"/>
        </w:rPr>
        <w:t>(a)</w:t>
      </w:r>
      <w:r>
        <w:rPr>
          <w:vertAlign w:val="superscript"/>
          <w:lang w:eastAsia="en-AU"/>
        </w:rPr>
        <w:fldChar w:fldCharType="begin" w:fldLock="1"/>
      </w:r>
      <w:r>
        <w:rPr>
          <w:vertAlign w:val="superscript"/>
          <w:lang w:eastAsia="en-AU"/>
        </w:rPr>
        <w:instrText xml:space="preserve"> LINK Excel.Sheet.12 \\\\PDCPTPRDFIL01\\DTFDATA02$\\SECURED\\Budget\\BudgetUpdate\\AppendixC\\2015-15BudUpd_AppC_Tables.xlsx ConcessionsT!Concessions \f 4 \r </w:instrText>
      </w:r>
      <w:r>
        <w:rPr>
          <w:vertAlign w:val="superscript"/>
          <w:lang w:eastAsia="en-AU"/>
        </w:rPr>
        <w:fldChar w:fldCharType="separate"/>
      </w:r>
    </w:p>
    <w:tbl>
      <w:tblPr>
        <w:tblW w:w="7766" w:type="dxa"/>
        <w:tblInd w:w="45" w:type="dxa"/>
        <w:tblLayout w:type="fixed"/>
        <w:tblCellMar>
          <w:left w:w="45" w:type="dxa"/>
          <w:right w:w="45" w:type="dxa"/>
        </w:tblCellMar>
        <w:tblLook w:val="0000" w:firstRow="0" w:lastRow="0" w:firstColumn="0" w:lastColumn="0" w:noHBand="0" w:noVBand="0"/>
      </w:tblPr>
      <w:tblGrid>
        <w:gridCol w:w="5387"/>
        <w:gridCol w:w="1189"/>
        <w:gridCol w:w="1190"/>
      </w:tblGrid>
      <w:tr w:rsidR="00965D85" w:rsidRPr="00381470" w:rsidTr="008B46DF">
        <w:trPr>
          <w:tblHeader/>
        </w:trPr>
        <w:tc>
          <w:tcPr>
            <w:tcW w:w="7766" w:type="dxa"/>
            <w:gridSpan w:val="3"/>
            <w:tcBorders>
              <w:top w:val="nil"/>
              <w:left w:val="nil"/>
              <w:bottom w:val="nil"/>
              <w:right w:val="nil"/>
            </w:tcBorders>
            <w:shd w:val="solid" w:color="FFFFFF" w:fill="auto"/>
          </w:tcPr>
          <w:p w:rsidR="00965D85" w:rsidRPr="00381470" w:rsidRDefault="00965D85" w:rsidP="008B46DF">
            <w:pPr>
              <w:pStyle w:val="million"/>
              <w:rPr>
                <w:rFonts w:eastAsiaTheme="minorEastAsia"/>
                <w:lang w:eastAsia="en-AU"/>
              </w:rPr>
            </w:pPr>
            <w:r w:rsidRPr="00381470">
              <w:rPr>
                <w:rFonts w:eastAsiaTheme="minorEastAsia"/>
                <w:lang w:eastAsia="en-AU"/>
              </w:rPr>
              <w:t>($ million)</w:t>
            </w:r>
          </w:p>
        </w:tc>
      </w:tr>
      <w:tr w:rsidR="00965D85" w:rsidRPr="00381470" w:rsidTr="008B46DF">
        <w:trPr>
          <w:tblHeader/>
        </w:trPr>
        <w:tc>
          <w:tcPr>
            <w:tcW w:w="5387" w:type="dxa"/>
            <w:tcBorders>
              <w:top w:val="nil"/>
              <w:left w:val="single" w:sz="6" w:space="0" w:color="auto"/>
              <w:bottom w:val="single" w:sz="6" w:space="0" w:color="auto"/>
              <w:right w:val="nil"/>
            </w:tcBorders>
            <w:shd w:val="solid" w:color="000000" w:fill="auto"/>
          </w:tcPr>
          <w:p w:rsidR="00965D85" w:rsidRPr="00381470" w:rsidRDefault="00965D85" w:rsidP="008B46DF">
            <w:pPr>
              <w:autoSpaceDE w:val="0"/>
              <w:autoSpaceDN w:val="0"/>
              <w:adjustRightInd w:val="0"/>
              <w:spacing w:after="0"/>
              <w:rPr>
                <w:rFonts w:ascii="Calibri" w:eastAsiaTheme="minorEastAsia" w:hAnsi="Calibri" w:cs="Calibri"/>
                <w:i/>
                <w:iCs/>
                <w:color w:val="FFFFFF"/>
                <w:sz w:val="20"/>
                <w:lang w:eastAsia="en-AU"/>
              </w:rPr>
            </w:pPr>
            <w:r w:rsidRPr="00381470">
              <w:rPr>
                <w:rFonts w:ascii="Calibri" w:eastAsiaTheme="minorEastAsia" w:hAnsi="Calibri" w:cs="Calibri"/>
                <w:i/>
                <w:iCs/>
                <w:color w:val="FFFFFF"/>
                <w:sz w:val="20"/>
                <w:lang w:eastAsia="en-AU"/>
              </w:rPr>
              <w:t>Description</w:t>
            </w:r>
          </w:p>
        </w:tc>
        <w:tc>
          <w:tcPr>
            <w:tcW w:w="1189" w:type="dxa"/>
            <w:tcBorders>
              <w:top w:val="nil"/>
              <w:left w:val="single" w:sz="6" w:space="0" w:color="auto"/>
              <w:bottom w:val="single" w:sz="6" w:space="0" w:color="auto"/>
              <w:right w:val="nil"/>
            </w:tcBorders>
            <w:shd w:val="solid" w:color="000000" w:fill="auto"/>
          </w:tcPr>
          <w:p w:rsidR="00965D85" w:rsidRPr="00381470"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381470">
              <w:rPr>
                <w:rFonts w:ascii="Calibri" w:eastAsiaTheme="minorEastAsia" w:hAnsi="Calibri" w:cs="Calibri"/>
                <w:i/>
                <w:iCs/>
                <w:color w:val="FFFFFF"/>
                <w:sz w:val="20"/>
                <w:lang w:eastAsia="en-AU"/>
              </w:rPr>
              <w:t>2014</w:t>
            </w:r>
            <w:r>
              <w:rPr>
                <w:rFonts w:ascii="Calibri" w:eastAsiaTheme="minorEastAsia" w:hAnsi="Calibri" w:cs="Calibri"/>
                <w:i/>
                <w:iCs/>
                <w:color w:val="FFFFFF"/>
                <w:sz w:val="20"/>
                <w:lang w:eastAsia="en-AU"/>
              </w:rPr>
              <w:noBreakHyphen/>
            </w:r>
            <w:r w:rsidRPr="00381470">
              <w:rPr>
                <w:rFonts w:ascii="Calibri" w:eastAsiaTheme="minorEastAsia" w:hAnsi="Calibri" w:cs="Calibri"/>
                <w:i/>
                <w:iCs/>
                <w:color w:val="FFFFFF"/>
                <w:sz w:val="20"/>
                <w:lang w:eastAsia="en-AU"/>
              </w:rPr>
              <w:t>15</w:t>
            </w:r>
          </w:p>
        </w:tc>
        <w:tc>
          <w:tcPr>
            <w:tcW w:w="1190" w:type="dxa"/>
            <w:tcBorders>
              <w:top w:val="nil"/>
              <w:left w:val="single" w:sz="6" w:space="0" w:color="auto"/>
              <w:bottom w:val="single" w:sz="6" w:space="0" w:color="auto"/>
              <w:right w:val="nil"/>
            </w:tcBorders>
            <w:shd w:val="solid" w:color="000000" w:fill="auto"/>
          </w:tcPr>
          <w:p w:rsidR="00965D85" w:rsidRPr="00381470"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381470">
              <w:rPr>
                <w:rFonts w:ascii="Calibri" w:eastAsiaTheme="minorEastAsia" w:hAnsi="Calibri" w:cs="Calibri"/>
                <w:i/>
                <w:iCs/>
                <w:color w:val="FFFFFF"/>
                <w:sz w:val="20"/>
                <w:lang w:eastAsia="en-AU"/>
              </w:rPr>
              <w:t>2015</w:t>
            </w:r>
            <w:r>
              <w:rPr>
                <w:rFonts w:ascii="Calibri" w:eastAsiaTheme="minorEastAsia" w:hAnsi="Calibri" w:cs="Calibri"/>
                <w:i/>
                <w:iCs/>
                <w:color w:val="FFFFFF"/>
                <w:sz w:val="20"/>
                <w:lang w:eastAsia="en-AU"/>
              </w:rPr>
              <w:noBreakHyphen/>
            </w:r>
            <w:r w:rsidRPr="00381470">
              <w:rPr>
                <w:rFonts w:ascii="Calibri" w:eastAsiaTheme="minorEastAsia" w:hAnsi="Calibri" w:cs="Calibri"/>
                <w:i/>
                <w:iCs/>
                <w:color w:val="FFFFFF"/>
                <w:sz w:val="20"/>
                <w:lang w:eastAsia="en-AU"/>
              </w:rPr>
              <w:t>16</w:t>
            </w:r>
          </w:p>
        </w:tc>
      </w:tr>
      <w:tr w:rsidR="00965D85" w:rsidRPr="00381470" w:rsidTr="008B46DF">
        <w:tc>
          <w:tcPr>
            <w:tcW w:w="5387" w:type="dxa"/>
            <w:tcBorders>
              <w:top w:val="single" w:sz="6" w:space="0" w:color="auto"/>
              <w:left w:val="nil"/>
              <w:right w:val="nil"/>
            </w:tcBorders>
            <w:shd w:val="solid" w:color="FFFFFF" w:fill="FFFFFF"/>
          </w:tcPr>
          <w:p w:rsidR="00965D85" w:rsidRPr="00381470"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381470">
              <w:rPr>
                <w:rFonts w:ascii="Calibri" w:eastAsiaTheme="minorEastAsia" w:hAnsi="Calibri" w:cs="Calibri"/>
                <w:color w:val="000000"/>
                <w:sz w:val="20"/>
                <w:lang w:eastAsia="en-AU"/>
              </w:rPr>
              <w:t>Electricity</w:t>
            </w:r>
          </w:p>
        </w:tc>
        <w:tc>
          <w:tcPr>
            <w:tcW w:w="1189" w:type="dxa"/>
            <w:tcBorders>
              <w:top w:val="single" w:sz="6" w:space="0" w:color="auto"/>
              <w:left w:val="nil"/>
              <w:right w:val="nil"/>
            </w:tcBorders>
            <w:shd w:val="solid" w:color="FFFFFF" w:fill="FFFFFF"/>
          </w:tcPr>
          <w:p w:rsidR="00965D85" w:rsidRPr="00381470"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151.0</w:t>
            </w:r>
          </w:p>
        </w:tc>
        <w:tc>
          <w:tcPr>
            <w:tcW w:w="1190" w:type="dxa"/>
            <w:tcBorders>
              <w:top w:val="single" w:sz="6" w:space="0" w:color="auto"/>
              <w:left w:val="nil"/>
              <w:right w:val="nil"/>
            </w:tcBorders>
            <w:shd w:val="solid" w:color="FFFFFF" w:fill="FFFFFF"/>
          </w:tcPr>
          <w:p w:rsidR="00965D85" w:rsidRPr="00381470"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170.2</w:t>
            </w:r>
          </w:p>
        </w:tc>
      </w:tr>
      <w:tr w:rsidR="00965D85" w:rsidRPr="00381470" w:rsidTr="008B46DF">
        <w:tc>
          <w:tcPr>
            <w:tcW w:w="5387" w:type="dxa"/>
            <w:tcBorders>
              <w:top w:val="nil"/>
              <w:left w:val="nil"/>
              <w:right w:val="nil"/>
            </w:tcBorders>
            <w:shd w:val="solid" w:color="FFFFFF" w:fill="FFFFFF"/>
          </w:tcPr>
          <w:p w:rsidR="00965D85" w:rsidRPr="00381470"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381470">
              <w:rPr>
                <w:rFonts w:ascii="Calibri" w:eastAsiaTheme="minorEastAsia" w:hAnsi="Calibri" w:cs="Calibri"/>
                <w:color w:val="000000"/>
                <w:sz w:val="20"/>
                <w:lang w:eastAsia="en-AU"/>
              </w:rPr>
              <w:t>Mains gas</w:t>
            </w:r>
          </w:p>
        </w:tc>
        <w:tc>
          <w:tcPr>
            <w:tcW w:w="1189" w:type="dxa"/>
            <w:tcBorders>
              <w:top w:val="nil"/>
              <w:left w:val="nil"/>
              <w:right w:val="nil"/>
            </w:tcBorders>
            <w:shd w:val="solid" w:color="FFFFFF" w:fill="FFFFFF"/>
          </w:tcPr>
          <w:p w:rsidR="00965D85" w:rsidRPr="00381470"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55.2</w:t>
            </w:r>
          </w:p>
        </w:tc>
        <w:tc>
          <w:tcPr>
            <w:tcW w:w="1190" w:type="dxa"/>
            <w:tcBorders>
              <w:top w:val="nil"/>
              <w:left w:val="nil"/>
              <w:right w:val="nil"/>
            </w:tcBorders>
            <w:shd w:val="solid" w:color="FFFFFF" w:fill="FFFFFF"/>
          </w:tcPr>
          <w:p w:rsidR="00965D85" w:rsidRPr="00381470"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62.6</w:t>
            </w:r>
          </w:p>
        </w:tc>
      </w:tr>
      <w:tr w:rsidR="00965D85" w:rsidRPr="00381470" w:rsidTr="008B46DF">
        <w:tc>
          <w:tcPr>
            <w:tcW w:w="5387" w:type="dxa"/>
            <w:tcBorders>
              <w:top w:val="nil"/>
              <w:left w:val="nil"/>
              <w:right w:val="nil"/>
            </w:tcBorders>
            <w:shd w:val="solid" w:color="FFFFFF" w:fill="FFFFFF"/>
          </w:tcPr>
          <w:p w:rsidR="00965D85" w:rsidRPr="00381470"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381470">
              <w:rPr>
                <w:rFonts w:ascii="Calibri" w:eastAsiaTheme="minorEastAsia" w:hAnsi="Calibri" w:cs="Calibri"/>
                <w:color w:val="000000"/>
                <w:sz w:val="20"/>
                <w:lang w:eastAsia="en-AU"/>
              </w:rPr>
              <w:t>Municipal rates</w:t>
            </w:r>
          </w:p>
        </w:tc>
        <w:tc>
          <w:tcPr>
            <w:tcW w:w="1189" w:type="dxa"/>
            <w:tcBorders>
              <w:top w:val="nil"/>
              <w:left w:val="nil"/>
              <w:right w:val="nil"/>
            </w:tcBorders>
            <w:shd w:val="solid" w:color="FFFFFF" w:fill="FFFFFF"/>
          </w:tcPr>
          <w:p w:rsidR="00965D85" w:rsidRPr="00381470"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90.8</w:t>
            </w:r>
          </w:p>
        </w:tc>
        <w:tc>
          <w:tcPr>
            <w:tcW w:w="1190" w:type="dxa"/>
            <w:tcBorders>
              <w:top w:val="nil"/>
              <w:left w:val="nil"/>
              <w:right w:val="nil"/>
            </w:tcBorders>
            <w:shd w:val="solid" w:color="FFFFFF" w:fill="FFFFFF"/>
          </w:tcPr>
          <w:p w:rsidR="00965D85" w:rsidRPr="00381470"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95.8</w:t>
            </w:r>
          </w:p>
        </w:tc>
      </w:tr>
      <w:tr w:rsidR="00965D85" w:rsidRPr="00381470" w:rsidTr="008B46DF">
        <w:tc>
          <w:tcPr>
            <w:tcW w:w="5387" w:type="dxa"/>
            <w:tcBorders>
              <w:top w:val="nil"/>
              <w:left w:val="nil"/>
              <w:right w:val="nil"/>
            </w:tcBorders>
            <w:shd w:val="solid" w:color="FFFFFF" w:fill="FFFFFF"/>
          </w:tcPr>
          <w:p w:rsidR="00965D85" w:rsidRPr="00381470"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381470">
              <w:rPr>
                <w:rFonts w:ascii="Calibri" w:eastAsiaTheme="minorEastAsia" w:hAnsi="Calibri" w:cs="Calibri"/>
                <w:color w:val="000000"/>
                <w:sz w:val="20"/>
                <w:lang w:eastAsia="en-AU"/>
              </w:rPr>
              <w:t>Water and sewerage</w:t>
            </w:r>
          </w:p>
        </w:tc>
        <w:tc>
          <w:tcPr>
            <w:tcW w:w="1189" w:type="dxa"/>
            <w:tcBorders>
              <w:top w:val="nil"/>
              <w:left w:val="nil"/>
              <w:right w:val="nil"/>
            </w:tcBorders>
            <w:shd w:val="solid" w:color="FFFFFF" w:fill="FFFFFF"/>
          </w:tcPr>
          <w:p w:rsidR="00965D85" w:rsidRPr="00381470"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161.3</w:t>
            </w:r>
          </w:p>
        </w:tc>
        <w:tc>
          <w:tcPr>
            <w:tcW w:w="1190" w:type="dxa"/>
            <w:tcBorders>
              <w:top w:val="nil"/>
              <w:left w:val="nil"/>
              <w:right w:val="nil"/>
            </w:tcBorders>
            <w:shd w:val="solid" w:color="FFFFFF" w:fill="FFFFFF"/>
          </w:tcPr>
          <w:p w:rsidR="00965D85" w:rsidRPr="00381470"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168.7</w:t>
            </w:r>
          </w:p>
        </w:tc>
      </w:tr>
      <w:tr w:rsidR="00965D85" w:rsidRPr="00381470" w:rsidTr="008B46DF">
        <w:tc>
          <w:tcPr>
            <w:tcW w:w="5387" w:type="dxa"/>
            <w:tcBorders>
              <w:top w:val="nil"/>
              <w:left w:val="nil"/>
              <w:right w:val="nil"/>
            </w:tcBorders>
            <w:shd w:val="solid" w:color="FFFFFF" w:fill="FFFFFF"/>
          </w:tcPr>
          <w:p w:rsidR="00965D85" w:rsidRPr="00381470" w:rsidRDefault="00965D85" w:rsidP="008B46DF">
            <w:pPr>
              <w:autoSpaceDE w:val="0"/>
              <w:autoSpaceDN w:val="0"/>
              <w:adjustRightInd w:val="0"/>
              <w:spacing w:after="0"/>
              <w:ind w:left="227" w:hanging="227"/>
              <w:rPr>
                <w:rFonts w:ascii="Calibri" w:eastAsiaTheme="minorEastAsia" w:hAnsi="Calibri" w:cs="Calibri"/>
                <w:b/>
                <w:bCs/>
                <w:color w:val="000000"/>
                <w:sz w:val="20"/>
                <w:lang w:eastAsia="en-AU"/>
              </w:rPr>
            </w:pPr>
            <w:r w:rsidRPr="00381470">
              <w:rPr>
                <w:rFonts w:ascii="Calibri" w:eastAsiaTheme="minorEastAsia" w:hAnsi="Calibri" w:cs="Calibri"/>
                <w:b/>
                <w:bCs/>
                <w:color w:val="000000"/>
                <w:sz w:val="20"/>
                <w:lang w:eastAsia="en-AU"/>
              </w:rPr>
              <w:t>Total energy, municipal rates, water and sewerage</w:t>
            </w:r>
          </w:p>
        </w:tc>
        <w:tc>
          <w:tcPr>
            <w:tcW w:w="1189" w:type="dxa"/>
            <w:tcBorders>
              <w:top w:val="nil"/>
              <w:left w:val="nil"/>
              <w:right w:val="nil"/>
            </w:tcBorders>
            <w:shd w:val="solid" w:color="FFFFFF" w:fill="FFFFFF"/>
          </w:tcPr>
          <w:p w:rsidR="00965D85" w:rsidRPr="00381470"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20"/>
                <w:lang w:eastAsia="en-AU"/>
              </w:rPr>
              <w:t>458.2</w:t>
            </w:r>
          </w:p>
        </w:tc>
        <w:tc>
          <w:tcPr>
            <w:tcW w:w="1190" w:type="dxa"/>
            <w:tcBorders>
              <w:top w:val="nil"/>
              <w:left w:val="nil"/>
              <w:right w:val="nil"/>
            </w:tcBorders>
            <w:shd w:val="solid" w:color="FFFFFF" w:fill="FFFFFF"/>
          </w:tcPr>
          <w:p w:rsidR="00965D85" w:rsidRPr="00381470"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20"/>
                <w:lang w:eastAsia="en-AU"/>
              </w:rPr>
              <w:t>497.4</w:t>
            </w:r>
          </w:p>
        </w:tc>
      </w:tr>
      <w:tr w:rsidR="00965D85" w:rsidRPr="00381470" w:rsidTr="008B46DF">
        <w:tc>
          <w:tcPr>
            <w:tcW w:w="5387" w:type="dxa"/>
            <w:tcBorders>
              <w:top w:val="nil"/>
              <w:left w:val="nil"/>
              <w:right w:val="nil"/>
            </w:tcBorders>
            <w:shd w:val="solid" w:color="FFFFFF" w:fill="FFFFFF"/>
          </w:tcPr>
          <w:p w:rsidR="00965D85" w:rsidRPr="00381470"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381470">
              <w:rPr>
                <w:rFonts w:ascii="Calibri" w:eastAsiaTheme="minorEastAsia" w:hAnsi="Calibri" w:cs="Calibri"/>
                <w:color w:val="000000"/>
                <w:sz w:val="20"/>
                <w:lang w:eastAsia="en-AU"/>
              </w:rPr>
              <w:t>Ambulance</w:t>
            </w:r>
          </w:p>
        </w:tc>
        <w:tc>
          <w:tcPr>
            <w:tcW w:w="1189" w:type="dxa"/>
            <w:tcBorders>
              <w:top w:val="nil"/>
              <w:left w:val="nil"/>
              <w:right w:val="nil"/>
            </w:tcBorders>
            <w:shd w:val="solid" w:color="FFFFFF" w:fill="FFFFFF"/>
          </w:tcPr>
          <w:p w:rsidR="00965D85" w:rsidRPr="00381470"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338.2</w:t>
            </w:r>
          </w:p>
        </w:tc>
        <w:tc>
          <w:tcPr>
            <w:tcW w:w="1190" w:type="dxa"/>
            <w:tcBorders>
              <w:top w:val="nil"/>
              <w:left w:val="nil"/>
              <w:right w:val="nil"/>
            </w:tcBorders>
            <w:shd w:val="solid" w:color="FFFFFF" w:fill="FFFFFF"/>
          </w:tcPr>
          <w:p w:rsidR="00965D85" w:rsidRPr="00381470"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377.2</w:t>
            </w:r>
          </w:p>
        </w:tc>
      </w:tr>
      <w:tr w:rsidR="00965D85" w:rsidRPr="00381470" w:rsidTr="008B46DF">
        <w:tc>
          <w:tcPr>
            <w:tcW w:w="5387" w:type="dxa"/>
            <w:tcBorders>
              <w:top w:val="nil"/>
              <w:left w:val="nil"/>
              <w:right w:val="nil"/>
            </w:tcBorders>
            <w:shd w:val="solid" w:color="FFFFFF" w:fill="FFFFFF"/>
          </w:tcPr>
          <w:p w:rsidR="00965D85" w:rsidRPr="00381470" w:rsidRDefault="00965D85" w:rsidP="008B46DF">
            <w:pPr>
              <w:autoSpaceDE w:val="0"/>
              <w:autoSpaceDN w:val="0"/>
              <w:adjustRightInd w:val="0"/>
              <w:spacing w:after="0"/>
              <w:ind w:left="227" w:hanging="227"/>
              <w:rPr>
                <w:rFonts w:ascii="Calibri" w:eastAsiaTheme="minorEastAsia" w:hAnsi="Calibri" w:cs="Calibri"/>
                <w:color w:val="000000"/>
                <w:sz w:val="20"/>
                <w:vertAlign w:val="superscript"/>
                <w:lang w:eastAsia="en-AU"/>
              </w:rPr>
            </w:pPr>
            <w:r w:rsidRPr="00381470">
              <w:rPr>
                <w:rFonts w:ascii="Calibri" w:eastAsiaTheme="minorEastAsia" w:hAnsi="Calibri" w:cs="Calibri"/>
                <w:color w:val="000000"/>
                <w:sz w:val="20"/>
                <w:lang w:eastAsia="en-AU"/>
              </w:rPr>
              <w:t>Dental services and spectacles</w:t>
            </w:r>
            <w:r w:rsidRPr="00381470">
              <w:rPr>
                <w:rFonts w:ascii="Calibri" w:eastAsiaTheme="minorEastAsia" w:hAnsi="Calibri" w:cs="Calibri"/>
                <w:color w:val="000000"/>
                <w:sz w:val="20"/>
                <w:vertAlign w:val="superscript"/>
                <w:lang w:eastAsia="en-AU"/>
              </w:rPr>
              <w:t>(b)</w:t>
            </w:r>
          </w:p>
        </w:tc>
        <w:tc>
          <w:tcPr>
            <w:tcW w:w="1189" w:type="dxa"/>
            <w:tcBorders>
              <w:top w:val="nil"/>
              <w:left w:val="nil"/>
              <w:right w:val="nil"/>
            </w:tcBorders>
            <w:shd w:val="solid" w:color="FFFFFF" w:fill="FFFFFF"/>
          </w:tcPr>
          <w:p w:rsidR="00965D85" w:rsidRPr="00381470"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159.1</w:t>
            </w:r>
          </w:p>
        </w:tc>
        <w:tc>
          <w:tcPr>
            <w:tcW w:w="1190" w:type="dxa"/>
            <w:tcBorders>
              <w:top w:val="nil"/>
              <w:left w:val="nil"/>
              <w:right w:val="nil"/>
            </w:tcBorders>
            <w:shd w:val="solid" w:color="FFFFFF" w:fill="FFFFFF"/>
          </w:tcPr>
          <w:p w:rsidR="00965D85" w:rsidRPr="00381470"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121.9</w:t>
            </w:r>
          </w:p>
        </w:tc>
      </w:tr>
      <w:tr w:rsidR="00965D85" w:rsidRPr="00381470" w:rsidTr="008B46DF">
        <w:tc>
          <w:tcPr>
            <w:tcW w:w="5387" w:type="dxa"/>
            <w:tcBorders>
              <w:top w:val="nil"/>
              <w:left w:val="nil"/>
              <w:right w:val="nil"/>
            </w:tcBorders>
            <w:shd w:val="solid" w:color="FFFFFF" w:fill="FFFFFF"/>
          </w:tcPr>
          <w:p w:rsidR="00965D85" w:rsidRPr="00381470" w:rsidRDefault="00965D85" w:rsidP="008B46DF">
            <w:pPr>
              <w:autoSpaceDE w:val="0"/>
              <w:autoSpaceDN w:val="0"/>
              <w:adjustRightInd w:val="0"/>
              <w:spacing w:after="0"/>
              <w:ind w:left="227" w:hanging="227"/>
              <w:rPr>
                <w:rFonts w:ascii="Calibri" w:eastAsiaTheme="minorEastAsia" w:hAnsi="Calibri" w:cs="Calibri"/>
                <w:color w:val="000000"/>
                <w:sz w:val="20"/>
                <w:lang w:eastAsia="en-AU"/>
              </w:rPr>
            </w:pPr>
            <w:r w:rsidRPr="00381470">
              <w:rPr>
                <w:rFonts w:ascii="Calibri" w:eastAsiaTheme="minorEastAsia" w:hAnsi="Calibri" w:cs="Calibri"/>
                <w:color w:val="000000"/>
                <w:sz w:val="20"/>
                <w:lang w:eastAsia="en-AU"/>
              </w:rPr>
              <w:t>Community health programs</w:t>
            </w:r>
          </w:p>
        </w:tc>
        <w:tc>
          <w:tcPr>
            <w:tcW w:w="1189" w:type="dxa"/>
            <w:tcBorders>
              <w:top w:val="nil"/>
              <w:left w:val="nil"/>
              <w:right w:val="nil"/>
            </w:tcBorders>
            <w:shd w:val="solid" w:color="FFFFFF" w:fill="FFFFFF"/>
          </w:tcPr>
          <w:p w:rsidR="00965D85" w:rsidRPr="00381470"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101.8</w:t>
            </w:r>
          </w:p>
        </w:tc>
        <w:tc>
          <w:tcPr>
            <w:tcW w:w="1190" w:type="dxa"/>
            <w:tcBorders>
              <w:top w:val="nil"/>
              <w:left w:val="nil"/>
              <w:right w:val="nil"/>
            </w:tcBorders>
            <w:shd w:val="solid" w:color="FFFFFF" w:fill="FFFFFF"/>
          </w:tcPr>
          <w:p w:rsidR="00965D85" w:rsidRPr="00381470" w:rsidRDefault="00965D85" w:rsidP="008B46DF">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20"/>
                <w:lang w:eastAsia="en-AU"/>
              </w:rPr>
              <w:t>104.4</w:t>
            </w:r>
          </w:p>
        </w:tc>
      </w:tr>
      <w:tr w:rsidR="00965D85" w:rsidRPr="00381470" w:rsidTr="008B46DF">
        <w:tc>
          <w:tcPr>
            <w:tcW w:w="5387" w:type="dxa"/>
            <w:tcBorders>
              <w:top w:val="nil"/>
              <w:left w:val="nil"/>
              <w:right w:val="nil"/>
            </w:tcBorders>
            <w:shd w:val="solid" w:color="FFFFFF" w:fill="FFFFFF"/>
          </w:tcPr>
          <w:p w:rsidR="00965D85" w:rsidRPr="00381470" w:rsidRDefault="00965D85" w:rsidP="008B46DF">
            <w:pPr>
              <w:autoSpaceDE w:val="0"/>
              <w:autoSpaceDN w:val="0"/>
              <w:adjustRightInd w:val="0"/>
              <w:spacing w:after="0"/>
              <w:ind w:left="227" w:hanging="227"/>
              <w:rPr>
                <w:rFonts w:ascii="Calibri" w:eastAsiaTheme="minorEastAsia" w:hAnsi="Calibri" w:cs="Calibri"/>
                <w:b/>
                <w:bCs/>
                <w:color w:val="000000"/>
                <w:sz w:val="20"/>
                <w:lang w:eastAsia="en-AU"/>
              </w:rPr>
            </w:pPr>
            <w:r w:rsidRPr="00381470">
              <w:rPr>
                <w:rFonts w:ascii="Calibri" w:eastAsiaTheme="minorEastAsia" w:hAnsi="Calibri" w:cs="Calibri"/>
                <w:b/>
                <w:bCs/>
                <w:color w:val="000000"/>
                <w:sz w:val="20"/>
                <w:lang w:eastAsia="en-AU"/>
              </w:rPr>
              <w:t>Total health</w:t>
            </w:r>
          </w:p>
        </w:tc>
        <w:tc>
          <w:tcPr>
            <w:tcW w:w="1189" w:type="dxa"/>
            <w:tcBorders>
              <w:top w:val="nil"/>
              <w:left w:val="nil"/>
              <w:right w:val="nil"/>
            </w:tcBorders>
            <w:shd w:val="solid" w:color="FFFFFF" w:fill="FFFFFF"/>
          </w:tcPr>
          <w:p w:rsidR="00965D85" w:rsidRPr="00381470"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20"/>
                <w:lang w:eastAsia="en-AU"/>
              </w:rPr>
              <w:t>599.0</w:t>
            </w:r>
          </w:p>
        </w:tc>
        <w:tc>
          <w:tcPr>
            <w:tcW w:w="1190" w:type="dxa"/>
            <w:tcBorders>
              <w:top w:val="nil"/>
              <w:left w:val="nil"/>
              <w:right w:val="nil"/>
            </w:tcBorders>
            <w:shd w:val="solid" w:color="FFFFFF" w:fill="FFFFFF"/>
          </w:tcPr>
          <w:p w:rsidR="00965D85" w:rsidRPr="00381470"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20"/>
                <w:lang w:eastAsia="en-AU"/>
              </w:rPr>
              <w:t>603.5</w:t>
            </w:r>
          </w:p>
        </w:tc>
      </w:tr>
      <w:tr w:rsidR="00965D85" w:rsidRPr="00381470" w:rsidTr="008B46DF">
        <w:tc>
          <w:tcPr>
            <w:tcW w:w="5387" w:type="dxa"/>
            <w:tcBorders>
              <w:top w:val="nil"/>
              <w:left w:val="nil"/>
              <w:right w:val="nil"/>
            </w:tcBorders>
            <w:shd w:val="solid" w:color="FFFFFF" w:fill="FFFFFF"/>
          </w:tcPr>
          <w:p w:rsidR="00965D85" w:rsidRPr="00381470" w:rsidRDefault="00965D85" w:rsidP="008B46DF">
            <w:pPr>
              <w:autoSpaceDE w:val="0"/>
              <w:autoSpaceDN w:val="0"/>
              <w:adjustRightInd w:val="0"/>
              <w:spacing w:after="0"/>
              <w:ind w:left="227" w:hanging="227"/>
              <w:rPr>
                <w:rFonts w:ascii="Calibri" w:eastAsiaTheme="minorEastAsia" w:hAnsi="Calibri" w:cs="Calibri"/>
                <w:b/>
                <w:bCs/>
                <w:color w:val="000000"/>
                <w:sz w:val="20"/>
                <w:lang w:eastAsia="en-AU"/>
              </w:rPr>
            </w:pPr>
            <w:r w:rsidRPr="00381470">
              <w:rPr>
                <w:rFonts w:ascii="Calibri" w:eastAsiaTheme="minorEastAsia" w:hAnsi="Calibri" w:cs="Calibri"/>
                <w:b/>
                <w:bCs/>
                <w:color w:val="000000"/>
                <w:sz w:val="20"/>
                <w:lang w:eastAsia="en-AU"/>
              </w:rPr>
              <w:t>Education</w:t>
            </w:r>
          </w:p>
        </w:tc>
        <w:tc>
          <w:tcPr>
            <w:tcW w:w="1189" w:type="dxa"/>
            <w:tcBorders>
              <w:top w:val="nil"/>
              <w:left w:val="nil"/>
              <w:right w:val="nil"/>
            </w:tcBorders>
            <w:shd w:val="solid" w:color="FFFFFF" w:fill="FFFFFF"/>
          </w:tcPr>
          <w:p w:rsidR="00965D85" w:rsidRPr="00381470"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20"/>
                <w:lang w:eastAsia="en-AU"/>
              </w:rPr>
              <w:t>82.0</w:t>
            </w:r>
          </w:p>
        </w:tc>
        <w:tc>
          <w:tcPr>
            <w:tcW w:w="1190" w:type="dxa"/>
            <w:tcBorders>
              <w:top w:val="nil"/>
              <w:left w:val="nil"/>
              <w:right w:val="nil"/>
            </w:tcBorders>
            <w:shd w:val="solid" w:color="FFFFFF" w:fill="FFFFFF"/>
          </w:tcPr>
          <w:p w:rsidR="00965D85" w:rsidRPr="00381470"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20"/>
                <w:lang w:eastAsia="en-AU"/>
              </w:rPr>
              <w:t>110.1</w:t>
            </w:r>
          </w:p>
        </w:tc>
      </w:tr>
      <w:tr w:rsidR="00965D85" w:rsidRPr="00381470" w:rsidTr="008B46DF">
        <w:tc>
          <w:tcPr>
            <w:tcW w:w="5387" w:type="dxa"/>
            <w:tcBorders>
              <w:top w:val="nil"/>
              <w:left w:val="nil"/>
              <w:right w:val="nil"/>
            </w:tcBorders>
            <w:shd w:val="solid" w:color="FFFFFF" w:fill="FFFFFF"/>
          </w:tcPr>
          <w:p w:rsidR="00965D85" w:rsidRPr="00381470" w:rsidRDefault="00965D85" w:rsidP="008B46DF">
            <w:pPr>
              <w:autoSpaceDE w:val="0"/>
              <w:autoSpaceDN w:val="0"/>
              <w:adjustRightInd w:val="0"/>
              <w:spacing w:after="0"/>
              <w:ind w:left="227" w:hanging="227"/>
              <w:rPr>
                <w:rFonts w:ascii="Calibri" w:eastAsiaTheme="minorEastAsia" w:hAnsi="Calibri" w:cs="Calibri"/>
                <w:b/>
                <w:bCs/>
                <w:color w:val="000000"/>
                <w:sz w:val="20"/>
                <w:lang w:eastAsia="en-AU"/>
              </w:rPr>
            </w:pPr>
            <w:r w:rsidRPr="00381470">
              <w:rPr>
                <w:rFonts w:ascii="Calibri" w:eastAsiaTheme="minorEastAsia" w:hAnsi="Calibri" w:cs="Calibri"/>
                <w:b/>
                <w:bCs/>
                <w:color w:val="000000"/>
                <w:sz w:val="20"/>
                <w:lang w:eastAsia="en-AU"/>
              </w:rPr>
              <w:t>Hardship schemes</w:t>
            </w:r>
          </w:p>
        </w:tc>
        <w:tc>
          <w:tcPr>
            <w:tcW w:w="1189" w:type="dxa"/>
            <w:tcBorders>
              <w:top w:val="nil"/>
              <w:left w:val="nil"/>
              <w:right w:val="nil"/>
            </w:tcBorders>
            <w:shd w:val="solid" w:color="FFFFFF" w:fill="FFFFFF"/>
          </w:tcPr>
          <w:p w:rsidR="00965D85" w:rsidRPr="00381470"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20"/>
                <w:lang w:eastAsia="en-AU"/>
              </w:rPr>
              <w:t>37.0</w:t>
            </w:r>
          </w:p>
        </w:tc>
        <w:tc>
          <w:tcPr>
            <w:tcW w:w="1190" w:type="dxa"/>
            <w:tcBorders>
              <w:top w:val="nil"/>
              <w:left w:val="nil"/>
              <w:right w:val="nil"/>
            </w:tcBorders>
            <w:shd w:val="solid" w:color="FFFFFF" w:fill="FFFFFF"/>
          </w:tcPr>
          <w:p w:rsidR="00965D85" w:rsidRPr="00381470"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20"/>
                <w:lang w:eastAsia="en-AU"/>
              </w:rPr>
              <w:t>39.3</w:t>
            </w:r>
          </w:p>
        </w:tc>
      </w:tr>
      <w:tr w:rsidR="00965D85" w:rsidRPr="00381470" w:rsidTr="008B46DF">
        <w:tc>
          <w:tcPr>
            <w:tcW w:w="5387" w:type="dxa"/>
            <w:tcBorders>
              <w:top w:val="nil"/>
              <w:left w:val="nil"/>
              <w:right w:val="nil"/>
            </w:tcBorders>
            <w:shd w:val="solid" w:color="FFFFFF" w:fill="FFFFFF"/>
          </w:tcPr>
          <w:p w:rsidR="00965D85" w:rsidRPr="00381470" w:rsidRDefault="00965D85" w:rsidP="008B46DF">
            <w:pPr>
              <w:autoSpaceDE w:val="0"/>
              <w:autoSpaceDN w:val="0"/>
              <w:adjustRightInd w:val="0"/>
              <w:spacing w:after="0"/>
              <w:ind w:left="227" w:hanging="227"/>
              <w:rPr>
                <w:rFonts w:ascii="Calibri" w:eastAsiaTheme="minorEastAsia" w:hAnsi="Calibri" w:cs="Calibri"/>
                <w:b/>
                <w:bCs/>
                <w:color w:val="000000"/>
                <w:sz w:val="20"/>
                <w:lang w:eastAsia="en-AU"/>
              </w:rPr>
            </w:pPr>
            <w:r w:rsidRPr="00381470">
              <w:rPr>
                <w:rFonts w:ascii="Calibri" w:eastAsiaTheme="minorEastAsia" w:hAnsi="Calibri" w:cs="Calibri"/>
                <w:b/>
                <w:bCs/>
                <w:color w:val="000000"/>
                <w:sz w:val="20"/>
                <w:lang w:eastAsia="en-AU"/>
              </w:rPr>
              <w:t>Social and community services</w:t>
            </w:r>
          </w:p>
        </w:tc>
        <w:tc>
          <w:tcPr>
            <w:tcW w:w="1189" w:type="dxa"/>
            <w:tcBorders>
              <w:top w:val="nil"/>
              <w:left w:val="nil"/>
              <w:right w:val="nil"/>
            </w:tcBorders>
            <w:shd w:val="solid" w:color="FFFFFF" w:fill="FFFFFF"/>
          </w:tcPr>
          <w:p w:rsidR="00965D85" w:rsidRPr="00381470"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20"/>
                <w:lang w:eastAsia="en-AU"/>
              </w:rPr>
              <w:t>4.9</w:t>
            </w:r>
          </w:p>
        </w:tc>
        <w:tc>
          <w:tcPr>
            <w:tcW w:w="1190" w:type="dxa"/>
            <w:tcBorders>
              <w:top w:val="nil"/>
              <w:left w:val="nil"/>
              <w:right w:val="nil"/>
            </w:tcBorders>
            <w:shd w:val="solid" w:color="FFFFFF" w:fill="FFFFFF"/>
          </w:tcPr>
          <w:p w:rsidR="00965D85" w:rsidRPr="00381470"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20"/>
                <w:lang w:eastAsia="en-AU"/>
              </w:rPr>
              <w:t>4.9</w:t>
            </w:r>
          </w:p>
        </w:tc>
      </w:tr>
      <w:tr w:rsidR="00965D85" w:rsidRPr="00381470" w:rsidTr="008B46DF">
        <w:tc>
          <w:tcPr>
            <w:tcW w:w="5387" w:type="dxa"/>
            <w:tcBorders>
              <w:top w:val="nil"/>
              <w:left w:val="nil"/>
              <w:right w:val="nil"/>
            </w:tcBorders>
            <w:shd w:val="solid" w:color="FFFFFF" w:fill="FFFFFF"/>
          </w:tcPr>
          <w:p w:rsidR="00965D85" w:rsidRPr="00381470" w:rsidRDefault="00965D85" w:rsidP="008B46DF">
            <w:pPr>
              <w:autoSpaceDE w:val="0"/>
              <w:autoSpaceDN w:val="0"/>
              <w:adjustRightInd w:val="0"/>
              <w:spacing w:after="0"/>
              <w:ind w:left="227" w:hanging="227"/>
              <w:rPr>
                <w:rFonts w:ascii="Calibri" w:eastAsiaTheme="minorEastAsia" w:hAnsi="Calibri" w:cs="Calibri"/>
                <w:b/>
                <w:bCs/>
                <w:color w:val="000000"/>
                <w:sz w:val="20"/>
                <w:lang w:eastAsia="en-AU"/>
              </w:rPr>
            </w:pPr>
            <w:r w:rsidRPr="00381470">
              <w:rPr>
                <w:rFonts w:ascii="Calibri" w:eastAsiaTheme="minorEastAsia" w:hAnsi="Calibri" w:cs="Calibri"/>
                <w:b/>
                <w:bCs/>
                <w:color w:val="000000"/>
                <w:sz w:val="20"/>
                <w:lang w:eastAsia="en-AU"/>
              </w:rPr>
              <w:t>Private transport</w:t>
            </w:r>
          </w:p>
        </w:tc>
        <w:tc>
          <w:tcPr>
            <w:tcW w:w="1189" w:type="dxa"/>
            <w:tcBorders>
              <w:top w:val="nil"/>
              <w:left w:val="nil"/>
              <w:right w:val="nil"/>
            </w:tcBorders>
            <w:shd w:val="solid" w:color="FFFFFF" w:fill="FFFFFF"/>
          </w:tcPr>
          <w:p w:rsidR="00965D85" w:rsidRPr="00381470"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20"/>
                <w:lang w:eastAsia="en-AU"/>
              </w:rPr>
              <w:t>192.3</w:t>
            </w:r>
          </w:p>
        </w:tc>
        <w:tc>
          <w:tcPr>
            <w:tcW w:w="1190" w:type="dxa"/>
            <w:tcBorders>
              <w:top w:val="nil"/>
              <w:left w:val="nil"/>
              <w:right w:val="nil"/>
            </w:tcBorders>
            <w:shd w:val="solid" w:color="FFFFFF" w:fill="FFFFFF"/>
          </w:tcPr>
          <w:p w:rsidR="00965D85" w:rsidRPr="00381470"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20"/>
                <w:lang w:eastAsia="en-AU"/>
              </w:rPr>
              <w:t>202.7</w:t>
            </w:r>
          </w:p>
        </w:tc>
      </w:tr>
      <w:tr w:rsidR="00965D85" w:rsidRPr="00381470" w:rsidTr="008B46DF">
        <w:tc>
          <w:tcPr>
            <w:tcW w:w="5387" w:type="dxa"/>
            <w:tcBorders>
              <w:top w:val="nil"/>
              <w:left w:val="nil"/>
              <w:bottom w:val="single" w:sz="6" w:space="0" w:color="auto"/>
              <w:right w:val="nil"/>
            </w:tcBorders>
            <w:shd w:val="solid" w:color="FFFFFF" w:fill="FFFFFF"/>
          </w:tcPr>
          <w:p w:rsidR="00965D85" w:rsidRPr="00381470" w:rsidRDefault="00965D85" w:rsidP="008B46DF">
            <w:pPr>
              <w:autoSpaceDE w:val="0"/>
              <w:autoSpaceDN w:val="0"/>
              <w:adjustRightInd w:val="0"/>
              <w:spacing w:after="0"/>
              <w:ind w:left="227" w:hanging="227"/>
              <w:rPr>
                <w:rFonts w:ascii="Calibri" w:eastAsiaTheme="minorEastAsia" w:hAnsi="Calibri" w:cs="Calibri"/>
                <w:b/>
                <w:bCs/>
                <w:color w:val="000000"/>
                <w:sz w:val="20"/>
                <w:lang w:eastAsia="en-AU"/>
              </w:rPr>
            </w:pPr>
            <w:r w:rsidRPr="00381470">
              <w:rPr>
                <w:rFonts w:ascii="Calibri" w:eastAsiaTheme="minorEastAsia" w:hAnsi="Calibri" w:cs="Calibri"/>
                <w:b/>
                <w:bCs/>
                <w:color w:val="000000"/>
                <w:sz w:val="20"/>
                <w:lang w:eastAsia="en-AU"/>
              </w:rPr>
              <w:t>Public transport</w:t>
            </w:r>
          </w:p>
        </w:tc>
        <w:tc>
          <w:tcPr>
            <w:tcW w:w="1189" w:type="dxa"/>
            <w:tcBorders>
              <w:top w:val="nil"/>
              <w:left w:val="nil"/>
              <w:bottom w:val="single" w:sz="6" w:space="0" w:color="auto"/>
              <w:right w:val="nil"/>
            </w:tcBorders>
            <w:shd w:val="solid" w:color="FFFFFF" w:fill="FFFFFF"/>
          </w:tcPr>
          <w:p w:rsidR="00965D85" w:rsidRPr="00381470"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20"/>
                <w:lang w:eastAsia="en-AU"/>
              </w:rPr>
              <w:t>141.0</w:t>
            </w:r>
          </w:p>
        </w:tc>
        <w:tc>
          <w:tcPr>
            <w:tcW w:w="1190" w:type="dxa"/>
            <w:tcBorders>
              <w:top w:val="nil"/>
              <w:left w:val="nil"/>
              <w:bottom w:val="single" w:sz="6" w:space="0" w:color="auto"/>
              <w:right w:val="nil"/>
            </w:tcBorders>
            <w:shd w:val="solid" w:color="FFFFFF" w:fill="FFFFFF"/>
          </w:tcPr>
          <w:p w:rsidR="00965D85" w:rsidRPr="00381470"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20"/>
                <w:lang w:eastAsia="en-AU"/>
              </w:rPr>
              <w:t>147.3</w:t>
            </w:r>
          </w:p>
        </w:tc>
      </w:tr>
      <w:tr w:rsidR="00965D85" w:rsidRPr="00381470" w:rsidTr="008B46DF">
        <w:tc>
          <w:tcPr>
            <w:tcW w:w="5387" w:type="dxa"/>
            <w:tcBorders>
              <w:top w:val="single" w:sz="6" w:space="0" w:color="auto"/>
              <w:left w:val="nil"/>
              <w:bottom w:val="single" w:sz="12" w:space="0" w:color="auto"/>
              <w:right w:val="nil"/>
            </w:tcBorders>
            <w:shd w:val="solid" w:color="FFFFFF" w:fill="FFFFFF"/>
          </w:tcPr>
          <w:p w:rsidR="00965D85" w:rsidRPr="00381470" w:rsidRDefault="00965D85" w:rsidP="008B46DF">
            <w:pPr>
              <w:autoSpaceDE w:val="0"/>
              <w:autoSpaceDN w:val="0"/>
              <w:adjustRightInd w:val="0"/>
              <w:spacing w:after="0"/>
              <w:ind w:left="227" w:hanging="227"/>
              <w:rPr>
                <w:rFonts w:ascii="Calibri" w:eastAsiaTheme="minorEastAsia" w:hAnsi="Calibri" w:cs="Calibri"/>
                <w:b/>
                <w:bCs/>
                <w:color w:val="000000"/>
                <w:sz w:val="20"/>
                <w:lang w:eastAsia="en-AU"/>
              </w:rPr>
            </w:pPr>
            <w:r w:rsidRPr="00381470">
              <w:rPr>
                <w:rFonts w:ascii="Calibri" w:eastAsiaTheme="minorEastAsia" w:hAnsi="Calibri" w:cs="Calibri"/>
                <w:b/>
                <w:bCs/>
                <w:color w:val="000000"/>
                <w:sz w:val="20"/>
                <w:lang w:eastAsia="en-AU"/>
              </w:rPr>
              <w:t>Total for items estimated</w:t>
            </w:r>
          </w:p>
        </w:tc>
        <w:tc>
          <w:tcPr>
            <w:tcW w:w="1189" w:type="dxa"/>
            <w:tcBorders>
              <w:top w:val="single" w:sz="6" w:space="0" w:color="auto"/>
              <w:left w:val="nil"/>
              <w:bottom w:val="single" w:sz="12" w:space="0" w:color="auto"/>
              <w:right w:val="nil"/>
            </w:tcBorders>
            <w:shd w:val="solid" w:color="FFFFFF" w:fill="FFFFFF"/>
          </w:tcPr>
          <w:p w:rsidR="00965D85" w:rsidRPr="00381470"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381470">
              <w:rPr>
                <w:rFonts w:ascii="Calibri" w:eastAsiaTheme="minorEastAsia" w:hAnsi="Calibri" w:cs="Calibri"/>
                <w:b/>
                <w:bCs/>
                <w:color w:val="000000"/>
                <w:sz w:val="20"/>
                <w:lang w:eastAsia="en-AU"/>
              </w:rPr>
              <w:t>1 514.4</w:t>
            </w:r>
          </w:p>
        </w:tc>
        <w:tc>
          <w:tcPr>
            <w:tcW w:w="1190" w:type="dxa"/>
            <w:tcBorders>
              <w:top w:val="single" w:sz="6" w:space="0" w:color="auto"/>
              <w:left w:val="nil"/>
              <w:bottom w:val="single" w:sz="12" w:space="0" w:color="auto"/>
              <w:right w:val="nil"/>
            </w:tcBorders>
            <w:shd w:val="solid" w:color="FFFFFF" w:fill="FFFFFF"/>
          </w:tcPr>
          <w:p w:rsidR="00965D85" w:rsidRPr="00381470"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381470">
              <w:rPr>
                <w:rFonts w:ascii="Calibri" w:eastAsiaTheme="minorEastAsia" w:hAnsi="Calibri" w:cs="Calibri"/>
                <w:b/>
                <w:bCs/>
                <w:color w:val="000000"/>
                <w:sz w:val="20"/>
                <w:lang w:eastAsia="en-AU"/>
              </w:rPr>
              <w:t>1 605.2</w:t>
            </w:r>
          </w:p>
        </w:tc>
      </w:tr>
    </w:tbl>
    <w:p w:rsidR="00965D85" w:rsidRDefault="00965D85" w:rsidP="008B46DF">
      <w:pPr>
        <w:pStyle w:val="Source"/>
      </w:pPr>
      <w:r>
        <w:rPr>
          <w:vertAlign w:val="superscript"/>
          <w:lang w:eastAsia="en-AU"/>
        </w:rPr>
        <w:fldChar w:fldCharType="end"/>
      </w:r>
      <w:r>
        <w:t>Source: Department of Treasury and Finance</w:t>
      </w:r>
    </w:p>
    <w:p w:rsidR="00965D85" w:rsidRDefault="00965D85" w:rsidP="008B46DF">
      <w:pPr>
        <w:pStyle w:val="Notes"/>
      </w:pPr>
      <w:r>
        <w:t>Notes:</w:t>
      </w:r>
    </w:p>
    <w:p w:rsidR="00965D85" w:rsidRDefault="00965D85" w:rsidP="008B46DF">
      <w:pPr>
        <w:pStyle w:val="Notes"/>
      </w:pPr>
      <w:r w:rsidRPr="00D02332">
        <w:t>(a)</w:t>
      </w:r>
      <w:r w:rsidRPr="00D02332">
        <w:tab/>
        <w:t>Some concessions are unable to be directly measured and are estimates only.</w:t>
      </w:r>
    </w:p>
    <w:p w:rsidR="00965D85" w:rsidRDefault="00965D85" w:rsidP="008B46DF">
      <w:pPr>
        <w:pStyle w:val="Notes"/>
      </w:pPr>
      <w:r>
        <w:t>(b)</w:t>
      </w:r>
      <w:r>
        <w:tab/>
      </w:r>
      <w:r w:rsidRPr="00B23C74">
        <w:t>The 2015</w:t>
      </w:r>
      <w:r>
        <w:noBreakHyphen/>
      </w:r>
      <w:r w:rsidRPr="00B23C74">
        <w:t xml:space="preserve">16 </w:t>
      </w:r>
      <w:r>
        <w:t xml:space="preserve">estimated </w:t>
      </w:r>
      <w:r w:rsidRPr="00B23C74">
        <w:t xml:space="preserve">concession expenditure excludes the proposed new Adult Public Dental Services National Partnership Agreement funding as negotiations with the Commonwealth have not yet commenced at time of publication and funding under the previous agreement </w:t>
      </w:r>
      <w:r>
        <w:t xml:space="preserve">have </w:t>
      </w:r>
      <w:r w:rsidRPr="00B23C74">
        <w:t>lapse</w:t>
      </w:r>
      <w:r>
        <w:t>d.</w:t>
      </w:r>
    </w:p>
    <w:p w:rsidR="00965D85" w:rsidRDefault="00965D85">
      <w:pPr>
        <w:spacing w:after="0"/>
      </w:pPr>
    </w:p>
    <w:p w:rsidR="00965D85" w:rsidRDefault="00965D85">
      <w:pPr>
        <w:spacing w:after="0"/>
        <w:rPr>
          <w:rFonts w:ascii="Calibri" w:hAnsi="Calibri"/>
          <w:i/>
          <w:sz w:val="15"/>
        </w:rPr>
      </w:pPr>
      <w:r>
        <w:br w:type="page"/>
      </w:r>
    </w:p>
    <w:p w:rsidR="00965D85" w:rsidRDefault="00965D85" w:rsidP="008B46DF"/>
    <w:p w:rsidR="00965D85" w:rsidRPr="00D02332" w:rsidRDefault="00965D85" w:rsidP="008B46DF"/>
    <w:p w:rsidR="00965D85" w:rsidRDefault="00965D85" w:rsidP="008B46DF">
      <w:pPr>
        <w:spacing w:after="0"/>
      </w:pPr>
    </w:p>
    <w:p w:rsidR="00965D85" w:rsidRDefault="00965D85" w:rsidP="00DF54C9">
      <w:pPr>
        <w:sectPr w:rsidR="00965D85" w:rsidSect="00F302FC">
          <w:footerReference w:type="even" r:id="rId33"/>
          <w:footerReference w:type="default" r:id="rId34"/>
          <w:type w:val="oddPage"/>
          <w:pgSz w:w="9979" w:h="14181" w:code="138"/>
          <w:pgMar w:top="1138" w:right="1138" w:bottom="1138" w:left="1138" w:header="720" w:footer="432" w:gutter="0"/>
          <w:cols w:space="708"/>
          <w:docGrid w:linePitch="360"/>
        </w:sectPr>
      </w:pPr>
    </w:p>
    <w:p w:rsidR="00965D85" w:rsidRPr="00427D0E" w:rsidRDefault="00965D85" w:rsidP="008B46DF">
      <w:pPr>
        <w:pStyle w:val="ChapterHeading"/>
      </w:pPr>
      <w:bookmarkStart w:id="99" w:name="_Toc436147561"/>
      <w:r w:rsidRPr="00427D0E">
        <w:lastRenderedPageBreak/>
        <w:t>Appendix D – Sensitivity analysis</w:t>
      </w:r>
      <w:bookmarkEnd w:id="99"/>
    </w:p>
    <w:p w:rsidR="00965D85" w:rsidRDefault="00965D85" w:rsidP="008B46DF">
      <w:r>
        <w:t xml:space="preserve">The macroeconomic forecasts and assumptions underpinning the </w:t>
      </w:r>
      <w:r w:rsidRPr="00A27A3E">
        <w:rPr>
          <w:i/>
        </w:rPr>
        <w:t>2015</w:t>
      </w:r>
      <w:r>
        <w:rPr>
          <w:i/>
        </w:rPr>
        <w:noBreakHyphen/>
        <w:t>16 </w:t>
      </w:r>
      <w:r w:rsidRPr="00A27A3E">
        <w:rPr>
          <w:i/>
        </w:rPr>
        <w:t>Budget Update</w:t>
      </w:r>
      <w:r w:rsidRPr="00A27A3E">
        <w:t xml:space="preserve"> are subject to variation. This section explores the impact of variations in these</w:t>
      </w:r>
      <w:r>
        <w:t xml:space="preserve"> parameters on key fiscal aggregates of the general government sector.</w:t>
      </w:r>
    </w:p>
    <w:p w:rsidR="00965D85" w:rsidRDefault="00965D85" w:rsidP="008B46DF">
      <w:r>
        <w:t>Two types of sensitivity analysis are presented. First, the fiscal impact of independent variations in economic variables is considered. This type of analysis could be useful, for example, in considering the impact of a forecast error in an individual economic parameter on the fiscal aggregates. Second, the simultaneous impact of variations in a number of economic variables is considered with reference to recent historical examples. The analysis attempts to capture some, though not all, of the interrelationships between economic variables. This provides a better understanding of the fiscal impact where the general economic environment is materially different from forecast.</w:t>
      </w:r>
    </w:p>
    <w:p w:rsidR="00965D85" w:rsidRDefault="00965D85" w:rsidP="008B46DF">
      <w:r>
        <w:t>While sensitivity analysis provides a useful indication of the fiscal impact of variations in economic conditions, care should be exercised in interpreting these results. The relationships between economic and fiscal aggregates are complex, and typically depend on the specific characteristics of the economic shock. For example, an asset price shock in the property market is likely to have a different fiscal impact to a sector</w:t>
      </w:r>
      <w:r>
        <w:noBreakHyphen/>
        <w:t>specific shock in say manufacturing, even if the overall impact on gross state product (GSP) and employment is similar.</w:t>
      </w:r>
    </w:p>
    <w:p w:rsidR="00965D85" w:rsidRDefault="00965D85" w:rsidP="008B46DF">
      <w:pPr>
        <w:pStyle w:val="Heading1"/>
      </w:pPr>
      <w:bookmarkStart w:id="100" w:name="_Toc436147562"/>
      <w:r w:rsidRPr="00A27A3E">
        <w:t>Sensitivity</w:t>
      </w:r>
      <w:r w:rsidRPr="00427D0E">
        <w:t xml:space="preserve"> to independent variations in major economic parameters</w:t>
      </w:r>
      <w:bookmarkEnd w:id="100"/>
    </w:p>
    <w:p w:rsidR="00965D85" w:rsidRDefault="00965D85" w:rsidP="008B46DF">
      <w:r>
        <w:t>Table D.1 presents the sensitivity of financial aggregates, if the levels of key economic parameters are 1 per cent above the forecast for each year of the budget and forward estimates period, holding all else constant. The impacts shown are broadly symmetrical. That is, the estimated fiscal impact would apply equally in the opposite direction if a 1 per cent decrease in each variable was considered.</w:t>
      </w:r>
    </w:p>
    <w:p w:rsidR="00965D85" w:rsidRDefault="00965D85">
      <w:pPr>
        <w:spacing w:after="0"/>
        <w:rPr>
          <w:rFonts w:ascii="Calibri" w:hAnsi="Calibri"/>
          <w:b/>
        </w:rPr>
      </w:pPr>
      <w:r>
        <w:br w:type="page"/>
      </w:r>
    </w:p>
    <w:p w:rsidR="00965D85" w:rsidRPr="00D23DB4" w:rsidRDefault="00965D85" w:rsidP="008B46DF">
      <w:pPr>
        <w:pStyle w:val="Tableheading"/>
      </w:pPr>
      <w:r>
        <w:lastRenderedPageBreak/>
        <w:t>Table D.</w:t>
      </w:r>
      <w:r w:rsidRPr="006D0251">
        <w:t>1</w:t>
      </w:r>
      <w:r>
        <w:t>:</w:t>
      </w:r>
      <w:r>
        <w:tab/>
      </w:r>
      <w:r w:rsidRPr="00FA77F3">
        <w:t xml:space="preserve">Sensitivity of key </w:t>
      </w:r>
      <w:r w:rsidRPr="002B36D5">
        <w:t>fiscal</w:t>
      </w:r>
      <w:r w:rsidRPr="00FA77F3">
        <w:t xml:space="preserve"> aggregates to selected economic indicators being 1</w:t>
      </w:r>
      <w:r>
        <w:t> per cent</w:t>
      </w:r>
      <w:r w:rsidRPr="00FA77F3">
        <w:t xml:space="preserve"> higher </w:t>
      </w:r>
      <w:r w:rsidRPr="00CD66A9">
        <w:t>than</w:t>
      </w:r>
      <w:r>
        <w:t xml:space="preserve"> expected from 2015</w:t>
      </w:r>
      <w:r>
        <w:noBreakHyphen/>
        <w:t>16</w:t>
      </w:r>
      <w:r w:rsidRPr="002B36D5">
        <w:rPr>
          <w:vertAlign w:val="superscript"/>
        </w:rPr>
        <w:t>(</w:t>
      </w:r>
      <w:r w:rsidRPr="000943E5">
        <w:rPr>
          <w:vertAlign w:val="superscript"/>
        </w:rPr>
        <w:t>a)(b)(c)(d)</w:t>
      </w:r>
      <w:r>
        <w:rPr>
          <w:vertAlign w:val="superscript"/>
        </w:rPr>
        <w:t>(e)(f)</w:t>
      </w:r>
    </w:p>
    <w:p w:rsidR="00965D85" w:rsidRPr="00B264D4" w:rsidRDefault="00965D85" w:rsidP="008B46DF">
      <w:pPr>
        <w:pStyle w:val="million"/>
      </w:pPr>
      <w:r>
        <w:t>($ million)</w:t>
      </w:r>
      <w:r>
        <w:fldChar w:fldCharType="begin" w:fldLock="1"/>
      </w:r>
      <w:r>
        <w:instrText xml:space="preserve"> LINK Excel.Sheet.12 \\\\PDCPTPRDFIL01\\DTFDATA02$\\SECURED\\Budget\\BudgetUpdate\\AppendixD\\2015-16BudUpd_AppD.xlsx Sensitivity_Table!SensTbl1 \f 4 \r \* MERGEFORMAT </w:instrText>
      </w:r>
      <w:r>
        <w:fldChar w:fldCharType="separate"/>
      </w:r>
    </w:p>
    <w:tbl>
      <w:tblPr>
        <w:tblW w:w="7982" w:type="dxa"/>
        <w:tblInd w:w="78" w:type="dxa"/>
        <w:tblLayout w:type="fixed"/>
        <w:tblLook w:val="0000" w:firstRow="0" w:lastRow="0" w:firstColumn="0" w:lastColumn="0" w:noHBand="0" w:noVBand="0"/>
      </w:tblPr>
      <w:tblGrid>
        <w:gridCol w:w="3538"/>
        <w:gridCol w:w="1111"/>
        <w:gridCol w:w="1111"/>
        <w:gridCol w:w="1111"/>
        <w:gridCol w:w="1111"/>
      </w:tblGrid>
      <w:tr w:rsidR="00965D85" w:rsidRPr="00B264D4" w:rsidTr="008B46DF">
        <w:trPr>
          <w:trHeight w:val="398"/>
        </w:trPr>
        <w:tc>
          <w:tcPr>
            <w:tcW w:w="3538" w:type="dxa"/>
            <w:tcBorders>
              <w:top w:val="single" w:sz="6" w:space="0" w:color="auto"/>
              <w:left w:val="nil"/>
              <w:bottom w:val="single" w:sz="6" w:space="0" w:color="auto"/>
              <w:right w:val="nil"/>
            </w:tcBorders>
            <w:shd w:val="solid" w:color="000000" w:fill="auto"/>
          </w:tcPr>
          <w:p w:rsidR="00965D85" w:rsidRPr="00B264D4" w:rsidRDefault="00965D85" w:rsidP="008B46DF">
            <w:pPr>
              <w:autoSpaceDE w:val="0"/>
              <w:autoSpaceDN w:val="0"/>
              <w:adjustRightInd w:val="0"/>
              <w:spacing w:after="0"/>
              <w:rPr>
                <w:rFonts w:ascii="Calibri" w:eastAsiaTheme="minorEastAsia" w:hAnsi="Calibri" w:cs="Calibri"/>
                <w:color w:val="FFFFFF"/>
                <w:sz w:val="20"/>
                <w:lang w:eastAsia="en-AU"/>
              </w:rPr>
            </w:pPr>
            <w:r w:rsidRPr="00B264D4">
              <w:rPr>
                <w:rFonts w:ascii="Calibri" w:eastAsiaTheme="minorEastAsia" w:hAnsi="Calibri" w:cs="Calibri"/>
                <w:color w:val="FFFFFF"/>
                <w:sz w:val="20"/>
                <w:lang w:eastAsia="en-AU"/>
              </w:rPr>
              <w:t xml:space="preserve"> </w:t>
            </w:r>
          </w:p>
        </w:tc>
        <w:tc>
          <w:tcPr>
            <w:tcW w:w="1111" w:type="dxa"/>
            <w:tcBorders>
              <w:top w:val="single" w:sz="6" w:space="0" w:color="auto"/>
              <w:left w:val="nil"/>
              <w:bottom w:val="single" w:sz="6" w:space="0" w:color="auto"/>
              <w:right w:val="nil"/>
            </w:tcBorders>
            <w:shd w:val="solid" w:color="000000" w:fill="auto"/>
          </w:tcPr>
          <w:p w:rsidR="00965D85" w:rsidRPr="00B264D4"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B264D4">
              <w:rPr>
                <w:rFonts w:ascii="Calibri" w:eastAsiaTheme="minorEastAsia" w:hAnsi="Calibri" w:cs="Calibri"/>
                <w:i/>
                <w:iCs/>
                <w:color w:val="FFFFFF"/>
                <w:sz w:val="20"/>
                <w:lang w:eastAsia="en-AU"/>
              </w:rPr>
              <w:t>2015-16 estimate</w:t>
            </w:r>
          </w:p>
        </w:tc>
        <w:tc>
          <w:tcPr>
            <w:tcW w:w="1111" w:type="dxa"/>
            <w:tcBorders>
              <w:top w:val="single" w:sz="6" w:space="0" w:color="auto"/>
              <w:left w:val="nil"/>
              <w:bottom w:val="single" w:sz="6" w:space="0" w:color="auto"/>
              <w:right w:val="nil"/>
            </w:tcBorders>
            <w:shd w:val="solid" w:color="000000" w:fill="auto"/>
          </w:tcPr>
          <w:p w:rsidR="00965D85" w:rsidRPr="00B264D4"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B264D4">
              <w:rPr>
                <w:rFonts w:ascii="Calibri" w:eastAsiaTheme="minorEastAsia" w:hAnsi="Calibri" w:cs="Calibri"/>
                <w:i/>
                <w:iCs/>
                <w:color w:val="FFFFFF"/>
                <w:sz w:val="20"/>
                <w:lang w:eastAsia="en-AU"/>
              </w:rPr>
              <w:t>2016-17 estimate</w:t>
            </w:r>
          </w:p>
        </w:tc>
        <w:tc>
          <w:tcPr>
            <w:tcW w:w="1111" w:type="dxa"/>
            <w:tcBorders>
              <w:top w:val="single" w:sz="6" w:space="0" w:color="auto"/>
              <w:left w:val="nil"/>
              <w:bottom w:val="single" w:sz="6" w:space="0" w:color="auto"/>
              <w:right w:val="nil"/>
            </w:tcBorders>
            <w:shd w:val="solid" w:color="000000" w:fill="auto"/>
          </w:tcPr>
          <w:p w:rsidR="00965D85" w:rsidRPr="00B264D4"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B264D4">
              <w:rPr>
                <w:rFonts w:ascii="Calibri" w:eastAsiaTheme="minorEastAsia" w:hAnsi="Calibri" w:cs="Calibri"/>
                <w:i/>
                <w:iCs/>
                <w:color w:val="FFFFFF"/>
                <w:sz w:val="20"/>
                <w:lang w:eastAsia="en-AU"/>
              </w:rPr>
              <w:t>2017-18 estimate</w:t>
            </w:r>
          </w:p>
        </w:tc>
        <w:tc>
          <w:tcPr>
            <w:tcW w:w="1111" w:type="dxa"/>
            <w:tcBorders>
              <w:top w:val="single" w:sz="6" w:space="0" w:color="auto"/>
              <w:left w:val="nil"/>
              <w:bottom w:val="single" w:sz="6" w:space="0" w:color="auto"/>
              <w:right w:val="nil"/>
            </w:tcBorders>
            <w:shd w:val="solid" w:color="000000" w:fill="auto"/>
          </w:tcPr>
          <w:p w:rsidR="00965D85" w:rsidRPr="00B264D4"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B264D4">
              <w:rPr>
                <w:rFonts w:ascii="Calibri" w:eastAsiaTheme="minorEastAsia" w:hAnsi="Calibri" w:cs="Calibri"/>
                <w:i/>
                <w:iCs/>
                <w:color w:val="FFFFFF"/>
                <w:sz w:val="20"/>
                <w:lang w:eastAsia="en-AU"/>
              </w:rPr>
              <w:t>2018-19 estimate</w:t>
            </w:r>
          </w:p>
        </w:tc>
      </w:tr>
      <w:tr w:rsidR="00965D85" w:rsidRPr="00B264D4" w:rsidTr="008B46DF">
        <w:trPr>
          <w:trHeight w:val="199"/>
        </w:trPr>
        <w:tc>
          <w:tcPr>
            <w:tcW w:w="3538" w:type="dxa"/>
            <w:tcBorders>
              <w:top w:val="nil"/>
              <w:left w:val="nil"/>
              <w:bottom w:val="nil"/>
              <w:right w:val="nil"/>
            </w:tcBorders>
          </w:tcPr>
          <w:p w:rsidR="00965D85" w:rsidRPr="00B264D4" w:rsidRDefault="00965D85" w:rsidP="008B46DF">
            <w:pPr>
              <w:autoSpaceDE w:val="0"/>
              <w:autoSpaceDN w:val="0"/>
              <w:adjustRightInd w:val="0"/>
              <w:spacing w:after="0"/>
              <w:rPr>
                <w:rFonts w:ascii="Calibri" w:eastAsiaTheme="minorEastAsia" w:hAnsi="Calibri" w:cs="Calibri"/>
                <w:b/>
                <w:bCs/>
                <w:color w:val="000000"/>
                <w:sz w:val="20"/>
                <w:lang w:eastAsia="en-AU"/>
              </w:rPr>
            </w:pPr>
            <w:r w:rsidRPr="00B264D4">
              <w:rPr>
                <w:rFonts w:ascii="Calibri" w:eastAsiaTheme="minorEastAsia" w:hAnsi="Calibri" w:cs="Calibri"/>
                <w:b/>
                <w:bCs/>
                <w:color w:val="000000"/>
                <w:sz w:val="20"/>
                <w:lang w:eastAsia="en-AU"/>
              </w:rPr>
              <w:t>GSP</w:t>
            </w:r>
          </w:p>
        </w:tc>
        <w:tc>
          <w:tcPr>
            <w:tcW w:w="1111" w:type="dxa"/>
            <w:tcBorders>
              <w:top w:val="nil"/>
              <w:left w:val="nil"/>
              <w:bottom w:val="nil"/>
              <w:right w:val="nil"/>
            </w:tcBorders>
          </w:tcPr>
          <w:p w:rsidR="00965D85" w:rsidRPr="00B264D4"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B264D4">
              <w:rPr>
                <w:rFonts w:ascii="Calibri" w:eastAsiaTheme="minorEastAsia" w:hAnsi="Calibri" w:cs="Calibri"/>
                <w:color w:val="000000"/>
                <w:sz w:val="20"/>
                <w:lang w:eastAsia="en-AU"/>
              </w:rPr>
              <w:t xml:space="preserve"> </w:t>
            </w:r>
          </w:p>
        </w:tc>
        <w:tc>
          <w:tcPr>
            <w:tcW w:w="1111" w:type="dxa"/>
            <w:tcBorders>
              <w:top w:val="nil"/>
              <w:left w:val="nil"/>
              <w:bottom w:val="nil"/>
              <w:right w:val="nil"/>
            </w:tcBorders>
          </w:tcPr>
          <w:p w:rsidR="00965D85" w:rsidRPr="00B264D4"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B264D4">
              <w:rPr>
                <w:rFonts w:ascii="Calibri" w:eastAsiaTheme="minorEastAsia" w:hAnsi="Calibri" w:cs="Calibri"/>
                <w:color w:val="000000"/>
                <w:sz w:val="20"/>
                <w:lang w:eastAsia="en-AU"/>
              </w:rPr>
              <w:t xml:space="preserve"> </w:t>
            </w:r>
          </w:p>
        </w:tc>
        <w:tc>
          <w:tcPr>
            <w:tcW w:w="1111" w:type="dxa"/>
            <w:tcBorders>
              <w:top w:val="nil"/>
              <w:left w:val="nil"/>
              <w:bottom w:val="nil"/>
              <w:right w:val="nil"/>
            </w:tcBorders>
          </w:tcPr>
          <w:p w:rsidR="00965D85" w:rsidRPr="00B264D4"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B264D4">
              <w:rPr>
                <w:rFonts w:ascii="Calibri" w:eastAsiaTheme="minorEastAsia" w:hAnsi="Calibri" w:cs="Calibri"/>
                <w:color w:val="000000"/>
                <w:sz w:val="20"/>
                <w:lang w:eastAsia="en-AU"/>
              </w:rPr>
              <w:t xml:space="preserve"> </w:t>
            </w:r>
          </w:p>
        </w:tc>
        <w:tc>
          <w:tcPr>
            <w:tcW w:w="1111" w:type="dxa"/>
            <w:tcBorders>
              <w:top w:val="nil"/>
              <w:left w:val="nil"/>
              <w:bottom w:val="nil"/>
              <w:right w:val="nil"/>
            </w:tcBorders>
          </w:tcPr>
          <w:p w:rsidR="00965D85" w:rsidRPr="00B264D4"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B264D4">
              <w:rPr>
                <w:rFonts w:ascii="Calibri" w:eastAsiaTheme="minorEastAsia" w:hAnsi="Calibri" w:cs="Calibri"/>
                <w:color w:val="000000"/>
                <w:sz w:val="20"/>
                <w:lang w:eastAsia="en-AU"/>
              </w:rPr>
              <w:t xml:space="preserve"> </w:t>
            </w:r>
          </w:p>
        </w:tc>
      </w:tr>
      <w:tr w:rsidR="00965D85" w:rsidRPr="00B264D4" w:rsidTr="008B46DF">
        <w:trPr>
          <w:trHeight w:val="199"/>
        </w:trPr>
        <w:tc>
          <w:tcPr>
            <w:tcW w:w="3538" w:type="dxa"/>
            <w:tcBorders>
              <w:top w:val="nil"/>
              <w:left w:val="nil"/>
              <w:bottom w:val="nil"/>
              <w:right w:val="nil"/>
            </w:tcBorders>
          </w:tcPr>
          <w:p w:rsidR="00965D85" w:rsidRPr="00B264D4" w:rsidRDefault="00965D85" w:rsidP="008B46DF">
            <w:pPr>
              <w:autoSpaceDE w:val="0"/>
              <w:autoSpaceDN w:val="0"/>
              <w:adjustRightInd w:val="0"/>
              <w:spacing w:after="0"/>
              <w:rPr>
                <w:rFonts w:ascii="Calibri" w:eastAsiaTheme="minorEastAsia" w:hAnsi="Calibri" w:cs="Calibri"/>
                <w:color w:val="000000"/>
                <w:sz w:val="20"/>
                <w:lang w:eastAsia="en-AU"/>
              </w:rPr>
            </w:pPr>
            <w:r w:rsidRPr="00B264D4">
              <w:rPr>
                <w:rFonts w:ascii="Calibri" w:eastAsiaTheme="minorEastAsia" w:hAnsi="Calibri" w:cs="Calibri"/>
                <w:color w:val="000000"/>
                <w:sz w:val="20"/>
                <w:lang w:eastAsia="en-AU"/>
              </w:rPr>
              <w:t>Income from transactions</w:t>
            </w:r>
          </w:p>
        </w:tc>
        <w:tc>
          <w:tcPr>
            <w:tcW w:w="1111" w:type="dxa"/>
            <w:tcBorders>
              <w:top w:val="nil"/>
              <w:left w:val="nil"/>
              <w:bottom w:val="nil"/>
              <w:right w:val="nil"/>
            </w:tcBorders>
            <w:shd w:val="solid" w:color="FFFFFF" w:fill="auto"/>
          </w:tcPr>
          <w:p w:rsidR="00965D85" w:rsidRPr="00B264D4"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B264D4">
              <w:rPr>
                <w:rFonts w:ascii="Calibri" w:eastAsiaTheme="minorEastAsia" w:hAnsi="Calibri" w:cs="Calibri"/>
                <w:color w:val="000000"/>
                <w:sz w:val="20"/>
                <w:lang w:eastAsia="en-AU"/>
              </w:rPr>
              <w:t>165</w:t>
            </w:r>
          </w:p>
        </w:tc>
        <w:tc>
          <w:tcPr>
            <w:tcW w:w="1111" w:type="dxa"/>
            <w:tcBorders>
              <w:top w:val="nil"/>
              <w:left w:val="nil"/>
              <w:bottom w:val="nil"/>
              <w:right w:val="nil"/>
            </w:tcBorders>
            <w:shd w:val="solid" w:color="FFFFFF" w:fill="auto"/>
          </w:tcPr>
          <w:p w:rsidR="00965D85" w:rsidRPr="00B264D4"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B264D4">
              <w:rPr>
                <w:rFonts w:ascii="Calibri" w:eastAsiaTheme="minorEastAsia" w:hAnsi="Calibri" w:cs="Calibri"/>
                <w:color w:val="000000"/>
                <w:sz w:val="20"/>
                <w:lang w:eastAsia="en-AU"/>
              </w:rPr>
              <w:t>172</w:t>
            </w:r>
          </w:p>
        </w:tc>
        <w:tc>
          <w:tcPr>
            <w:tcW w:w="1111" w:type="dxa"/>
            <w:tcBorders>
              <w:top w:val="nil"/>
              <w:left w:val="nil"/>
              <w:bottom w:val="nil"/>
              <w:right w:val="nil"/>
            </w:tcBorders>
            <w:shd w:val="solid" w:color="FFFFFF" w:fill="auto"/>
          </w:tcPr>
          <w:p w:rsidR="00965D85" w:rsidRPr="00B264D4"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B264D4">
              <w:rPr>
                <w:rFonts w:ascii="Calibri" w:eastAsiaTheme="minorEastAsia" w:hAnsi="Calibri" w:cs="Calibri"/>
                <w:color w:val="000000"/>
                <w:sz w:val="20"/>
                <w:lang w:eastAsia="en-AU"/>
              </w:rPr>
              <w:t>181</w:t>
            </w:r>
          </w:p>
        </w:tc>
        <w:tc>
          <w:tcPr>
            <w:tcW w:w="1111" w:type="dxa"/>
            <w:tcBorders>
              <w:top w:val="nil"/>
              <w:left w:val="nil"/>
              <w:bottom w:val="nil"/>
              <w:right w:val="nil"/>
            </w:tcBorders>
            <w:shd w:val="solid" w:color="FFFFFF" w:fill="auto"/>
          </w:tcPr>
          <w:p w:rsidR="00965D85" w:rsidRPr="00B264D4"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B264D4">
              <w:rPr>
                <w:rFonts w:ascii="Calibri" w:eastAsiaTheme="minorEastAsia" w:hAnsi="Calibri" w:cs="Calibri"/>
                <w:color w:val="000000"/>
                <w:sz w:val="20"/>
                <w:lang w:eastAsia="en-AU"/>
              </w:rPr>
              <w:t>196</w:t>
            </w:r>
          </w:p>
        </w:tc>
      </w:tr>
      <w:tr w:rsidR="00965D85" w:rsidRPr="00B264D4" w:rsidTr="008B46DF">
        <w:trPr>
          <w:trHeight w:val="199"/>
        </w:trPr>
        <w:tc>
          <w:tcPr>
            <w:tcW w:w="3538" w:type="dxa"/>
            <w:tcBorders>
              <w:top w:val="nil"/>
              <w:left w:val="nil"/>
              <w:bottom w:val="nil"/>
              <w:right w:val="nil"/>
            </w:tcBorders>
          </w:tcPr>
          <w:p w:rsidR="00965D85" w:rsidRPr="00B264D4" w:rsidRDefault="00965D85" w:rsidP="008B46DF">
            <w:pPr>
              <w:autoSpaceDE w:val="0"/>
              <w:autoSpaceDN w:val="0"/>
              <w:adjustRightInd w:val="0"/>
              <w:spacing w:after="0"/>
              <w:rPr>
                <w:rFonts w:ascii="Calibri" w:eastAsiaTheme="minorEastAsia" w:hAnsi="Calibri" w:cs="Calibri"/>
                <w:color w:val="000000"/>
                <w:sz w:val="20"/>
                <w:lang w:eastAsia="en-AU"/>
              </w:rPr>
            </w:pPr>
            <w:r w:rsidRPr="00B264D4">
              <w:rPr>
                <w:rFonts w:ascii="Calibri" w:eastAsiaTheme="minorEastAsia" w:hAnsi="Calibri" w:cs="Calibri"/>
                <w:color w:val="000000"/>
                <w:sz w:val="20"/>
                <w:lang w:eastAsia="en-AU"/>
              </w:rPr>
              <w:t>Expenses from transactions</w:t>
            </w:r>
          </w:p>
        </w:tc>
        <w:tc>
          <w:tcPr>
            <w:tcW w:w="1111" w:type="dxa"/>
            <w:tcBorders>
              <w:top w:val="nil"/>
              <w:left w:val="nil"/>
              <w:bottom w:val="nil"/>
              <w:right w:val="nil"/>
            </w:tcBorders>
            <w:shd w:val="solid" w:color="FFFFFF" w:fill="auto"/>
          </w:tcPr>
          <w:p w:rsidR="00965D85" w:rsidRPr="00B264D4"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B264D4">
              <w:rPr>
                <w:rFonts w:ascii="Calibri" w:eastAsiaTheme="minorEastAsia" w:hAnsi="Calibri" w:cs="Calibri"/>
                <w:color w:val="000000"/>
                <w:sz w:val="20"/>
                <w:lang w:eastAsia="en-AU"/>
              </w:rPr>
              <w:t>7</w:t>
            </w:r>
          </w:p>
        </w:tc>
        <w:tc>
          <w:tcPr>
            <w:tcW w:w="1111" w:type="dxa"/>
            <w:tcBorders>
              <w:top w:val="nil"/>
              <w:left w:val="nil"/>
              <w:bottom w:val="nil"/>
              <w:right w:val="nil"/>
            </w:tcBorders>
            <w:shd w:val="solid" w:color="FFFFFF" w:fill="auto"/>
          </w:tcPr>
          <w:p w:rsidR="00965D85" w:rsidRPr="00B264D4"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B264D4">
              <w:rPr>
                <w:rFonts w:ascii="Calibri" w:eastAsiaTheme="minorEastAsia" w:hAnsi="Calibri" w:cs="Calibri"/>
                <w:color w:val="000000"/>
                <w:sz w:val="20"/>
                <w:lang w:eastAsia="en-AU"/>
              </w:rPr>
              <w:t>(2)</w:t>
            </w:r>
          </w:p>
        </w:tc>
        <w:tc>
          <w:tcPr>
            <w:tcW w:w="1111" w:type="dxa"/>
            <w:tcBorders>
              <w:top w:val="nil"/>
              <w:left w:val="nil"/>
              <w:bottom w:val="nil"/>
              <w:right w:val="nil"/>
            </w:tcBorders>
            <w:shd w:val="solid" w:color="FFFFFF" w:fill="auto"/>
          </w:tcPr>
          <w:p w:rsidR="00965D85" w:rsidRPr="00B264D4"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B264D4">
              <w:rPr>
                <w:rFonts w:ascii="Calibri" w:eastAsiaTheme="minorEastAsia" w:hAnsi="Calibri" w:cs="Calibri"/>
                <w:color w:val="000000"/>
                <w:sz w:val="20"/>
                <w:lang w:eastAsia="en-AU"/>
              </w:rPr>
              <w:t>(10)</w:t>
            </w:r>
          </w:p>
        </w:tc>
        <w:tc>
          <w:tcPr>
            <w:tcW w:w="1111" w:type="dxa"/>
            <w:tcBorders>
              <w:top w:val="nil"/>
              <w:left w:val="nil"/>
              <w:bottom w:val="nil"/>
              <w:right w:val="nil"/>
            </w:tcBorders>
            <w:shd w:val="solid" w:color="FFFFFF" w:fill="auto"/>
          </w:tcPr>
          <w:p w:rsidR="00965D85" w:rsidRPr="00B264D4"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B264D4">
              <w:rPr>
                <w:rFonts w:ascii="Calibri" w:eastAsiaTheme="minorEastAsia" w:hAnsi="Calibri" w:cs="Calibri"/>
                <w:color w:val="000000"/>
                <w:sz w:val="20"/>
                <w:lang w:eastAsia="en-AU"/>
              </w:rPr>
              <w:t>(19)</w:t>
            </w:r>
          </w:p>
        </w:tc>
      </w:tr>
      <w:tr w:rsidR="00965D85" w:rsidRPr="00B264D4" w:rsidTr="008B46DF">
        <w:trPr>
          <w:trHeight w:val="199"/>
        </w:trPr>
        <w:tc>
          <w:tcPr>
            <w:tcW w:w="3538" w:type="dxa"/>
            <w:tcBorders>
              <w:top w:val="single" w:sz="6" w:space="0" w:color="auto"/>
              <w:left w:val="nil"/>
              <w:bottom w:val="single" w:sz="6" w:space="0" w:color="auto"/>
              <w:right w:val="nil"/>
            </w:tcBorders>
          </w:tcPr>
          <w:p w:rsidR="00965D85" w:rsidRPr="00B264D4" w:rsidRDefault="00965D85" w:rsidP="008B46DF">
            <w:pPr>
              <w:autoSpaceDE w:val="0"/>
              <w:autoSpaceDN w:val="0"/>
              <w:adjustRightInd w:val="0"/>
              <w:spacing w:after="0"/>
              <w:rPr>
                <w:rFonts w:ascii="Calibri" w:eastAsiaTheme="minorEastAsia" w:hAnsi="Calibri" w:cs="Calibri"/>
                <w:b/>
                <w:bCs/>
                <w:color w:val="000000"/>
                <w:sz w:val="20"/>
                <w:lang w:eastAsia="en-AU"/>
              </w:rPr>
            </w:pPr>
            <w:r w:rsidRPr="00B264D4">
              <w:rPr>
                <w:rFonts w:ascii="Calibri" w:eastAsiaTheme="minorEastAsia" w:hAnsi="Calibri" w:cs="Calibri"/>
                <w:b/>
                <w:bCs/>
                <w:color w:val="000000"/>
                <w:sz w:val="20"/>
                <w:lang w:eastAsia="en-AU"/>
              </w:rPr>
              <w:t>Net result from transactions</w:t>
            </w:r>
          </w:p>
        </w:tc>
        <w:tc>
          <w:tcPr>
            <w:tcW w:w="1111" w:type="dxa"/>
            <w:tcBorders>
              <w:top w:val="single" w:sz="6" w:space="0" w:color="auto"/>
              <w:left w:val="nil"/>
              <w:bottom w:val="single" w:sz="6" w:space="0" w:color="auto"/>
              <w:right w:val="nil"/>
            </w:tcBorders>
            <w:shd w:val="solid" w:color="FFFFFF" w:fill="auto"/>
          </w:tcPr>
          <w:p w:rsidR="00965D85" w:rsidRPr="00B264D4"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B264D4">
              <w:rPr>
                <w:rFonts w:ascii="Calibri" w:eastAsiaTheme="minorEastAsia" w:hAnsi="Calibri" w:cs="Calibri"/>
                <w:b/>
                <w:bCs/>
                <w:color w:val="000000"/>
                <w:sz w:val="20"/>
                <w:lang w:eastAsia="en-AU"/>
              </w:rPr>
              <w:t>158</w:t>
            </w:r>
          </w:p>
        </w:tc>
        <w:tc>
          <w:tcPr>
            <w:tcW w:w="1111" w:type="dxa"/>
            <w:tcBorders>
              <w:top w:val="single" w:sz="6" w:space="0" w:color="auto"/>
              <w:left w:val="nil"/>
              <w:bottom w:val="single" w:sz="6" w:space="0" w:color="auto"/>
              <w:right w:val="nil"/>
            </w:tcBorders>
            <w:shd w:val="solid" w:color="FFFFFF" w:fill="auto"/>
          </w:tcPr>
          <w:p w:rsidR="00965D85" w:rsidRPr="00B264D4"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B264D4">
              <w:rPr>
                <w:rFonts w:ascii="Calibri" w:eastAsiaTheme="minorEastAsia" w:hAnsi="Calibri" w:cs="Calibri"/>
                <w:b/>
                <w:bCs/>
                <w:color w:val="000000"/>
                <w:sz w:val="20"/>
                <w:lang w:eastAsia="en-AU"/>
              </w:rPr>
              <w:t>173</w:t>
            </w:r>
          </w:p>
        </w:tc>
        <w:tc>
          <w:tcPr>
            <w:tcW w:w="1111" w:type="dxa"/>
            <w:tcBorders>
              <w:top w:val="single" w:sz="6" w:space="0" w:color="auto"/>
              <w:left w:val="nil"/>
              <w:bottom w:val="single" w:sz="6" w:space="0" w:color="auto"/>
              <w:right w:val="nil"/>
            </w:tcBorders>
            <w:shd w:val="solid" w:color="FFFFFF" w:fill="auto"/>
          </w:tcPr>
          <w:p w:rsidR="00965D85" w:rsidRPr="00B264D4"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B264D4">
              <w:rPr>
                <w:rFonts w:ascii="Calibri" w:eastAsiaTheme="minorEastAsia" w:hAnsi="Calibri" w:cs="Calibri"/>
                <w:b/>
                <w:bCs/>
                <w:color w:val="000000"/>
                <w:sz w:val="20"/>
                <w:lang w:eastAsia="en-AU"/>
              </w:rPr>
              <w:t>191</w:t>
            </w:r>
          </w:p>
        </w:tc>
        <w:tc>
          <w:tcPr>
            <w:tcW w:w="1111" w:type="dxa"/>
            <w:tcBorders>
              <w:top w:val="single" w:sz="6" w:space="0" w:color="auto"/>
              <w:left w:val="nil"/>
              <w:bottom w:val="single" w:sz="6" w:space="0" w:color="auto"/>
              <w:right w:val="nil"/>
            </w:tcBorders>
            <w:shd w:val="solid" w:color="FFFFFF" w:fill="auto"/>
          </w:tcPr>
          <w:p w:rsidR="00965D85" w:rsidRPr="00B264D4"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B264D4">
              <w:rPr>
                <w:rFonts w:ascii="Calibri" w:eastAsiaTheme="minorEastAsia" w:hAnsi="Calibri" w:cs="Calibri"/>
                <w:b/>
                <w:bCs/>
                <w:color w:val="000000"/>
                <w:sz w:val="20"/>
                <w:lang w:eastAsia="en-AU"/>
              </w:rPr>
              <w:t>215</w:t>
            </w:r>
          </w:p>
        </w:tc>
      </w:tr>
      <w:tr w:rsidR="00965D85" w:rsidRPr="00B264D4" w:rsidTr="008B46DF">
        <w:trPr>
          <w:trHeight w:val="211"/>
        </w:trPr>
        <w:tc>
          <w:tcPr>
            <w:tcW w:w="3538" w:type="dxa"/>
            <w:tcBorders>
              <w:top w:val="single" w:sz="6" w:space="0" w:color="auto"/>
              <w:left w:val="nil"/>
              <w:bottom w:val="single" w:sz="12" w:space="0" w:color="auto"/>
              <w:right w:val="nil"/>
            </w:tcBorders>
          </w:tcPr>
          <w:p w:rsidR="00965D85" w:rsidRPr="00B264D4" w:rsidRDefault="00965D85" w:rsidP="008B46DF">
            <w:pPr>
              <w:autoSpaceDE w:val="0"/>
              <w:autoSpaceDN w:val="0"/>
              <w:adjustRightInd w:val="0"/>
              <w:spacing w:after="0"/>
              <w:rPr>
                <w:rFonts w:ascii="Calibri" w:eastAsiaTheme="minorEastAsia" w:hAnsi="Calibri" w:cs="Calibri"/>
                <w:b/>
                <w:bCs/>
                <w:color w:val="000000"/>
                <w:sz w:val="20"/>
                <w:lang w:eastAsia="en-AU"/>
              </w:rPr>
            </w:pPr>
            <w:r w:rsidRPr="00B264D4">
              <w:rPr>
                <w:rFonts w:ascii="Calibri" w:eastAsiaTheme="minorEastAsia" w:hAnsi="Calibri" w:cs="Calibri"/>
                <w:b/>
                <w:bCs/>
                <w:color w:val="000000"/>
                <w:sz w:val="20"/>
                <w:lang w:eastAsia="en-AU"/>
              </w:rPr>
              <w:t>Net debt</w:t>
            </w:r>
          </w:p>
        </w:tc>
        <w:tc>
          <w:tcPr>
            <w:tcW w:w="1111" w:type="dxa"/>
            <w:tcBorders>
              <w:top w:val="single" w:sz="6" w:space="0" w:color="auto"/>
              <w:left w:val="nil"/>
              <w:bottom w:val="single" w:sz="12" w:space="0" w:color="auto"/>
              <w:right w:val="nil"/>
            </w:tcBorders>
            <w:shd w:val="solid" w:color="FFFFFF" w:fill="auto"/>
          </w:tcPr>
          <w:p w:rsidR="00965D85" w:rsidRPr="00B264D4"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B264D4">
              <w:rPr>
                <w:rFonts w:ascii="Calibri" w:eastAsiaTheme="minorEastAsia" w:hAnsi="Calibri" w:cs="Calibri"/>
                <w:b/>
                <w:bCs/>
                <w:color w:val="000000"/>
                <w:sz w:val="20"/>
                <w:lang w:eastAsia="en-AU"/>
              </w:rPr>
              <w:t>(158)</w:t>
            </w:r>
          </w:p>
        </w:tc>
        <w:tc>
          <w:tcPr>
            <w:tcW w:w="1111" w:type="dxa"/>
            <w:tcBorders>
              <w:top w:val="single" w:sz="6" w:space="0" w:color="auto"/>
              <w:left w:val="nil"/>
              <w:bottom w:val="single" w:sz="12" w:space="0" w:color="auto"/>
              <w:right w:val="nil"/>
            </w:tcBorders>
            <w:shd w:val="solid" w:color="FFFFFF" w:fill="auto"/>
          </w:tcPr>
          <w:p w:rsidR="00965D85" w:rsidRPr="00B264D4"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B264D4">
              <w:rPr>
                <w:rFonts w:ascii="Calibri" w:eastAsiaTheme="minorEastAsia" w:hAnsi="Calibri" w:cs="Calibri"/>
                <w:b/>
                <w:bCs/>
                <w:color w:val="000000"/>
                <w:sz w:val="20"/>
                <w:lang w:eastAsia="en-AU"/>
              </w:rPr>
              <w:t>(332)</w:t>
            </w:r>
          </w:p>
        </w:tc>
        <w:tc>
          <w:tcPr>
            <w:tcW w:w="1111" w:type="dxa"/>
            <w:tcBorders>
              <w:top w:val="single" w:sz="6" w:space="0" w:color="auto"/>
              <w:left w:val="nil"/>
              <w:bottom w:val="single" w:sz="12" w:space="0" w:color="auto"/>
              <w:right w:val="nil"/>
            </w:tcBorders>
            <w:shd w:val="solid" w:color="FFFFFF" w:fill="auto"/>
          </w:tcPr>
          <w:p w:rsidR="00965D85" w:rsidRPr="00B264D4"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B264D4">
              <w:rPr>
                <w:rFonts w:ascii="Calibri" w:eastAsiaTheme="minorEastAsia" w:hAnsi="Calibri" w:cs="Calibri"/>
                <w:b/>
                <w:bCs/>
                <w:color w:val="000000"/>
                <w:sz w:val="20"/>
                <w:lang w:eastAsia="en-AU"/>
              </w:rPr>
              <w:t>(522)</w:t>
            </w:r>
          </w:p>
        </w:tc>
        <w:tc>
          <w:tcPr>
            <w:tcW w:w="1111" w:type="dxa"/>
            <w:tcBorders>
              <w:top w:val="single" w:sz="6" w:space="0" w:color="auto"/>
              <w:left w:val="nil"/>
              <w:bottom w:val="single" w:sz="12" w:space="0" w:color="auto"/>
              <w:right w:val="nil"/>
            </w:tcBorders>
            <w:shd w:val="solid" w:color="FFFFFF" w:fill="auto"/>
          </w:tcPr>
          <w:p w:rsidR="00965D85" w:rsidRPr="00B264D4"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B264D4">
              <w:rPr>
                <w:rFonts w:ascii="Calibri" w:eastAsiaTheme="minorEastAsia" w:hAnsi="Calibri" w:cs="Calibri"/>
                <w:b/>
                <w:bCs/>
                <w:color w:val="000000"/>
                <w:sz w:val="20"/>
                <w:lang w:eastAsia="en-AU"/>
              </w:rPr>
              <w:t>(737)</w:t>
            </w:r>
          </w:p>
        </w:tc>
      </w:tr>
      <w:tr w:rsidR="00965D85" w:rsidRPr="00B264D4" w:rsidTr="008B46DF">
        <w:trPr>
          <w:trHeight w:val="199"/>
        </w:trPr>
        <w:tc>
          <w:tcPr>
            <w:tcW w:w="3538" w:type="dxa"/>
            <w:tcBorders>
              <w:top w:val="nil"/>
              <w:left w:val="nil"/>
              <w:bottom w:val="nil"/>
              <w:right w:val="nil"/>
            </w:tcBorders>
          </w:tcPr>
          <w:p w:rsidR="00965D85" w:rsidRPr="00B264D4" w:rsidRDefault="00965D85" w:rsidP="008B46DF">
            <w:pPr>
              <w:autoSpaceDE w:val="0"/>
              <w:autoSpaceDN w:val="0"/>
              <w:adjustRightInd w:val="0"/>
              <w:spacing w:after="0"/>
              <w:rPr>
                <w:rFonts w:ascii="Calibri" w:eastAsiaTheme="minorEastAsia" w:hAnsi="Calibri" w:cs="Calibri"/>
                <w:b/>
                <w:bCs/>
                <w:color w:val="000000"/>
                <w:sz w:val="20"/>
                <w:lang w:eastAsia="en-AU"/>
              </w:rPr>
            </w:pPr>
            <w:r w:rsidRPr="00B264D4">
              <w:rPr>
                <w:rFonts w:ascii="Calibri" w:eastAsiaTheme="minorEastAsia" w:hAnsi="Calibri" w:cs="Calibri"/>
                <w:b/>
                <w:bCs/>
                <w:color w:val="000000"/>
                <w:sz w:val="20"/>
                <w:lang w:eastAsia="en-AU"/>
              </w:rPr>
              <w:t>Employment</w:t>
            </w:r>
          </w:p>
        </w:tc>
        <w:tc>
          <w:tcPr>
            <w:tcW w:w="1111" w:type="dxa"/>
            <w:tcBorders>
              <w:top w:val="nil"/>
              <w:left w:val="nil"/>
              <w:bottom w:val="nil"/>
              <w:right w:val="nil"/>
            </w:tcBorders>
          </w:tcPr>
          <w:p w:rsidR="00965D85" w:rsidRPr="00B264D4"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B264D4">
              <w:rPr>
                <w:rFonts w:ascii="Calibri" w:eastAsiaTheme="minorEastAsia" w:hAnsi="Calibri" w:cs="Calibri"/>
                <w:color w:val="000000"/>
                <w:sz w:val="20"/>
                <w:lang w:eastAsia="en-AU"/>
              </w:rPr>
              <w:t xml:space="preserve"> </w:t>
            </w:r>
          </w:p>
        </w:tc>
        <w:tc>
          <w:tcPr>
            <w:tcW w:w="1111" w:type="dxa"/>
            <w:tcBorders>
              <w:top w:val="nil"/>
              <w:left w:val="nil"/>
              <w:bottom w:val="nil"/>
              <w:right w:val="nil"/>
            </w:tcBorders>
          </w:tcPr>
          <w:p w:rsidR="00965D85" w:rsidRPr="00B264D4"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B264D4">
              <w:rPr>
                <w:rFonts w:ascii="Calibri" w:eastAsiaTheme="minorEastAsia" w:hAnsi="Calibri" w:cs="Calibri"/>
                <w:color w:val="000000"/>
                <w:sz w:val="20"/>
                <w:lang w:eastAsia="en-AU"/>
              </w:rPr>
              <w:t xml:space="preserve"> </w:t>
            </w:r>
          </w:p>
        </w:tc>
        <w:tc>
          <w:tcPr>
            <w:tcW w:w="1111" w:type="dxa"/>
            <w:tcBorders>
              <w:top w:val="nil"/>
              <w:left w:val="nil"/>
              <w:bottom w:val="nil"/>
              <w:right w:val="nil"/>
            </w:tcBorders>
          </w:tcPr>
          <w:p w:rsidR="00965D85" w:rsidRPr="00B264D4"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B264D4">
              <w:rPr>
                <w:rFonts w:ascii="Calibri" w:eastAsiaTheme="minorEastAsia" w:hAnsi="Calibri" w:cs="Calibri"/>
                <w:color w:val="000000"/>
                <w:sz w:val="20"/>
                <w:lang w:eastAsia="en-AU"/>
              </w:rPr>
              <w:t xml:space="preserve"> </w:t>
            </w:r>
          </w:p>
        </w:tc>
        <w:tc>
          <w:tcPr>
            <w:tcW w:w="1111" w:type="dxa"/>
            <w:tcBorders>
              <w:top w:val="nil"/>
              <w:left w:val="nil"/>
              <w:bottom w:val="nil"/>
              <w:right w:val="nil"/>
            </w:tcBorders>
          </w:tcPr>
          <w:p w:rsidR="00965D85" w:rsidRPr="00B264D4"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B264D4">
              <w:rPr>
                <w:rFonts w:ascii="Calibri" w:eastAsiaTheme="minorEastAsia" w:hAnsi="Calibri" w:cs="Calibri"/>
                <w:color w:val="000000"/>
                <w:sz w:val="20"/>
                <w:lang w:eastAsia="en-AU"/>
              </w:rPr>
              <w:t xml:space="preserve"> </w:t>
            </w:r>
          </w:p>
        </w:tc>
      </w:tr>
      <w:tr w:rsidR="00965D85" w:rsidRPr="00B264D4" w:rsidTr="008B46DF">
        <w:trPr>
          <w:trHeight w:val="199"/>
        </w:trPr>
        <w:tc>
          <w:tcPr>
            <w:tcW w:w="3538" w:type="dxa"/>
            <w:tcBorders>
              <w:top w:val="nil"/>
              <w:left w:val="nil"/>
              <w:bottom w:val="nil"/>
              <w:right w:val="nil"/>
            </w:tcBorders>
          </w:tcPr>
          <w:p w:rsidR="00965D85" w:rsidRPr="00B264D4" w:rsidRDefault="00965D85" w:rsidP="008B46DF">
            <w:pPr>
              <w:autoSpaceDE w:val="0"/>
              <w:autoSpaceDN w:val="0"/>
              <w:adjustRightInd w:val="0"/>
              <w:spacing w:after="0"/>
              <w:rPr>
                <w:rFonts w:ascii="Calibri" w:eastAsiaTheme="minorEastAsia" w:hAnsi="Calibri" w:cs="Calibri"/>
                <w:color w:val="000000"/>
                <w:sz w:val="20"/>
                <w:lang w:eastAsia="en-AU"/>
              </w:rPr>
            </w:pPr>
            <w:r w:rsidRPr="00B264D4">
              <w:rPr>
                <w:rFonts w:ascii="Calibri" w:eastAsiaTheme="minorEastAsia" w:hAnsi="Calibri" w:cs="Calibri"/>
                <w:color w:val="000000"/>
                <w:sz w:val="20"/>
                <w:lang w:eastAsia="en-AU"/>
              </w:rPr>
              <w:t>Income from transactions</w:t>
            </w:r>
          </w:p>
        </w:tc>
        <w:tc>
          <w:tcPr>
            <w:tcW w:w="1111" w:type="dxa"/>
            <w:tcBorders>
              <w:top w:val="nil"/>
              <w:left w:val="nil"/>
              <w:bottom w:val="nil"/>
              <w:right w:val="nil"/>
            </w:tcBorders>
            <w:shd w:val="solid" w:color="FFFFFF" w:fill="auto"/>
          </w:tcPr>
          <w:p w:rsidR="00965D85" w:rsidRPr="00B264D4"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B264D4">
              <w:rPr>
                <w:rFonts w:ascii="Calibri" w:eastAsiaTheme="minorEastAsia" w:hAnsi="Calibri" w:cs="Calibri"/>
                <w:color w:val="000000"/>
                <w:sz w:val="20"/>
                <w:lang w:eastAsia="en-AU"/>
              </w:rPr>
              <w:t>58</w:t>
            </w:r>
          </w:p>
        </w:tc>
        <w:tc>
          <w:tcPr>
            <w:tcW w:w="1111" w:type="dxa"/>
            <w:tcBorders>
              <w:top w:val="nil"/>
              <w:left w:val="nil"/>
              <w:bottom w:val="nil"/>
              <w:right w:val="nil"/>
            </w:tcBorders>
            <w:shd w:val="solid" w:color="FFFFFF" w:fill="auto"/>
          </w:tcPr>
          <w:p w:rsidR="00965D85" w:rsidRPr="00B264D4"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B264D4">
              <w:rPr>
                <w:rFonts w:ascii="Calibri" w:eastAsiaTheme="minorEastAsia" w:hAnsi="Calibri" w:cs="Calibri"/>
                <w:color w:val="000000"/>
                <w:sz w:val="20"/>
                <w:lang w:eastAsia="en-AU"/>
              </w:rPr>
              <w:t>61</w:t>
            </w:r>
          </w:p>
        </w:tc>
        <w:tc>
          <w:tcPr>
            <w:tcW w:w="1111" w:type="dxa"/>
            <w:tcBorders>
              <w:top w:val="nil"/>
              <w:left w:val="nil"/>
              <w:bottom w:val="nil"/>
              <w:right w:val="nil"/>
            </w:tcBorders>
            <w:shd w:val="solid" w:color="FFFFFF" w:fill="auto"/>
          </w:tcPr>
          <w:p w:rsidR="00965D85" w:rsidRPr="00B264D4"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B264D4">
              <w:rPr>
                <w:rFonts w:ascii="Calibri" w:eastAsiaTheme="minorEastAsia" w:hAnsi="Calibri" w:cs="Calibri"/>
                <w:color w:val="000000"/>
                <w:sz w:val="20"/>
                <w:lang w:eastAsia="en-AU"/>
              </w:rPr>
              <w:t>65</w:t>
            </w:r>
          </w:p>
        </w:tc>
        <w:tc>
          <w:tcPr>
            <w:tcW w:w="1111" w:type="dxa"/>
            <w:tcBorders>
              <w:top w:val="nil"/>
              <w:left w:val="nil"/>
              <w:bottom w:val="nil"/>
              <w:right w:val="nil"/>
            </w:tcBorders>
            <w:shd w:val="solid" w:color="FFFFFF" w:fill="auto"/>
          </w:tcPr>
          <w:p w:rsidR="00965D85" w:rsidRPr="00B264D4"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B264D4">
              <w:rPr>
                <w:rFonts w:ascii="Calibri" w:eastAsiaTheme="minorEastAsia" w:hAnsi="Calibri" w:cs="Calibri"/>
                <w:color w:val="000000"/>
                <w:sz w:val="20"/>
                <w:lang w:eastAsia="en-AU"/>
              </w:rPr>
              <w:t>69</w:t>
            </w:r>
          </w:p>
        </w:tc>
      </w:tr>
      <w:tr w:rsidR="00965D85" w:rsidRPr="00B264D4" w:rsidTr="008B46DF">
        <w:trPr>
          <w:trHeight w:val="199"/>
        </w:trPr>
        <w:tc>
          <w:tcPr>
            <w:tcW w:w="3538" w:type="dxa"/>
            <w:tcBorders>
              <w:top w:val="nil"/>
              <w:left w:val="nil"/>
              <w:bottom w:val="nil"/>
              <w:right w:val="nil"/>
            </w:tcBorders>
          </w:tcPr>
          <w:p w:rsidR="00965D85" w:rsidRPr="00B264D4" w:rsidRDefault="00965D85" w:rsidP="008B46DF">
            <w:pPr>
              <w:autoSpaceDE w:val="0"/>
              <w:autoSpaceDN w:val="0"/>
              <w:adjustRightInd w:val="0"/>
              <w:spacing w:after="0"/>
              <w:rPr>
                <w:rFonts w:ascii="Calibri" w:eastAsiaTheme="minorEastAsia" w:hAnsi="Calibri" w:cs="Calibri"/>
                <w:color w:val="000000"/>
                <w:sz w:val="20"/>
                <w:lang w:eastAsia="en-AU"/>
              </w:rPr>
            </w:pPr>
            <w:r w:rsidRPr="00B264D4">
              <w:rPr>
                <w:rFonts w:ascii="Calibri" w:eastAsiaTheme="minorEastAsia" w:hAnsi="Calibri" w:cs="Calibri"/>
                <w:color w:val="000000"/>
                <w:sz w:val="20"/>
                <w:lang w:eastAsia="en-AU"/>
              </w:rPr>
              <w:t>Expenses from transactions</w:t>
            </w:r>
          </w:p>
        </w:tc>
        <w:tc>
          <w:tcPr>
            <w:tcW w:w="1111" w:type="dxa"/>
            <w:tcBorders>
              <w:top w:val="nil"/>
              <w:left w:val="nil"/>
              <w:bottom w:val="nil"/>
              <w:right w:val="nil"/>
            </w:tcBorders>
            <w:shd w:val="solid" w:color="FFFFFF" w:fill="auto"/>
          </w:tcPr>
          <w:p w:rsidR="00965D85" w:rsidRPr="00B264D4"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B264D4">
              <w:rPr>
                <w:rFonts w:ascii="Calibri" w:eastAsiaTheme="minorEastAsia" w:hAnsi="Calibri" w:cs="Calibri"/>
                <w:color w:val="000000"/>
                <w:sz w:val="20"/>
                <w:lang w:eastAsia="en-AU"/>
              </w:rPr>
              <w:t>(2)</w:t>
            </w:r>
          </w:p>
        </w:tc>
        <w:tc>
          <w:tcPr>
            <w:tcW w:w="1111" w:type="dxa"/>
            <w:tcBorders>
              <w:top w:val="nil"/>
              <w:left w:val="nil"/>
              <w:bottom w:val="nil"/>
              <w:right w:val="nil"/>
            </w:tcBorders>
            <w:shd w:val="solid" w:color="FFFFFF" w:fill="auto"/>
          </w:tcPr>
          <w:p w:rsidR="00965D85" w:rsidRPr="00B264D4"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B264D4">
              <w:rPr>
                <w:rFonts w:ascii="Calibri" w:eastAsiaTheme="minorEastAsia" w:hAnsi="Calibri" w:cs="Calibri"/>
                <w:color w:val="000000"/>
                <w:sz w:val="20"/>
                <w:lang w:eastAsia="en-AU"/>
              </w:rPr>
              <w:t>(5)</w:t>
            </w:r>
          </w:p>
        </w:tc>
        <w:tc>
          <w:tcPr>
            <w:tcW w:w="1111" w:type="dxa"/>
            <w:tcBorders>
              <w:top w:val="nil"/>
              <w:left w:val="nil"/>
              <w:bottom w:val="nil"/>
              <w:right w:val="nil"/>
            </w:tcBorders>
            <w:shd w:val="solid" w:color="FFFFFF" w:fill="auto"/>
          </w:tcPr>
          <w:p w:rsidR="00965D85" w:rsidRPr="00B264D4"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B264D4">
              <w:rPr>
                <w:rFonts w:ascii="Calibri" w:eastAsiaTheme="minorEastAsia" w:hAnsi="Calibri" w:cs="Calibri"/>
                <w:color w:val="000000"/>
                <w:sz w:val="20"/>
                <w:lang w:eastAsia="en-AU"/>
              </w:rPr>
              <w:t>(8)</w:t>
            </w:r>
          </w:p>
        </w:tc>
        <w:tc>
          <w:tcPr>
            <w:tcW w:w="1111" w:type="dxa"/>
            <w:tcBorders>
              <w:top w:val="nil"/>
              <w:left w:val="nil"/>
              <w:bottom w:val="nil"/>
              <w:right w:val="nil"/>
            </w:tcBorders>
            <w:shd w:val="solid" w:color="FFFFFF" w:fill="auto"/>
          </w:tcPr>
          <w:p w:rsidR="00965D85" w:rsidRPr="00B264D4"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B264D4">
              <w:rPr>
                <w:rFonts w:ascii="Calibri" w:eastAsiaTheme="minorEastAsia" w:hAnsi="Calibri" w:cs="Calibri"/>
                <w:color w:val="000000"/>
                <w:sz w:val="20"/>
                <w:lang w:eastAsia="en-AU"/>
              </w:rPr>
              <w:t>(11)</w:t>
            </w:r>
          </w:p>
        </w:tc>
      </w:tr>
      <w:tr w:rsidR="00965D85" w:rsidRPr="00B264D4" w:rsidTr="008B46DF">
        <w:trPr>
          <w:trHeight w:val="199"/>
        </w:trPr>
        <w:tc>
          <w:tcPr>
            <w:tcW w:w="3538" w:type="dxa"/>
            <w:tcBorders>
              <w:top w:val="single" w:sz="6" w:space="0" w:color="auto"/>
              <w:left w:val="nil"/>
              <w:bottom w:val="single" w:sz="6" w:space="0" w:color="auto"/>
              <w:right w:val="nil"/>
            </w:tcBorders>
          </w:tcPr>
          <w:p w:rsidR="00965D85" w:rsidRPr="00B264D4" w:rsidRDefault="00965D85" w:rsidP="008B46DF">
            <w:pPr>
              <w:autoSpaceDE w:val="0"/>
              <w:autoSpaceDN w:val="0"/>
              <w:adjustRightInd w:val="0"/>
              <w:spacing w:after="0"/>
              <w:rPr>
                <w:rFonts w:ascii="Calibri" w:eastAsiaTheme="minorEastAsia" w:hAnsi="Calibri" w:cs="Calibri"/>
                <w:b/>
                <w:bCs/>
                <w:color w:val="000000"/>
                <w:sz w:val="20"/>
                <w:lang w:eastAsia="en-AU"/>
              </w:rPr>
            </w:pPr>
            <w:r w:rsidRPr="00B264D4">
              <w:rPr>
                <w:rFonts w:ascii="Calibri" w:eastAsiaTheme="minorEastAsia" w:hAnsi="Calibri" w:cs="Calibri"/>
                <w:b/>
                <w:bCs/>
                <w:color w:val="000000"/>
                <w:sz w:val="20"/>
                <w:lang w:eastAsia="en-AU"/>
              </w:rPr>
              <w:t>Net result from transactions</w:t>
            </w:r>
          </w:p>
        </w:tc>
        <w:tc>
          <w:tcPr>
            <w:tcW w:w="1111" w:type="dxa"/>
            <w:tcBorders>
              <w:top w:val="single" w:sz="6" w:space="0" w:color="auto"/>
              <w:left w:val="nil"/>
              <w:bottom w:val="single" w:sz="6" w:space="0" w:color="auto"/>
              <w:right w:val="nil"/>
            </w:tcBorders>
            <w:shd w:val="solid" w:color="FFFFFF" w:fill="auto"/>
          </w:tcPr>
          <w:p w:rsidR="00965D85" w:rsidRPr="00B264D4"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B264D4">
              <w:rPr>
                <w:rFonts w:ascii="Calibri" w:eastAsiaTheme="minorEastAsia" w:hAnsi="Calibri" w:cs="Calibri"/>
                <w:b/>
                <w:bCs/>
                <w:color w:val="000000"/>
                <w:sz w:val="20"/>
                <w:lang w:eastAsia="en-AU"/>
              </w:rPr>
              <w:t>59</w:t>
            </w:r>
          </w:p>
        </w:tc>
        <w:tc>
          <w:tcPr>
            <w:tcW w:w="1111" w:type="dxa"/>
            <w:tcBorders>
              <w:top w:val="single" w:sz="6" w:space="0" w:color="auto"/>
              <w:left w:val="nil"/>
              <w:bottom w:val="single" w:sz="6" w:space="0" w:color="auto"/>
              <w:right w:val="nil"/>
            </w:tcBorders>
            <w:shd w:val="solid" w:color="FFFFFF" w:fill="auto"/>
          </w:tcPr>
          <w:p w:rsidR="00965D85" w:rsidRPr="00B264D4"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B264D4">
              <w:rPr>
                <w:rFonts w:ascii="Calibri" w:eastAsiaTheme="minorEastAsia" w:hAnsi="Calibri" w:cs="Calibri"/>
                <w:b/>
                <w:bCs/>
                <w:color w:val="000000"/>
                <w:sz w:val="20"/>
                <w:lang w:eastAsia="en-AU"/>
              </w:rPr>
              <w:t>66</w:t>
            </w:r>
          </w:p>
        </w:tc>
        <w:tc>
          <w:tcPr>
            <w:tcW w:w="1111" w:type="dxa"/>
            <w:tcBorders>
              <w:top w:val="single" w:sz="6" w:space="0" w:color="auto"/>
              <w:left w:val="nil"/>
              <w:bottom w:val="single" w:sz="6" w:space="0" w:color="auto"/>
              <w:right w:val="nil"/>
            </w:tcBorders>
            <w:shd w:val="solid" w:color="FFFFFF" w:fill="auto"/>
          </w:tcPr>
          <w:p w:rsidR="00965D85" w:rsidRPr="00B264D4"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B264D4">
              <w:rPr>
                <w:rFonts w:ascii="Calibri" w:eastAsiaTheme="minorEastAsia" w:hAnsi="Calibri" w:cs="Calibri"/>
                <w:b/>
                <w:bCs/>
                <w:color w:val="000000"/>
                <w:sz w:val="20"/>
                <w:lang w:eastAsia="en-AU"/>
              </w:rPr>
              <w:t>73</w:t>
            </w:r>
          </w:p>
        </w:tc>
        <w:tc>
          <w:tcPr>
            <w:tcW w:w="1111" w:type="dxa"/>
            <w:tcBorders>
              <w:top w:val="single" w:sz="6" w:space="0" w:color="auto"/>
              <w:left w:val="nil"/>
              <w:bottom w:val="single" w:sz="6" w:space="0" w:color="auto"/>
              <w:right w:val="nil"/>
            </w:tcBorders>
            <w:shd w:val="solid" w:color="FFFFFF" w:fill="auto"/>
          </w:tcPr>
          <w:p w:rsidR="00965D85" w:rsidRPr="00B264D4"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B264D4">
              <w:rPr>
                <w:rFonts w:ascii="Calibri" w:eastAsiaTheme="minorEastAsia" w:hAnsi="Calibri" w:cs="Calibri"/>
                <w:b/>
                <w:bCs/>
                <w:color w:val="000000"/>
                <w:sz w:val="20"/>
                <w:lang w:eastAsia="en-AU"/>
              </w:rPr>
              <w:t>80</w:t>
            </w:r>
          </w:p>
        </w:tc>
      </w:tr>
      <w:tr w:rsidR="00965D85" w:rsidRPr="00B264D4" w:rsidTr="008B46DF">
        <w:trPr>
          <w:trHeight w:val="211"/>
        </w:trPr>
        <w:tc>
          <w:tcPr>
            <w:tcW w:w="3538" w:type="dxa"/>
            <w:tcBorders>
              <w:top w:val="single" w:sz="6" w:space="0" w:color="auto"/>
              <w:left w:val="nil"/>
              <w:bottom w:val="single" w:sz="12" w:space="0" w:color="auto"/>
              <w:right w:val="nil"/>
            </w:tcBorders>
          </w:tcPr>
          <w:p w:rsidR="00965D85" w:rsidRPr="00B264D4" w:rsidRDefault="00965D85" w:rsidP="008B46DF">
            <w:pPr>
              <w:autoSpaceDE w:val="0"/>
              <w:autoSpaceDN w:val="0"/>
              <w:adjustRightInd w:val="0"/>
              <w:spacing w:after="0"/>
              <w:rPr>
                <w:rFonts w:ascii="Calibri" w:eastAsiaTheme="minorEastAsia" w:hAnsi="Calibri" w:cs="Calibri"/>
                <w:b/>
                <w:bCs/>
                <w:color w:val="000000"/>
                <w:sz w:val="20"/>
                <w:lang w:eastAsia="en-AU"/>
              </w:rPr>
            </w:pPr>
            <w:r w:rsidRPr="00B264D4">
              <w:rPr>
                <w:rFonts w:ascii="Calibri" w:eastAsiaTheme="minorEastAsia" w:hAnsi="Calibri" w:cs="Calibri"/>
                <w:b/>
                <w:bCs/>
                <w:color w:val="000000"/>
                <w:sz w:val="20"/>
                <w:lang w:eastAsia="en-AU"/>
              </w:rPr>
              <w:t>Net debt</w:t>
            </w:r>
          </w:p>
        </w:tc>
        <w:tc>
          <w:tcPr>
            <w:tcW w:w="1111" w:type="dxa"/>
            <w:tcBorders>
              <w:top w:val="single" w:sz="6" w:space="0" w:color="auto"/>
              <w:left w:val="nil"/>
              <w:bottom w:val="single" w:sz="12" w:space="0" w:color="auto"/>
              <w:right w:val="nil"/>
            </w:tcBorders>
            <w:shd w:val="solid" w:color="FFFFFF" w:fill="auto"/>
          </w:tcPr>
          <w:p w:rsidR="00965D85" w:rsidRPr="00B264D4"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B264D4">
              <w:rPr>
                <w:rFonts w:ascii="Calibri" w:eastAsiaTheme="minorEastAsia" w:hAnsi="Calibri" w:cs="Calibri"/>
                <w:b/>
                <w:bCs/>
                <w:color w:val="000000"/>
                <w:sz w:val="20"/>
                <w:lang w:eastAsia="en-AU"/>
              </w:rPr>
              <w:t>(59)</w:t>
            </w:r>
          </w:p>
        </w:tc>
        <w:tc>
          <w:tcPr>
            <w:tcW w:w="1111" w:type="dxa"/>
            <w:tcBorders>
              <w:top w:val="single" w:sz="6" w:space="0" w:color="auto"/>
              <w:left w:val="nil"/>
              <w:bottom w:val="single" w:sz="12" w:space="0" w:color="auto"/>
              <w:right w:val="nil"/>
            </w:tcBorders>
            <w:shd w:val="solid" w:color="FFFFFF" w:fill="auto"/>
          </w:tcPr>
          <w:p w:rsidR="00965D85" w:rsidRPr="00B264D4"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B264D4">
              <w:rPr>
                <w:rFonts w:ascii="Calibri" w:eastAsiaTheme="minorEastAsia" w:hAnsi="Calibri" w:cs="Calibri"/>
                <w:b/>
                <w:bCs/>
                <w:color w:val="000000"/>
                <w:sz w:val="20"/>
                <w:lang w:eastAsia="en-AU"/>
              </w:rPr>
              <w:t>(125)</w:t>
            </w:r>
          </w:p>
        </w:tc>
        <w:tc>
          <w:tcPr>
            <w:tcW w:w="1111" w:type="dxa"/>
            <w:tcBorders>
              <w:top w:val="single" w:sz="6" w:space="0" w:color="auto"/>
              <w:left w:val="nil"/>
              <w:bottom w:val="single" w:sz="12" w:space="0" w:color="auto"/>
              <w:right w:val="nil"/>
            </w:tcBorders>
            <w:shd w:val="solid" w:color="FFFFFF" w:fill="auto"/>
          </w:tcPr>
          <w:p w:rsidR="00965D85" w:rsidRPr="00B264D4"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B264D4">
              <w:rPr>
                <w:rFonts w:ascii="Calibri" w:eastAsiaTheme="minorEastAsia" w:hAnsi="Calibri" w:cs="Calibri"/>
                <w:b/>
                <w:bCs/>
                <w:color w:val="000000"/>
                <w:sz w:val="20"/>
                <w:lang w:eastAsia="en-AU"/>
              </w:rPr>
              <w:t>(198)</w:t>
            </w:r>
          </w:p>
        </w:tc>
        <w:tc>
          <w:tcPr>
            <w:tcW w:w="1111" w:type="dxa"/>
            <w:tcBorders>
              <w:top w:val="single" w:sz="6" w:space="0" w:color="auto"/>
              <w:left w:val="nil"/>
              <w:bottom w:val="single" w:sz="12" w:space="0" w:color="auto"/>
              <w:right w:val="nil"/>
            </w:tcBorders>
            <w:shd w:val="solid" w:color="FFFFFF" w:fill="auto"/>
          </w:tcPr>
          <w:p w:rsidR="00965D85" w:rsidRPr="00B264D4"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B264D4">
              <w:rPr>
                <w:rFonts w:ascii="Calibri" w:eastAsiaTheme="minorEastAsia" w:hAnsi="Calibri" w:cs="Calibri"/>
                <w:b/>
                <w:bCs/>
                <w:color w:val="000000"/>
                <w:sz w:val="20"/>
                <w:lang w:eastAsia="en-AU"/>
              </w:rPr>
              <w:t>(278)</w:t>
            </w:r>
          </w:p>
        </w:tc>
      </w:tr>
      <w:tr w:rsidR="00965D85" w:rsidRPr="00B264D4" w:rsidTr="008B46DF">
        <w:trPr>
          <w:trHeight w:val="199"/>
        </w:trPr>
        <w:tc>
          <w:tcPr>
            <w:tcW w:w="3538" w:type="dxa"/>
            <w:tcBorders>
              <w:top w:val="nil"/>
              <w:left w:val="nil"/>
              <w:bottom w:val="nil"/>
              <w:right w:val="nil"/>
            </w:tcBorders>
          </w:tcPr>
          <w:p w:rsidR="00965D85" w:rsidRPr="00B264D4" w:rsidRDefault="00965D85" w:rsidP="008B46DF">
            <w:pPr>
              <w:autoSpaceDE w:val="0"/>
              <w:autoSpaceDN w:val="0"/>
              <w:adjustRightInd w:val="0"/>
              <w:spacing w:after="0"/>
              <w:rPr>
                <w:rFonts w:ascii="Calibri" w:eastAsiaTheme="minorEastAsia" w:hAnsi="Calibri" w:cs="Calibri"/>
                <w:b/>
                <w:bCs/>
                <w:color w:val="000000"/>
                <w:sz w:val="20"/>
                <w:lang w:eastAsia="en-AU"/>
              </w:rPr>
            </w:pPr>
            <w:r w:rsidRPr="00B264D4">
              <w:rPr>
                <w:rFonts w:ascii="Calibri" w:eastAsiaTheme="minorEastAsia" w:hAnsi="Calibri" w:cs="Calibri"/>
                <w:b/>
                <w:bCs/>
                <w:color w:val="000000"/>
                <w:sz w:val="20"/>
                <w:lang w:eastAsia="en-AU"/>
              </w:rPr>
              <w:t xml:space="preserve">Consumer prices </w:t>
            </w:r>
            <w:r w:rsidRPr="005F2A91">
              <w:rPr>
                <w:rFonts w:ascii="Calibri" w:eastAsiaTheme="minorEastAsia" w:hAnsi="Calibri" w:cs="Calibri"/>
                <w:b/>
                <w:bCs/>
                <w:color w:val="000000"/>
                <w:sz w:val="20"/>
                <w:vertAlign w:val="superscript"/>
                <w:lang w:eastAsia="en-AU"/>
              </w:rPr>
              <w:t>(g)</w:t>
            </w:r>
          </w:p>
        </w:tc>
        <w:tc>
          <w:tcPr>
            <w:tcW w:w="1111" w:type="dxa"/>
            <w:tcBorders>
              <w:top w:val="nil"/>
              <w:left w:val="nil"/>
              <w:bottom w:val="nil"/>
              <w:right w:val="nil"/>
            </w:tcBorders>
          </w:tcPr>
          <w:p w:rsidR="00965D85" w:rsidRPr="00B264D4"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B264D4">
              <w:rPr>
                <w:rFonts w:ascii="Calibri" w:eastAsiaTheme="minorEastAsia" w:hAnsi="Calibri" w:cs="Calibri"/>
                <w:color w:val="000000"/>
                <w:sz w:val="20"/>
                <w:lang w:eastAsia="en-AU"/>
              </w:rPr>
              <w:t xml:space="preserve"> </w:t>
            </w:r>
          </w:p>
        </w:tc>
        <w:tc>
          <w:tcPr>
            <w:tcW w:w="1111" w:type="dxa"/>
            <w:tcBorders>
              <w:top w:val="nil"/>
              <w:left w:val="nil"/>
              <w:bottom w:val="nil"/>
              <w:right w:val="nil"/>
            </w:tcBorders>
          </w:tcPr>
          <w:p w:rsidR="00965D85" w:rsidRPr="00B264D4"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B264D4">
              <w:rPr>
                <w:rFonts w:ascii="Calibri" w:eastAsiaTheme="minorEastAsia" w:hAnsi="Calibri" w:cs="Calibri"/>
                <w:color w:val="000000"/>
                <w:sz w:val="20"/>
                <w:lang w:eastAsia="en-AU"/>
              </w:rPr>
              <w:t xml:space="preserve"> </w:t>
            </w:r>
          </w:p>
        </w:tc>
        <w:tc>
          <w:tcPr>
            <w:tcW w:w="1111" w:type="dxa"/>
            <w:tcBorders>
              <w:top w:val="nil"/>
              <w:left w:val="nil"/>
              <w:bottom w:val="nil"/>
              <w:right w:val="nil"/>
            </w:tcBorders>
          </w:tcPr>
          <w:p w:rsidR="00965D85" w:rsidRPr="00B264D4"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B264D4">
              <w:rPr>
                <w:rFonts w:ascii="Calibri" w:eastAsiaTheme="minorEastAsia" w:hAnsi="Calibri" w:cs="Calibri"/>
                <w:color w:val="000000"/>
                <w:sz w:val="20"/>
                <w:lang w:eastAsia="en-AU"/>
              </w:rPr>
              <w:t xml:space="preserve"> </w:t>
            </w:r>
          </w:p>
        </w:tc>
        <w:tc>
          <w:tcPr>
            <w:tcW w:w="1111" w:type="dxa"/>
            <w:tcBorders>
              <w:top w:val="nil"/>
              <w:left w:val="nil"/>
              <w:bottom w:val="nil"/>
              <w:right w:val="nil"/>
            </w:tcBorders>
          </w:tcPr>
          <w:p w:rsidR="00965D85" w:rsidRPr="00B264D4"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B264D4">
              <w:rPr>
                <w:rFonts w:ascii="Calibri" w:eastAsiaTheme="minorEastAsia" w:hAnsi="Calibri" w:cs="Calibri"/>
                <w:color w:val="000000"/>
                <w:sz w:val="20"/>
                <w:lang w:eastAsia="en-AU"/>
              </w:rPr>
              <w:t xml:space="preserve"> </w:t>
            </w:r>
          </w:p>
        </w:tc>
      </w:tr>
      <w:tr w:rsidR="00965D85" w:rsidRPr="00B264D4" w:rsidTr="008B46DF">
        <w:trPr>
          <w:trHeight w:val="199"/>
        </w:trPr>
        <w:tc>
          <w:tcPr>
            <w:tcW w:w="3538" w:type="dxa"/>
            <w:tcBorders>
              <w:top w:val="nil"/>
              <w:left w:val="nil"/>
              <w:bottom w:val="nil"/>
              <w:right w:val="nil"/>
            </w:tcBorders>
          </w:tcPr>
          <w:p w:rsidR="00965D85" w:rsidRPr="00B264D4" w:rsidRDefault="00965D85" w:rsidP="008B46DF">
            <w:pPr>
              <w:autoSpaceDE w:val="0"/>
              <w:autoSpaceDN w:val="0"/>
              <w:adjustRightInd w:val="0"/>
              <w:spacing w:after="0"/>
              <w:rPr>
                <w:rFonts w:ascii="Calibri" w:eastAsiaTheme="minorEastAsia" w:hAnsi="Calibri" w:cs="Calibri"/>
                <w:color w:val="000000"/>
                <w:sz w:val="20"/>
                <w:lang w:eastAsia="en-AU"/>
              </w:rPr>
            </w:pPr>
            <w:r w:rsidRPr="00B264D4">
              <w:rPr>
                <w:rFonts w:ascii="Calibri" w:eastAsiaTheme="minorEastAsia" w:hAnsi="Calibri" w:cs="Calibri"/>
                <w:color w:val="000000"/>
                <w:sz w:val="20"/>
                <w:lang w:eastAsia="en-AU"/>
              </w:rPr>
              <w:t>Income from transactions</w:t>
            </w:r>
          </w:p>
        </w:tc>
        <w:tc>
          <w:tcPr>
            <w:tcW w:w="1111" w:type="dxa"/>
            <w:tcBorders>
              <w:top w:val="nil"/>
              <w:left w:val="nil"/>
              <w:bottom w:val="nil"/>
              <w:right w:val="nil"/>
            </w:tcBorders>
            <w:shd w:val="solid" w:color="FFFFFF" w:fill="auto"/>
          </w:tcPr>
          <w:p w:rsidR="00965D85" w:rsidRPr="00B264D4"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B264D4">
              <w:rPr>
                <w:rFonts w:ascii="Calibri" w:eastAsiaTheme="minorEastAsia" w:hAnsi="Calibri" w:cs="Calibri"/>
                <w:color w:val="000000"/>
                <w:sz w:val="20"/>
                <w:lang w:eastAsia="en-AU"/>
              </w:rPr>
              <w:t>307</w:t>
            </w:r>
          </w:p>
        </w:tc>
        <w:tc>
          <w:tcPr>
            <w:tcW w:w="1111" w:type="dxa"/>
            <w:tcBorders>
              <w:top w:val="nil"/>
              <w:left w:val="nil"/>
              <w:bottom w:val="nil"/>
              <w:right w:val="nil"/>
            </w:tcBorders>
            <w:shd w:val="solid" w:color="FFFFFF" w:fill="auto"/>
          </w:tcPr>
          <w:p w:rsidR="00965D85" w:rsidRPr="00B264D4"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B264D4">
              <w:rPr>
                <w:rFonts w:ascii="Calibri" w:eastAsiaTheme="minorEastAsia" w:hAnsi="Calibri" w:cs="Calibri"/>
                <w:color w:val="000000"/>
                <w:sz w:val="20"/>
                <w:lang w:eastAsia="en-AU"/>
              </w:rPr>
              <w:t>251</w:t>
            </w:r>
          </w:p>
        </w:tc>
        <w:tc>
          <w:tcPr>
            <w:tcW w:w="1111" w:type="dxa"/>
            <w:tcBorders>
              <w:top w:val="nil"/>
              <w:left w:val="nil"/>
              <w:bottom w:val="nil"/>
              <w:right w:val="nil"/>
            </w:tcBorders>
            <w:shd w:val="solid" w:color="FFFFFF" w:fill="auto"/>
          </w:tcPr>
          <w:p w:rsidR="00965D85" w:rsidRPr="00B264D4"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B264D4">
              <w:rPr>
                <w:rFonts w:ascii="Calibri" w:eastAsiaTheme="minorEastAsia" w:hAnsi="Calibri" w:cs="Calibri"/>
                <w:color w:val="000000"/>
                <w:sz w:val="20"/>
                <w:lang w:eastAsia="en-AU"/>
              </w:rPr>
              <w:t>292</w:t>
            </w:r>
          </w:p>
        </w:tc>
        <w:tc>
          <w:tcPr>
            <w:tcW w:w="1111" w:type="dxa"/>
            <w:tcBorders>
              <w:top w:val="nil"/>
              <w:left w:val="nil"/>
              <w:bottom w:val="nil"/>
              <w:right w:val="nil"/>
            </w:tcBorders>
            <w:shd w:val="solid" w:color="FFFFFF" w:fill="auto"/>
          </w:tcPr>
          <w:p w:rsidR="00965D85" w:rsidRPr="00B264D4"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B264D4">
              <w:rPr>
                <w:rFonts w:ascii="Calibri" w:eastAsiaTheme="minorEastAsia" w:hAnsi="Calibri" w:cs="Calibri"/>
                <w:color w:val="000000"/>
                <w:sz w:val="20"/>
                <w:lang w:eastAsia="en-AU"/>
              </w:rPr>
              <w:t>334</w:t>
            </w:r>
          </w:p>
        </w:tc>
      </w:tr>
      <w:tr w:rsidR="00965D85" w:rsidRPr="00B264D4" w:rsidTr="008B46DF">
        <w:trPr>
          <w:trHeight w:val="199"/>
        </w:trPr>
        <w:tc>
          <w:tcPr>
            <w:tcW w:w="3538" w:type="dxa"/>
            <w:tcBorders>
              <w:top w:val="nil"/>
              <w:left w:val="nil"/>
              <w:bottom w:val="nil"/>
              <w:right w:val="nil"/>
            </w:tcBorders>
          </w:tcPr>
          <w:p w:rsidR="00965D85" w:rsidRPr="00B264D4" w:rsidRDefault="00965D85" w:rsidP="008B46DF">
            <w:pPr>
              <w:autoSpaceDE w:val="0"/>
              <w:autoSpaceDN w:val="0"/>
              <w:adjustRightInd w:val="0"/>
              <w:spacing w:after="0"/>
              <w:rPr>
                <w:rFonts w:ascii="Calibri" w:eastAsiaTheme="minorEastAsia" w:hAnsi="Calibri" w:cs="Calibri"/>
                <w:color w:val="000000"/>
                <w:sz w:val="20"/>
                <w:lang w:eastAsia="en-AU"/>
              </w:rPr>
            </w:pPr>
            <w:r w:rsidRPr="00B264D4">
              <w:rPr>
                <w:rFonts w:ascii="Calibri" w:eastAsiaTheme="minorEastAsia" w:hAnsi="Calibri" w:cs="Calibri"/>
                <w:color w:val="000000"/>
                <w:sz w:val="20"/>
                <w:lang w:eastAsia="en-AU"/>
              </w:rPr>
              <w:t>Expenses from transactions</w:t>
            </w:r>
          </w:p>
        </w:tc>
        <w:tc>
          <w:tcPr>
            <w:tcW w:w="1111" w:type="dxa"/>
            <w:tcBorders>
              <w:top w:val="nil"/>
              <w:left w:val="nil"/>
              <w:bottom w:val="nil"/>
              <w:right w:val="nil"/>
            </w:tcBorders>
            <w:shd w:val="solid" w:color="FFFFFF" w:fill="auto"/>
          </w:tcPr>
          <w:p w:rsidR="00965D85" w:rsidRPr="00B264D4"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B264D4">
              <w:rPr>
                <w:rFonts w:ascii="Calibri" w:eastAsiaTheme="minorEastAsia" w:hAnsi="Calibri" w:cs="Calibri"/>
                <w:color w:val="000000"/>
                <w:sz w:val="20"/>
                <w:lang w:eastAsia="en-AU"/>
              </w:rPr>
              <w:t>69</w:t>
            </w:r>
          </w:p>
        </w:tc>
        <w:tc>
          <w:tcPr>
            <w:tcW w:w="1111" w:type="dxa"/>
            <w:tcBorders>
              <w:top w:val="nil"/>
              <w:left w:val="nil"/>
              <w:bottom w:val="nil"/>
              <w:right w:val="nil"/>
            </w:tcBorders>
            <w:shd w:val="solid" w:color="FFFFFF" w:fill="auto"/>
          </w:tcPr>
          <w:p w:rsidR="00965D85" w:rsidRPr="00B264D4"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B264D4">
              <w:rPr>
                <w:rFonts w:ascii="Calibri" w:eastAsiaTheme="minorEastAsia" w:hAnsi="Calibri" w:cs="Calibri"/>
                <w:color w:val="000000"/>
                <w:sz w:val="20"/>
                <w:lang w:eastAsia="en-AU"/>
              </w:rPr>
              <w:t>69</w:t>
            </w:r>
          </w:p>
        </w:tc>
        <w:tc>
          <w:tcPr>
            <w:tcW w:w="1111" w:type="dxa"/>
            <w:tcBorders>
              <w:top w:val="nil"/>
              <w:left w:val="nil"/>
              <w:bottom w:val="nil"/>
              <w:right w:val="nil"/>
            </w:tcBorders>
            <w:shd w:val="solid" w:color="FFFFFF" w:fill="auto"/>
          </w:tcPr>
          <w:p w:rsidR="00965D85" w:rsidRPr="00B264D4"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B264D4">
              <w:rPr>
                <w:rFonts w:ascii="Calibri" w:eastAsiaTheme="minorEastAsia" w:hAnsi="Calibri" w:cs="Calibri"/>
                <w:color w:val="000000"/>
                <w:sz w:val="20"/>
                <w:lang w:eastAsia="en-AU"/>
              </w:rPr>
              <w:t>62</w:t>
            </w:r>
          </w:p>
        </w:tc>
        <w:tc>
          <w:tcPr>
            <w:tcW w:w="1111" w:type="dxa"/>
            <w:tcBorders>
              <w:top w:val="nil"/>
              <w:left w:val="nil"/>
              <w:bottom w:val="nil"/>
              <w:right w:val="nil"/>
            </w:tcBorders>
            <w:shd w:val="solid" w:color="FFFFFF" w:fill="auto"/>
          </w:tcPr>
          <w:p w:rsidR="00965D85" w:rsidRPr="00B264D4"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B264D4">
              <w:rPr>
                <w:rFonts w:ascii="Calibri" w:eastAsiaTheme="minorEastAsia" w:hAnsi="Calibri" w:cs="Calibri"/>
                <w:color w:val="000000"/>
                <w:sz w:val="20"/>
                <w:lang w:eastAsia="en-AU"/>
              </w:rPr>
              <w:t>49</w:t>
            </w:r>
          </w:p>
        </w:tc>
      </w:tr>
      <w:tr w:rsidR="00965D85" w:rsidRPr="00B264D4" w:rsidTr="008B46DF">
        <w:trPr>
          <w:trHeight w:val="199"/>
        </w:trPr>
        <w:tc>
          <w:tcPr>
            <w:tcW w:w="3538" w:type="dxa"/>
            <w:tcBorders>
              <w:top w:val="single" w:sz="6" w:space="0" w:color="auto"/>
              <w:left w:val="nil"/>
              <w:bottom w:val="single" w:sz="6" w:space="0" w:color="auto"/>
              <w:right w:val="nil"/>
            </w:tcBorders>
          </w:tcPr>
          <w:p w:rsidR="00965D85" w:rsidRPr="00B264D4" w:rsidRDefault="00965D85" w:rsidP="008B46DF">
            <w:pPr>
              <w:autoSpaceDE w:val="0"/>
              <w:autoSpaceDN w:val="0"/>
              <w:adjustRightInd w:val="0"/>
              <w:spacing w:after="0"/>
              <w:rPr>
                <w:rFonts w:ascii="Calibri" w:eastAsiaTheme="minorEastAsia" w:hAnsi="Calibri" w:cs="Calibri"/>
                <w:b/>
                <w:bCs/>
                <w:color w:val="000000"/>
                <w:sz w:val="20"/>
                <w:lang w:eastAsia="en-AU"/>
              </w:rPr>
            </w:pPr>
            <w:r w:rsidRPr="00B264D4">
              <w:rPr>
                <w:rFonts w:ascii="Calibri" w:eastAsiaTheme="minorEastAsia" w:hAnsi="Calibri" w:cs="Calibri"/>
                <w:b/>
                <w:bCs/>
                <w:color w:val="000000"/>
                <w:sz w:val="20"/>
                <w:lang w:eastAsia="en-AU"/>
              </w:rPr>
              <w:t>Net result from transactions</w:t>
            </w:r>
          </w:p>
        </w:tc>
        <w:tc>
          <w:tcPr>
            <w:tcW w:w="1111" w:type="dxa"/>
            <w:tcBorders>
              <w:top w:val="single" w:sz="6" w:space="0" w:color="auto"/>
              <w:left w:val="nil"/>
              <w:bottom w:val="single" w:sz="6" w:space="0" w:color="auto"/>
              <w:right w:val="nil"/>
            </w:tcBorders>
            <w:shd w:val="solid" w:color="FFFFFF" w:fill="auto"/>
          </w:tcPr>
          <w:p w:rsidR="00965D85" w:rsidRPr="00B264D4"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B264D4">
              <w:rPr>
                <w:rFonts w:ascii="Calibri" w:eastAsiaTheme="minorEastAsia" w:hAnsi="Calibri" w:cs="Calibri"/>
                <w:b/>
                <w:bCs/>
                <w:color w:val="000000"/>
                <w:sz w:val="20"/>
                <w:lang w:eastAsia="en-AU"/>
              </w:rPr>
              <w:t>237</w:t>
            </w:r>
          </w:p>
        </w:tc>
        <w:tc>
          <w:tcPr>
            <w:tcW w:w="1111" w:type="dxa"/>
            <w:tcBorders>
              <w:top w:val="single" w:sz="6" w:space="0" w:color="auto"/>
              <w:left w:val="nil"/>
              <w:bottom w:val="single" w:sz="6" w:space="0" w:color="auto"/>
              <w:right w:val="nil"/>
            </w:tcBorders>
            <w:shd w:val="solid" w:color="FFFFFF" w:fill="auto"/>
          </w:tcPr>
          <w:p w:rsidR="00965D85" w:rsidRPr="00B264D4"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B264D4">
              <w:rPr>
                <w:rFonts w:ascii="Calibri" w:eastAsiaTheme="minorEastAsia" w:hAnsi="Calibri" w:cs="Calibri"/>
                <w:b/>
                <w:bCs/>
                <w:color w:val="000000"/>
                <w:sz w:val="20"/>
                <w:lang w:eastAsia="en-AU"/>
              </w:rPr>
              <w:t>182</w:t>
            </w:r>
          </w:p>
        </w:tc>
        <w:tc>
          <w:tcPr>
            <w:tcW w:w="1111" w:type="dxa"/>
            <w:tcBorders>
              <w:top w:val="single" w:sz="6" w:space="0" w:color="auto"/>
              <w:left w:val="nil"/>
              <w:bottom w:val="single" w:sz="6" w:space="0" w:color="auto"/>
              <w:right w:val="nil"/>
            </w:tcBorders>
            <w:shd w:val="solid" w:color="FFFFFF" w:fill="auto"/>
          </w:tcPr>
          <w:p w:rsidR="00965D85" w:rsidRPr="00B264D4"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B264D4">
              <w:rPr>
                <w:rFonts w:ascii="Calibri" w:eastAsiaTheme="minorEastAsia" w:hAnsi="Calibri" w:cs="Calibri"/>
                <w:b/>
                <w:bCs/>
                <w:color w:val="000000"/>
                <w:sz w:val="20"/>
                <w:lang w:eastAsia="en-AU"/>
              </w:rPr>
              <w:t>231</w:t>
            </w:r>
          </w:p>
        </w:tc>
        <w:tc>
          <w:tcPr>
            <w:tcW w:w="1111" w:type="dxa"/>
            <w:tcBorders>
              <w:top w:val="single" w:sz="6" w:space="0" w:color="auto"/>
              <w:left w:val="nil"/>
              <w:bottom w:val="single" w:sz="6" w:space="0" w:color="auto"/>
              <w:right w:val="nil"/>
            </w:tcBorders>
            <w:shd w:val="solid" w:color="FFFFFF" w:fill="auto"/>
          </w:tcPr>
          <w:p w:rsidR="00965D85" w:rsidRPr="00B264D4"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B264D4">
              <w:rPr>
                <w:rFonts w:ascii="Calibri" w:eastAsiaTheme="minorEastAsia" w:hAnsi="Calibri" w:cs="Calibri"/>
                <w:b/>
                <w:bCs/>
                <w:color w:val="000000"/>
                <w:sz w:val="20"/>
                <w:lang w:eastAsia="en-AU"/>
              </w:rPr>
              <w:t>285</w:t>
            </w:r>
          </w:p>
        </w:tc>
      </w:tr>
      <w:tr w:rsidR="00965D85" w:rsidRPr="00B264D4" w:rsidTr="008B46DF">
        <w:trPr>
          <w:trHeight w:val="199"/>
        </w:trPr>
        <w:tc>
          <w:tcPr>
            <w:tcW w:w="3538" w:type="dxa"/>
            <w:tcBorders>
              <w:top w:val="nil"/>
              <w:left w:val="nil"/>
              <w:bottom w:val="nil"/>
              <w:right w:val="nil"/>
            </w:tcBorders>
          </w:tcPr>
          <w:p w:rsidR="00965D85" w:rsidRPr="00B264D4" w:rsidRDefault="00965D85" w:rsidP="008B46DF">
            <w:pPr>
              <w:autoSpaceDE w:val="0"/>
              <w:autoSpaceDN w:val="0"/>
              <w:adjustRightInd w:val="0"/>
              <w:spacing w:after="0"/>
              <w:rPr>
                <w:rFonts w:ascii="Calibri" w:eastAsiaTheme="minorEastAsia" w:hAnsi="Calibri" w:cs="Calibri"/>
                <w:color w:val="000000"/>
                <w:sz w:val="20"/>
                <w:lang w:eastAsia="en-AU"/>
              </w:rPr>
            </w:pPr>
            <w:r w:rsidRPr="00B264D4">
              <w:rPr>
                <w:rFonts w:ascii="Calibri" w:eastAsiaTheme="minorEastAsia" w:hAnsi="Calibri" w:cs="Calibri"/>
                <w:color w:val="000000"/>
                <w:sz w:val="20"/>
                <w:lang w:eastAsia="en-AU"/>
              </w:rPr>
              <w:t>Other economic flows</w:t>
            </w:r>
          </w:p>
        </w:tc>
        <w:tc>
          <w:tcPr>
            <w:tcW w:w="1111" w:type="dxa"/>
            <w:tcBorders>
              <w:top w:val="nil"/>
              <w:left w:val="nil"/>
              <w:bottom w:val="nil"/>
              <w:right w:val="nil"/>
            </w:tcBorders>
            <w:shd w:val="solid" w:color="FFFFFF" w:fill="auto"/>
          </w:tcPr>
          <w:p w:rsidR="00965D85" w:rsidRPr="00B264D4"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B264D4">
              <w:rPr>
                <w:rFonts w:ascii="Calibri" w:eastAsiaTheme="minorEastAsia" w:hAnsi="Calibri" w:cs="Calibri"/>
                <w:color w:val="000000"/>
                <w:sz w:val="20"/>
                <w:lang w:eastAsia="en-AU"/>
              </w:rPr>
              <w:t>..</w:t>
            </w:r>
          </w:p>
        </w:tc>
        <w:tc>
          <w:tcPr>
            <w:tcW w:w="1111" w:type="dxa"/>
            <w:tcBorders>
              <w:top w:val="nil"/>
              <w:left w:val="nil"/>
              <w:bottom w:val="nil"/>
              <w:right w:val="nil"/>
            </w:tcBorders>
            <w:shd w:val="solid" w:color="FFFFFF" w:fill="auto"/>
          </w:tcPr>
          <w:p w:rsidR="00965D85" w:rsidRPr="00B264D4"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B264D4">
              <w:rPr>
                <w:rFonts w:ascii="Calibri" w:eastAsiaTheme="minorEastAsia" w:hAnsi="Calibri" w:cs="Calibri"/>
                <w:color w:val="000000"/>
                <w:sz w:val="20"/>
                <w:lang w:eastAsia="en-AU"/>
              </w:rPr>
              <w:t>..</w:t>
            </w:r>
          </w:p>
        </w:tc>
        <w:tc>
          <w:tcPr>
            <w:tcW w:w="1111" w:type="dxa"/>
            <w:tcBorders>
              <w:top w:val="nil"/>
              <w:left w:val="nil"/>
              <w:bottom w:val="nil"/>
              <w:right w:val="nil"/>
            </w:tcBorders>
            <w:shd w:val="solid" w:color="FFFFFF" w:fill="auto"/>
          </w:tcPr>
          <w:p w:rsidR="00965D85" w:rsidRPr="00B264D4"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B264D4">
              <w:rPr>
                <w:rFonts w:ascii="Calibri" w:eastAsiaTheme="minorEastAsia" w:hAnsi="Calibri" w:cs="Calibri"/>
                <w:color w:val="000000"/>
                <w:sz w:val="20"/>
                <w:lang w:eastAsia="en-AU"/>
              </w:rPr>
              <w:t>..</w:t>
            </w:r>
          </w:p>
        </w:tc>
        <w:tc>
          <w:tcPr>
            <w:tcW w:w="1111" w:type="dxa"/>
            <w:tcBorders>
              <w:top w:val="nil"/>
              <w:left w:val="nil"/>
              <w:bottom w:val="nil"/>
              <w:right w:val="nil"/>
            </w:tcBorders>
            <w:shd w:val="solid" w:color="FFFFFF" w:fill="auto"/>
          </w:tcPr>
          <w:p w:rsidR="00965D85" w:rsidRPr="00B264D4"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B264D4">
              <w:rPr>
                <w:rFonts w:ascii="Calibri" w:eastAsiaTheme="minorEastAsia" w:hAnsi="Calibri" w:cs="Calibri"/>
                <w:color w:val="000000"/>
                <w:sz w:val="20"/>
                <w:lang w:eastAsia="en-AU"/>
              </w:rPr>
              <w:t>..</w:t>
            </w:r>
          </w:p>
        </w:tc>
      </w:tr>
      <w:tr w:rsidR="00965D85" w:rsidRPr="00B264D4" w:rsidTr="008B46DF">
        <w:trPr>
          <w:trHeight w:val="199"/>
        </w:trPr>
        <w:tc>
          <w:tcPr>
            <w:tcW w:w="3538" w:type="dxa"/>
            <w:tcBorders>
              <w:top w:val="single" w:sz="6" w:space="0" w:color="auto"/>
              <w:left w:val="nil"/>
              <w:bottom w:val="single" w:sz="6" w:space="0" w:color="auto"/>
              <w:right w:val="nil"/>
            </w:tcBorders>
          </w:tcPr>
          <w:p w:rsidR="00965D85" w:rsidRPr="00B264D4" w:rsidRDefault="00965D85" w:rsidP="008B46DF">
            <w:pPr>
              <w:autoSpaceDE w:val="0"/>
              <w:autoSpaceDN w:val="0"/>
              <w:adjustRightInd w:val="0"/>
              <w:spacing w:after="0"/>
              <w:rPr>
                <w:rFonts w:ascii="Calibri" w:eastAsiaTheme="minorEastAsia" w:hAnsi="Calibri" w:cs="Calibri"/>
                <w:b/>
                <w:bCs/>
                <w:color w:val="000000"/>
                <w:sz w:val="20"/>
                <w:lang w:eastAsia="en-AU"/>
              </w:rPr>
            </w:pPr>
            <w:r w:rsidRPr="00B264D4">
              <w:rPr>
                <w:rFonts w:ascii="Calibri" w:eastAsiaTheme="minorEastAsia" w:hAnsi="Calibri" w:cs="Calibri"/>
                <w:b/>
                <w:bCs/>
                <w:color w:val="000000"/>
                <w:sz w:val="20"/>
                <w:lang w:eastAsia="en-AU"/>
              </w:rPr>
              <w:t>Net result</w:t>
            </w:r>
          </w:p>
        </w:tc>
        <w:tc>
          <w:tcPr>
            <w:tcW w:w="1111" w:type="dxa"/>
            <w:tcBorders>
              <w:top w:val="single" w:sz="6" w:space="0" w:color="auto"/>
              <w:left w:val="nil"/>
              <w:bottom w:val="single" w:sz="6" w:space="0" w:color="auto"/>
              <w:right w:val="nil"/>
            </w:tcBorders>
            <w:shd w:val="solid" w:color="FFFFFF" w:fill="auto"/>
          </w:tcPr>
          <w:p w:rsidR="00965D85" w:rsidRPr="00B264D4"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B264D4">
              <w:rPr>
                <w:rFonts w:ascii="Calibri" w:eastAsiaTheme="minorEastAsia" w:hAnsi="Calibri" w:cs="Calibri"/>
                <w:b/>
                <w:bCs/>
                <w:color w:val="000000"/>
                <w:sz w:val="20"/>
                <w:lang w:eastAsia="en-AU"/>
              </w:rPr>
              <w:t>238</w:t>
            </w:r>
          </w:p>
        </w:tc>
        <w:tc>
          <w:tcPr>
            <w:tcW w:w="1111" w:type="dxa"/>
            <w:tcBorders>
              <w:top w:val="single" w:sz="6" w:space="0" w:color="auto"/>
              <w:left w:val="nil"/>
              <w:bottom w:val="single" w:sz="6" w:space="0" w:color="auto"/>
              <w:right w:val="nil"/>
            </w:tcBorders>
            <w:shd w:val="solid" w:color="FFFFFF" w:fill="auto"/>
          </w:tcPr>
          <w:p w:rsidR="00965D85" w:rsidRPr="00B264D4"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B264D4">
              <w:rPr>
                <w:rFonts w:ascii="Calibri" w:eastAsiaTheme="minorEastAsia" w:hAnsi="Calibri" w:cs="Calibri"/>
                <w:b/>
                <w:bCs/>
                <w:color w:val="000000"/>
                <w:sz w:val="20"/>
                <w:lang w:eastAsia="en-AU"/>
              </w:rPr>
              <w:t>182</w:t>
            </w:r>
          </w:p>
        </w:tc>
        <w:tc>
          <w:tcPr>
            <w:tcW w:w="1111" w:type="dxa"/>
            <w:tcBorders>
              <w:top w:val="single" w:sz="6" w:space="0" w:color="auto"/>
              <w:left w:val="nil"/>
              <w:bottom w:val="single" w:sz="6" w:space="0" w:color="auto"/>
              <w:right w:val="nil"/>
            </w:tcBorders>
            <w:shd w:val="solid" w:color="FFFFFF" w:fill="auto"/>
          </w:tcPr>
          <w:p w:rsidR="00965D85" w:rsidRPr="00B264D4"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B264D4">
              <w:rPr>
                <w:rFonts w:ascii="Calibri" w:eastAsiaTheme="minorEastAsia" w:hAnsi="Calibri" w:cs="Calibri"/>
                <w:b/>
                <w:bCs/>
                <w:color w:val="000000"/>
                <w:sz w:val="20"/>
                <w:lang w:eastAsia="en-AU"/>
              </w:rPr>
              <w:t>231</w:t>
            </w:r>
          </w:p>
        </w:tc>
        <w:tc>
          <w:tcPr>
            <w:tcW w:w="1111" w:type="dxa"/>
            <w:tcBorders>
              <w:top w:val="single" w:sz="6" w:space="0" w:color="auto"/>
              <w:left w:val="nil"/>
              <w:bottom w:val="single" w:sz="6" w:space="0" w:color="auto"/>
              <w:right w:val="nil"/>
            </w:tcBorders>
            <w:shd w:val="solid" w:color="FFFFFF" w:fill="auto"/>
          </w:tcPr>
          <w:p w:rsidR="00965D85" w:rsidRPr="00B264D4"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B264D4">
              <w:rPr>
                <w:rFonts w:ascii="Calibri" w:eastAsiaTheme="minorEastAsia" w:hAnsi="Calibri" w:cs="Calibri"/>
                <w:b/>
                <w:bCs/>
                <w:color w:val="000000"/>
                <w:sz w:val="20"/>
                <w:lang w:eastAsia="en-AU"/>
              </w:rPr>
              <w:t>286</w:t>
            </w:r>
          </w:p>
        </w:tc>
      </w:tr>
      <w:tr w:rsidR="00965D85" w:rsidRPr="00B264D4" w:rsidTr="008B46DF">
        <w:trPr>
          <w:trHeight w:val="211"/>
        </w:trPr>
        <w:tc>
          <w:tcPr>
            <w:tcW w:w="3538" w:type="dxa"/>
            <w:tcBorders>
              <w:top w:val="single" w:sz="6" w:space="0" w:color="auto"/>
              <w:left w:val="nil"/>
              <w:bottom w:val="single" w:sz="12" w:space="0" w:color="auto"/>
              <w:right w:val="nil"/>
            </w:tcBorders>
          </w:tcPr>
          <w:p w:rsidR="00965D85" w:rsidRPr="00B264D4" w:rsidRDefault="00965D85" w:rsidP="008B46DF">
            <w:pPr>
              <w:autoSpaceDE w:val="0"/>
              <w:autoSpaceDN w:val="0"/>
              <w:adjustRightInd w:val="0"/>
              <w:spacing w:after="0"/>
              <w:rPr>
                <w:rFonts w:ascii="Calibri" w:eastAsiaTheme="minorEastAsia" w:hAnsi="Calibri" w:cs="Calibri"/>
                <w:b/>
                <w:bCs/>
                <w:color w:val="000000"/>
                <w:sz w:val="20"/>
                <w:lang w:eastAsia="en-AU"/>
              </w:rPr>
            </w:pPr>
            <w:r w:rsidRPr="00B264D4">
              <w:rPr>
                <w:rFonts w:ascii="Calibri" w:eastAsiaTheme="minorEastAsia" w:hAnsi="Calibri" w:cs="Calibri"/>
                <w:b/>
                <w:bCs/>
                <w:color w:val="000000"/>
                <w:sz w:val="20"/>
                <w:lang w:eastAsia="en-AU"/>
              </w:rPr>
              <w:t>Net debt (cumulative)</w:t>
            </w:r>
          </w:p>
        </w:tc>
        <w:tc>
          <w:tcPr>
            <w:tcW w:w="1111" w:type="dxa"/>
            <w:tcBorders>
              <w:top w:val="single" w:sz="6" w:space="0" w:color="auto"/>
              <w:left w:val="nil"/>
              <w:bottom w:val="single" w:sz="12" w:space="0" w:color="auto"/>
              <w:right w:val="nil"/>
            </w:tcBorders>
            <w:shd w:val="solid" w:color="FFFFFF" w:fill="auto"/>
          </w:tcPr>
          <w:p w:rsidR="00965D85" w:rsidRPr="00B264D4"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B264D4">
              <w:rPr>
                <w:rFonts w:ascii="Calibri" w:eastAsiaTheme="minorEastAsia" w:hAnsi="Calibri" w:cs="Calibri"/>
                <w:b/>
                <w:bCs/>
                <w:color w:val="000000"/>
                <w:sz w:val="20"/>
                <w:lang w:eastAsia="en-AU"/>
              </w:rPr>
              <w:t>(238)</w:t>
            </w:r>
          </w:p>
        </w:tc>
        <w:tc>
          <w:tcPr>
            <w:tcW w:w="1111" w:type="dxa"/>
            <w:tcBorders>
              <w:top w:val="single" w:sz="6" w:space="0" w:color="auto"/>
              <w:left w:val="nil"/>
              <w:bottom w:val="single" w:sz="12" w:space="0" w:color="auto"/>
              <w:right w:val="nil"/>
            </w:tcBorders>
            <w:shd w:val="solid" w:color="FFFFFF" w:fill="auto"/>
          </w:tcPr>
          <w:p w:rsidR="00965D85" w:rsidRPr="00B264D4"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B264D4">
              <w:rPr>
                <w:rFonts w:ascii="Calibri" w:eastAsiaTheme="minorEastAsia" w:hAnsi="Calibri" w:cs="Calibri"/>
                <w:b/>
                <w:bCs/>
                <w:color w:val="000000"/>
                <w:sz w:val="20"/>
                <w:lang w:eastAsia="en-AU"/>
              </w:rPr>
              <w:t>(427)</w:t>
            </w:r>
          </w:p>
        </w:tc>
        <w:tc>
          <w:tcPr>
            <w:tcW w:w="1111" w:type="dxa"/>
            <w:tcBorders>
              <w:top w:val="single" w:sz="6" w:space="0" w:color="auto"/>
              <w:left w:val="nil"/>
              <w:bottom w:val="single" w:sz="12" w:space="0" w:color="auto"/>
              <w:right w:val="nil"/>
            </w:tcBorders>
            <w:shd w:val="solid" w:color="FFFFFF" w:fill="auto"/>
          </w:tcPr>
          <w:p w:rsidR="00965D85" w:rsidRPr="00B264D4"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B264D4">
              <w:rPr>
                <w:rFonts w:ascii="Calibri" w:eastAsiaTheme="minorEastAsia" w:hAnsi="Calibri" w:cs="Calibri"/>
                <w:b/>
                <w:bCs/>
                <w:color w:val="000000"/>
                <w:sz w:val="20"/>
                <w:lang w:eastAsia="en-AU"/>
              </w:rPr>
              <w:t>(666)</w:t>
            </w:r>
          </w:p>
        </w:tc>
        <w:tc>
          <w:tcPr>
            <w:tcW w:w="1111" w:type="dxa"/>
            <w:tcBorders>
              <w:top w:val="single" w:sz="6" w:space="0" w:color="auto"/>
              <w:left w:val="nil"/>
              <w:bottom w:val="single" w:sz="12" w:space="0" w:color="auto"/>
              <w:right w:val="nil"/>
            </w:tcBorders>
            <w:shd w:val="solid" w:color="FFFFFF" w:fill="auto"/>
          </w:tcPr>
          <w:p w:rsidR="00965D85" w:rsidRPr="00B264D4"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B264D4">
              <w:rPr>
                <w:rFonts w:ascii="Calibri" w:eastAsiaTheme="minorEastAsia" w:hAnsi="Calibri" w:cs="Calibri"/>
                <w:b/>
                <w:bCs/>
                <w:color w:val="000000"/>
                <w:sz w:val="20"/>
                <w:lang w:eastAsia="en-AU"/>
              </w:rPr>
              <w:t>(959)</w:t>
            </w:r>
          </w:p>
        </w:tc>
      </w:tr>
      <w:tr w:rsidR="00965D85" w:rsidRPr="00B264D4" w:rsidTr="008B46DF">
        <w:trPr>
          <w:trHeight w:val="199"/>
        </w:trPr>
        <w:tc>
          <w:tcPr>
            <w:tcW w:w="3538" w:type="dxa"/>
            <w:tcBorders>
              <w:top w:val="nil"/>
              <w:left w:val="nil"/>
              <w:bottom w:val="nil"/>
              <w:right w:val="nil"/>
            </w:tcBorders>
          </w:tcPr>
          <w:p w:rsidR="00965D85" w:rsidRPr="00B264D4" w:rsidRDefault="00965D85" w:rsidP="008B46DF">
            <w:pPr>
              <w:autoSpaceDE w:val="0"/>
              <w:autoSpaceDN w:val="0"/>
              <w:adjustRightInd w:val="0"/>
              <w:spacing w:after="0"/>
              <w:rPr>
                <w:rFonts w:ascii="Calibri" w:eastAsiaTheme="minorEastAsia" w:hAnsi="Calibri" w:cs="Calibri"/>
                <w:b/>
                <w:bCs/>
                <w:color w:val="000000"/>
                <w:sz w:val="20"/>
                <w:lang w:eastAsia="en-AU"/>
              </w:rPr>
            </w:pPr>
            <w:r w:rsidRPr="00B264D4">
              <w:rPr>
                <w:rFonts w:ascii="Calibri" w:eastAsiaTheme="minorEastAsia" w:hAnsi="Calibri" w:cs="Calibri"/>
                <w:b/>
                <w:bCs/>
                <w:color w:val="000000"/>
                <w:sz w:val="20"/>
                <w:lang w:eastAsia="en-AU"/>
              </w:rPr>
              <w:t xml:space="preserve">Average weekly earnings </w:t>
            </w:r>
          </w:p>
        </w:tc>
        <w:tc>
          <w:tcPr>
            <w:tcW w:w="1111" w:type="dxa"/>
            <w:tcBorders>
              <w:top w:val="nil"/>
              <w:left w:val="nil"/>
              <w:bottom w:val="nil"/>
              <w:right w:val="nil"/>
            </w:tcBorders>
          </w:tcPr>
          <w:p w:rsidR="00965D85" w:rsidRPr="00B264D4"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B264D4">
              <w:rPr>
                <w:rFonts w:ascii="Calibri" w:eastAsiaTheme="minorEastAsia" w:hAnsi="Calibri" w:cs="Calibri"/>
                <w:color w:val="000000"/>
                <w:sz w:val="20"/>
                <w:lang w:eastAsia="en-AU"/>
              </w:rPr>
              <w:t xml:space="preserve"> </w:t>
            </w:r>
          </w:p>
        </w:tc>
        <w:tc>
          <w:tcPr>
            <w:tcW w:w="1111" w:type="dxa"/>
            <w:tcBorders>
              <w:top w:val="nil"/>
              <w:left w:val="nil"/>
              <w:bottom w:val="nil"/>
              <w:right w:val="nil"/>
            </w:tcBorders>
          </w:tcPr>
          <w:p w:rsidR="00965D85" w:rsidRPr="00B264D4"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B264D4">
              <w:rPr>
                <w:rFonts w:ascii="Calibri" w:eastAsiaTheme="minorEastAsia" w:hAnsi="Calibri" w:cs="Calibri"/>
                <w:color w:val="000000"/>
                <w:sz w:val="20"/>
                <w:lang w:eastAsia="en-AU"/>
              </w:rPr>
              <w:t xml:space="preserve"> </w:t>
            </w:r>
          </w:p>
        </w:tc>
        <w:tc>
          <w:tcPr>
            <w:tcW w:w="1111" w:type="dxa"/>
            <w:tcBorders>
              <w:top w:val="nil"/>
              <w:left w:val="nil"/>
              <w:bottom w:val="nil"/>
              <w:right w:val="nil"/>
            </w:tcBorders>
          </w:tcPr>
          <w:p w:rsidR="00965D85" w:rsidRPr="00B264D4"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B264D4">
              <w:rPr>
                <w:rFonts w:ascii="Calibri" w:eastAsiaTheme="minorEastAsia" w:hAnsi="Calibri" w:cs="Calibri"/>
                <w:color w:val="000000"/>
                <w:sz w:val="20"/>
                <w:lang w:eastAsia="en-AU"/>
              </w:rPr>
              <w:t xml:space="preserve"> </w:t>
            </w:r>
          </w:p>
        </w:tc>
        <w:tc>
          <w:tcPr>
            <w:tcW w:w="1111" w:type="dxa"/>
            <w:tcBorders>
              <w:top w:val="nil"/>
              <w:left w:val="nil"/>
              <w:bottom w:val="nil"/>
              <w:right w:val="nil"/>
            </w:tcBorders>
          </w:tcPr>
          <w:p w:rsidR="00965D85" w:rsidRPr="00B264D4"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B264D4">
              <w:rPr>
                <w:rFonts w:ascii="Calibri" w:eastAsiaTheme="minorEastAsia" w:hAnsi="Calibri" w:cs="Calibri"/>
                <w:color w:val="000000"/>
                <w:sz w:val="20"/>
                <w:lang w:eastAsia="en-AU"/>
              </w:rPr>
              <w:t xml:space="preserve"> </w:t>
            </w:r>
          </w:p>
        </w:tc>
      </w:tr>
      <w:tr w:rsidR="00965D85" w:rsidRPr="00B264D4" w:rsidTr="008B46DF">
        <w:trPr>
          <w:trHeight w:val="199"/>
        </w:trPr>
        <w:tc>
          <w:tcPr>
            <w:tcW w:w="3538" w:type="dxa"/>
            <w:tcBorders>
              <w:top w:val="nil"/>
              <w:left w:val="nil"/>
              <w:bottom w:val="nil"/>
              <w:right w:val="nil"/>
            </w:tcBorders>
          </w:tcPr>
          <w:p w:rsidR="00965D85" w:rsidRPr="00B264D4" w:rsidRDefault="00965D85" w:rsidP="008B46DF">
            <w:pPr>
              <w:autoSpaceDE w:val="0"/>
              <w:autoSpaceDN w:val="0"/>
              <w:adjustRightInd w:val="0"/>
              <w:spacing w:after="0"/>
              <w:rPr>
                <w:rFonts w:ascii="Calibri" w:eastAsiaTheme="minorEastAsia" w:hAnsi="Calibri" w:cs="Calibri"/>
                <w:color w:val="000000"/>
                <w:sz w:val="20"/>
                <w:lang w:eastAsia="en-AU"/>
              </w:rPr>
            </w:pPr>
            <w:r w:rsidRPr="00B264D4">
              <w:rPr>
                <w:rFonts w:ascii="Calibri" w:eastAsiaTheme="minorEastAsia" w:hAnsi="Calibri" w:cs="Calibri"/>
                <w:color w:val="000000"/>
                <w:sz w:val="20"/>
                <w:lang w:eastAsia="en-AU"/>
              </w:rPr>
              <w:t>Income from transactions</w:t>
            </w:r>
          </w:p>
        </w:tc>
        <w:tc>
          <w:tcPr>
            <w:tcW w:w="1111" w:type="dxa"/>
            <w:tcBorders>
              <w:top w:val="nil"/>
              <w:left w:val="nil"/>
              <w:bottom w:val="nil"/>
              <w:right w:val="nil"/>
            </w:tcBorders>
            <w:shd w:val="solid" w:color="FFFFFF" w:fill="auto"/>
          </w:tcPr>
          <w:p w:rsidR="00965D85" w:rsidRPr="00B264D4"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B264D4">
              <w:rPr>
                <w:rFonts w:ascii="Calibri" w:eastAsiaTheme="minorEastAsia" w:hAnsi="Calibri" w:cs="Calibri"/>
                <w:color w:val="000000"/>
                <w:sz w:val="20"/>
                <w:lang w:eastAsia="en-AU"/>
              </w:rPr>
              <w:t>70</w:t>
            </w:r>
          </w:p>
        </w:tc>
        <w:tc>
          <w:tcPr>
            <w:tcW w:w="1111" w:type="dxa"/>
            <w:tcBorders>
              <w:top w:val="nil"/>
              <w:left w:val="nil"/>
              <w:bottom w:val="nil"/>
              <w:right w:val="nil"/>
            </w:tcBorders>
            <w:shd w:val="solid" w:color="FFFFFF" w:fill="auto"/>
          </w:tcPr>
          <w:p w:rsidR="00965D85" w:rsidRPr="00B264D4"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B264D4">
              <w:rPr>
                <w:rFonts w:ascii="Calibri" w:eastAsiaTheme="minorEastAsia" w:hAnsi="Calibri" w:cs="Calibri"/>
                <w:color w:val="000000"/>
                <w:sz w:val="20"/>
                <w:lang w:eastAsia="en-AU"/>
              </w:rPr>
              <w:t>8</w:t>
            </w:r>
          </w:p>
        </w:tc>
        <w:tc>
          <w:tcPr>
            <w:tcW w:w="1111" w:type="dxa"/>
            <w:tcBorders>
              <w:top w:val="nil"/>
              <w:left w:val="nil"/>
              <w:bottom w:val="nil"/>
              <w:right w:val="nil"/>
            </w:tcBorders>
            <w:shd w:val="solid" w:color="FFFFFF" w:fill="auto"/>
          </w:tcPr>
          <w:p w:rsidR="00965D85" w:rsidRPr="00B264D4"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B264D4">
              <w:rPr>
                <w:rFonts w:ascii="Calibri" w:eastAsiaTheme="minorEastAsia" w:hAnsi="Calibri" w:cs="Calibri"/>
                <w:color w:val="000000"/>
                <w:sz w:val="20"/>
                <w:lang w:eastAsia="en-AU"/>
              </w:rPr>
              <w:t>(4)</w:t>
            </w:r>
          </w:p>
        </w:tc>
        <w:tc>
          <w:tcPr>
            <w:tcW w:w="1111" w:type="dxa"/>
            <w:tcBorders>
              <w:top w:val="nil"/>
              <w:left w:val="nil"/>
              <w:bottom w:val="nil"/>
              <w:right w:val="nil"/>
            </w:tcBorders>
            <w:shd w:val="solid" w:color="FFFFFF" w:fill="auto"/>
          </w:tcPr>
          <w:p w:rsidR="00965D85" w:rsidRPr="00B264D4"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B264D4">
              <w:rPr>
                <w:rFonts w:ascii="Calibri" w:eastAsiaTheme="minorEastAsia" w:hAnsi="Calibri" w:cs="Calibri"/>
                <w:color w:val="000000"/>
                <w:sz w:val="20"/>
                <w:lang w:eastAsia="en-AU"/>
              </w:rPr>
              <w:t>36</w:t>
            </w:r>
          </w:p>
        </w:tc>
      </w:tr>
      <w:tr w:rsidR="00965D85" w:rsidRPr="00B264D4" w:rsidTr="008B46DF">
        <w:trPr>
          <w:trHeight w:val="199"/>
        </w:trPr>
        <w:tc>
          <w:tcPr>
            <w:tcW w:w="3538" w:type="dxa"/>
            <w:tcBorders>
              <w:top w:val="nil"/>
              <w:left w:val="nil"/>
              <w:bottom w:val="nil"/>
              <w:right w:val="nil"/>
            </w:tcBorders>
          </w:tcPr>
          <w:p w:rsidR="00965D85" w:rsidRPr="00B264D4" w:rsidRDefault="00965D85" w:rsidP="008B46DF">
            <w:pPr>
              <w:autoSpaceDE w:val="0"/>
              <w:autoSpaceDN w:val="0"/>
              <w:adjustRightInd w:val="0"/>
              <w:spacing w:after="0"/>
              <w:rPr>
                <w:rFonts w:ascii="Calibri" w:eastAsiaTheme="minorEastAsia" w:hAnsi="Calibri" w:cs="Calibri"/>
                <w:color w:val="000000"/>
                <w:sz w:val="20"/>
                <w:lang w:eastAsia="en-AU"/>
              </w:rPr>
            </w:pPr>
            <w:r w:rsidRPr="00B264D4">
              <w:rPr>
                <w:rFonts w:ascii="Calibri" w:eastAsiaTheme="minorEastAsia" w:hAnsi="Calibri" w:cs="Calibri"/>
                <w:color w:val="000000"/>
                <w:sz w:val="20"/>
                <w:lang w:eastAsia="en-AU"/>
              </w:rPr>
              <w:t>Expenses from transactions</w:t>
            </w:r>
          </w:p>
        </w:tc>
        <w:tc>
          <w:tcPr>
            <w:tcW w:w="1111" w:type="dxa"/>
            <w:tcBorders>
              <w:top w:val="nil"/>
              <w:left w:val="nil"/>
              <w:bottom w:val="nil"/>
              <w:right w:val="nil"/>
            </w:tcBorders>
            <w:shd w:val="solid" w:color="FFFFFF" w:fill="auto"/>
          </w:tcPr>
          <w:p w:rsidR="00965D85" w:rsidRPr="00B264D4"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B264D4">
              <w:rPr>
                <w:rFonts w:ascii="Calibri" w:eastAsiaTheme="minorEastAsia" w:hAnsi="Calibri" w:cs="Calibri"/>
                <w:color w:val="000000"/>
                <w:sz w:val="20"/>
                <w:lang w:eastAsia="en-AU"/>
              </w:rPr>
              <w:t>7</w:t>
            </w:r>
          </w:p>
        </w:tc>
        <w:tc>
          <w:tcPr>
            <w:tcW w:w="1111" w:type="dxa"/>
            <w:tcBorders>
              <w:top w:val="nil"/>
              <w:left w:val="nil"/>
              <w:bottom w:val="nil"/>
              <w:right w:val="nil"/>
            </w:tcBorders>
            <w:shd w:val="solid" w:color="FFFFFF" w:fill="auto"/>
          </w:tcPr>
          <w:p w:rsidR="00965D85" w:rsidRPr="00B264D4"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B264D4">
              <w:rPr>
                <w:rFonts w:ascii="Calibri" w:eastAsiaTheme="minorEastAsia" w:hAnsi="Calibri" w:cs="Calibri"/>
                <w:color w:val="000000"/>
                <w:sz w:val="20"/>
                <w:lang w:eastAsia="en-AU"/>
              </w:rPr>
              <w:t>5</w:t>
            </w:r>
          </w:p>
        </w:tc>
        <w:tc>
          <w:tcPr>
            <w:tcW w:w="1111" w:type="dxa"/>
            <w:tcBorders>
              <w:top w:val="nil"/>
              <w:left w:val="nil"/>
              <w:bottom w:val="nil"/>
              <w:right w:val="nil"/>
            </w:tcBorders>
            <w:shd w:val="solid" w:color="FFFFFF" w:fill="auto"/>
          </w:tcPr>
          <w:p w:rsidR="00965D85" w:rsidRPr="00B264D4"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B264D4">
              <w:rPr>
                <w:rFonts w:ascii="Calibri" w:eastAsiaTheme="minorEastAsia" w:hAnsi="Calibri" w:cs="Calibri"/>
                <w:color w:val="000000"/>
                <w:sz w:val="20"/>
                <w:lang w:eastAsia="en-AU"/>
              </w:rPr>
              <w:t>6</w:t>
            </w:r>
          </w:p>
        </w:tc>
        <w:tc>
          <w:tcPr>
            <w:tcW w:w="1111" w:type="dxa"/>
            <w:tcBorders>
              <w:top w:val="nil"/>
              <w:left w:val="nil"/>
              <w:bottom w:val="nil"/>
              <w:right w:val="nil"/>
            </w:tcBorders>
            <w:shd w:val="solid" w:color="FFFFFF" w:fill="auto"/>
          </w:tcPr>
          <w:p w:rsidR="00965D85" w:rsidRPr="00B264D4"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B264D4">
              <w:rPr>
                <w:rFonts w:ascii="Calibri" w:eastAsiaTheme="minorEastAsia" w:hAnsi="Calibri" w:cs="Calibri"/>
                <w:color w:val="000000"/>
                <w:sz w:val="20"/>
                <w:lang w:eastAsia="en-AU"/>
              </w:rPr>
              <w:t>5</w:t>
            </w:r>
          </w:p>
        </w:tc>
      </w:tr>
      <w:tr w:rsidR="00965D85" w:rsidRPr="00B264D4" w:rsidTr="008B46DF">
        <w:trPr>
          <w:trHeight w:val="199"/>
        </w:trPr>
        <w:tc>
          <w:tcPr>
            <w:tcW w:w="3538" w:type="dxa"/>
            <w:tcBorders>
              <w:top w:val="single" w:sz="6" w:space="0" w:color="auto"/>
              <w:left w:val="nil"/>
              <w:bottom w:val="single" w:sz="6" w:space="0" w:color="auto"/>
              <w:right w:val="nil"/>
            </w:tcBorders>
          </w:tcPr>
          <w:p w:rsidR="00965D85" w:rsidRPr="00B264D4" w:rsidRDefault="00965D85" w:rsidP="008B46DF">
            <w:pPr>
              <w:autoSpaceDE w:val="0"/>
              <w:autoSpaceDN w:val="0"/>
              <w:adjustRightInd w:val="0"/>
              <w:spacing w:after="0"/>
              <w:rPr>
                <w:rFonts w:ascii="Calibri" w:eastAsiaTheme="minorEastAsia" w:hAnsi="Calibri" w:cs="Calibri"/>
                <w:b/>
                <w:bCs/>
                <w:color w:val="000000"/>
                <w:sz w:val="20"/>
                <w:lang w:eastAsia="en-AU"/>
              </w:rPr>
            </w:pPr>
            <w:r w:rsidRPr="00B264D4">
              <w:rPr>
                <w:rFonts w:ascii="Calibri" w:eastAsiaTheme="minorEastAsia" w:hAnsi="Calibri" w:cs="Calibri"/>
                <w:b/>
                <w:bCs/>
                <w:color w:val="000000"/>
                <w:sz w:val="20"/>
                <w:lang w:eastAsia="en-AU"/>
              </w:rPr>
              <w:t>Net result from transactions</w:t>
            </w:r>
          </w:p>
        </w:tc>
        <w:tc>
          <w:tcPr>
            <w:tcW w:w="1111" w:type="dxa"/>
            <w:tcBorders>
              <w:top w:val="single" w:sz="6" w:space="0" w:color="auto"/>
              <w:left w:val="nil"/>
              <w:bottom w:val="single" w:sz="6" w:space="0" w:color="auto"/>
              <w:right w:val="nil"/>
            </w:tcBorders>
            <w:shd w:val="solid" w:color="FFFFFF" w:fill="auto"/>
          </w:tcPr>
          <w:p w:rsidR="00965D85" w:rsidRPr="00B264D4"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B264D4">
              <w:rPr>
                <w:rFonts w:ascii="Calibri" w:eastAsiaTheme="minorEastAsia" w:hAnsi="Calibri" w:cs="Calibri"/>
                <w:b/>
                <w:bCs/>
                <w:color w:val="000000"/>
                <w:sz w:val="20"/>
                <w:lang w:eastAsia="en-AU"/>
              </w:rPr>
              <w:t>63</w:t>
            </w:r>
          </w:p>
        </w:tc>
        <w:tc>
          <w:tcPr>
            <w:tcW w:w="1111" w:type="dxa"/>
            <w:tcBorders>
              <w:top w:val="single" w:sz="6" w:space="0" w:color="auto"/>
              <w:left w:val="nil"/>
              <w:bottom w:val="single" w:sz="6" w:space="0" w:color="auto"/>
              <w:right w:val="nil"/>
            </w:tcBorders>
            <w:shd w:val="solid" w:color="FFFFFF" w:fill="auto"/>
          </w:tcPr>
          <w:p w:rsidR="00965D85" w:rsidRPr="00B264D4"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B264D4">
              <w:rPr>
                <w:rFonts w:ascii="Calibri" w:eastAsiaTheme="minorEastAsia" w:hAnsi="Calibri" w:cs="Calibri"/>
                <w:b/>
                <w:bCs/>
                <w:color w:val="000000"/>
                <w:sz w:val="20"/>
                <w:lang w:eastAsia="en-AU"/>
              </w:rPr>
              <w:t>3</w:t>
            </w:r>
          </w:p>
        </w:tc>
        <w:tc>
          <w:tcPr>
            <w:tcW w:w="1111" w:type="dxa"/>
            <w:tcBorders>
              <w:top w:val="single" w:sz="6" w:space="0" w:color="auto"/>
              <w:left w:val="nil"/>
              <w:bottom w:val="single" w:sz="6" w:space="0" w:color="auto"/>
              <w:right w:val="nil"/>
            </w:tcBorders>
            <w:shd w:val="solid" w:color="FFFFFF" w:fill="auto"/>
          </w:tcPr>
          <w:p w:rsidR="00965D85" w:rsidRPr="00B264D4"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B264D4">
              <w:rPr>
                <w:rFonts w:ascii="Calibri" w:eastAsiaTheme="minorEastAsia" w:hAnsi="Calibri" w:cs="Calibri"/>
                <w:b/>
                <w:bCs/>
                <w:color w:val="000000"/>
                <w:sz w:val="20"/>
                <w:lang w:eastAsia="en-AU"/>
              </w:rPr>
              <w:t>(10)</w:t>
            </w:r>
          </w:p>
        </w:tc>
        <w:tc>
          <w:tcPr>
            <w:tcW w:w="1111" w:type="dxa"/>
            <w:tcBorders>
              <w:top w:val="single" w:sz="6" w:space="0" w:color="auto"/>
              <w:left w:val="nil"/>
              <w:bottom w:val="single" w:sz="6" w:space="0" w:color="auto"/>
              <w:right w:val="nil"/>
            </w:tcBorders>
            <w:shd w:val="solid" w:color="FFFFFF" w:fill="auto"/>
          </w:tcPr>
          <w:p w:rsidR="00965D85" w:rsidRPr="00B264D4"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B264D4">
              <w:rPr>
                <w:rFonts w:ascii="Calibri" w:eastAsiaTheme="minorEastAsia" w:hAnsi="Calibri" w:cs="Calibri"/>
                <w:b/>
                <w:bCs/>
                <w:color w:val="000000"/>
                <w:sz w:val="20"/>
                <w:lang w:eastAsia="en-AU"/>
              </w:rPr>
              <w:t>31</w:t>
            </w:r>
          </w:p>
        </w:tc>
      </w:tr>
      <w:tr w:rsidR="00965D85" w:rsidRPr="00B264D4" w:rsidTr="008B46DF">
        <w:trPr>
          <w:trHeight w:val="211"/>
        </w:trPr>
        <w:tc>
          <w:tcPr>
            <w:tcW w:w="3538" w:type="dxa"/>
            <w:tcBorders>
              <w:top w:val="single" w:sz="6" w:space="0" w:color="auto"/>
              <w:left w:val="nil"/>
              <w:bottom w:val="single" w:sz="12" w:space="0" w:color="auto"/>
              <w:right w:val="nil"/>
            </w:tcBorders>
          </w:tcPr>
          <w:p w:rsidR="00965D85" w:rsidRPr="00B264D4" w:rsidRDefault="00965D85" w:rsidP="008B46DF">
            <w:pPr>
              <w:autoSpaceDE w:val="0"/>
              <w:autoSpaceDN w:val="0"/>
              <w:adjustRightInd w:val="0"/>
              <w:spacing w:after="0"/>
              <w:rPr>
                <w:rFonts w:ascii="Calibri" w:eastAsiaTheme="minorEastAsia" w:hAnsi="Calibri" w:cs="Calibri"/>
                <w:b/>
                <w:bCs/>
                <w:color w:val="000000"/>
                <w:sz w:val="20"/>
                <w:lang w:eastAsia="en-AU"/>
              </w:rPr>
            </w:pPr>
            <w:r w:rsidRPr="00B264D4">
              <w:rPr>
                <w:rFonts w:ascii="Calibri" w:eastAsiaTheme="minorEastAsia" w:hAnsi="Calibri" w:cs="Calibri"/>
                <w:b/>
                <w:bCs/>
                <w:color w:val="000000"/>
                <w:sz w:val="20"/>
                <w:lang w:eastAsia="en-AU"/>
              </w:rPr>
              <w:t>Net debt</w:t>
            </w:r>
          </w:p>
        </w:tc>
        <w:tc>
          <w:tcPr>
            <w:tcW w:w="1111" w:type="dxa"/>
            <w:tcBorders>
              <w:top w:val="single" w:sz="6" w:space="0" w:color="auto"/>
              <w:left w:val="nil"/>
              <w:bottom w:val="single" w:sz="12" w:space="0" w:color="auto"/>
              <w:right w:val="nil"/>
            </w:tcBorders>
            <w:shd w:val="solid" w:color="FFFFFF" w:fill="auto"/>
          </w:tcPr>
          <w:p w:rsidR="00965D85" w:rsidRPr="00B264D4"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B264D4">
              <w:rPr>
                <w:rFonts w:ascii="Calibri" w:eastAsiaTheme="minorEastAsia" w:hAnsi="Calibri" w:cs="Calibri"/>
                <w:b/>
                <w:bCs/>
                <w:color w:val="000000"/>
                <w:sz w:val="20"/>
                <w:lang w:eastAsia="en-AU"/>
              </w:rPr>
              <w:t>(63)</w:t>
            </w:r>
          </w:p>
        </w:tc>
        <w:tc>
          <w:tcPr>
            <w:tcW w:w="1111" w:type="dxa"/>
            <w:tcBorders>
              <w:top w:val="single" w:sz="6" w:space="0" w:color="auto"/>
              <w:left w:val="nil"/>
              <w:bottom w:val="single" w:sz="12" w:space="0" w:color="auto"/>
              <w:right w:val="nil"/>
            </w:tcBorders>
            <w:shd w:val="solid" w:color="FFFFFF" w:fill="auto"/>
          </w:tcPr>
          <w:p w:rsidR="00965D85" w:rsidRPr="00B264D4"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B264D4">
              <w:rPr>
                <w:rFonts w:ascii="Calibri" w:eastAsiaTheme="minorEastAsia" w:hAnsi="Calibri" w:cs="Calibri"/>
                <w:b/>
                <w:bCs/>
                <w:color w:val="000000"/>
                <w:sz w:val="20"/>
                <w:lang w:eastAsia="en-AU"/>
              </w:rPr>
              <w:t>(66)</w:t>
            </w:r>
          </w:p>
        </w:tc>
        <w:tc>
          <w:tcPr>
            <w:tcW w:w="1111" w:type="dxa"/>
            <w:tcBorders>
              <w:top w:val="single" w:sz="6" w:space="0" w:color="auto"/>
              <w:left w:val="nil"/>
              <w:bottom w:val="single" w:sz="12" w:space="0" w:color="auto"/>
              <w:right w:val="nil"/>
            </w:tcBorders>
            <w:shd w:val="solid" w:color="FFFFFF" w:fill="auto"/>
          </w:tcPr>
          <w:p w:rsidR="00965D85" w:rsidRPr="00B264D4"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B264D4">
              <w:rPr>
                <w:rFonts w:ascii="Calibri" w:eastAsiaTheme="minorEastAsia" w:hAnsi="Calibri" w:cs="Calibri"/>
                <w:b/>
                <w:bCs/>
                <w:color w:val="000000"/>
                <w:sz w:val="20"/>
                <w:lang w:eastAsia="en-AU"/>
              </w:rPr>
              <w:t>(55)</w:t>
            </w:r>
          </w:p>
        </w:tc>
        <w:tc>
          <w:tcPr>
            <w:tcW w:w="1111" w:type="dxa"/>
            <w:tcBorders>
              <w:top w:val="single" w:sz="6" w:space="0" w:color="auto"/>
              <w:left w:val="nil"/>
              <w:bottom w:val="single" w:sz="12" w:space="0" w:color="auto"/>
              <w:right w:val="nil"/>
            </w:tcBorders>
            <w:shd w:val="solid" w:color="FFFFFF" w:fill="auto"/>
          </w:tcPr>
          <w:p w:rsidR="00965D85" w:rsidRPr="00B264D4"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B264D4">
              <w:rPr>
                <w:rFonts w:ascii="Calibri" w:eastAsiaTheme="minorEastAsia" w:hAnsi="Calibri" w:cs="Calibri"/>
                <w:b/>
                <w:bCs/>
                <w:color w:val="000000"/>
                <w:sz w:val="20"/>
                <w:lang w:eastAsia="en-AU"/>
              </w:rPr>
              <w:t>(87)</w:t>
            </w:r>
          </w:p>
        </w:tc>
      </w:tr>
      <w:tr w:rsidR="00965D85" w:rsidRPr="00B264D4" w:rsidTr="008B46DF">
        <w:trPr>
          <w:trHeight w:val="199"/>
        </w:trPr>
        <w:tc>
          <w:tcPr>
            <w:tcW w:w="3538" w:type="dxa"/>
            <w:tcBorders>
              <w:top w:val="nil"/>
              <w:left w:val="nil"/>
              <w:bottom w:val="nil"/>
              <w:right w:val="nil"/>
            </w:tcBorders>
          </w:tcPr>
          <w:p w:rsidR="00965D85" w:rsidRPr="00B264D4" w:rsidRDefault="00965D85" w:rsidP="008B46DF">
            <w:pPr>
              <w:autoSpaceDE w:val="0"/>
              <w:autoSpaceDN w:val="0"/>
              <w:adjustRightInd w:val="0"/>
              <w:spacing w:after="0"/>
              <w:rPr>
                <w:rFonts w:ascii="Calibri" w:eastAsiaTheme="minorEastAsia" w:hAnsi="Calibri" w:cs="Calibri"/>
                <w:b/>
                <w:bCs/>
                <w:color w:val="000000"/>
                <w:sz w:val="20"/>
                <w:lang w:eastAsia="en-AU"/>
              </w:rPr>
            </w:pPr>
            <w:r w:rsidRPr="00B264D4">
              <w:rPr>
                <w:rFonts w:ascii="Calibri" w:eastAsiaTheme="minorEastAsia" w:hAnsi="Calibri" w:cs="Calibri"/>
                <w:b/>
                <w:bCs/>
                <w:color w:val="000000"/>
                <w:sz w:val="20"/>
                <w:lang w:eastAsia="en-AU"/>
              </w:rPr>
              <w:t xml:space="preserve">Enterprise agreements </w:t>
            </w:r>
            <w:r w:rsidRPr="005F2A91">
              <w:rPr>
                <w:rFonts w:ascii="Calibri" w:eastAsiaTheme="minorEastAsia" w:hAnsi="Calibri" w:cs="Calibri"/>
                <w:b/>
                <w:bCs/>
                <w:color w:val="000000"/>
                <w:sz w:val="20"/>
                <w:vertAlign w:val="superscript"/>
                <w:lang w:eastAsia="en-AU"/>
              </w:rPr>
              <w:t>(h)</w:t>
            </w:r>
          </w:p>
        </w:tc>
        <w:tc>
          <w:tcPr>
            <w:tcW w:w="1111" w:type="dxa"/>
            <w:tcBorders>
              <w:top w:val="nil"/>
              <w:left w:val="nil"/>
              <w:bottom w:val="nil"/>
              <w:right w:val="nil"/>
            </w:tcBorders>
          </w:tcPr>
          <w:p w:rsidR="00965D85" w:rsidRPr="00B264D4"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B264D4">
              <w:rPr>
                <w:rFonts w:ascii="Calibri" w:eastAsiaTheme="minorEastAsia" w:hAnsi="Calibri" w:cs="Calibri"/>
                <w:color w:val="000000"/>
                <w:sz w:val="20"/>
                <w:lang w:eastAsia="en-AU"/>
              </w:rPr>
              <w:t xml:space="preserve"> </w:t>
            </w:r>
          </w:p>
        </w:tc>
        <w:tc>
          <w:tcPr>
            <w:tcW w:w="1111" w:type="dxa"/>
            <w:tcBorders>
              <w:top w:val="nil"/>
              <w:left w:val="nil"/>
              <w:bottom w:val="nil"/>
              <w:right w:val="nil"/>
            </w:tcBorders>
          </w:tcPr>
          <w:p w:rsidR="00965D85" w:rsidRPr="00B264D4"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B264D4">
              <w:rPr>
                <w:rFonts w:ascii="Calibri" w:eastAsiaTheme="minorEastAsia" w:hAnsi="Calibri" w:cs="Calibri"/>
                <w:color w:val="000000"/>
                <w:sz w:val="20"/>
                <w:lang w:eastAsia="en-AU"/>
              </w:rPr>
              <w:t xml:space="preserve"> </w:t>
            </w:r>
          </w:p>
        </w:tc>
        <w:tc>
          <w:tcPr>
            <w:tcW w:w="1111" w:type="dxa"/>
            <w:tcBorders>
              <w:top w:val="nil"/>
              <w:left w:val="nil"/>
              <w:bottom w:val="nil"/>
              <w:right w:val="nil"/>
            </w:tcBorders>
          </w:tcPr>
          <w:p w:rsidR="00965D85" w:rsidRPr="00B264D4"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B264D4">
              <w:rPr>
                <w:rFonts w:ascii="Calibri" w:eastAsiaTheme="minorEastAsia" w:hAnsi="Calibri" w:cs="Calibri"/>
                <w:color w:val="000000"/>
                <w:sz w:val="20"/>
                <w:lang w:eastAsia="en-AU"/>
              </w:rPr>
              <w:t xml:space="preserve"> </w:t>
            </w:r>
          </w:p>
        </w:tc>
        <w:tc>
          <w:tcPr>
            <w:tcW w:w="1111" w:type="dxa"/>
            <w:tcBorders>
              <w:top w:val="nil"/>
              <w:left w:val="nil"/>
              <w:bottom w:val="nil"/>
              <w:right w:val="nil"/>
            </w:tcBorders>
          </w:tcPr>
          <w:p w:rsidR="00965D85" w:rsidRPr="00B264D4"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B264D4">
              <w:rPr>
                <w:rFonts w:ascii="Calibri" w:eastAsiaTheme="minorEastAsia" w:hAnsi="Calibri" w:cs="Calibri"/>
                <w:color w:val="000000"/>
                <w:sz w:val="20"/>
                <w:lang w:eastAsia="en-AU"/>
              </w:rPr>
              <w:t xml:space="preserve"> </w:t>
            </w:r>
          </w:p>
        </w:tc>
      </w:tr>
      <w:tr w:rsidR="00965D85" w:rsidRPr="00B264D4" w:rsidTr="008B46DF">
        <w:trPr>
          <w:trHeight w:val="199"/>
        </w:trPr>
        <w:tc>
          <w:tcPr>
            <w:tcW w:w="3538" w:type="dxa"/>
            <w:tcBorders>
              <w:top w:val="nil"/>
              <w:left w:val="nil"/>
              <w:bottom w:val="nil"/>
              <w:right w:val="nil"/>
            </w:tcBorders>
          </w:tcPr>
          <w:p w:rsidR="00965D85" w:rsidRPr="00B264D4" w:rsidRDefault="00965D85" w:rsidP="008B46DF">
            <w:pPr>
              <w:autoSpaceDE w:val="0"/>
              <w:autoSpaceDN w:val="0"/>
              <w:adjustRightInd w:val="0"/>
              <w:spacing w:after="0"/>
              <w:rPr>
                <w:rFonts w:ascii="Calibri" w:eastAsiaTheme="minorEastAsia" w:hAnsi="Calibri" w:cs="Calibri"/>
                <w:color w:val="000000"/>
                <w:sz w:val="20"/>
                <w:lang w:eastAsia="en-AU"/>
              </w:rPr>
            </w:pPr>
            <w:r w:rsidRPr="00B264D4">
              <w:rPr>
                <w:rFonts w:ascii="Calibri" w:eastAsiaTheme="minorEastAsia" w:hAnsi="Calibri" w:cs="Calibri"/>
                <w:color w:val="000000"/>
                <w:sz w:val="20"/>
                <w:lang w:eastAsia="en-AU"/>
              </w:rPr>
              <w:t>Income from transactions</w:t>
            </w:r>
          </w:p>
        </w:tc>
        <w:tc>
          <w:tcPr>
            <w:tcW w:w="1111" w:type="dxa"/>
            <w:tcBorders>
              <w:top w:val="nil"/>
              <w:left w:val="nil"/>
              <w:bottom w:val="nil"/>
              <w:right w:val="nil"/>
            </w:tcBorders>
            <w:shd w:val="solid" w:color="FFFFFF" w:fill="auto"/>
          </w:tcPr>
          <w:p w:rsidR="00965D85" w:rsidRPr="00B264D4"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B264D4">
              <w:rPr>
                <w:rFonts w:ascii="Calibri" w:eastAsiaTheme="minorEastAsia" w:hAnsi="Calibri" w:cs="Calibri"/>
                <w:color w:val="000000"/>
                <w:sz w:val="20"/>
                <w:lang w:eastAsia="en-AU"/>
              </w:rPr>
              <w:t>30</w:t>
            </w:r>
          </w:p>
        </w:tc>
        <w:tc>
          <w:tcPr>
            <w:tcW w:w="1111" w:type="dxa"/>
            <w:tcBorders>
              <w:top w:val="nil"/>
              <w:left w:val="nil"/>
              <w:bottom w:val="nil"/>
              <w:right w:val="nil"/>
            </w:tcBorders>
            <w:shd w:val="solid" w:color="FFFFFF" w:fill="auto"/>
          </w:tcPr>
          <w:p w:rsidR="00965D85" w:rsidRPr="00B264D4"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B264D4">
              <w:rPr>
                <w:rFonts w:ascii="Calibri" w:eastAsiaTheme="minorEastAsia" w:hAnsi="Calibri" w:cs="Calibri"/>
                <w:color w:val="000000"/>
                <w:sz w:val="20"/>
                <w:lang w:eastAsia="en-AU"/>
              </w:rPr>
              <w:t>30</w:t>
            </w:r>
          </w:p>
        </w:tc>
        <w:tc>
          <w:tcPr>
            <w:tcW w:w="1111" w:type="dxa"/>
            <w:tcBorders>
              <w:top w:val="nil"/>
              <w:left w:val="nil"/>
              <w:bottom w:val="nil"/>
              <w:right w:val="nil"/>
            </w:tcBorders>
            <w:shd w:val="solid" w:color="FFFFFF" w:fill="auto"/>
          </w:tcPr>
          <w:p w:rsidR="00965D85" w:rsidRPr="00B264D4"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B264D4">
              <w:rPr>
                <w:rFonts w:ascii="Calibri" w:eastAsiaTheme="minorEastAsia" w:hAnsi="Calibri" w:cs="Calibri"/>
                <w:color w:val="000000"/>
                <w:sz w:val="20"/>
                <w:lang w:eastAsia="en-AU"/>
              </w:rPr>
              <w:t>32</w:t>
            </w:r>
          </w:p>
        </w:tc>
        <w:tc>
          <w:tcPr>
            <w:tcW w:w="1111" w:type="dxa"/>
            <w:tcBorders>
              <w:top w:val="nil"/>
              <w:left w:val="nil"/>
              <w:bottom w:val="nil"/>
              <w:right w:val="nil"/>
            </w:tcBorders>
            <w:shd w:val="solid" w:color="FFFFFF" w:fill="auto"/>
          </w:tcPr>
          <w:p w:rsidR="00965D85" w:rsidRPr="00B264D4"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B264D4">
              <w:rPr>
                <w:rFonts w:ascii="Calibri" w:eastAsiaTheme="minorEastAsia" w:hAnsi="Calibri" w:cs="Calibri"/>
                <w:color w:val="000000"/>
                <w:sz w:val="20"/>
                <w:lang w:eastAsia="en-AU"/>
              </w:rPr>
              <w:t>31</w:t>
            </w:r>
          </w:p>
        </w:tc>
      </w:tr>
      <w:tr w:rsidR="00965D85" w:rsidRPr="00B264D4" w:rsidTr="008B46DF">
        <w:trPr>
          <w:trHeight w:val="199"/>
        </w:trPr>
        <w:tc>
          <w:tcPr>
            <w:tcW w:w="3538" w:type="dxa"/>
            <w:tcBorders>
              <w:top w:val="nil"/>
              <w:left w:val="nil"/>
              <w:bottom w:val="nil"/>
              <w:right w:val="nil"/>
            </w:tcBorders>
          </w:tcPr>
          <w:p w:rsidR="00965D85" w:rsidRPr="00B264D4" w:rsidRDefault="00965D85" w:rsidP="008B46DF">
            <w:pPr>
              <w:autoSpaceDE w:val="0"/>
              <w:autoSpaceDN w:val="0"/>
              <w:adjustRightInd w:val="0"/>
              <w:spacing w:after="0"/>
              <w:rPr>
                <w:rFonts w:ascii="Calibri" w:eastAsiaTheme="minorEastAsia" w:hAnsi="Calibri" w:cs="Calibri"/>
                <w:color w:val="000000"/>
                <w:sz w:val="20"/>
                <w:lang w:eastAsia="en-AU"/>
              </w:rPr>
            </w:pPr>
            <w:r w:rsidRPr="00B264D4">
              <w:rPr>
                <w:rFonts w:ascii="Calibri" w:eastAsiaTheme="minorEastAsia" w:hAnsi="Calibri" w:cs="Calibri"/>
                <w:color w:val="000000"/>
                <w:sz w:val="20"/>
                <w:lang w:eastAsia="en-AU"/>
              </w:rPr>
              <w:t>Expenses from transactions</w:t>
            </w:r>
          </w:p>
        </w:tc>
        <w:tc>
          <w:tcPr>
            <w:tcW w:w="1111" w:type="dxa"/>
            <w:tcBorders>
              <w:top w:val="nil"/>
              <w:left w:val="nil"/>
              <w:bottom w:val="nil"/>
              <w:right w:val="nil"/>
            </w:tcBorders>
            <w:shd w:val="solid" w:color="FFFFFF" w:fill="auto"/>
          </w:tcPr>
          <w:p w:rsidR="00965D85" w:rsidRPr="00B264D4"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B264D4">
              <w:rPr>
                <w:rFonts w:ascii="Calibri" w:eastAsiaTheme="minorEastAsia" w:hAnsi="Calibri" w:cs="Calibri"/>
                <w:color w:val="000000"/>
                <w:sz w:val="20"/>
                <w:lang w:eastAsia="en-AU"/>
              </w:rPr>
              <w:t>215</w:t>
            </w:r>
          </w:p>
        </w:tc>
        <w:tc>
          <w:tcPr>
            <w:tcW w:w="1111" w:type="dxa"/>
            <w:tcBorders>
              <w:top w:val="nil"/>
              <w:left w:val="nil"/>
              <w:bottom w:val="nil"/>
              <w:right w:val="nil"/>
            </w:tcBorders>
            <w:shd w:val="solid" w:color="FFFFFF" w:fill="auto"/>
          </w:tcPr>
          <w:p w:rsidR="00965D85" w:rsidRPr="00B264D4"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B264D4">
              <w:rPr>
                <w:rFonts w:ascii="Calibri" w:eastAsiaTheme="minorEastAsia" w:hAnsi="Calibri" w:cs="Calibri"/>
                <w:color w:val="000000"/>
                <w:sz w:val="20"/>
                <w:lang w:eastAsia="en-AU"/>
              </w:rPr>
              <w:t>259</w:t>
            </w:r>
          </w:p>
        </w:tc>
        <w:tc>
          <w:tcPr>
            <w:tcW w:w="1111" w:type="dxa"/>
            <w:tcBorders>
              <w:top w:val="nil"/>
              <w:left w:val="nil"/>
              <w:bottom w:val="nil"/>
              <w:right w:val="nil"/>
            </w:tcBorders>
            <w:shd w:val="solid" w:color="FFFFFF" w:fill="auto"/>
          </w:tcPr>
          <w:p w:rsidR="00965D85" w:rsidRPr="00B264D4"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B264D4">
              <w:rPr>
                <w:rFonts w:ascii="Calibri" w:eastAsiaTheme="minorEastAsia" w:hAnsi="Calibri" w:cs="Calibri"/>
                <w:color w:val="000000"/>
                <w:sz w:val="20"/>
                <w:lang w:eastAsia="en-AU"/>
              </w:rPr>
              <w:t>280</w:t>
            </w:r>
          </w:p>
        </w:tc>
        <w:tc>
          <w:tcPr>
            <w:tcW w:w="1111" w:type="dxa"/>
            <w:tcBorders>
              <w:top w:val="nil"/>
              <w:left w:val="nil"/>
              <w:bottom w:val="nil"/>
              <w:right w:val="nil"/>
            </w:tcBorders>
            <w:shd w:val="solid" w:color="FFFFFF" w:fill="auto"/>
          </w:tcPr>
          <w:p w:rsidR="00965D85" w:rsidRPr="00B264D4"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B264D4">
              <w:rPr>
                <w:rFonts w:ascii="Calibri" w:eastAsiaTheme="minorEastAsia" w:hAnsi="Calibri" w:cs="Calibri"/>
                <w:color w:val="000000"/>
                <w:sz w:val="20"/>
                <w:lang w:eastAsia="en-AU"/>
              </w:rPr>
              <w:t>301</w:t>
            </w:r>
          </w:p>
        </w:tc>
      </w:tr>
      <w:tr w:rsidR="00965D85" w:rsidRPr="00B264D4" w:rsidTr="008B46DF">
        <w:trPr>
          <w:trHeight w:val="199"/>
        </w:trPr>
        <w:tc>
          <w:tcPr>
            <w:tcW w:w="3538" w:type="dxa"/>
            <w:tcBorders>
              <w:top w:val="single" w:sz="6" w:space="0" w:color="auto"/>
              <w:left w:val="nil"/>
              <w:bottom w:val="single" w:sz="6" w:space="0" w:color="auto"/>
              <w:right w:val="nil"/>
            </w:tcBorders>
          </w:tcPr>
          <w:p w:rsidR="00965D85" w:rsidRPr="00B264D4" w:rsidRDefault="00965D85" w:rsidP="008B46DF">
            <w:pPr>
              <w:autoSpaceDE w:val="0"/>
              <w:autoSpaceDN w:val="0"/>
              <w:adjustRightInd w:val="0"/>
              <w:spacing w:after="0"/>
              <w:rPr>
                <w:rFonts w:ascii="Calibri" w:eastAsiaTheme="minorEastAsia" w:hAnsi="Calibri" w:cs="Calibri"/>
                <w:b/>
                <w:bCs/>
                <w:color w:val="000000"/>
                <w:sz w:val="20"/>
                <w:lang w:eastAsia="en-AU"/>
              </w:rPr>
            </w:pPr>
            <w:r w:rsidRPr="00B264D4">
              <w:rPr>
                <w:rFonts w:ascii="Calibri" w:eastAsiaTheme="minorEastAsia" w:hAnsi="Calibri" w:cs="Calibri"/>
                <w:b/>
                <w:bCs/>
                <w:color w:val="000000"/>
                <w:sz w:val="20"/>
                <w:lang w:eastAsia="en-AU"/>
              </w:rPr>
              <w:t>Net result from transactions</w:t>
            </w:r>
          </w:p>
        </w:tc>
        <w:tc>
          <w:tcPr>
            <w:tcW w:w="1111" w:type="dxa"/>
            <w:tcBorders>
              <w:top w:val="single" w:sz="6" w:space="0" w:color="auto"/>
              <w:left w:val="nil"/>
              <w:bottom w:val="single" w:sz="6" w:space="0" w:color="auto"/>
              <w:right w:val="nil"/>
            </w:tcBorders>
            <w:shd w:val="solid" w:color="FFFFFF" w:fill="auto"/>
          </w:tcPr>
          <w:p w:rsidR="00965D85" w:rsidRPr="00B264D4"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B264D4">
              <w:rPr>
                <w:rFonts w:ascii="Calibri" w:eastAsiaTheme="minorEastAsia" w:hAnsi="Calibri" w:cs="Calibri"/>
                <w:b/>
                <w:bCs/>
                <w:color w:val="000000"/>
                <w:sz w:val="20"/>
                <w:lang w:eastAsia="en-AU"/>
              </w:rPr>
              <w:t>(185)</w:t>
            </w:r>
          </w:p>
        </w:tc>
        <w:tc>
          <w:tcPr>
            <w:tcW w:w="1111" w:type="dxa"/>
            <w:tcBorders>
              <w:top w:val="single" w:sz="6" w:space="0" w:color="auto"/>
              <w:left w:val="nil"/>
              <w:bottom w:val="single" w:sz="6" w:space="0" w:color="auto"/>
              <w:right w:val="nil"/>
            </w:tcBorders>
            <w:shd w:val="solid" w:color="FFFFFF" w:fill="auto"/>
          </w:tcPr>
          <w:p w:rsidR="00965D85" w:rsidRPr="00B264D4"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B264D4">
              <w:rPr>
                <w:rFonts w:ascii="Calibri" w:eastAsiaTheme="minorEastAsia" w:hAnsi="Calibri" w:cs="Calibri"/>
                <w:b/>
                <w:bCs/>
                <w:color w:val="000000"/>
                <w:sz w:val="20"/>
                <w:lang w:eastAsia="en-AU"/>
              </w:rPr>
              <w:t>(229)</w:t>
            </w:r>
          </w:p>
        </w:tc>
        <w:tc>
          <w:tcPr>
            <w:tcW w:w="1111" w:type="dxa"/>
            <w:tcBorders>
              <w:top w:val="single" w:sz="6" w:space="0" w:color="auto"/>
              <w:left w:val="nil"/>
              <w:bottom w:val="single" w:sz="6" w:space="0" w:color="auto"/>
              <w:right w:val="nil"/>
            </w:tcBorders>
            <w:shd w:val="solid" w:color="FFFFFF" w:fill="auto"/>
          </w:tcPr>
          <w:p w:rsidR="00965D85" w:rsidRPr="00B264D4"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B264D4">
              <w:rPr>
                <w:rFonts w:ascii="Calibri" w:eastAsiaTheme="minorEastAsia" w:hAnsi="Calibri" w:cs="Calibri"/>
                <w:b/>
                <w:bCs/>
                <w:color w:val="000000"/>
                <w:sz w:val="20"/>
                <w:lang w:eastAsia="en-AU"/>
              </w:rPr>
              <w:t>(248)</w:t>
            </w:r>
          </w:p>
        </w:tc>
        <w:tc>
          <w:tcPr>
            <w:tcW w:w="1111" w:type="dxa"/>
            <w:tcBorders>
              <w:top w:val="single" w:sz="6" w:space="0" w:color="auto"/>
              <w:left w:val="nil"/>
              <w:bottom w:val="single" w:sz="6" w:space="0" w:color="auto"/>
              <w:right w:val="nil"/>
            </w:tcBorders>
            <w:shd w:val="solid" w:color="FFFFFF" w:fill="auto"/>
          </w:tcPr>
          <w:p w:rsidR="00965D85" w:rsidRPr="00B264D4"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B264D4">
              <w:rPr>
                <w:rFonts w:ascii="Calibri" w:eastAsiaTheme="minorEastAsia" w:hAnsi="Calibri" w:cs="Calibri"/>
                <w:b/>
                <w:bCs/>
                <w:color w:val="000000"/>
                <w:sz w:val="20"/>
                <w:lang w:eastAsia="en-AU"/>
              </w:rPr>
              <w:t>(270)</w:t>
            </w:r>
          </w:p>
        </w:tc>
      </w:tr>
      <w:tr w:rsidR="00965D85" w:rsidRPr="00B264D4" w:rsidTr="008B46DF">
        <w:trPr>
          <w:trHeight w:val="211"/>
        </w:trPr>
        <w:tc>
          <w:tcPr>
            <w:tcW w:w="3538" w:type="dxa"/>
            <w:tcBorders>
              <w:top w:val="single" w:sz="6" w:space="0" w:color="auto"/>
              <w:left w:val="nil"/>
              <w:bottom w:val="single" w:sz="12" w:space="0" w:color="auto"/>
              <w:right w:val="nil"/>
            </w:tcBorders>
          </w:tcPr>
          <w:p w:rsidR="00965D85" w:rsidRPr="00B264D4" w:rsidRDefault="00965D85" w:rsidP="008B46DF">
            <w:pPr>
              <w:autoSpaceDE w:val="0"/>
              <w:autoSpaceDN w:val="0"/>
              <w:adjustRightInd w:val="0"/>
              <w:spacing w:after="0"/>
              <w:rPr>
                <w:rFonts w:ascii="Calibri" w:eastAsiaTheme="minorEastAsia" w:hAnsi="Calibri" w:cs="Calibri"/>
                <w:b/>
                <w:bCs/>
                <w:color w:val="000000"/>
                <w:sz w:val="20"/>
                <w:lang w:eastAsia="en-AU"/>
              </w:rPr>
            </w:pPr>
            <w:r w:rsidRPr="00B264D4">
              <w:rPr>
                <w:rFonts w:ascii="Calibri" w:eastAsiaTheme="minorEastAsia" w:hAnsi="Calibri" w:cs="Calibri"/>
                <w:b/>
                <w:bCs/>
                <w:color w:val="000000"/>
                <w:sz w:val="20"/>
                <w:lang w:eastAsia="en-AU"/>
              </w:rPr>
              <w:t>Net debt</w:t>
            </w:r>
          </w:p>
        </w:tc>
        <w:tc>
          <w:tcPr>
            <w:tcW w:w="1111" w:type="dxa"/>
            <w:tcBorders>
              <w:top w:val="single" w:sz="6" w:space="0" w:color="auto"/>
              <w:left w:val="nil"/>
              <w:bottom w:val="single" w:sz="12" w:space="0" w:color="auto"/>
              <w:right w:val="nil"/>
            </w:tcBorders>
            <w:shd w:val="solid" w:color="FFFFFF" w:fill="auto"/>
          </w:tcPr>
          <w:p w:rsidR="00965D85" w:rsidRPr="00B264D4"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B264D4">
              <w:rPr>
                <w:rFonts w:ascii="Calibri" w:eastAsiaTheme="minorEastAsia" w:hAnsi="Calibri" w:cs="Calibri"/>
                <w:b/>
                <w:bCs/>
                <w:color w:val="000000"/>
                <w:sz w:val="20"/>
                <w:lang w:eastAsia="en-AU"/>
              </w:rPr>
              <w:t>185</w:t>
            </w:r>
          </w:p>
        </w:tc>
        <w:tc>
          <w:tcPr>
            <w:tcW w:w="1111" w:type="dxa"/>
            <w:tcBorders>
              <w:top w:val="single" w:sz="6" w:space="0" w:color="auto"/>
              <w:left w:val="nil"/>
              <w:bottom w:val="single" w:sz="12" w:space="0" w:color="auto"/>
              <w:right w:val="nil"/>
            </w:tcBorders>
            <w:shd w:val="solid" w:color="FFFFFF" w:fill="auto"/>
          </w:tcPr>
          <w:p w:rsidR="00965D85" w:rsidRPr="00B264D4"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B264D4">
              <w:rPr>
                <w:rFonts w:ascii="Calibri" w:eastAsiaTheme="minorEastAsia" w:hAnsi="Calibri" w:cs="Calibri"/>
                <w:b/>
                <w:bCs/>
                <w:color w:val="000000"/>
                <w:sz w:val="20"/>
                <w:lang w:eastAsia="en-AU"/>
              </w:rPr>
              <w:t>399</w:t>
            </w:r>
          </w:p>
        </w:tc>
        <w:tc>
          <w:tcPr>
            <w:tcW w:w="1111" w:type="dxa"/>
            <w:tcBorders>
              <w:top w:val="single" w:sz="6" w:space="0" w:color="auto"/>
              <w:left w:val="nil"/>
              <w:bottom w:val="single" w:sz="12" w:space="0" w:color="auto"/>
              <w:right w:val="nil"/>
            </w:tcBorders>
            <w:shd w:val="solid" w:color="FFFFFF" w:fill="auto"/>
          </w:tcPr>
          <w:p w:rsidR="00965D85" w:rsidRPr="00B264D4"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B264D4">
              <w:rPr>
                <w:rFonts w:ascii="Calibri" w:eastAsiaTheme="minorEastAsia" w:hAnsi="Calibri" w:cs="Calibri"/>
                <w:b/>
                <w:bCs/>
                <w:color w:val="000000"/>
                <w:sz w:val="20"/>
                <w:lang w:eastAsia="en-AU"/>
              </w:rPr>
              <w:t>632</w:t>
            </w:r>
          </w:p>
        </w:tc>
        <w:tc>
          <w:tcPr>
            <w:tcW w:w="1111" w:type="dxa"/>
            <w:tcBorders>
              <w:top w:val="single" w:sz="6" w:space="0" w:color="auto"/>
              <w:left w:val="nil"/>
              <w:bottom w:val="single" w:sz="12" w:space="0" w:color="auto"/>
              <w:right w:val="nil"/>
            </w:tcBorders>
            <w:shd w:val="solid" w:color="FFFFFF" w:fill="auto"/>
          </w:tcPr>
          <w:p w:rsidR="00965D85" w:rsidRPr="00B264D4"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B264D4">
              <w:rPr>
                <w:rFonts w:ascii="Calibri" w:eastAsiaTheme="minorEastAsia" w:hAnsi="Calibri" w:cs="Calibri"/>
                <w:b/>
                <w:bCs/>
                <w:color w:val="000000"/>
                <w:sz w:val="20"/>
                <w:lang w:eastAsia="en-AU"/>
              </w:rPr>
              <w:t>887</w:t>
            </w:r>
          </w:p>
        </w:tc>
      </w:tr>
      <w:tr w:rsidR="00965D85" w:rsidRPr="00B264D4" w:rsidTr="008B46DF">
        <w:trPr>
          <w:trHeight w:val="199"/>
        </w:trPr>
        <w:tc>
          <w:tcPr>
            <w:tcW w:w="3538" w:type="dxa"/>
            <w:tcBorders>
              <w:top w:val="nil"/>
              <w:left w:val="nil"/>
              <w:bottom w:val="nil"/>
              <w:right w:val="nil"/>
            </w:tcBorders>
          </w:tcPr>
          <w:p w:rsidR="00965D85" w:rsidRPr="00B264D4" w:rsidRDefault="00965D85" w:rsidP="008B46DF">
            <w:pPr>
              <w:autoSpaceDE w:val="0"/>
              <w:autoSpaceDN w:val="0"/>
              <w:adjustRightInd w:val="0"/>
              <w:spacing w:after="0"/>
              <w:rPr>
                <w:rFonts w:ascii="Calibri" w:eastAsiaTheme="minorEastAsia" w:hAnsi="Calibri" w:cs="Calibri"/>
                <w:b/>
                <w:bCs/>
                <w:color w:val="000000"/>
                <w:sz w:val="20"/>
                <w:lang w:eastAsia="en-AU"/>
              </w:rPr>
            </w:pPr>
            <w:r w:rsidRPr="00B264D4">
              <w:rPr>
                <w:rFonts w:ascii="Calibri" w:eastAsiaTheme="minorEastAsia" w:hAnsi="Calibri" w:cs="Calibri"/>
                <w:b/>
                <w:bCs/>
                <w:color w:val="000000"/>
                <w:sz w:val="20"/>
                <w:lang w:eastAsia="en-AU"/>
              </w:rPr>
              <w:t xml:space="preserve">Domestic share prices </w:t>
            </w:r>
          </w:p>
        </w:tc>
        <w:tc>
          <w:tcPr>
            <w:tcW w:w="1111" w:type="dxa"/>
            <w:tcBorders>
              <w:top w:val="nil"/>
              <w:left w:val="nil"/>
              <w:bottom w:val="nil"/>
              <w:right w:val="nil"/>
            </w:tcBorders>
          </w:tcPr>
          <w:p w:rsidR="00965D85" w:rsidRPr="00B264D4"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B264D4">
              <w:rPr>
                <w:rFonts w:ascii="Calibri" w:eastAsiaTheme="minorEastAsia" w:hAnsi="Calibri" w:cs="Calibri"/>
                <w:color w:val="000000"/>
                <w:sz w:val="20"/>
                <w:lang w:eastAsia="en-AU"/>
              </w:rPr>
              <w:t xml:space="preserve"> </w:t>
            </w:r>
          </w:p>
        </w:tc>
        <w:tc>
          <w:tcPr>
            <w:tcW w:w="1111" w:type="dxa"/>
            <w:tcBorders>
              <w:top w:val="nil"/>
              <w:left w:val="nil"/>
              <w:bottom w:val="nil"/>
              <w:right w:val="nil"/>
            </w:tcBorders>
          </w:tcPr>
          <w:p w:rsidR="00965D85" w:rsidRPr="00B264D4"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B264D4">
              <w:rPr>
                <w:rFonts w:ascii="Calibri" w:eastAsiaTheme="minorEastAsia" w:hAnsi="Calibri" w:cs="Calibri"/>
                <w:color w:val="000000"/>
                <w:sz w:val="20"/>
                <w:lang w:eastAsia="en-AU"/>
              </w:rPr>
              <w:t xml:space="preserve"> </w:t>
            </w:r>
          </w:p>
        </w:tc>
        <w:tc>
          <w:tcPr>
            <w:tcW w:w="1111" w:type="dxa"/>
            <w:tcBorders>
              <w:top w:val="nil"/>
              <w:left w:val="nil"/>
              <w:bottom w:val="nil"/>
              <w:right w:val="nil"/>
            </w:tcBorders>
          </w:tcPr>
          <w:p w:rsidR="00965D85" w:rsidRPr="00B264D4"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B264D4">
              <w:rPr>
                <w:rFonts w:ascii="Calibri" w:eastAsiaTheme="minorEastAsia" w:hAnsi="Calibri" w:cs="Calibri"/>
                <w:color w:val="000000"/>
                <w:sz w:val="20"/>
                <w:lang w:eastAsia="en-AU"/>
              </w:rPr>
              <w:t xml:space="preserve"> </w:t>
            </w:r>
          </w:p>
        </w:tc>
        <w:tc>
          <w:tcPr>
            <w:tcW w:w="1111" w:type="dxa"/>
            <w:tcBorders>
              <w:top w:val="nil"/>
              <w:left w:val="nil"/>
              <w:bottom w:val="nil"/>
              <w:right w:val="nil"/>
            </w:tcBorders>
          </w:tcPr>
          <w:p w:rsidR="00965D85" w:rsidRPr="00B264D4"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B264D4">
              <w:rPr>
                <w:rFonts w:ascii="Calibri" w:eastAsiaTheme="minorEastAsia" w:hAnsi="Calibri" w:cs="Calibri"/>
                <w:color w:val="000000"/>
                <w:sz w:val="20"/>
                <w:lang w:eastAsia="en-AU"/>
              </w:rPr>
              <w:t xml:space="preserve"> </w:t>
            </w:r>
          </w:p>
        </w:tc>
      </w:tr>
      <w:tr w:rsidR="00965D85" w:rsidRPr="00B264D4" w:rsidTr="008B46DF">
        <w:trPr>
          <w:trHeight w:val="199"/>
        </w:trPr>
        <w:tc>
          <w:tcPr>
            <w:tcW w:w="3538" w:type="dxa"/>
            <w:tcBorders>
              <w:top w:val="nil"/>
              <w:left w:val="nil"/>
              <w:bottom w:val="nil"/>
              <w:right w:val="nil"/>
            </w:tcBorders>
          </w:tcPr>
          <w:p w:rsidR="00965D85" w:rsidRPr="00B264D4" w:rsidRDefault="00965D85" w:rsidP="008B46DF">
            <w:pPr>
              <w:autoSpaceDE w:val="0"/>
              <w:autoSpaceDN w:val="0"/>
              <w:adjustRightInd w:val="0"/>
              <w:spacing w:after="0"/>
              <w:rPr>
                <w:rFonts w:ascii="Calibri" w:eastAsiaTheme="minorEastAsia" w:hAnsi="Calibri" w:cs="Calibri"/>
                <w:color w:val="000000"/>
                <w:sz w:val="20"/>
                <w:lang w:eastAsia="en-AU"/>
              </w:rPr>
            </w:pPr>
            <w:r w:rsidRPr="00B264D4">
              <w:rPr>
                <w:rFonts w:ascii="Calibri" w:eastAsiaTheme="minorEastAsia" w:hAnsi="Calibri" w:cs="Calibri"/>
                <w:color w:val="000000"/>
                <w:sz w:val="20"/>
                <w:lang w:eastAsia="en-AU"/>
              </w:rPr>
              <w:t>Income from transactions</w:t>
            </w:r>
          </w:p>
        </w:tc>
        <w:tc>
          <w:tcPr>
            <w:tcW w:w="1111" w:type="dxa"/>
            <w:tcBorders>
              <w:top w:val="nil"/>
              <w:left w:val="nil"/>
              <w:bottom w:val="nil"/>
              <w:right w:val="nil"/>
            </w:tcBorders>
            <w:shd w:val="solid" w:color="FFFFFF" w:fill="auto"/>
          </w:tcPr>
          <w:p w:rsidR="00965D85" w:rsidRPr="00B264D4"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B264D4">
              <w:rPr>
                <w:rFonts w:ascii="Calibri" w:eastAsiaTheme="minorEastAsia" w:hAnsi="Calibri" w:cs="Calibri"/>
                <w:color w:val="000000"/>
                <w:sz w:val="20"/>
                <w:lang w:eastAsia="en-AU"/>
              </w:rPr>
              <w:t>1</w:t>
            </w:r>
          </w:p>
        </w:tc>
        <w:tc>
          <w:tcPr>
            <w:tcW w:w="1111" w:type="dxa"/>
            <w:tcBorders>
              <w:top w:val="nil"/>
              <w:left w:val="nil"/>
              <w:bottom w:val="nil"/>
              <w:right w:val="nil"/>
            </w:tcBorders>
            <w:shd w:val="solid" w:color="FFFFFF" w:fill="auto"/>
          </w:tcPr>
          <w:p w:rsidR="00965D85" w:rsidRPr="00B264D4"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B264D4">
              <w:rPr>
                <w:rFonts w:ascii="Calibri" w:eastAsiaTheme="minorEastAsia" w:hAnsi="Calibri" w:cs="Calibri"/>
                <w:color w:val="000000"/>
                <w:sz w:val="20"/>
                <w:lang w:eastAsia="en-AU"/>
              </w:rPr>
              <w:t>1</w:t>
            </w:r>
          </w:p>
        </w:tc>
        <w:tc>
          <w:tcPr>
            <w:tcW w:w="1111" w:type="dxa"/>
            <w:tcBorders>
              <w:top w:val="nil"/>
              <w:left w:val="nil"/>
              <w:bottom w:val="nil"/>
              <w:right w:val="nil"/>
            </w:tcBorders>
            <w:shd w:val="solid" w:color="FFFFFF" w:fill="auto"/>
          </w:tcPr>
          <w:p w:rsidR="00965D85" w:rsidRPr="00B264D4"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B264D4">
              <w:rPr>
                <w:rFonts w:ascii="Calibri" w:eastAsiaTheme="minorEastAsia" w:hAnsi="Calibri" w:cs="Calibri"/>
                <w:color w:val="000000"/>
                <w:sz w:val="20"/>
                <w:lang w:eastAsia="en-AU"/>
              </w:rPr>
              <w:t>1</w:t>
            </w:r>
          </w:p>
        </w:tc>
        <w:tc>
          <w:tcPr>
            <w:tcW w:w="1111" w:type="dxa"/>
            <w:tcBorders>
              <w:top w:val="nil"/>
              <w:left w:val="nil"/>
              <w:bottom w:val="nil"/>
              <w:right w:val="nil"/>
            </w:tcBorders>
            <w:shd w:val="solid" w:color="FFFFFF" w:fill="auto"/>
          </w:tcPr>
          <w:p w:rsidR="00965D85" w:rsidRPr="00B264D4"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B264D4">
              <w:rPr>
                <w:rFonts w:ascii="Calibri" w:eastAsiaTheme="minorEastAsia" w:hAnsi="Calibri" w:cs="Calibri"/>
                <w:color w:val="000000"/>
                <w:sz w:val="20"/>
                <w:lang w:eastAsia="en-AU"/>
              </w:rPr>
              <w:t>3</w:t>
            </w:r>
          </w:p>
        </w:tc>
      </w:tr>
      <w:tr w:rsidR="00965D85" w:rsidRPr="00B264D4" w:rsidTr="008B46DF">
        <w:trPr>
          <w:trHeight w:val="199"/>
        </w:trPr>
        <w:tc>
          <w:tcPr>
            <w:tcW w:w="3538" w:type="dxa"/>
            <w:tcBorders>
              <w:top w:val="nil"/>
              <w:left w:val="nil"/>
              <w:bottom w:val="nil"/>
              <w:right w:val="nil"/>
            </w:tcBorders>
          </w:tcPr>
          <w:p w:rsidR="00965D85" w:rsidRPr="00B264D4" w:rsidRDefault="00965D85" w:rsidP="008B46DF">
            <w:pPr>
              <w:autoSpaceDE w:val="0"/>
              <w:autoSpaceDN w:val="0"/>
              <w:adjustRightInd w:val="0"/>
              <w:spacing w:after="0"/>
              <w:rPr>
                <w:rFonts w:ascii="Calibri" w:eastAsiaTheme="minorEastAsia" w:hAnsi="Calibri" w:cs="Calibri"/>
                <w:color w:val="000000"/>
                <w:sz w:val="20"/>
                <w:lang w:eastAsia="en-AU"/>
              </w:rPr>
            </w:pPr>
            <w:r w:rsidRPr="00B264D4">
              <w:rPr>
                <w:rFonts w:ascii="Calibri" w:eastAsiaTheme="minorEastAsia" w:hAnsi="Calibri" w:cs="Calibri"/>
                <w:color w:val="000000"/>
                <w:sz w:val="20"/>
                <w:lang w:eastAsia="en-AU"/>
              </w:rPr>
              <w:t>Expenses from transactions</w:t>
            </w:r>
          </w:p>
        </w:tc>
        <w:tc>
          <w:tcPr>
            <w:tcW w:w="1111" w:type="dxa"/>
            <w:tcBorders>
              <w:top w:val="nil"/>
              <w:left w:val="nil"/>
              <w:bottom w:val="nil"/>
              <w:right w:val="nil"/>
            </w:tcBorders>
            <w:shd w:val="solid" w:color="FFFFFF" w:fill="auto"/>
          </w:tcPr>
          <w:p w:rsidR="00965D85" w:rsidRPr="00B264D4"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B264D4">
              <w:rPr>
                <w:rFonts w:ascii="Calibri" w:eastAsiaTheme="minorEastAsia" w:hAnsi="Calibri" w:cs="Calibri"/>
                <w:color w:val="000000"/>
                <w:sz w:val="20"/>
                <w:lang w:eastAsia="en-AU"/>
              </w:rPr>
              <w:t>..</w:t>
            </w:r>
          </w:p>
        </w:tc>
        <w:tc>
          <w:tcPr>
            <w:tcW w:w="1111" w:type="dxa"/>
            <w:tcBorders>
              <w:top w:val="nil"/>
              <w:left w:val="nil"/>
              <w:bottom w:val="nil"/>
              <w:right w:val="nil"/>
            </w:tcBorders>
            <w:shd w:val="solid" w:color="FFFFFF" w:fill="auto"/>
          </w:tcPr>
          <w:p w:rsidR="00965D85" w:rsidRPr="00B264D4"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B264D4">
              <w:rPr>
                <w:rFonts w:ascii="Calibri" w:eastAsiaTheme="minorEastAsia" w:hAnsi="Calibri" w:cs="Calibri"/>
                <w:color w:val="000000"/>
                <w:sz w:val="20"/>
                <w:lang w:eastAsia="en-AU"/>
              </w:rPr>
              <w:t>(2)</w:t>
            </w:r>
          </w:p>
        </w:tc>
        <w:tc>
          <w:tcPr>
            <w:tcW w:w="1111" w:type="dxa"/>
            <w:tcBorders>
              <w:top w:val="nil"/>
              <w:left w:val="nil"/>
              <w:bottom w:val="nil"/>
              <w:right w:val="nil"/>
            </w:tcBorders>
            <w:shd w:val="solid" w:color="FFFFFF" w:fill="auto"/>
          </w:tcPr>
          <w:p w:rsidR="00965D85" w:rsidRPr="00B264D4"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B264D4">
              <w:rPr>
                <w:rFonts w:ascii="Calibri" w:eastAsiaTheme="minorEastAsia" w:hAnsi="Calibri" w:cs="Calibri"/>
                <w:color w:val="000000"/>
                <w:sz w:val="20"/>
                <w:lang w:eastAsia="en-AU"/>
              </w:rPr>
              <w:t>(2)</w:t>
            </w:r>
          </w:p>
        </w:tc>
        <w:tc>
          <w:tcPr>
            <w:tcW w:w="1111" w:type="dxa"/>
            <w:tcBorders>
              <w:top w:val="nil"/>
              <w:left w:val="nil"/>
              <w:bottom w:val="nil"/>
              <w:right w:val="nil"/>
            </w:tcBorders>
            <w:shd w:val="solid" w:color="FFFFFF" w:fill="auto"/>
          </w:tcPr>
          <w:p w:rsidR="00965D85" w:rsidRPr="00B264D4"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B264D4">
              <w:rPr>
                <w:rFonts w:ascii="Calibri" w:eastAsiaTheme="minorEastAsia" w:hAnsi="Calibri" w:cs="Calibri"/>
                <w:color w:val="000000"/>
                <w:sz w:val="20"/>
                <w:lang w:eastAsia="en-AU"/>
              </w:rPr>
              <w:t>(2)</w:t>
            </w:r>
          </w:p>
        </w:tc>
      </w:tr>
      <w:tr w:rsidR="00965D85" w:rsidRPr="00B264D4" w:rsidTr="008B46DF">
        <w:trPr>
          <w:trHeight w:val="199"/>
        </w:trPr>
        <w:tc>
          <w:tcPr>
            <w:tcW w:w="3538" w:type="dxa"/>
            <w:tcBorders>
              <w:top w:val="single" w:sz="6" w:space="0" w:color="auto"/>
              <w:left w:val="nil"/>
              <w:bottom w:val="single" w:sz="6" w:space="0" w:color="auto"/>
              <w:right w:val="nil"/>
            </w:tcBorders>
          </w:tcPr>
          <w:p w:rsidR="00965D85" w:rsidRPr="00B264D4" w:rsidRDefault="00965D85" w:rsidP="008B46DF">
            <w:pPr>
              <w:autoSpaceDE w:val="0"/>
              <w:autoSpaceDN w:val="0"/>
              <w:adjustRightInd w:val="0"/>
              <w:spacing w:after="0"/>
              <w:rPr>
                <w:rFonts w:ascii="Calibri" w:eastAsiaTheme="minorEastAsia" w:hAnsi="Calibri" w:cs="Calibri"/>
                <w:b/>
                <w:bCs/>
                <w:color w:val="000000"/>
                <w:sz w:val="20"/>
                <w:lang w:eastAsia="en-AU"/>
              </w:rPr>
            </w:pPr>
            <w:r w:rsidRPr="00B264D4">
              <w:rPr>
                <w:rFonts w:ascii="Calibri" w:eastAsiaTheme="minorEastAsia" w:hAnsi="Calibri" w:cs="Calibri"/>
                <w:b/>
                <w:bCs/>
                <w:color w:val="000000"/>
                <w:sz w:val="20"/>
                <w:lang w:eastAsia="en-AU"/>
              </w:rPr>
              <w:t>Net result</w:t>
            </w:r>
          </w:p>
        </w:tc>
        <w:tc>
          <w:tcPr>
            <w:tcW w:w="1111" w:type="dxa"/>
            <w:tcBorders>
              <w:top w:val="single" w:sz="6" w:space="0" w:color="auto"/>
              <w:left w:val="nil"/>
              <w:bottom w:val="single" w:sz="6" w:space="0" w:color="auto"/>
              <w:right w:val="nil"/>
            </w:tcBorders>
            <w:shd w:val="solid" w:color="FFFFFF" w:fill="auto"/>
          </w:tcPr>
          <w:p w:rsidR="00965D85" w:rsidRPr="00B264D4"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B264D4">
              <w:rPr>
                <w:rFonts w:ascii="Calibri" w:eastAsiaTheme="minorEastAsia" w:hAnsi="Calibri" w:cs="Calibri"/>
                <w:b/>
                <w:bCs/>
                <w:color w:val="000000"/>
                <w:sz w:val="20"/>
                <w:lang w:eastAsia="en-AU"/>
              </w:rPr>
              <w:t>1</w:t>
            </w:r>
          </w:p>
        </w:tc>
        <w:tc>
          <w:tcPr>
            <w:tcW w:w="1111" w:type="dxa"/>
            <w:tcBorders>
              <w:top w:val="single" w:sz="6" w:space="0" w:color="auto"/>
              <w:left w:val="nil"/>
              <w:bottom w:val="single" w:sz="6" w:space="0" w:color="auto"/>
              <w:right w:val="nil"/>
            </w:tcBorders>
            <w:shd w:val="solid" w:color="FFFFFF" w:fill="auto"/>
          </w:tcPr>
          <w:p w:rsidR="00965D85" w:rsidRPr="00B264D4"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B264D4">
              <w:rPr>
                <w:rFonts w:ascii="Calibri" w:eastAsiaTheme="minorEastAsia" w:hAnsi="Calibri" w:cs="Calibri"/>
                <w:b/>
                <w:bCs/>
                <w:color w:val="000000"/>
                <w:sz w:val="20"/>
                <w:lang w:eastAsia="en-AU"/>
              </w:rPr>
              <w:t>4</w:t>
            </w:r>
          </w:p>
        </w:tc>
        <w:tc>
          <w:tcPr>
            <w:tcW w:w="1111" w:type="dxa"/>
            <w:tcBorders>
              <w:top w:val="single" w:sz="6" w:space="0" w:color="auto"/>
              <w:left w:val="nil"/>
              <w:bottom w:val="single" w:sz="6" w:space="0" w:color="auto"/>
              <w:right w:val="nil"/>
            </w:tcBorders>
            <w:shd w:val="solid" w:color="FFFFFF" w:fill="auto"/>
          </w:tcPr>
          <w:p w:rsidR="00965D85" w:rsidRPr="00B264D4"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B264D4">
              <w:rPr>
                <w:rFonts w:ascii="Calibri" w:eastAsiaTheme="minorEastAsia" w:hAnsi="Calibri" w:cs="Calibri"/>
                <w:b/>
                <w:bCs/>
                <w:color w:val="000000"/>
                <w:sz w:val="20"/>
                <w:lang w:eastAsia="en-AU"/>
              </w:rPr>
              <w:t>3</w:t>
            </w:r>
          </w:p>
        </w:tc>
        <w:tc>
          <w:tcPr>
            <w:tcW w:w="1111" w:type="dxa"/>
            <w:tcBorders>
              <w:top w:val="single" w:sz="6" w:space="0" w:color="auto"/>
              <w:left w:val="nil"/>
              <w:bottom w:val="single" w:sz="6" w:space="0" w:color="auto"/>
              <w:right w:val="nil"/>
            </w:tcBorders>
            <w:shd w:val="solid" w:color="FFFFFF" w:fill="auto"/>
          </w:tcPr>
          <w:p w:rsidR="00965D85" w:rsidRPr="00B264D4"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B264D4">
              <w:rPr>
                <w:rFonts w:ascii="Calibri" w:eastAsiaTheme="minorEastAsia" w:hAnsi="Calibri" w:cs="Calibri"/>
                <w:b/>
                <w:bCs/>
                <w:color w:val="000000"/>
                <w:sz w:val="20"/>
                <w:lang w:eastAsia="en-AU"/>
              </w:rPr>
              <w:t>3</w:t>
            </w:r>
          </w:p>
        </w:tc>
      </w:tr>
      <w:tr w:rsidR="00965D85" w:rsidRPr="00B264D4" w:rsidTr="008B46DF">
        <w:trPr>
          <w:trHeight w:val="211"/>
        </w:trPr>
        <w:tc>
          <w:tcPr>
            <w:tcW w:w="3538" w:type="dxa"/>
            <w:tcBorders>
              <w:top w:val="single" w:sz="6" w:space="0" w:color="auto"/>
              <w:left w:val="nil"/>
              <w:bottom w:val="single" w:sz="12" w:space="0" w:color="auto"/>
              <w:right w:val="nil"/>
            </w:tcBorders>
          </w:tcPr>
          <w:p w:rsidR="00965D85" w:rsidRPr="00B264D4" w:rsidRDefault="00965D85" w:rsidP="008B46DF">
            <w:pPr>
              <w:autoSpaceDE w:val="0"/>
              <w:autoSpaceDN w:val="0"/>
              <w:adjustRightInd w:val="0"/>
              <w:spacing w:after="0"/>
              <w:rPr>
                <w:rFonts w:ascii="Calibri" w:eastAsiaTheme="minorEastAsia" w:hAnsi="Calibri" w:cs="Calibri"/>
                <w:b/>
                <w:bCs/>
                <w:color w:val="000000"/>
                <w:sz w:val="20"/>
                <w:lang w:eastAsia="en-AU"/>
              </w:rPr>
            </w:pPr>
            <w:r w:rsidRPr="00B264D4">
              <w:rPr>
                <w:rFonts w:ascii="Calibri" w:eastAsiaTheme="minorEastAsia" w:hAnsi="Calibri" w:cs="Calibri"/>
                <w:b/>
                <w:bCs/>
                <w:color w:val="000000"/>
                <w:sz w:val="20"/>
                <w:lang w:eastAsia="en-AU"/>
              </w:rPr>
              <w:t>Net debt (cumulative)</w:t>
            </w:r>
          </w:p>
        </w:tc>
        <w:tc>
          <w:tcPr>
            <w:tcW w:w="1111" w:type="dxa"/>
            <w:tcBorders>
              <w:top w:val="single" w:sz="6" w:space="0" w:color="auto"/>
              <w:left w:val="nil"/>
              <w:bottom w:val="single" w:sz="12" w:space="0" w:color="auto"/>
              <w:right w:val="nil"/>
            </w:tcBorders>
            <w:shd w:val="solid" w:color="FFFFFF" w:fill="auto"/>
          </w:tcPr>
          <w:p w:rsidR="00965D85" w:rsidRPr="00B264D4"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B264D4">
              <w:rPr>
                <w:rFonts w:ascii="Calibri" w:eastAsiaTheme="minorEastAsia" w:hAnsi="Calibri" w:cs="Calibri"/>
                <w:b/>
                <w:bCs/>
                <w:color w:val="000000"/>
                <w:sz w:val="20"/>
                <w:lang w:eastAsia="en-AU"/>
              </w:rPr>
              <w:t>(1)</w:t>
            </w:r>
          </w:p>
        </w:tc>
        <w:tc>
          <w:tcPr>
            <w:tcW w:w="1111" w:type="dxa"/>
            <w:tcBorders>
              <w:top w:val="single" w:sz="6" w:space="0" w:color="auto"/>
              <w:left w:val="nil"/>
              <w:bottom w:val="single" w:sz="12" w:space="0" w:color="auto"/>
              <w:right w:val="nil"/>
            </w:tcBorders>
            <w:shd w:val="solid" w:color="FFFFFF" w:fill="auto"/>
          </w:tcPr>
          <w:p w:rsidR="00965D85" w:rsidRPr="00B264D4"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B264D4">
              <w:rPr>
                <w:rFonts w:ascii="Calibri" w:eastAsiaTheme="minorEastAsia" w:hAnsi="Calibri" w:cs="Calibri"/>
                <w:b/>
                <w:bCs/>
                <w:color w:val="000000"/>
                <w:sz w:val="20"/>
                <w:lang w:eastAsia="en-AU"/>
              </w:rPr>
              <w:t>(3)</w:t>
            </w:r>
          </w:p>
        </w:tc>
        <w:tc>
          <w:tcPr>
            <w:tcW w:w="1111" w:type="dxa"/>
            <w:tcBorders>
              <w:top w:val="single" w:sz="6" w:space="0" w:color="auto"/>
              <w:left w:val="nil"/>
              <w:bottom w:val="single" w:sz="12" w:space="0" w:color="auto"/>
              <w:right w:val="nil"/>
            </w:tcBorders>
            <w:shd w:val="solid" w:color="FFFFFF" w:fill="auto"/>
          </w:tcPr>
          <w:p w:rsidR="00965D85" w:rsidRPr="00B264D4"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B264D4">
              <w:rPr>
                <w:rFonts w:ascii="Calibri" w:eastAsiaTheme="minorEastAsia" w:hAnsi="Calibri" w:cs="Calibri"/>
                <w:b/>
                <w:bCs/>
                <w:color w:val="000000"/>
                <w:sz w:val="20"/>
                <w:lang w:eastAsia="en-AU"/>
              </w:rPr>
              <w:t>(4)</w:t>
            </w:r>
          </w:p>
        </w:tc>
        <w:tc>
          <w:tcPr>
            <w:tcW w:w="1111" w:type="dxa"/>
            <w:tcBorders>
              <w:top w:val="single" w:sz="6" w:space="0" w:color="auto"/>
              <w:left w:val="nil"/>
              <w:bottom w:val="single" w:sz="12" w:space="0" w:color="auto"/>
              <w:right w:val="nil"/>
            </w:tcBorders>
            <w:shd w:val="solid" w:color="FFFFFF" w:fill="auto"/>
          </w:tcPr>
          <w:p w:rsidR="00965D85" w:rsidRPr="00B264D4"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B264D4">
              <w:rPr>
                <w:rFonts w:ascii="Calibri" w:eastAsiaTheme="minorEastAsia" w:hAnsi="Calibri" w:cs="Calibri"/>
                <w:b/>
                <w:bCs/>
                <w:color w:val="000000"/>
                <w:sz w:val="20"/>
                <w:lang w:eastAsia="en-AU"/>
              </w:rPr>
              <w:t>(6)</w:t>
            </w:r>
          </w:p>
        </w:tc>
      </w:tr>
      <w:tr w:rsidR="00965D85" w:rsidRPr="00B264D4" w:rsidTr="008B46DF">
        <w:trPr>
          <w:trHeight w:val="199"/>
        </w:trPr>
        <w:tc>
          <w:tcPr>
            <w:tcW w:w="3538" w:type="dxa"/>
            <w:tcBorders>
              <w:top w:val="nil"/>
              <w:left w:val="nil"/>
              <w:bottom w:val="nil"/>
              <w:right w:val="nil"/>
            </w:tcBorders>
          </w:tcPr>
          <w:p w:rsidR="00965D85" w:rsidRPr="00B264D4" w:rsidRDefault="00965D85" w:rsidP="008B46DF">
            <w:pPr>
              <w:autoSpaceDE w:val="0"/>
              <w:autoSpaceDN w:val="0"/>
              <w:adjustRightInd w:val="0"/>
              <w:spacing w:after="0"/>
              <w:rPr>
                <w:rFonts w:ascii="Calibri" w:eastAsiaTheme="minorEastAsia" w:hAnsi="Calibri" w:cs="Calibri"/>
                <w:b/>
                <w:bCs/>
                <w:color w:val="000000"/>
                <w:sz w:val="20"/>
                <w:lang w:eastAsia="en-AU"/>
              </w:rPr>
            </w:pPr>
            <w:r w:rsidRPr="00B264D4">
              <w:rPr>
                <w:rFonts w:ascii="Calibri" w:eastAsiaTheme="minorEastAsia" w:hAnsi="Calibri" w:cs="Calibri"/>
                <w:b/>
                <w:bCs/>
                <w:color w:val="000000"/>
                <w:sz w:val="20"/>
                <w:lang w:eastAsia="en-AU"/>
              </w:rPr>
              <w:t xml:space="preserve">Overseas share prices </w:t>
            </w:r>
          </w:p>
        </w:tc>
        <w:tc>
          <w:tcPr>
            <w:tcW w:w="1111" w:type="dxa"/>
            <w:tcBorders>
              <w:top w:val="nil"/>
              <w:left w:val="nil"/>
              <w:bottom w:val="nil"/>
              <w:right w:val="nil"/>
            </w:tcBorders>
          </w:tcPr>
          <w:p w:rsidR="00965D85" w:rsidRPr="00B264D4"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B264D4">
              <w:rPr>
                <w:rFonts w:ascii="Calibri" w:eastAsiaTheme="minorEastAsia" w:hAnsi="Calibri" w:cs="Calibri"/>
                <w:color w:val="000000"/>
                <w:sz w:val="20"/>
                <w:lang w:eastAsia="en-AU"/>
              </w:rPr>
              <w:t xml:space="preserve"> </w:t>
            </w:r>
          </w:p>
        </w:tc>
        <w:tc>
          <w:tcPr>
            <w:tcW w:w="1111" w:type="dxa"/>
            <w:tcBorders>
              <w:top w:val="nil"/>
              <w:left w:val="nil"/>
              <w:bottom w:val="nil"/>
              <w:right w:val="nil"/>
            </w:tcBorders>
          </w:tcPr>
          <w:p w:rsidR="00965D85" w:rsidRPr="00B264D4"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B264D4">
              <w:rPr>
                <w:rFonts w:ascii="Calibri" w:eastAsiaTheme="minorEastAsia" w:hAnsi="Calibri" w:cs="Calibri"/>
                <w:color w:val="000000"/>
                <w:sz w:val="20"/>
                <w:lang w:eastAsia="en-AU"/>
              </w:rPr>
              <w:t xml:space="preserve"> </w:t>
            </w:r>
          </w:p>
        </w:tc>
        <w:tc>
          <w:tcPr>
            <w:tcW w:w="1111" w:type="dxa"/>
            <w:tcBorders>
              <w:top w:val="nil"/>
              <w:left w:val="nil"/>
              <w:bottom w:val="nil"/>
              <w:right w:val="nil"/>
            </w:tcBorders>
          </w:tcPr>
          <w:p w:rsidR="00965D85" w:rsidRPr="00B264D4"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B264D4">
              <w:rPr>
                <w:rFonts w:ascii="Calibri" w:eastAsiaTheme="minorEastAsia" w:hAnsi="Calibri" w:cs="Calibri"/>
                <w:color w:val="000000"/>
                <w:sz w:val="20"/>
                <w:lang w:eastAsia="en-AU"/>
              </w:rPr>
              <w:t xml:space="preserve"> </w:t>
            </w:r>
          </w:p>
        </w:tc>
        <w:tc>
          <w:tcPr>
            <w:tcW w:w="1111" w:type="dxa"/>
            <w:tcBorders>
              <w:top w:val="nil"/>
              <w:left w:val="nil"/>
              <w:bottom w:val="nil"/>
              <w:right w:val="nil"/>
            </w:tcBorders>
          </w:tcPr>
          <w:p w:rsidR="00965D85" w:rsidRPr="00B264D4"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B264D4">
              <w:rPr>
                <w:rFonts w:ascii="Calibri" w:eastAsiaTheme="minorEastAsia" w:hAnsi="Calibri" w:cs="Calibri"/>
                <w:color w:val="000000"/>
                <w:sz w:val="20"/>
                <w:lang w:eastAsia="en-AU"/>
              </w:rPr>
              <w:t xml:space="preserve"> </w:t>
            </w:r>
          </w:p>
        </w:tc>
      </w:tr>
      <w:tr w:rsidR="00965D85" w:rsidRPr="00B264D4" w:rsidTr="008B46DF">
        <w:trPr>
          <w:trHeight w:val="199"/>
        </w:trPr>
        <w:tc>
          <w:tcPr>
            <w:tcW w:w="3538" w:type="dxa"/>
            <w:tcBorders>
              <w:top w:val="nil"/>
              <w:left w:val="nil"/>
              <w:bottom w:val="nil"/>
              <w:right w:val="nil"/>
            </w:tcBorders>
          </w:tcPr>
          <w:p w:rsidR="00965D85" w:rsidRPr="00B264D4" w:rsidRDefault="00965D85" w:rsidP="008B46DF">
            <w:pPr>
              <w:autoSpaceDE w:val="0"/>
              <w:autoSpaceDN w:val="0"/>
              <w:adjustRightInd w:val="0"/>
              <w:spacing w:after="0"/>
              <w:rPr>
                <w:rFonts w:ascii="Calibri" w:eastAsiaTheme="minorEastAsia" w:hAnsi="Calibri" w:cs="Calibri"/>
                <w:color w:val="000000"/>
                <w:sz w:val="20"/>
                <w:lang w:eastAsia="en-AU"/>
              </w:rPr>
            </w:pPr>
            <w:r w:rsidRPr="00B264D4">
              <w:rPr>
                <w:rFonts w:ascii="Calibri" w:eastAsiaTheme="minorEastAsia" w:hAnsi="Calibri" w:cs="Calibri"/>
                <w:color w:val="000000"/>
                <w:sz w:val="20"/>
                <w:lang w:eastAsia="en-AU"/>
              </w:rPr>
              <w:t>Income from transactions</w:t>
            </w:r>
          </w:p>
        </w:tc>
        <w:tc>
          <w:tcPr>
            <w:tcW w:w="1111" w:type="dxa"/>
            <w:tcBorders>
              <w:top w:val="nil"/>
              <w:left w:val="nil"/>
              <w:bottom w:val="nil"/>
              <w:right w:val="nil"/>
            </w:tcBorders>
            <w:shd w:val="solid" w:color="FFFFFF" w:fill="auto"/>
          </w:tcPr>
          <w:p w:rsidR="00965D85" w:rsidRPr="00B264D4"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B264D4">
              <w:rPr>
                <w:rFonts w:ascii="Calibri" w:eastAsiaTheme="minorEastAsia" w:hAnsi="Calibri" w:cs="Calibri"/>
                <w:color w:val="000000"/>
                <w:sz w:val="20"/>
                <w:lang w:eastAsia="en-AU"/>
              </w:rPr>
              <w:t>3</w:t>
            </w:r>
          </w:p>
        </w:tc>
        <w:tc>
          <w:tcPr>
            <w:tcW w:w="1111" w:type="dxa"/>
            <w:tcBorders>
              <w:top w:val="nil"/>
              <w:left w:val="nil"/>
              <w:bottom w:val="nil"/>
              <w:right w:val="nil"/>
            </w:tcBorders>
            <w:shd w:val="solid" w:color="FFFFFF" w:fill="auto"/>
          </w:tcPr>
          <w:p w:rsidR="00965D85" w:rsidRPr="00B264D4"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B264D4">
              <w:rPr>
                <w:rFonts w:ascii="Calibri" w:eastAsiaTheme="minorEastAsia" w:hAnsi="Calibri" w:cs="Calibri"/>
                <w:color w:val="000000"/>
                <w:sz w:val="20"/>
                <w:lang w:eastAsia="en-AU"/>
              </w:rPr>
              <w:t>7</w:t>
            </w:r>
          </w:p>
        </w:tc>
        <w:tc>
          <w:tcPr>
            <w:tcW w:w="1111" w:type="dxa"/>
            <w:tcBorders>
              <w:top w:val="nil"/>
              <w:left w:val="nil"/>
              <w:bottom w:val="nil"/>
              <w:right w:val="nil"/>
            </w:tcBorders>
            <w:shd w:val="solid" w:color="FFFFFF" w:fill="auto"/>
          </w:tcPr>
          <w:p w:rsidR="00965D85" w:rsidRPr="00B264D4"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B264D4">
              <w:rPr>
                <w:rFonts w:ascii="Calibri" w:eastAsiaTheme="minorEastAsia" w:hAnsi="Calibri" w:cs="Calibri"/>
                <w:color w:val="000000"/>
                <w:sz w:val="20"/>
                <w:lang w:eastAsia="en-AU"/>
              </w:rPr>
              <w:t>4</w:t>
            </w:r>
          </w:p>
        </w:tc>
        <w:tc>
          <w:tcPr>
            <w:tcW w:w="1111" w:type="dxa"/>
            <w:tcBorders>
              <w:top w:val="nil"/>
              <w:left w:val="nil"/>
              <w:bottom w:val="nil"/>
              <w:right w:val="nil"/>
            </w:tcBorders>
            <w:shd w:val="solid" w:color="FFFFFF" w:fill="auto"/>
          </w:tcPr>
          <w:p w:rsidR="00965D85" w:rsidRPr="00B264D4"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B264D4">
              <w:rPr>
                <w:rFonts w:ascii="Calibri" w:eastAsiaTheme="minorEastAsia" w:hAnsi="Calibri" w:cs="Calibri"/>
                <w:color w:val="000000"/>
                <w:sz w:val="20"/>
                <w:lang w:eastAsia="en-AU"/>
              </w:rPr>
              <w:t>2</w:t>
            </w:r>
          </w:p>
        </w:tc>
      </w:tr>
      <w:tr w:rsidR="00965D85" w:rsidRPr="00B264D4" w:rsidTr="008B46DF">
        <w:trPr>
          <w:trHeight w:val="199"/>
        </w:trPr>
        <w:tc>
          <w:tcPr>
            <w:tcW w:w="3538" w:type="dxa"/>
            <w:tcBorders>
              <w:top w:val="nil"/>
              <w:left w:val="nil"/>
              <w:bottom w:val="nil"/>
              <w:right w:val="nil"/>
            </w:tcBorders>
          </w:tcPr>
          <w:p w:rsidR="00965D85" w:rsidRPr="00B264D4" w:rsidRDefault="00965D85" w:rsidP="008B46DF">
            <w:pPr>
              <w:autoSpaceDE w:val="0"/>
              <w:autoSpaceDN w:val="0"/>
              <w:adjustRightInd w:val="0"/>
              <w:spacing w:after="0"/>
              <w:rPr>
                <w:rFonts w:ascii="Calibri" w:eastAsiaTheme="minorEastAsia" w:hAnsi="Calibri" w:cs="Calibri"/>
                <w:color w:val="000000"/>
                <w:sz w:val="20"/>
                <w:lang w:eastAsia="en-AU"/>
              </w:rPr>
            </w:pPr>
            <w:r w:rsidRPr="00B264D4">
              <w:rPr>
                <w:rFonts w:ascii="Calibri" w:eastAsiaTheme="minorEastAsia" w:hAnsi="Calibri" w:cs="Calibri"/>
                <w:color w:val="000000"/>
                <w:sz w:val="20"/>
                <w:lang w:eastAsia="en-AU"/>
              </w:rPr>
              <w:t>Expenses from transactions</w:t>
            </w:r>
          </w:p>
        </w:tc>
        <w:tc>
          <w:tcPr>
            <w:tcW w:w="1111" w:type="dxa"/>
            <w:tcBorders>
              <w:top w:val="nil"/>
              <w:left w:val="nil"/>
              <w:bottom w:val="nil"/>
              <w:right w:val="nil"/>
            </w:tcBorders>
            <w:shd w:val="solid" w:color="FFFFFF" w:fill="auto"/>
          </w:tcPr>
          <w:p w:rsidR="00965D85" w:rsidRPr="00B264D4"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B264D4">
              <w:rPr>
                <w:rFonts w:ascii="Calibri" w:eastAsiaTheme="minorEastAsia" w:hAnsi="Calibri" w:cs="Calibri"/>
                <w:color w:val="000000"/>
                <w:sz w:val="20"/>
                <w:lang w:eastAsia="en-AU"/>
              </w:rPr>
              <w:t>..</w:t>
            </w:r>
          </w:p>
        </w:tc>
        <w:tc>
          <w:tcPr>
            <w:tcW w:w="1111" w:type="dxa"/>
            <w:tcBorders>
              <w:top w:val="nil"/>
              <w:left w:val="nil"/>
              <w:bottom w:val="nil"/>
              <w:right w:val="nil"/>
            </w:tcBorders>
            <w:shd w:val="solid" w:color="FFFFFF" w:fill="auto"/>
          </w:tcPr>
          <w:p w:rsidR="00965D85" w:rsidRPr="00B264D4"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B264D4">
              <w:rPr>
                <w:rFonts w:ascii="Calibri" w:eastAsiaTheme="minorEastAsia" w:hAnsi="Calibri" w:cs="Calibri"/>
                <w:color w:val="000000"/>
                <w:sz w:val="20"/>
                <w:lang w:eastAsia="en-AU"/>
              </w:rPr>
              <w:t>(2)</w:t>
            </w:r>
          </w:p>
        </w:tc>
        <w:tc>
          <w:tcPr>
            <w:tcW w:w="1111" w:type="dxa"/>
            <w:tcBorders>
              <w:top w:val="nil"/>
              <w:left w:val="nil"/>
              <w:bottom w:val="nil"/>
              <w:right w:val="nil"/>
            </w:tcBorders>
            <w:shd w:val="solid" w:color="FFFFFF" w:fill="auto"/>
          </w:tcPr>
          <w:p w:rsidR="00965D85" w:rsidRPr="00B264D4"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B264D4">
              <w:rPr>
                <w:rFonts w:ascii="Calibri" w:eastAsiaTheme="minorEastAsia" w:hAnsi="Calibri" w:cs="Calibri"/>
                <w:color w:val="000000"/>
                <w:sz w:val="20"/>
                <w:lang w:eastAsia="en-AU"/>
              </w:rPr>
              <w:t>(2)</w:t>
            </w:r>
          </w:p>
        </w:tc>
        <w:tc>
          <w:tcPr>
            <w:tcW w:w="1111" w:type="dxa"/>
            <w:tcBorders>
              <w:top w:val="nil"/>
              <w:left w:val="nil"/>
              <w:bottom w:val="nil"/>
              <w:right w:val="nil"/>
            </w:tcBorders>
            <w:shd w:val="solid" w:color="FFFFFF" w:fill="auto"/>
          </w:tcPr>
          <w:p w:rsidR="00965D85" w:rsidRPr="00B264D4"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B264D4">
              <w:rPr>
                <w:rFonts w:ascii="Calibri" w:eastAsiaTheme="minorEastAsia" w:hAnsi="Calibri" w:cs="Calibri"/>
                <w:color w:val="000000"/>
                <w:sz w:val="20"/>
                <w:lang w:eastAsia="en-AU"/>
              </w:rPr>
              <w:t>(3)</w:t>
            </w:r>
          </w:p>
        </w:tc>
      </w:tr>
      <w:tr w:rsidR="00965D85" w:rsidRPr="00B264D4" w:rsidTr="008B46DF">
        <w:trPr>
          <w:trHeight w:val="199"/>
        </w:trPr>
        <w:tc>
          <w:tcPr>
            <w:tcW w:w="3538" w:type="dxa"/>
            <w:tcBorders>
              <w:top w:val="single" w:sz="6" w:space="0" w:color="auto"/>
              <w:left w:val="nil"/>
              <w:bottom w:val="single" w:sz="6" w:space="0" w:color="auto"/>
              <w:right w:val="nil"/>
            </w:tcBorders>
          </w:tcPr>
          <w:p w:rsidR="00965D85" w:rsidRPr="00B264D4" w:rsidRDefault="00965D85" w:rsidP="008B46DF">
            <w:pPr>
              <w:autoSpaceDE w:val="0"/>
              <w:autoSpaceDN w:val="0"/>
              <w:adjustRightInd w:val="0"/>
              <w:spacing w:after="0"/>
              <w:rPr>
                <w:rFonts w:ascii="Calibri" w:eastAsiaTheme="minorEastAsia" w:hAnsi="Calibri" w:cs="Calibri"/>
                <w:b/>
                <w:bCs/>
                <w:color w:val="000000"/>
                <w:sz w:val="20"/>
                <w:lang w:eastAsia="en-AU"/>
              </w:rPr>
            </w:pPr>
            <w:r w:rsidRPr="00B264D4">
              <w:rPr>
                <w:rFonts w:ascii="Calibri" w:eastAsiaTheme="minorEastAsia" w:hAnsi="Calibri" w:cs="Calibri"/>
                <w:b/>
                <w:bCs/>
                <w:color w:val="000000"/>
                <w:sz w:val="20"/>
                <w:lang w:eastAsia="en-AU"/>
              </w:rPr>
              <w:t>Net result from transactions</w:t>
            </w:r>
          </w:p>
        </w:tc>
        <w:tc>
          <w:tcPr>
            <w:tcW w:w="1111" w:type="dxa"/>
            <w:tcBorders>
              <w:top w:val="single" w:sz="6" w:space="0" w:color="auto"/>
              <w:left w:val="nil"/>
              <w:bottom w:val="single" w:sz="6" w:space="0" w:color="auto"/>
              <w:right w:val="nil"/>
            </w:tcBorders>
            <w:shd w:val="solid" w:color="FFFFFF" w:fill="auto"/>
          </w:tcPr>
          <w:p w:rsidR="00965D85" w:rsidRPr="00B264D4"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B264D4">
              <w:rPr>
                <w:rFonts w:ascii="Calibri" w:eastAsiaTheme="minorEastAsia" w:hAnsi="Calibri" w:cs="Calibri"/>
                <w:b/>
                <w:bCs/>
                <w:color w:val="000000"/>
                <w:sz w:val="20"/>
                <w:lang w:eastAsia="en-AU"/>
              </w:rPr>
              <w:t>3</w:t>
            </w:r>
          </w:p>
        </w:tc>
        <w:tc>
          <w:tcPr>
            <w:tcW w:w="1111" w:type="dxa"/>
            <w:tcBorders>
              <w:top w:val="single" w:sz="6" w:space="0" w:color="auto"/>
              <w:left w:val="nil"/>
              <w:bottom w:val="single" w:sz="6" w:space="0" w:color="auto"/>
              <w:right w:val="nil"/>
            </w:tcBorders>
            <w:shd w:val="solid" w:color="FFFFFF" w:fill="auto"/>
          </w:tcPr>
          <w:p w:rsidR="00965D85" w:rsidRPr="00B264D4"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B264D4">
              <w:rPr>
                <w:rFonts w:ascii="Calibri" w:eastAsiaTheme="minorEastAsia" w:hAnsi="Calibri" w:cs="Calibri"/>
                <w:b/>
                <w:bCs/>
                <w:color w:val="000000"/>
                <w:sz w:val="20"/>
                <w:lang w:eastAsia="en-AU"/>
              </w:rPr>
              <w:t>9</w:t>
            </w:r>
          </w:p>
        </w:tc>
        <w:tc>
          <w:tcPr>
            <w:tcW w:w="1111" w:type="dxa"/>
            <w:tcBorders>
              <w:top w:val="single" w:sz="6" w:space="0" w:color="auto"/>
              <w:left w:val="nil"/>
              <w:bottom w:val="single" w:sz="6" w:space="0" w:color="auto"/>
              <w:right w:val="nil"/>
            </w:tcBorders>
            <w:shd w:val="solid" w:color="FFFFFF" w:fill="auto"/>
          </w:tcPr>
          <w:p w:rsidR="00965D85" w:rsidRPr="00B264D4"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B264D4">
              <w:rPr>
                <w:rFonts w:ascii="Calibri" w:eastAsiaTheme="minorEastAsia" w:hAnsi="Calibri" w:cs="Calibri"/>
                <w:b/>
                <w:bCs/>
                <w:color w:val="000000"/>
                <w:sz w:val="20"/>
                <w:lang w:eastAsia="en-AU"/>
              </w:rPr>
              <w:t>6</w:t>
            </w:r>
          </w:p>
        </w:tc>
        <w:tc>
          <w:tcPr>
            <w:tcW w:w="1111" w:type="dxa"/>
            <w:tcBorders>
              <w:top w:val="single" w:sz="6" w:space="0" w:color="auto"/>
              <w:left w:val="nil"/>
              <w:bottom w:val="single" w:sz="6" w:space="0" w:color="auto"/>
              <w:right w:val="nil"/>
            </w:tcBorders>
            <w:shd w:val="solid" w:color="FFFFFF" w:fill="auto"/>
          </w:tcPr>
          <w:p w:rsidR="00965D85" w:rsidRPr="00B264D4"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B264D4">
              <w:rPr>
                <w:rFonts w:ascii="Calibri" w:eastAsiaTheme="minorEastAsia" w:hAnsi="Calibri" w:cs="Calibri"/>
                <w:b/>
                <w:bCs/>
                <w:color w:val="000000"/>
                <w:sz w:val="20"/>
                <w:lang w:eastAsia="en-AU"/>
              </w:rPr>
              <w:t>5</w:t>
            </w:r>
          </w:p>
        </w:tc>
      </w:tr>
      <w:tr w:rsidR="00965D85" w:rsidRPr="00B264D4" w:rsidTr="008B46DF">
        <w:trPr>
          <w:trHeight w:val="211"/>
        </w:trPr>
        <w:tc>
          <w:tcPr>
            <w:tcW w:w="3538" w:type="dxa"/>
            <w:tcBorders>
              <w:top w:val="single" w:sz="6" w:space="0" w:color="auto"/>
              <w:left w:val="nil"/>
              <w:bottom w:val="single" w:sz="12" w:space="0" w:color="auto"/>
              <w:right w:val="nil"/>
            </w:tcBorders>
          </w:tcPr>
          <w:p w:rsidR="00965D85" w:rsidRPr="00B264D4" w:rsidRDefault="00965D85" w:rsidP="008B46DF">
            <w:pPr>
              <w:autoSpaceDE w:val="0"/>
              <w:autoSpaceDN w:val="0"/>
              <w:adjustRightInd w:val="0"/>
              <w:spacing w:after="0"/>
              <w:rPr>
                <w:rFonts w:ascii="Calibri" w:eastAsiaTheme="minorEastAsia" w:hAnsi="Calibri" w:cs="Calibri"/>
                <w:b/>
                <w:bCs/>
                <w:color w:val="000000"/>
                <w:sz w:val="20"/>
                <w:lang w:eastAsia="en-AU"/>
              </w:rPr>
            </w:pPr>
            <w:r w:rsidRPr="00B264D4">
              <w:rPr>
                <w:rFonts w:ascii="Calibri" w:eastAsiaTheme="minorEastAsia" w:hAnsi="Calibri" w:cs="Calibri"/>
                <w:b/>
                <w:bCs/>
                <w:color w:val="000000"/>
                <w:sz w:val="20"/>
                <w:lang w:eastAsia="en-AU"/>
              </w:rPr>
              <w:t>Net debt</w:t>
            </w:r>
          </w:p>
        </w:tc>
        <w:tc>
          <w:tcPr>
            <w:tcW w:w="1111" w:type="dxa"/>
            <w:tcBorders>
              <w:top w:val="single" w:sz="6" w:space="0" w:color="auto"/>
              <w:left w:val="nil"/>
              <w:bottom w:val="single" w:sz="12" w:space="0" w:color="auto"/>
              <w:right w:val="nil"/>
            </w:tcBorders>
            <w:shd w:val="solid" w:color="FFFFFF" w:fill="auto"/>
          </w:tcPr>
          <w:p w:rsidR="00965D85" w:rsidRPr="00B264D4"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B264D4">
              <w:rPr>
                <w:rFonts w:ascii="Calibri" w:eastAsiaTheme="minorEastAsia" w:hAnsi="Calibri" w:cs="Calibri"/>
                <w:b/>
                <w:bCs/>
                <w:color w:val="000000"/>
                <w:sz w:val="20"/>
                <w:lang w:eastAsia="en-AU"/>
              </w:rPr>
              <w:t>(3)</w:t>
            </w:r>
          </w:p>
        </w:tc>
        <w:tc>
          <w:tcPr>
            <w:tcW w:w="1111" w:type="dxa"/>
            <w:tcBorders>
              <w:top w:val="single" w:sz="6" w:space="0" w:color="auto"/>
              <w:left w:val="nil"/>
              <w:bottom w:val="single" w:sz="12" w:space="0" w:color="auto"/>
              <w:right w:val="nil"/>
            </w:tcBorders>
            <w:shd w:val="solid" w:color="FFFFFF" w:fill="auto"/>
          </w:tcPr>
          <w:p w:rsidR="00965D85" w:rsidRPr="00B264D4"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B264D4">
              <w:rPr>
                <w:rFonts w:ascii="Calibri" w:eastAsiaTheme="minorEastAsia" w:hAnsi="Calibri" w:cs="Calibri"/>
                <w:b/>
                <w:bCs/>
                <w:color w:val="000000"/>
                <w:sz w:val="20"/>
                <w:lang w:eastAsia="en-AU"/>
              </w:rPr>
              <w:t>(10)</w:t>
            </w:r>
          </w:p>
        </w:tc>
        <w:tc>
          <w:tcPr>
            <w:tcW w:w="1111" w:type="dxa"/>
            <w:tcBorders>
              <w:top w:val="single" w:sz="6" w:space="0" w:color="auto"/>
              <w:left w:val="nil"/>
              <w:bottom w:val="single" w:sz="12" w:space="0" w:color="auto"/>
              <w:right w:val="nil"/>
            </w:tcBorders>
            <w:shd w:val="solid" w:color="FFFFFF" w:fill="auto"/>
          </w:tcPr>
          <w:p w:rsidR="00965D85" w:rsidRPr="00B264D4"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B264D4">
              <w:rPr>
                <w:rFonts w:ascii="Calibri" w:eastAsiaTheme="minorEastAsia" w:hAnsi="Calibri" w:cs="Calibri"/>
                <w:b/>
                <w:bCs/>
                <w:color w:val="000000"/>
                <w:sz w:val="20"/>
                <w:lang w:eastAsia="en-AU"/>
              </w:rPr>
              <w:t>(15)</w:t>
            </w:r>
          </w:p>
        </w:tc>
        <w:tc>
          <w:tcPr>
            <w:tcW w:w="1111" w:type="dxa"/>
            <w:tcBorders>
              <w:top w:val="single" w:sz="6" w:space="0" w:color="auto"/>
              <w:left w:val="nil"/>
              <w:bottom w:val="single" w:sz="12" w:space="0" w:color="auto"/>
              <w:right w:val="nil"/>
            </w:tcBorders>
            <w:shd w:val="solid" w:color="FFFFFF" w:fill="auto"/>
          </w:tcPr>
          <w:p w:rsidR="00965D85" w:rsidRPr="00B264D4"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B264D4">
              <w:rPr>
                <w:rFonts w:ascii="Calibri" w:eastAsiaTheme="minorEastAsia" w:hAnsi="Calibri" w:cs="Calibri"/>
                <w:b/>
                <w:bCs/>
                <w:color w:val="000000"/>
                <w:sz w:val="20"/>
                <w:lang w:eastAsia="en-AU"/>
              </w:rPr>
              <w:t>(18)</w:t>
            </w:r>
          </w:p>
        </w:tc>
      </w:tr>
    </w:tbl>
    <w:p w:rsidR="00965D85" w:rsidRDefault="00965D85" w:rsidP="008B46DF">
      <w:pPr>
        <w:pStyle w:val="million"/>
      </w:pPr>
      <w:r>
        <w:fldChar w:fldCharType="end"/>
      </w:r>
    </w:p>
    <w:p w:rsidR="00965D85" w:rsidRDefault="00965D85" w:rsidP="008B46DF">
      <w:pPr>
        <w:pStyle w:val="Heading1"/>
        <w:rPr>
          <w:sz w:val="15"/>
        </w:rPr>
      </w:pPr>
      <w:r>
        <w:br w:type="page"/>
      </w:r>
    </w:p>
    <w:p w:rsidR="00965D85" w:rsidRPr="00D23DB4" w:rsidRDefault="00965D85" w:rsidP="008B46DF">
      <w:pPr>
        <w:pStyle w:val="Tableheading"/>
      </w:pPr>
      <w:r>
        <w:lastRenderedPageBreak/>
        <w:t>Table D.</w:t>
      </w:r>
      <w:r w:rsidRPr="006D0251">
        <w:t>1</w:t>
      </w:r>
      <w:r>
        <w:t>:</w:t>
      </w:r>
      <w:r>
        <w:tab/>
      </w:r>
      <w:r w:rsidRPr="00FA77F3">
        <w:t xml:space="preserve">Sensitivity of key </w:t>
      </w:r>
      <w:r w:rsidRPr="002B36D5">
        <w:t>fiscal</w:t>
      </w:r>
      <w:r w:rsidRPr="00FA77F3">
        <w:t xml:space="preserve"> aggregates to selected economic indicators being 1</w:t>
      </w:r>
      <w:r>
        <w:t> per cent</w:t>
      </w:r>
      <w:r w:rsidRPr="00FA77F3">
        <w:t xml:space="preserve"> higher </w:t>
      </w:r>
      <w:r w:rsidRPr="00CD66A9">
        <w:t>than</w:t>
      </w:r>
      <w:r>
        <w:t xml:space="preserve"> expected from 2015</w:t>
      </w:r>
      <w:r>
        <w:noBreakHyphen/>
        <w:t>16</w:t>
      </w:r>
      <w:r>
        <w:rPr>
          <w:vertAlign w:val="superscript"/>
        </w:rPr>
        <w:t xml:space="preserve"> </w:t>
      </w:r>
      <w:r>
        <w:rPr>
          <w:i/>
        </w:rPr>
        <w:t>(continued)</w:t>
      </w:r>
    </w:p>
    <w:p w:rsidR="00965D85" w:rsidRPr="00B264D4" w:rsidRDefault="00965D85" w:rsidP="008B46DF">
      <w:pPr>
        <w:pStyle w:val="million"/>
      </w:pPr>
      <w:r>
        <w:t>($ million)</w:t>
      </w:r>
      <w:r>
        <w:fldChar w:fldCharType="begin" w:fldLock="1"/>
      </w:r>
      <w:r>
        <w:instrText xml:space="preserve"> LINK Excel.Sheet.12 \\\\PDCPTPRDFIL01\\DTFDATA02$\\SECURED\\Budget\\BudgetUpdate\\AppendixD\\2015-16BudUpd_AppD.xlsx Sensitivity_Table!SensTbl2 \f 4 \r \* MERGEFORMAT </w:instrText>
      </w:r>
      <w:r>
        <w:fldChar w:fldCharType="separate"/>
      </w:r>
    </w:p>
    <w:tbl>
      <w:tblPr>
        <w:tblW w:w="7982" w:type="dxa"/>
        <w:tblInd w:w="78" w:type="dxa"/>
        <w:tblLayout w:type="fixed"/>
        <w:tblLook w:val="0000" w:firstRow="0" w:lastRow="0" w:firstColumn="0" w:lastColumn="0" w:noHBand="0" w:noVBand="0"/>
      </w:tblPr>
      <w:tblGrid>
        <w:gridCol w:w="3538"/>
        <w:gridCol w:w="1111"/>
        <w:gridCol w:w="1111"/>
        <w:gridCol w:w="1111"/>
        <w:gridCol w:w="1111"/>
      </w:tblGrid>
      <w:tr w:rsidR="00965D85" w:rsidRPr="00B264D4" w:rsidTr="008B46DF">
        <w:trPr>
          <w:trHeight w:val="398"/>
        </w:trPr>
        <w:tc>
          <w:tcPr>
            <w:tcW w:w="3538" w:type="dxa"/>
            <w:tcBorders>
              <w:top w:val="single" w:sz="6" w:space="0" w:color="auto"/>
              <w:left w:val="nil"/>
              <w:bottom w:val="single" w:sz="6" w:space="0" w:color="auto"/>
              <w:right w:val="nil"/>
            </w:tcBorders>
            <w:shd w:val="solid" w:color="000000" w:fill="auto"/>
          </w:tcPr>
          <w:p w:rsidR="00965D85" w:rsidRPr="00B264D4" w:rsidRDefault="00965D85" w:rsidP="008B46DF">
            <w:pPr>
              <w:autoSpaceDE w:val="0"/>
              <w:autoSpaceDN w:val="0"/>
              <w:adjustRightInd w:val="0"/>
              <w:spacing w:after="0"/>
              <w:rPr>
                <w:rFonts w:ascii="Calibri" w:eastAsiaTheme="minorEastAsia" w:hAnsi="Calibri" w:cs="Calibri"/>
                <w:color w:val="FFFFFF"/>
                <w:sz w:val="20"/>
                <w:lang w:eastAsia="en-AU"/>
              </w:rPr>
            </w:pPr>
            <w:r w:rsidRPr="00B264D4">
              <w:rPr>
                <w:rFonts w:ascii="Calibri" w:eastAsiaTheme="minorEastAsia" w:hAnsi="Calibri" w:cs="Calibri"/>
                <w:color w:val="FFFFFF"/>
                <w:sz w:val="20"/>
                <w:lang w:eastAsia="en-AU"/>
              </w:rPr>
              <w:t xml:space="preserve"> </w:t>
            </w:r>
          </w:p>
        </w:tc>
        <w:tc>
          <w:tcPr>
            <w:tcW w:w="1111" w:type="dxa"/>
            <w:tcBorders>
              <w:top w:val="single" w:sz="6" w:space="0" w:color="auto"/>
              <w:left w:val="nil"/>
              <w:bottom w:val="single" w:sz="6" w:space="0" w:color="auto"/>
              <w:right w:val="nil"/>
            </w:tcBorders>
            <w:shd w:val="solid" w:color="000000" w:fill="auto"/>
          </w:tcPr>
          <w:p w:rsidR="00965D85" w:rsidRPr="00B264D4"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B264D4">
              <w:rPr>
                <w:rFonts w:ascii="Calibri" w:eastAsiaTheme="minorEastAsia" w:hAnsi="Calibri" w:cs="Calibri"/>
                <w:i/>
                <w:iCs/>
                <w:color w:val="FFFFFF"/>
                <w:sz w:val="20"/>
                <w:lang w:eastAsia="en-AU"/>
              </w:rPr>
              <w:t>2015-16 estimate</w:t>
            </w:r>
          </w:p>
        </w:tc>
        <w:tc>
          <w:tcPr>
            <w:tcW w:w="1111" w:type="dxa"/>
            <w:tcBorders>
              <w:top w:val="single" w:sz="6" w:space="0" w:color="auto"/>
              <w:left w:val="nil"/>
              <w:bottom w:val="single" w:sz="6" w:space="0" w:color="auto"/>
              <w:right w:val="nil"/>
            </w:tcBorders>
            <w:shd w:val="solid" w:color="000000" w:fill="auto"/>
          </w:tcPr>
          <w:p w:rsidR="00965D85" w:rsidRPr="00B264D4"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B264D4">
              <w:rPr>
                <w:rFonts w:ascii="Calibri" w:eastAsiaTheme="minorEastAsia" w:hAnsi="Calibri" w:cs="Calibri"/>
                <w:i/>
                <w:iCs/>
                <w:color w:val="FFFFFF"/>
                <w:sz w:val="20"/>
                <w:lang w:eastAsia="en-AU"/>
              </w:rPr>
              <w:t>2016-17 estimate</w:t>
            </w:r>
          </w:p>
        </w:tc>
        <w:tc>
          <w:tcPr>
            <w:tcW w:w="1111" w:type="dxa"/>
            <w:tcBorders>
              <w:top w:val="single" w:sz="6" w:space="0" w:color="auto"/>
              <w:left w:val="nil"/>
              <w:bottom w:val="single" w:sz="6" w:space="0" w:color="auto"/>
              <w:right w:val="nil"/>
            </w:tcBorders>
            <w:shd w:val="solid" w:color="000000" w:fill="auto"/>
          </w:tcPr>
          <w:p w:rsidR="00965D85" w:rsidRPr="00B264D4"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B264D4">
              <w:rPr>
                <w:rFonts w:ascii="Calibri" w:eastAsiaTheme="minorEastAsia" w:hAnsi="Calibri" w:cs="Calibri"/>
                <w:i/>
                <w:iCs/>
                <w:color w:val="FFFFFF"/>
                <w:sz w:val="20"/>
                <w:lang w:eastAsia="en-AU"/>
              </w:rPr>
              <w:t>2017-18 estimate</w:t>
            </w:r>
          </w:p>
        </w:tc>
        <w:tc>
          <w:tcPr>
            <w:tcW w:w="1111" w:type="dxa"/>
            <w:tcBorders>
              <w:top w:val="single" w:sz="6" w:space="0" w:color="auto"/>
              <w:left w:val="nil"/>
              <w:bottom w:val="single" w:sz="6" w:space="0" w:color="auto"/>
              <w:right w:val="nil"/>
            </w:tcBorders>
            <w:shd w:val="solid" w:color="000000" w:fill="auto"/>
          </w:tcPr>
          <w:p w:rsidR="00965D85" w:rsidRPr="00B264D4" w:rsidRDefault="00965D85" w:rsidP="008B46DF">
            <w:pPr>
              <w:autoSpaceDE w:val="0"/>
              <w:autoSpaceDN w:val="0"/>
              <w:adjustRightInd w:val="0"/>
              <w:spacing w:after="0"/>
              <w:jc w:val="right"/>
              <w:rPr>
                <w:rFonts w:ascii="Calibri" w:eastAsiaTheme="minorEastAsia" w:hAnsi="Calibri" w:cs="Calibri"/>
                <w:i/>
                <w:iCs/>
                <w:color w:val="FFFFFF"/>
                <w:sz w:val="20"/>
                <w:lang w:eastAsia="en-AU"/>
              </w:rPr>
            </w:pPr>
            <w:r w:rsidRPr="00B264D4">
              <w:rPr>
                <w:rFonts w:ascii="Calibri" w:eastAsiaTheme="minorEastAsia" w:hAnsi="Calibri" w:cs="Calibri"/>
                <w:i/>
                <w:iCs/>
                <w:color w:val="FFFFFF"/>
                <w:sz w:val="20"/>
                <w:lang w:eastAsia="en-AU"/>
              </w:rPr>
              <w:t>2018-19 estimate</w:t>
            </w:r>
          </w:p>
        </w:tc>
      </w:tr>
      <w:tr w:rsidR="00965D85" w:rsidRPr="00B264D4" w:rsidTr="008B46DF">
        <w:trPr>
          <w:trHeight w:val="199"/>
        </w:trPr>
        <w:tc>
          <w:tcPr>
            <w:tcW w:w="3538" w:type="dxa"/>
            <w:tcBorders>
              <w:top w:val="nil"/>
              <w:left w:val="nil"/>
              <w:bottom w:val="nil"/>
              <w:right w:val="nil"/>
            </w:tcBorders>
          </w:tcPr>
          <w:p w:rsidR="00965D85" w:rsidRPr="00B264D4" w:rsidRDefault="00965D85" w:rsidP="008B46DF">
            <w:pPr>
              <w:autoSpaceDE w:val="0"/>
              <w:autoSpaceDN w:val="0"/>
              <w:adjustRightInd w:val="0"/>
              <w:spacing w:after="0"/>
              <w:rPr>
                <w:rFonts w:ascii="Calibri" w:eastAsiaTheme="minorEastAsia" w:hAnsi="Calibri" w:cs="Calibri"/>
                <w:b/>
                <w:bCs/>
                <w:color w:val="000000"/>
                <w:sz w:val="20"/>
                <w:lang w:eastAsia="en-AU"/>
              </w:rPr>
            </w:pPr>
            <w:r w:rsidRPr="00B264D4">
              <w:rPr>
                <w:rFonts w:ascii="Calibri" w:eastAsiaTheme="minorEastAsia" w:hAnsi="Calibri" w:cs="Calibri"/>
                <w:b/>
                <w:bCs/>
                <w:color w:val="000000"/>
                <w:sz w:val="20"/>
                <w:lang w:eastAsia="en-AU"/>
              </w:rPr>
              <w:t>Property prices</w:t>
            </w:r>
          </w:p>
        </w:tc>
        <w:tc>
          <w:tcPr>
            <w:tcW w:w="1111" w:type="dxa"/>
            <w:tcBorders>
              <w:top w:val="nil"/>
              <w:left w:val="nil"/>
              <w:bottom w:val="nil"/>
              <w:right w:val="nil"/>
            </w:tcBorders>
          </w:tcPr>
          <w:p w:rsidR="00965D85" w:rsidRPr="00B264D4"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B264D4">
              <w:rPr>
                <w:rFonts w:ascii="Calibri" w:eastAsiaTheme="minorEastAsia" w:hAnsi="Calibri" w:cs="Calibri"/>
                <w:color w:val="000000"/>
                <w:sz w:val="20"/>
                <w:lang w:eastAsia="en-AU"/>
              </w:rPr>
              <w:t xml:space="preserve"> </w:t>
            </w:r>
          </w:p>
        </w:tc>
        <w:tc>
          <w:tcPr>
            <w:tcW w:w="1111" w:type="dxa"/>
            <w:tcBorders>
              <w:top w:val="nil"/>
              <w:left w:val="nil"/>
              <w:bottom w:val="nil"/>
              <w:right w:val="nil"/>
            </w:tcBorders>
          </w:tcPr>
          <w:p w:rsidR="00965D85" w:rsidRPr="00B264D4"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B264D4">
              <w:rPr>
                <w:rFonts w:ascii="Calibri" w:eastAsiaTheme="minorEastAsia" w:hAnsi="Calibri" w:cs="Calibri"/>
                <w:color w:val="000000"/>
                <w:sz w:val="20"/>
                <w:lang w:eastAsia="en-AU"/>
              </w:rPr>
              <w:t xml:space="preserve"> </w:t>
            </w:r>
          </w:p>
        </w:tc>
        <w:tc>
          <w:tcPr>
            <w:tcW w:w="1111" w:type="dxa"/>
            <w:tcBorders>
              <w:top w:val="nil"/>
              <w:left w:val="nil"/>
              <w:bottom w:val="nil"/>
              <w:right w:val="nil"/>
            </w:tcBorders>
          </w:tcPr>
          <w:p w:rsidR="00965D85" w:rsidRPr="00B264D4"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B264D4">
              <w:rPr>
                <w:rFonts w:ascii="Calibri" w:eastAsiaTheme="minorEastAsia" w:hAnsi="Calibri" w:cs="Calibri"/>
                <w:color w:val="000000"/>
                <w:sz w:val="20"/>
                <w:lang w:eastAsia="en-AU"/>
              </w:rPr>
              <w:t xml:space="preserve"> </w:t>
            </w:r>
          </w:p>
        </w:tc>
        <w:tc>
          <w:tcPr>
            <w:tcW w:w="1111" w:type="dxa"/>
            <w:tcBorders>
              <w:top w:val="nil"/>
              <w:left w:val="nil"/>
              <w:bottom w:val="nil"/>
              <w:right w:val="nil"/>
            </w:tcBorders>
          </w:tcPr>
          <w:p w:rsidR="00965D85" w:rsidRPr="00B264D4"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B264D4">
              <w:rPr>
                <w:rFonts w:ascii="Calibri" w:eastAsiaTheme="minorEastAsia" w:hAnsi="Calibri" w:cs="Calibri"/>
                <w:color w:val="000000"/>
                <w:sz w:val="20"/>
                <w:lang w:eastAsia="en-AU"/>
              </w:rPr>
              <w:t xml:space="preserve"> </w:t>
            </w:r>
          </w:p>
        </w:tc>
      </w:tr>
      <w:tr w:rsidR="00965D85" w:rsidRPr="00B264D4" w:rsidTr="008B46DF">
        <w:trPr>
          <w:trHeight w:val="199"/>
        </w:trPr>
        <w:tc>
          <w:tcPr>
            <w:tcW w:w="3538" w:type="dxa"/>
            <w:tcBorders>
              <w:top w:val="nil"/>
              <w:left w:val="nil"/>
              <w:bottom w:val="nil"/>
              <w:right w:val="nil"/>
            </w:tcBorders>
          </w:tcPr>
          <w:p w:rsidR="00965D85" w:rsidRPr="00B264D4" w:rsidRDefault="00965D85" w:rsidP="008B46DF">
            <w:pPr>
              <w:autoSpaceDE w:val="0"/>
              <w:autoSpaceDN w:val="0"/>
              <w:adjustRightInd w:val="0"/>
              <w:spacing w:after="0"/>
              <w:rPr>
                <w:rFonts w:ascii="Calibri" w:eastAsiaTheme="minorEastAsia" w:hAnsi="Calibri" w:cs="Calibri"/>
                <w:color w:val="000000"/>
                <w:sz w:val="20"/>
                <w:lang w:eastAsia="en-AU"/>
              </w:rPr>
            </w:pPr>
            <w:r w:rsidRPr="00B264D4">
              <w:rPr>
                <w:rFonts w:ascii="Calibri" w:eastAsiaTheme="minorEastAsia" w:hAnsi="Calibri" w:cs="Calibri"/>
                <w:color w:val="000000"/>
                <w:sz w:val="20"/>
                <w:lang w:eastAsia="en-AU"/>
              </w:rPr>
              <w:t>Income from transactions</w:t>
            </w:r>
          </w:p>
        </w:tc>
        <w:tc>
          <w:tcPr>
            <w:tcW w:w="1111" w:type="dxa"/>
            <w:tcBorders>
              <w:top w:val="nil"/>
              <w:left w:val="nil"/>
              <w:bottom w:val="nil"/>
              <w:right w:val="nil"/>
            </w:tcBorders>
            <w:shd w:val="solid" w:color="FFFFFF" w:fill="auto"/>
          </w:tcPr>
          <w:p w:rsidR="00965D85" w:rsidRPr="00B264D4"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B264D4">
              <w:rPr>
                <w:rFonts w:ascii="Calibri" w:eastAsiaTheme="minorEastAsia" w:hAnsi="Calibri" w:cs="Calibri"/>
                <w:color w:val="000000"/>
                <w:sz w:val="20"/>
                <w:lang w:eastAsia="en-AU"/>
              </w:rPr>
              <w:t>63</w:t>
            </w:r>
          </w:p>
        </w:tc>
        <w:tc>
          <w:tcPr>
            <w:tcW w:w="1111" w:type="dxa"/>
            <w:tcBorders>
              <w:top w:val="nil"/>
              <w:left w:val="nil"/>
              <w:bottom w:val="nil"/>
              <w:right w:val="nil"/>
            </w:tcBorders>
            <w:shd w:val="solid" w:color="FFFFFF" w:fill="auto"/>
          </w:tcPr>
          <w:p w:rsidR="00965D85" w:rsidRPr="00B264D4"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B264D4">
              <w:rPr>
                <w:rFonts w:ascii="Calibri" w:eastAsiaTheme="minorEastAsia" w:hAnsi="Calibri" w:cs="Calibri"/>
                <w:color w:val="000000"/>
                <w:sz w:val="20"/>
                <w:lang w:eastAsia="en-AU"/>
              </w:rPr>
              <w:t>92</w:t>
            </w:r>
          </w:p>
        </w:tc>
        <w:tc>
          <w:tcPr>
            <w:tcW w:w="1111" w:type="dxa"/>
            <w:tcBorders>
              <w:top w:val="nil"/>
              <w:left w:val="nil"/>
              <w:bottom w:val="nil"/>
              <w:right w:val="nil"/>
            </w:tcBorders>
            <w:shd w:val="solid" w:color="FFFFFF" w:fill="auto"/>
          </w:tcPr>
          <w:p w:rsidR="00965D85" w:rsidRPr="00B264D4"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B264D4">
              <w:rPr>
                <w:rFonts w:ascii="Calibri" w:eastAsiaTheme="minorEastAsia" w:hAnsi="Calibri" w:cs="Calibri"/>
                <w:color w:val="000000"/>
                <w:sz w:val="20"/>
                <w:lang w:eastAsia="en-AU"/>
              </w:rPr>
              <w:t>93</w:t>
            </w:r>
          </w:p>
        </w:tc>
        <w:tc>
          <w:tcPr>
            <w:tcW w:w="1111" w:type="dxa"/>
            <w:tcBorders>
              <w:top w:val="nil"/>
              <w:left w:val="nil"/>
              <w:bottom w:val="nil"/>
              <w:right w:val="nil"/>
            </w:tcBorders>
            <w:shd w:val="solid" w:color="FFFFFF" w:fill="auto"/>
          </w:tcPr>
          <w:p w:rsidR="00965D85" w:rsidRPr="00B264D4"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B264D4">
              <w:rPr>
                <w:rFonts w:ascii="Calibri" w:eastAsiaTheme="minorEastAsia" w:hAnsi="Calibri" w:cs="Calibri"/>
                <w:color w:val="000000"/>
                <w:sz w:val="20"/>
                <w:lang w:eastAsia="en-AU"/>
              </w:rPr>
              <w:t>97</w:t>
            </w:r>
          </w:p>
        </w:tc>
      </w:tr>
      <w:tr w:rsidR="00965D85" w:rsidRPr="00B264D4" w:rsidTr="008B46DF">
        <w:trPr>
          <w:trHeight w:val="199"/>
        </w:trPr>
        <w:tc>
          <w:tcPr>
            <w:tcW w:w="3538" w:type="dxa"/>
            <w:tcBorders>
              <w:top w:val="nil"/>
              <w:left w:val="nil"/>
              <w:bottom w:val="nil"/>
              <w:right w:val="nil"/>
            </w:tcBorders>
          </w:tcPr>
          <w:p w:rsidR="00965D85" w:rsidRPr="00B264D4" w:rsidRDefault="00965D85" w:rsidP="008B46DF">
            <w:pPr>
              <w:autoSpaceDE w:val="0"/>
              <w:autoSpaceDN w:val="0"/>
              <w:adjustRightInd w:val="0"/>
              <w:spacing w:after="0"/>
              <w:rPr>
                <w:rFonts w:ascii="Calibri" w:eastAsiaTheme="minorEastAsia" w:hAnsi="Calibri" w:cs="Calibri"/>
                <w:color w:val="000000"/>
                <w:sz w:val="20"/>
                <w:lang w:eastAsia="en-AU"/>
              </w:rPr>
            </w:pPr>
            <w:r w:rsidRPr="00B264D4">
              <w:rPr>
                <w:rFonts w:ascii="Calibri" w:eastAsiaTheme="minorEastAsia" w:hAnsi="Calibri" w:cs="Calibri"/>
                <w:color w:val="000000"/>
                <w:sz w:val="20"/>
                <w:lang w:eastAsia="en-AU"/>
              </w:rPr>
              <w:t>Expenses from transactions</w:t>
            </w:r>
          </w:p>
        </w:tc>
        <w:tc>
          <w:tcPr>
            <w:tcW w:w="1111" w:type="dxa"/>
            <w:tcBorders>
              <w:top w:val="nil"/>
              <w:left w:val="nil"/>
              <w:bottom w:val="nil"/>
              <w:right w:val="nil"/>
            </w:tcBorders>
            <w:shd w:val="solid" w:color="FFFFFF" w:fill="auto"/>
          </w:tcPr>
          <w:p w:rsidR="00965D85" w:rsidRPr="00B264D4"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B264D4">
              <w:rPr>
                <w:rFonts w:ascii="Calibri" w:eastAsiaTheme="minorEastAsia" w:hAnsi="Calibri" w:cs="Calibri"/>
                <w:color w:val="000000"/>
                <w:sz w:val="20"/>
                <w:lang w:eastAsia="en-AU"/>
              </w:rPr>
              <w:t>(2)</w:t>
            </w:r>
          </w:p>
        </w:tc>
        <w:tc>
          <w:tcPr>
            <w:tcW w:w="1111" w:type="dxa"/>
            <w:tcBorders>
              <w:top w:val="nil"/>
              <w:left w:val="nil"/>
              <w:bottom w:val="nil"/>
              <w:right w:val="nil"/>
            </w:tcBorders>
            <w:shd w:val="solid" w:color="FFFFFF" w:fill="auto"/>
          </w:tcPr>
          <w:p w:rsidR="00965D85" w:rsidRPr="00B264D4"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B264D4">
              <w:rPr>
                <w:rFonts w:ascii="Calibri" w:eastAsiaTheme="minorEastAsia" w:hAnsi="Calibri" w:cs="Calibri"/>
                <w:color w:val="000000"/>
                <w:sz w:val="20"/>
                <w:lang w:eastAsia="en-AU"/>
              </w:rPr>
              <w:t>(6)</w:t>
            </w:r>
          </w:p>
        </w:tc>
        <w:tc>
          <w:tcPr>
            <w:tcW w:w="1111" w:type="dxa"/>
            <w:tcBorders>
              <w:top w:val="nil"/>
              <w:left w:val="nil"/>
              <w:bottom w:val="nil"/>
              <w:right w:val="nil"/>
            </w:tcBorders>
            <w:shd w:val="solid" w:color="FFFFFF" w:fill="auto"/>
          </w:tcPr>
          <w:p w:rsidR="00965D85" w:rsidRPr="00B264D4"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B264D4">
              <w:rPr>
                <w:rFonts w:ascii="Calibri" w:eastAsiaTheme="minorEastAsia" w:hAnsi="Calibri" w:cs="Calibri"/>
                <w:color w:val="000000"/>
                <w:sz w:val="20"/>
                <w:lang w:eastAsia="en-AU"/>
              </w:rPr>
              <w:t>(11)</w:t>
            </w:r>
          </w:p>
        </w:tc>
        <w:tc>
          <w:tcPr>
            <w:tcW w:w="1111" w:type="dxa"/>
            <w:tcBorders>
              <w:top w:val="nil"/>
              <w:left w:val="nil"/>
              <w:bottom w:val="nil"/>
              <w:right w:val="nil"/>
            </w:tcBorders>
            <w:shd w:val="solid" w:color="FFFFFF" w:fill="auto"/>
          </w:tcPr>
          <w:p w:rsidR="00965D85" w:rsidRPr="00B264D4"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B264D4">
              <w:rPr>
                <w:rFonts w:ascii="Calibri" w:eastAsiaTheme="minorEastAsia" w:hAnsi="Calibri" w:cs="Calibri"/>
                <w:color w:val="000000"/>
                <w:sz w:val="20"/>
                <w:lang w:eastAsia="en-AU"/>
              </w:rPr>
              <w:t>(16)</w:t>
            </w:r>
          </w:p>
        </w:tc>
      </w:tr>
      <w:tr w:rsidR="00965D85" w:rsidRPr="00B264D4" w:rsidTr="008B46DF">
        <w:trPr>
          <w:trHeight w:val="199"/>
        </w:trPr>
        <w:tc>
          <w:tcPr>
            <w:tcW w:w="3538" w:type="dxa"/>
            <w:tcBorders>
              <w:top w:val="single" w:sz="6" w:space="0" w:color="auto"/>
              <w:left w:val="nil"/>
              <w:bottom w:val="single" w:sz="6" w:space="0" w:color="auto"/>
              <w:right w:val="nil"/>
            </w:tcBorders>
          </w:tcPr>
          <w:p w:rsidR="00965D85" w:rsidRPr="00B264D4" w:rsidRDefault="00965D85" w:rsidP="008B46DF">
            <w:pPr>
              <w:autoSpaceDE w:val="0"/>
              <w:autoSpaceDN w:val="0"/>
              <w:adjustRightInd w:val="0"/>
              <w:spacing w:after="0"/>
              <w:rPr>
                <w:rFonts w:ascii="Calibri" w:eastAsiaTheme="minorEastAsia" w:hAnsi="Calibri" w:cs="Calibri"/>
                <w:b/>
                <w:bCs/>
                <w:color w:val="000000"/>
                <w:sz w:val="20"/>
                <w:lang w:eastAsia="en-AU"/>
              </w:rPr>
            </w:pPr>
            <w:r w:rsidRPr="00B264D4">
              <w:rPr>
                <w:rFonts w:ascii="Calibri" w:eastAsiaTheme="minorEastAsia" w:hAnsi="Calibri" w:cs="Calibri"/>
                <w:b/>
                <w:bCs/>
                <w:color w:val="000000"/>
                <w:sz w:val="20"/>
                <w:lang w:eastAsia="en-AU"/>
              </w:rPr>
              <w:t>Net result from transactions</w:t>
            </w:r>
          </w:p>
        </w:tc>
        <w:tc>
          <w:tcPr>
            <w:tcW w:w="1111" w:type="dxa"/>
            <w:tcBorders>
              <w:top w:val="single" w:sz="6" w:space="0" w:color="auto"/>
              <w:left w:val="nil"/>
              <w:bottom w:val="single" w:sz="6" w:space="0" w:color="auto"/>
              <w:right w:val="nil"/>
            </w:tcBorders>
            <w:shd w:val="solid" w:color="FFFFFF" w:fill="auto"/>
          </w:tcPr>
          <w:p w:rsidR="00965D85" w:rsidRPr="00B264D4"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B264D4">
              <w:rPr>
                <w:rFonts w:ascii="Calibri" w:eastAsiaTheme="minorEastAsia" w:hAnsi="Calibri" w:cs="Calibri"/>
                <w:b/>
                <w:bCs/>
                <w:color w:val="000000"/>
                <w:sz w:val="20"/>
                <w:lang w:eastAsia="en-AU"/>
              </w:rPr>
              <w:t>65</w:t>
            </w:r>
          </w:p>
        </w:tc>
        <w:tc>
          <w:tcPr>
            <w:tcW w:w="1111" w:type="dxa"/>
            <w:tcBorders>
              <w:top w:val="single" w:sz="6" w:space="0" w:color="auto"/>
              <w:left w:val="nil"/>
              <w:bottom w:val="single" w:sz="6" w:space="0" w:color="auto"/>
              <w:right w:val="nil"/>
            </w:tcBorders>
            <w:shd w:val="solid" w:color="FFFFFF" w:fill="auto"/>
          </w:tcPr>
          <w:p w:rsidR="00965D85" w:rsidRPr="00B264D4"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B264D4">
              <w:rPr>
                <w:rFonts w:ascii="Calibri" w:eastAsiaTheme="minorEastAsia" w:hAnsi="Calibri" w:cs="Calibri"/>
                <w:b/>
                <w:bCs/>
                <w:color w:val="000000"/>
                <w:sz w:val="20"/>
                <w:lang w:eastAsia="en-AU"/>
              </w:rPr>
              <w:t>99</w:t>
            </w:r>
          </w:p>
        </w:tc>
        <w:tc>
          <w:tcPr>
            <w:tcW w:w="1111" w:type="dxa"/>
            <w:tcBorders>
              <w:top w:val="single" w:sz="6" w:space="0" w:color="auto"/>
              <w:left w:val="nil"/>
              <w:bottom w:val="single" w:sz="6" w:space="0" w:color="auto"/>
              <w:right w:val="nil"/>
            </w:tcBorders>
            <w:shd w:val="solid" w:color="FFFFFF" w:fill="auto"/>
          </w:tcPr>
          <w:p w:rsidR="00965D85" w:rsidRPr="00B264D4"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B264D4">
              <w:rPr>
                <w:rFonts w:ascii="Calibri" w:eastAsiaTheme="minorEastAsia" w:hAnsi="Calibri" w:cs="Calibri"/>
                <w:b/>
                <w:bCs/>
                <w:color w:val="000000"/>
                <w:sz w:val="20"/>
                <w:lang w:eastAsia="en-AU"/>
              </w:rPr>
              <w:t>104</w:t>
            </w:r>
          </w:p>
        </w:tc>
        <w:tc>
          <w:tcPr>
            <w:tcW w:w="1111" w:type="dxa"/>
            <w:tcBorders>
              <w:top w:val="single" w:sz="6" w:space="0" w:color="auto"/>
              <w:left w:val="nil"/>
              <w:bottom w:val="single" w:sz="6" w:space="0" w:color="auto"/>
              <w:right w:val="nil"/>
            </w:tcBorders>
            <w:shd w:val="solid" w:color="FFFFFF" w:fill="auto"/>
          </w:tcPr>
          <w:p w:rsidR="00965D85" w:rsidRPr="00B264D4"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B264D4">
              <w:rPr>
                <w:rFonts w:ascii="Calibri" w:eastAsiaTheme="minorEastAsia" w:hAnsi="Calibri" w:cs="Calibri"/>
                <w:b/>
                <w:bCs/>
                <w:color w:val="000000"/>
                <w:sz w:val="20"/>
                <w:lang w:eastAsia="en-AU"/>
              </w:rPr>
              <w:t>113</w:t>
            </w:r>
          </w:p>
        </w:tc>
      </w:tr>
      <w:tr w:rsidR="00965D85" w:rsidRPr="00B264D4" w:rsidTr="008B46DF">
        <w:trPr>
          <w:trHeight w:val="199"/>
        </w:trPr>
        <w:tc>
          <w:tcPr>
            <w:tcW w:w="3538" w:type="dxa"/>
            <w:tcBorders>
              <w:top w:val="nil"/>
              <w:left w:val="nil"/>
              <w:bottom w:val="nil"/>
              <w:right w:val="nil"/>
            </w:tcBorders>
          </w:tcPr>
          <w:p w:rsidR="00965D85" w:rsidRPr="00B264D4" w:rsidRDefault="00965D85" w:rsidP="008B46DF">
            <w:pPr>
              <w:autoSpaceDE w:val="0"/>
              <w:autoSpaceDN w:val="0"/>
              <w:adjustRightInd w:val="0"/>
              <w:spacing w:after="0"/>
              <w:rPr>
                <w:rFonts w:ascii="Calibri" w:eastAsiaTheme="minorEastAsia" w:hAnsi="Calibri" w:cs="Calibri"/>
                <w:color w:val="000000"/>
                <w:sz w:val="20"/>
                <w:lang w:eastAsia="en-AU"/>
              </w:rPr>
            </w:pPr>
            <w:r w:rsidRPr="00B264D4">
              <w:rPr>
                <w:rFonts w:ascii="Calibri" w:eastAsiaTheme="minorEastAsia" w:hAnsi="Calibri" w:cs="Calibri"/>
                <w:color w:val="000000"/>
                <w:sz w:val="20"/>
                <w:lang w:eastAsia="en-AU"/>
              </w:rPr>
              <w:t>Other economic flows</w:t>
            </w:r>
          </w:p>
        </w:tc>
        <w:tc>
          <w:tcPr>
            <w:tcW w:w="1111" w:type="dxa"/>
            <w:tcBorders>
              <w:top w:val="nil"/>
              <w:left w:val="nil"/>
              <w:bottom w:val="nil"/>
              <w:right w:val="nil"/>
            </w:tcBorders>
            <w:shd w:val="solid" w:color="FFFFFF" w:fill="auto"/>
          </w:tcPr>
          <w:p w:rsidR="00965D85" w:rsidRPr="00B264D4"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B264D4">
              <w:rPr>
                <w:rFonts w:ascii="Calibri" w:eastAsiaTheme="minorEastAsia" w:hAnsi="Calibri" w:cs="Calibri"/>
                <w:color w:val="000000"/>
                <w:sz w:val="20"/>
                <w:lang w:eastAsia="en-AU"/>
              </w:rPr>
              <w:t>2</w:t>
            </w:r>
          </w:p>
        </w:tc>
        <w:tc>
          <w:tcPr>
            <w:tcW w:w="1111" w:type="dxa"/>
            <w:tcBorders>
              <w:top w:val="nil"/>
              <w:left w:val="nil"/>
              <w:bottom w:val="nil"/>
              <w:right w:val="nil"/>
            </w:tcBorders>
            <w:shd w:val="solid" w:color="FFFFFF" w:fill="auto"/>
          </w:tcPr>
          <w:p w:rsidR="00965D85" w:rsidRPr="00B264D4"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B264D4">
              <w:rPr>
                <w:rFonts w:ascii="Calibri" w:eastAsiaTheme="minorEastAsia" w:hAnsi="Calibri" w:cs="Calibri"/>
                <w:color w:val="000000"/>
                <w:sz w:val="20"/>
                <w:lang w:eastAsia="en-AU"/>
              </w:rPr>
              <w:t>5</w:t>
            </w:r>
          </w:p>
        </w:tc>
        <w:tc>
          <w:tcPr>
            <w:tcW w:w="1111" w:type="dxa"/>
            <w:tcBorders>
              <w:top w:val="nil"/>
              <w:left w:val="nil"/>
              <w:bottom w:val="nil"/>
              <w:right w:val="nil"/>
            </w:tcBorders>
            <w:shd w:val="solid" w:color="FFFFFF" w:fill="auto"/>
          </w:tcPr>
          <w:p w:rsidR="00965D85" w:rsidRPr="00B264D4"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B264D4">
              <w:rPr>
                <w:rFonts w:ascii="Calibri" w:eastAsiaTheme="minorEastAsia" w:hAnsi="Calibri" w:cs="Calibri"/>
                <w:color w:val="000000"/>
                <w:sz w:val="20"/>
                <w:lang w:eastAsia="en-AU"/>
              </w:rPr>
              <w:t>4</w:t>
            </w:r>
          </w:p>
        </w:tc>
        <w:tc>
          <w:tcPr>
            <w:tcW w:w="1111" w:type="dxa"/>
            <w:tcBorders>
              <w:top w:val="nil"/>
              <w:left w:val="nil"/>
              <w:bottom w:val="nil"/>
              <w:right w:val="nil"/>
            </w:tcBorders>
            <w:shd w:val="solid" w:color="FFFFFF" w:fill="auto"/>
          </w:tcPr>
          <w:p w:rsidR="00965D85" w:rsidRPr="00B264D4"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B264D4">
              <w:rPr>
                <w:rFonts w:ascii="Calibri" w:eastAsiaTheme="minorEastAsia" w:hAnsi="Calibri" w:cs="Calibri"/>
                <w:color w:val="000000"/>
                <w:sz w:val="20"/>
                <w:lang w:eastAsia="en-AU"/>
              </w:rPr>
              <w:t>2</w:t>
            </w:r>
          </w:p>
        </w:tc>
      </w:tr>
      <w:tr w:rsidR="00965D85" w:rsidRPr="00B264D4" w:rsidTr="008B46DF">
        <w:trPr>
          <w:trHeight w:val="199"/>
        </w:trPr>
        <w:tc>
          <w:tcPr>
            <w:tcW w:w="3538" w:type="dxa"/>
            <w:tcBorders>
              <w:top w:val="single" w:sz="6" w:space="0" w:color="auto"/>
              <w:left w:val="nil"/>
              <w:bottom w:val="single" w:sz="6" w:space="0" w:color="auto"/>
              <w:right w:val="nil"/>
            </w:tcBorders>
          </w:tcPr>
          <w:p w:rsidR="00965D85" w:rsidRPr="00B264D4" w:rsidRDefault="00965D85" w:rsidP="008B46DF">
            <w:pPr>
              <w:autoSpaceDE w:val="0"/>
              <w:autoSpaceDN w:val="0"/>
              <w:adjustRightInd w:val="0"/>
              <w:spacing w:after="0"/>
              <w:rPr>
                <w:rFonts w:ascii="Calibri" w:eastAsiaTheme="minorEastAsia" w:hAnsi="Calibri" w:cs="Calibri"/>
                <w:b/>
                <w:bCs/>
                <w:color w:val="000000"/>
                <w:sz w:val="20"/>
                <w:lang w:eastAsia="en-AU"/>
              </w:rPr>
            </w:pPr>
            <w:r w:rsidRPr="00B264D4">
              <w:rPr>
                <w:rFonts w:ascii="Calibri" w:eastAsiaTheme="minorEastAsia" w:hAnsi="Calibri" w:cs="Calibri"/>
                <w:b/>
                <w:bCs/>
                <w:color w:val="000000"/>
                <w:sz w:val="20"/>
                <w:lang w:eastAsia="en-AU"/>
              </w:rPr>
              <w:t>Net result</w:t>
            </w:r>
          </w:p>
        </w:tc>
        <w:tc>
          <w:tcPr>
            <w:tcW w:w="1111" w:type="dxa"/>
            <w:tcBorders>
              <w:top w:val="single" w:sz="6" w:space="0" w:color="auto"/>
              <w:left w:val="nil"/>
              <w:bottom w:val="single" w:sz="6" w:space="0" w:color="auto"/>
              <w:right w:val="nil"/>
            </w:tcBorders>
            <w:shd w:val="solid" w:color="FFFFFF" w:fill="auto"/>
          </w:tcPr>
          <w:p w:rsidR="00965D85" w:rsidRPr="00B264D4"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B264D4">
              <w:rPr>
                <w:rFonts w:ascii="Calibri" w:eastAsiaTheme="minorEastAsia" w:hAnsi="Calibri" w:cs="Calibri"/>
                <w:b/>
                <w:bCs/>
                <w:color w:val="000000"/>
                <w:sz w:val="20"/>
                <w:lang w:eastAsia="en-AU"/>
              </w:rPr>
              <w:t>67</w:t>
            </w:r>
          </w:p>
        </w:tc>
        <w:tc>
          <w:tcPr>
            <w:tcW w:w="1111" w:type="dxa"/>
            <w:tcBorders>
              <w:top w:val="single" w:sz="6" w:space="0" w:color="auto"/>
              <w:left w:val="nil"/>
              <w:bottom w:val="single" w:sz="6" w:space="0" w:color="auto"/>
              <w:right w:val="nil"/>
            </w:tcBorders>
            <w:shd w:val="solid" w:color="FFFFFF" w:fill="auto"/>
          </w:tcPr>
          <w:p w:rsidR="00965D85" w:rsidRPr="00B264D4"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B264D4">
              <w:rPr>
                <w:rFonts w:ascii="Calibri" w:eastAsiaTheme="minorEastAsia" w:hAnsi="Calibri" w:cs="Calibri"/>
                <w:b/>
                <w:bCs/>
                <w:color w:val="000000"/>
                <w:sz w:val="20"/>
                <w:lang w:eastAsia="en-AU"/>
              </w:rPr>
              <w:t>103</w:t>
            </w:r>
          </w:p>
        </w:tc>
        <w:tc>
          <w:tcPr>
            <w:tcW w:w="1111" w:type="dxa"/>
            <w:tcBorders>
              <w:top w:val="single" w:sz="6" w:space="0" w:color="auto"/>
              <w:left w:val="nil"/>
              <w:bottom w:val="single" w:sz="6" w:space="0" w:color="auto"/>
              <w:right w:val="nil"/>
            </w:tcBorders>
            <w:shd w:val="solid" w:color="FFFFFF" w:fill="auto"/>
          </w:tcPr>
          <w:p w:rsidR="00965D85" w:rsidRPr="00B264D4"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B264D4">
              <w:rPr>
                <w:rFonts w:ascii="Calibri" w:eastAsiaTheme="minorEastAsia" w:hAnsi="Calibri" w:cs="Calibri"/>
                <w:b/>
                <w:bCs/>
                <w:color w:val="000000"/>
                <w:sz w:val="20"/>
                <w:lang w:eastAsia="en-AU"/>
              </w:rPr>
              <w:t>108</w:t>
            </w:r>
          </w:p>
        </w:tc>
        <w:tc>
          <w:tcPr>
            <w:tcW w:w="1111" w:type="dxa"/>
            <w:tcBorders>
              <w:top w:val="single" w:sz="6" w:space="0" w:color="auto"/>
              <w:left w:val="nil"/>
              <w:bottom w:val="single" w:sz="6" w:space="0" w:color="auto"/>
              <w:right w:val="nil"/>
            </w:tcBorders>
            <w:shd w:val="solid" w:color="FFFFFF" w:fill="auto"/>
          </w:tcPr>
          <w:p w:rsidR="00965D85" w:rsidRPr="00B264D4"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B264D4">
              <w:rPr>
                <w:rFonts w:ascii="Calibri" w:eastAsiaTheme="minorEastAsia" w:hAnsi="Calibri" w:cs="Calibri"/>
                <w:b/>
                <w:bCs/>
                <w:color w:val="000000"/>
                <w:sz w:val="20"/>
                <w:lang w:eastAsia="en-AU"/>
              </w:rPr>
              <w:t>115</w:t>
            </w:r>
          </w:p>
        </w:tc>
      </w:tr>
      <w:tr w:rsidR="00965D85" w:rsidRPr="00B264D4" w:rsidTr="008B46DF">
        <w:trPr>
          <w:trHeight w:val="211"/>
        </w:trPr>
        <w:tc>
          <w:tcPr>
            <w:tcW w:w="3538" w:type="dxa"/>
            <w:tcBorders>
              <w:top w:val="single" w:sz="6" w:space="0" w:color="auto"/>
              <w:left w:val="nil"/>
              <w:bottom w:val="single" w:sz="12" w:space="0" w:color="auto"/>
              <w:right w:val="nil"/>
            </w:tcBorders>
          </w:tcPr>
          <w:p w:rsidR="00965D85" w:rsidRPr="00B264D4" w:rsidRDefault="00965D85" w:rsidP="008B46DF">
            <w:pPr>
              <w:autoSpaceDE w:val="0"/>
              <w:autoSpaceDN w:val="0"/>
              <w:adjustRightInd w:val="0"/>
              <w:spacing w:after="0"/>
              <w:rPr>
                <w:rFonts w:ascii="Calibri" w:eastAsiaTheme="minorEastAsia" w:hAnsi="Calibri" w:cs="Calibri"/>
                <w:b/>
                <w:bCs/>
                <w:color w:val="000000"/>
                <w:sz w:val="20"/>
                <w:lang w:eastAsia="en-AU"/>
              </w:rPr>
            </w:pPr>
            <w:r w:rsidRPr="00B264D4">
              <w:rPr>
                <w:rFonts w:ascii="Calibri" w:eastAsiaTheme="minorEastAsia" w:hAnsi="Calibri" w:cs="Calibri"/>
                <w:b/>
                <w:bCs/>
                <w:color w:val="000000"/>
                <w:sz w:val="20"/>
                <w:lang w:eastAsia="en-AU"/>
              </w:rPr>
              <w:t>Net debt</w:t>
            </w:r>
          </w:p>
        </w:tc>
        <w:tc>
          <w:tcPr>
            <w:tcW w:w="1111" w:type="dxa"/>
            <w:tcBorders>
              <w:top w:val="single" w:sz="6" w:space="0" w:color="auto"/>
              <w:left w:val="nil"/>
              <w:bottom w:val="single" w:sz="12" w:space="0" w:color="auto"/>
              <w:right w:val="nil"/>
            </w:tcBorders>
            <w:shd w:val="solid" w:color="FFFFFF" w:fill="auto"/>
          </w:tcPr>
          <w:p w:rsidR="00965D85" w:rsidRPr="00B264D4"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B264D4">
              <w:rPr>
                <w:rFonts w:ascii="Calibri" w:eastAsiaTheme="minorEastAsia" w:hAnsi="Calibri" w:cs="Calibri"/>
                <w:b/>
                <w:bCs/>
                <w:color w:val="000000"/>
                <w:sz w:val="20"/>
                <w:lang w:eastAsia="en-AU"/>
              </w:rPr>
              <w:t>(67)</w:t>
            </w:r>
          </w:p>
        </w:tc>
        <w:tc>
          <w:tcPr>
            <w:tcW w:w="1111" w:type="dxa"/>
            <w:tcBorders>
              <w:top w:val="single" w:sz="6" w:space="0" w:color="auto"/>
              <w:left w:val="nil"/>
              <w:bottom w:val="single" w:sz="12" w:space="0" w:color="auto"/>
              <w:right w:val="nil"/>
            </w:tcBorders>
            <w:shd w:val="solid" w:color="FFFFFF" w:fill="auto"/>
          </w:tcPr>
          <w:p w:rsidR="00965D85" w:rsidRPr="00B264D4"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B264D4">
              <w:rPr>
                <w:rFonts w:ascii="Calibri" w:eastAsiaTheme="minorEastAsia" w:hAnsi="Calibri" w:cs="Calibri"/>
                <w:b/>
                <w:bCs/>
                <w:color w:val="000000"/>
                <w:sz w:val="20"/>
                <w:lang w:eastAsia="en-AU"/>
              </w:rPr>
              <w:t>(170)</w:t>
            </w:r>
          </w:p>
        </w:tc>
        <w:tc>
          <w:tcPr>
            <w:tcW w:w="1111" w:type="dxa"/>
            <w:tcBorders>
              <w:top w:val="single" w:sz="6" w:space="0" w:color="auto"/>
              <w:left w:val="nil"/>
              <w:bottom w:val="single" w:sz="12" w:space="0" w:color="auto"/>
              <w:right w:val="nil"/>
            </w:tcBorders>
            <w:shd w:val="solid" w:color="FFFFFF" w:fill="auto"/>
          </w:tcPr>
          <w:p w:rsidR="00965D85" w:rsidRPr="00B264D4"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B264D4">
              <w:rPr>
                <w:rFonts w:ascii="Calibri" w:eastAsiaTheme="minorEastAsia" w:hAnsi="Calibri" w:cs="Calibri"/>
                <w:b/>
                <w:bCs/>
                <w:color w:val="000000"/>
                <w:sz w:val="20"/>
                <w:lang w:eastAsia="en-AU"/>
              </w:rPr>
              <w:t>(277)</w:t>
            </w:r>
          </w:p>
        </w:tc>
        <w:tc>
          <w:tcPr>
            <w:tcW w:w="1111" w:type="dxa"/>
            <w:tcBorders>
              <w:top w:val="single" w:sz="6" w:space="0" w:color="auto"/>
              <w:left w:val="nil"/>
              <w:bottom w:val="single" w:sz="12" w:space="0" w:color="auto"/>
              <w:right w:val="nil"/>
            </w:tcBorders>
            <w:shd w:val="solid" w:color="FFFFFF" w:fill="auto"/>
          </w:tcPr>
          <w:p w:rsidR="00965D85" w:rsidRPr="00B264D4"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B264D4">
              <w:rPr>
                <w:rFonts w:ascii="Calibri" w:eastAsiaTheme="minorEastAsia" w:hAnsi="Calibri" w:cs="Calibri"/>
                <w:b/>
                <w:bCs/>
                <w:color w:val="000000"/>
                <w:sz w:val="20"/>
                <w:lang w:eastAsia="en-AU"/>
              </w:rPr>
              <w:t>(392)</w:t>
            </w:r>
          </w:p>
        </w:tc>
      </w:tr>
      <w:tr w:rsidR="00965D85" w:rsidRPr="00B264D4" w:rsidTr="008B46DF">
        <w:trPr>
          <w:trHeight w:val="199"/>
        </w:trPr>
        <w:tc>
          <w:tcPr>
            <w:tcW w:w="3538" w:type="dxa"/>
            <w:tcBorders>
              <w:top w:val="nil"/>
              <w:left w:val="nil"/>
              <w:bottom w:val="nil"/>
              <w:right w:val="nil"/>
            </w:tcBorders>
          </w:tcPr>
          <w:p w:rsidR="00965D85" w:rsidRPr="00B264D4" w:rsidRDefault="00965D85" w:rsidP="008B46DF">
            <w:pPr>
              <w:autoSpaceDE w:val="0"/>
              <w:autoSpaceDN w:val="0"/>
              <w:adjustRightInd w:val="0"/>
              <w:spacing w:after="0"/>
              <w:rPr>
                <w:rFonts w:ascii="Calibri" w:eastAsiaTheme="minorEastAsia" w:hAnsi="Calibri" w:cs="Calibri"/>
                <w:b/>
                <w:bCs/>
                <w:color w:val="000000"/>
                <w:sz w:val="20"/>
                <w:lang w:eastAsia="en-AU"/>
              </w:rPr>
            </w:pPr>
            <w:r w:rsidRPr="00B264D4">
              <w:rPr>
                <w:rFonts w:ascii="Calibri" w:eastAsiaTheme="minorEastAsia" w:hAnsi="Calibri" w:cs="Calibri"/>
                <w:b/>
                <w:bCs/>
                <w:color w:val="000000"/>
                <w:sz w:val="20"/>
                <w:lang w:eastAsia="en-AU"/>
              </w:rPr>
              <w:t>Property volumes</w:t>
            </w:r>
          </w:p>
        </w:tc>
        <w:tc>
          <w:tcPr>
            <w:tcW w:w="1111" w:type="dxa"/>
            <w:tcBorders>
              <w:top w:val="nil"/>
              <w:left w:val="nil"/>
              <w:bottom w:val="nil"/>
              <w:right w:val="nil"/>
            </w:tcBorders>
          </w:tcPr>
          <w:p w:rsidR="00965D85" w:rsidRPr="00B264D4"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B264D4">
              <w:rPr>
                <w:rFonts w:ascii="Calibri" w:eastAsiaTheme="minorEastAsia" w:hAnsi="Calibri" w:cs="Calibri"/>
                <w:color w:val="000000"/>
                <w:sz w:val="20"/>
                <w:lang w:eastAsia="en-AU"/>
              </w:rPr>
              <w:t xml:space="preserve"> </w:t>
            </w:r>
          </w:p>
        </w:tc>
        <w:tc>
          <w:tcPr>
            <w:tcW w:w="1111" w:type="dxa"/>
            <w:tcBorders>
              <w:top w:val="nil"/>
              <w:left w:val="nil"/>
              <w:bottom w:val="nil"/>
              <w:right w:val="nil"/>
            </w:tcBorders>
          </w:tcPr>
          <w:p w:rsidR="00965D85" w:rsidRPr="00B264D4"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B264D4">
              <w:rPr>
                <w:rFonts w:ascii="Calibri" w:eastAsiaTheme="minorEastAsia" w:hAnsi="Calibri" w:cs="Calibri"/>
                <w:color w:val="000000"/>
                <w:sz w:val="20"/>
                <w:lang w:eastAsia="en-AU"/>
              </w:rPr>
              <w:t xml:space="preserve"> </w:t>
            </w:r>
          </w:p>
        </w:tc>
        <w:tc>
          <w:tcPr>
            <w:tcW w:w="1111" w:type="dxa"/>
            <w:tcBorders>
              <w:top w:val="nil"/>
              <w:left w:val="nil"/>
              <w:bottom w:val="nil"/>
              <w:right w:val="nil"/>
            </w:tcBorders>
          </w:tcPr>
          <w:p w:rsidR="00965D85" w:rsidRPr="00B264D4"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B264D4">
              <w:rPr>
                <w:rFonts w:ascii="Calibri" w:eastAsiaTheme="minorEastAsia" w:hAnsi="Calibri" w:cs="Calibri"/>
                <w:color w:val="000000"/>
                <w:sz w:val="20"/>
                <w:lang w:eastAsia="en-AU"/>
              </w:rPr>
              <w:t xml:space="preserve"> </w:t>
            </w:r>
          </w:p>
        </w:tc>
        <w:tc>
          <w:tcPr>
            <w:tcW w:w="1111" w:type="dxa"/>
            <w:tcBorders>
              <w:top w:val="nil"/>
              <w:left w:val="nil"/>
              <w:bottom w:val="nil"/>
              <w:right w:val="nil"/>
            </w:tcBorders>
          </w:tcPr>
          <w:p w:rsidR="00965D85" w:rsidRPr="00B264D4"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B264D4">
              <w:rPr>
                <w:rFonts w:ascii="Calibri" w:eastAsiaTheme="minorEastAsia" w:hAnsi="Calibri" w:cs="Calibri"/>
                <w:color w:val="000000"/>
                <w:sz w:val="20"/>
                <w:lang w:eastAsia="en-AU"/>
              </w:rPr>
              <w:t xml:space="preserve"> </w:t>
            </w:r>
          </w:p>
        </w:tc>
      </w:tr>
      <w:tr w:rsidR="00965D85" w:rsidRPr="00B264D4" w:rsidTr="008B46DF">
        <w:trPr>
          <w:trHeight w:val="199"/>
        </w:trPr>
        <w:tc>
          <w:tcPr>
            <w:tcW w:w="3538" w:type="dxa"/>
            <w:tcBorders>
              <w:top w:val="nil"/>
              <w:left w:val="nil"/>
              <w:bottom w:val="nil"/>
              <w:right w:val="nil"/>
            </w:tcBorders>
          </w:tcPr>
          <w:p w:rsidR="00965D85" w:rsidRPr="00B264D4" w:rsidRDefault="00965D85" w:rsidP="008B46DF">
            <w:pPr>
              <w:autoSpaceDE w:val="0"/>
              <w:autoSpaceDN w:val="0"/>
              <w:adjustRightInd w:val="0"/>
              <w:spacing w:after="0"/>
              <w:rPr>
                <w:rFonts w:ascii="Calibri" w:eastAsiaTheme="minorEastAsia" w:hAnsi="Calibri" w:cs="Calibri"/>
                <w:color w:val="000000"/>
                <w:sz w:val="20"/>
                <w:lang w:eastAsia="en-AU"/>
              </w:rPr>
            </w:pPr>
            <w:r w:rsidRPr="00B264D4">
              <w:rPr>
                <w:rFonts w:ascii="Calibri" w:eastAsiaTheme="minorEastAsia" w:hAnsi="Calibri" w:cs="Calibri"/>
                <w:color w:val="000000"/>
                <w:sz w:val="20"/>
                <w:lang w:eastAsia="en-AU"/>
              </w:rPr>
              <w:t>Income from transactions</w:t>
            </w:r>
          </w:p>
        </w:tc>
        <w:tc>
          <w:tcPr>
            <w:tcW w:w="1111" w:type="dxa"/>
            <w:tcBorders>
              <w:top w:val="nil"/>
              <w:left w:val="nil"/>
              <w:bottom w:val="nil"/>
              <w:right w:val="nil"/>
            </w:tcBorders>
            <w:shd w:val="solid" w:color="FFFFFF" w:fill="auto"/>
          </w:tcPr>
          <w:p w:rsidR="00965D85" w:rsidRPr="00B264D4"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B264D4">
              <w:rPr>
                <w:rFonts w:ascii="Calibri" w:eastAsiaTheme="minorEastAsia" w:hAnsi="Calibri" w:cs="Calibri"/>
                <w:color w:val="000000"/>
                <w:sz w:val="20"/>
                <w:lang w:eastAsia="en-AU"/>
              </w:rPr>
              <w:t>54</w:t>
            </w:r>
          </w:p>
        </w:tc>
        <w:tc>
          <w:tcPr>
            <w:tcW w:w="1111" w:type="dxa"/>
            <w:tcBorders>
              <w:top w:val="nil"/>
              <w:left w:val="nil"/>
              <w:bottom w:val="nil"/>
              <w:right w:val="nil"/>
            </w:tcBorders>
            <w:shd w:val="solid" w:color="FFFFFF" w:fill="auto"/>
          </w:tcPr>
          <w:p w:rsidR="00965D85" w:rsidRPr="00B264D4"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B264D4">
              <w:rPr>
                <w:rFonts w:ascii="Calibri" w:eastAsiaTheme="minorEastAsia" w:hAnsi="Calibri" w:cs="Calibri"/>
                <w:color w:val="000000"/>
                <w:sz w:val="20"/>
                <w:lang w:eastAsia="en-AU"/>
              </w:rPr>
              <w:t>53</w:t>
            </w:r>
          </w:p>
        </w:tc>
        <w:tc>
          <w:tcPr>
            <w:tcW w:w="1111" w:type="dxa"/>
            <w:tcBorders>
              <w:top w:val="nil"/>
              <w:left w:val="nil"/>
              <w:bottom w:val="nil"/>
              <w:right w:val="nil"/>
            </w:tcBorders>
            <w:shd w:val="solid" w:color="FFFFFF" w:fill="auto"/>
          </w:tcPr>
          <w:p w:rsidR="00965D85" w:rsidRPr="00B264D4"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B264D4">
              <w:rPr>
                <w:rFonts w:ascii="Calibri" w:eastAsiaTheme="minorEastAsia" w:hAnsi="Calibri" w:cs="Calibri"/>
                <w:color w:val="000000"/>
                <w:sz w:val="20"/>
                <w:lang w:eastAsia="en-AU"/>
              </w:rPr>
              <w:t>53</w:t>
            </w:r>
          </w:p>
        </w:tc>
        <w:tc>
          <w:tcPr>
            <w:tcW w:w="1111" w:type="dxa"/>
            <w:tcBorders>
              <w:top w:val="nil"/>
              <w:left w:val="nil"/>
              <w:bottom w:val="nil"/>
              <w:right w:val="nil"/>
            </w:tcBorders>
            <w:shd w:val="solid" w:color="FFFFFF" w:fill="auto"/>
          </w:tcPr>
          <w:p w:rsidR="00965D85" w:rsidRPr="00B264D4"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B264D4">
              <w:rPr>
                <w:rFonts w:ascii="Calibri" w:eastAsiaTheme="minorEastAsia" w:hAnsi="Calibri" w:cs="Calibri"/>
                <w:color w:val="000000"/>
                <w:sz w:val="20"/>
                <w:lang w:eastAsia="en-AU"/>
              </w:rPr>
              <w:t>54</w:t>
            </w:r>
          </w:p>
        </w:tc>
      </w:tr>
      <w:tr w:rsidR="00965D85" w:rsidRPr="00B264D4" w:rsidTr="008B46DF">
        <w:trPr>
          <w:trHeight w:val="199"/>
        </w:trPr>
        <w:tc>
          <w:tcPr>
            <w:tcW w:w="3538" w:type="dxa"/>
            <w:tcBorders>
              <w:top w:val="nil"/>
              <w:left w:val="nil"/>
              <w:bottom w:val="nil"/>
              <w:right w:val="nil"/>
            </w:tcBorders>
          </w:tcPr>
          <w:p w:rsidR="00965D85" w:rsidRPr="00B264D4" w:rsidRDefault="00965D85" w:rsidP="008B46DF">
            <w:pPr>
              <w:autoSpaceDE w:val="0"/>
              <w:autoSpaceDN w:val="0"/>
              <w:adjustRightInd w:val="0"/>
              <w:spacing w:after="0"/>
              <w:rPr>
                <w:rFonts w:ascii="Calibri" w:eastAsiaTheme="minorEastAsia" w:hAnsi="Calibri" w:cs="Calibri"/>
                <w:color w:val="000000"/>
                <w:sz w:val="20"/>
                <w:lang w:eastAsia="en-AU"/>
              </w:rPr>
            </w:pPr>
            <w:r w:rsidRPr="00B264D4">
              <w:rPr>
                <w:rFonts w:ascii="Calibri" w:eastAsiaTheme="minorEastAsia" w:hAnsi="Calibri" w:cs="Calibri"/>
                <w:color w:val="000000"/>
                <w:sz w:val="20"/>
                <w:lang w:eastAsia="en-AU"/>
              </w:rPr>
              <w:t>Expenses from transactions</w:t>
            </w:r>
          </w:p>
        </w:tc>
        <w:tc>
          <w:tcPr>
            <w:tcW w:w="1111" w:type="dxa"/>
            <w:tcBorders>
              <w:top w:val="nil"/>
              <w:left w:val="nil"/>
              <w:bottom w:val="nil"/>
              <w:right w:val="nil"/>
            </w:tcBorders>
            <w:shd w:val="solid" w:color="FFFFFF" w:fill="auto"/>
          </w:tcPr>
          <w:p w:rsidR="00965D85" w:rsidRPr="00B264D4"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B264D4">
              <w:rPr>
                <w:rFonts w:ascii="Calibri" w:eastAsiaTheme="minorEastAsia" w:hAnsi="Calibri" w:cs="Calibri"/>
                <w:color w:val="000000"/>
                <w:sz w:val="20"/>
                <w:lang w:eastAsia="en-AU"/>
              </w:rPr>
              <w:t>(1)</w:t>
            </w:r>
          </w:p>
        </w:tc>
        <w:tc>
          <w:tcPr>
            <w:tcW w:w="1111" w:type="dxa"/>
            <w:tcBorders>
              <w:top w:val="nil"/>
              <w:left w:val="nil"/>
              <w:bottom w:val="nil"/>
              <w:right w:val="nil"/>
            </w:tcBorders>
            <w:shd w:val="solid" w:color="FFFFFF" w:fill="auto"/>
          </w:tcPr>
          <w:p w:rsidR="00965D85" w:rsidRPr="00B264D4"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B264D4">
              <w:rPr>
                <w:rFonts w:ascii="Calibri" w:eastAsiaTheme="minorEastAsia" w:hAnsi="Calibri" w:cs="Calibri"/>
                <w:color w:val="000000"/>
                <w:sz w:val="20"/>
                <w:lang w:eastAsia="en-AU"/>
              </w:rPr>
              <w:t>(4)</w:t>
            </w:r>
          </w:p>
        </w:tc>
        <w:tc>
          <w:tcPr>
            <w:tcW w:w="1111" w:type="dxa"/>
            <w:tcBorders>
              <w:top w:val="nil"/>
              <w:left w:val="nil"/>
              <w:bottom w:val="nil"/>
              <w:right w:val="nil"/>
            </w:tcBorders>
            <w:shd w:val="solid" w:color="FFFFFF" w:fill="auto"/>
          </w:tcPr>
          <w:p w:rsidR="00965D85" w:rsidRPr="00B264D4"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B264D4">
              <w:rPr>
                <w:rFonts w:ascii="Calibri" w:eastAsiaTheme="minorEastAsia" w:hAnsi="Calibri" w:cs="Calibri"/>
                <w:color w:val="000000"/>
                <w:sz w:val="20"/>
                <w:lang w:eastAsia="en-AU"/>
              </w:rPr>
              <w:t>(7)</w:t>
            </w:r>
          </w:p>
        </w:tc>
        <w:tc>
          <w:tcPr>
            <w:tcW w:w="1111" w:type="dxa"/>
            <w:tcBorders>
              <w:top w:val="nil"/>
              <w:left w:val="nil"/>
              <w:bottom w:val="nil"/>
              <w:right w:val="nil"/>
            </w:tcBorders>
            <w:shd w:val="solid" w:color="FFFFFF" w:fill="auto"/>
          </w:tcPr>
          <w:p w:rsidR="00965D85" w:rsidRPr="00B264D4"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B264D4">
              <w:rPr>
                <w:rFonts w:ascii="Calibri" w:eastAsiaTheme="minorEastAsia" w:hAnsi="Calibri" w:cs="Calibri"/>
                <w:color w:val="000000"/>
                <w:sz w:val="20"/>
                <w:lang w:eastAsia="en-AU"/>
              </w:rPr>
              <w:t>(10)</w:t>
            </w:r>
          </w:p>
        </w:tc>
      </w:tr>
      <w:tr w:rsidR="00965D85" w:rsidRPr="00B264D4" w:rsidTr="008B46DF">
        <w:trPr>
          <w:trHeight w:val="199"/>
        </w:trPr>
        <w:tc>
          <w:tcPr>
            <w:tcW w:w="3538" w:type="dxa"/>
            <w:tcBorders>
              <w:top w:val="single" w:sz="6" w:space="0" w:color="auto"/>
              <w:left w:val="nil"/>
              <w:bottom w:val="single" w:sz="6" w:space="0" w:color="auto"/>
              <w:right w:val="nil"/>
            </w:tcBorders>
          </w:tcPr>
          <w:p w:rsidR="00965D85" w:rsidRPr="00B264D4" w:rsidRDefault="00965D85" w:rsidP="008B46DF">
            <w:pPr>
              <w:autoSpaceDE w:val="0"/>
              <w:autoSpaceDN w:val="0"/>
              <w:adjustRightInd w:val="0"/>
              <w:spacing w:after="0"/>
              <w:rPr>
                <w:rFonts w:ascii="Calibri" w:eastAsiaTheme="minorEastAsia" w:hAnsi="Calibri" w:cs="Calibri"/>
                <w:b/>
                <w:bCs/>
                <w:color w:val="000000"/>
                <w:sz w:val="20"/>
                <w:lang w:eastAsia="en-AU"/>
              </w:rPr>
            </w:pPr>
            <w:r w:rsidRPr="00B264D4">
              <w:rPr>
                <w:rFonts w:ascii="Calibri" w:eastAsiaTheme="minorEastAsia" w:hAnsi="Calibri" w:cs="Calibri"/>
                <w:b/>
                <w:bCs/>
                <w:color w:val="000000"/>
                <w:sz w:val="20"/>
                <w:lang w:eastAsia="en-AU"/>
              </w:rPr>
              <w:t>Net result from transactions</w:t>
            </w:r>
          </w:p>
        </w:tc>
        <w:tc>
          <w:tcPr>
            <w:tcW w:w="1111" w:type="dxa"/>
            <w:tcBorders>
              <w:top w:val="single" w:sz="6" w:space="0" w:color="auto"/>
              <w:left w:val="nil"/>
              <w:bottom w:val="single" w:sz="6" w:space="0" w:color="auto"/>
              <w:right w:val="nil"/>
            </w:tcBorders>
            <w:shd w:val="solid" w:color="FFFFFF" w:fill="auto"/>
          </w:tcPr>
          <w:p w:rsidR="00965D85" w:rsidRPr="00B264D4"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B264D4">
              <w:rPr>
                <w:rFonts w:ascii="Calibri" w:eastAsiaTheme="minorEastAsia" w:hAnsi="Calibri" w:cs="Calibri"/>
                <w:b/>
                <w:bCs/>
                <w:color w:val="000000"/>
                <w:sz w:val="20"/>
                <w:lang w:eastAsia="en-AU"/>
              </w:rPr>
              <w:t>56</w:t>
            </w:r>
          </w:p>
        </w:tc>
        <w:tc>
          <w:tcPr>
            <w:tcW w:w="1111" w:type="dxa"/>
            <w:tcBorders>
              <w:top w:val="single" w:sz="6" w:space="0" w:color="auto"/>
              <w:left w:val="nil"/>
              <w:bottom w:val="single" w:sz="6" w:space="0" w:color="auto"/>
              <w:right w:val="nil"/>
            </w:tcBorders>
            <w:shd w:val="solid" w:color="FFFFFF" w:fill="auto"/>
          </w:tcPr>
          <w:p w:rsidR="00965D85" w:rsidRPr="00B264D4"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B264D4">
              <w:rPr>
                <w:rFonts w:ascii="Calibri" w:eastAsiaTheme="minorEastAsia" w:hAnsi="Calibri" w:cs="Calibri"/>
                <w:b/>
                <w:bCs/>
                <w:color w:val="000000"/>
                <w:sz w:val="20"/>
                <w:lang w:eastAsia="en-AU"/>
              </w:rPr>
              <w:t>57</w:t>
            </w:r>
          </w:p>
        </w:tc>
        <w:tc>
          <w:tcPr>
            <w:tcW w:w="1111" w:type="dxa"/>
            <w:tcBorders>
              <w:top w:val="single" w:sz="6" w:space="0" w:color="auto"/>
              <w:left w:val="nil"/>
              <w:bottom w:val="single" w:sz="6" w:space="0" w:color="auto"/>
              <w:right w:val="nil"/>
            </w:tcBorders>
            <w:shd w:val="solid" w:color="FFFFFF" w:fill="auto"/>
          </w:tcPr>
          <w:p w:rsidR="00965D85" w:rsidRPr="00B264D4"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B264D4">
              <w:rPr>
                <w:rFonts w:ascii="Calibri" w:eastAsiaTheme="minorEastAsia" w:hAnsi="Calibri" w:cs="Calibri"/>
                <w:b/>
                <w:bCs/>
                <w:color w:val="000000"/>
                <w:sz w:val="20"/>
                <w:lang w:eastAsia="en-AU"/>
              </w:rPr>
              <w:t>60</w:t>
            </w:r>
          </w:p>
        </w:tc>
        <w:tc>
          <w:tcPr>
            <w:tcW w:w="1111" w:type="dxa"/>
            <w:tcBorders>
              <w:top w:val="single" w:sz="6" w:space="0" w:color="auto"/>
              <w:left w:val="nil"/>
              <w:bottom w:val="single" w:sz="6" w:space="0" w:color="auto"/>
              <w:right w:val="nil"/>
            </w:tcBorders>
            <w:shd w:val="solid" w:color="FFFFFF" w:fill="auto"/>
          </w:tcPr>
          <w:p w:rsidR="00965D85" w:rsidRPr="00B264D4"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B264D4">
              <w:rPr>
                <w:rFonts w:ascii="Calibri" w:eastAsiaTheme="minorEastAsia" w:hAnsi="Calibri" w:cs="Calibri"/>
                <w:b/>
                <w:bCs/>
                <w:color w:val="000000"/>
                <w:sz w:val="20"/>
                <w:lang w:eastAsia="en-AU"/>
              </w:rPr>
              <w:t>64</w:t>
            </w:r>
          </w:p>
        </w:tc>
      </w:tr>
      <w:tr w:rsidR="00965D85" w:rsidRPr="00B264D4" w:rsidTr="008B46DF">
        <w:trPr>
          <w:trHeight w:val="211"/>
        </w:trPr>
        <w:tc>
          <w:tcPr>
            <w:tcW w:w="3538" w:type="dxa"/>
            <w:tcBorders>
              <w:top w:val="single" w:sz="6" w:space="0" w:color="auto"/>
              <w:left w:val="nil"/>
              <w:bottom w:val="single" w:sz="12" w:space="0" w:color="auto"/>
              <w:right w:val="nil"/>
            </w:tcBorders>
          </w:tcPr>
          <w:p w:rsidR="00965D85" w:rsidRPr="00B264D4" w:rsidRDefault="00965D85" w:rsidP="008B46DF">
            <w:pPr>
              <w:autoSpaceDE w:val="0"/>
              <w:autoSpaceDN w:val="0"/>
              <w:adjustRightInd w:val="0"/>
              <w:spacing w:after="0"/>
              <w:rPr>
                <w:rFonts w:ascii="Calibri" w:eastAsiaTheme="minorEastAsia" w:hAnsi="Calibri" w:cs="Calibri"/>
                <w:b/>
                <w:bCs/>
                <w:color w:val="000000"/>
                <w:sz w:val="20"/>
                <w:lang w:eastAsia="en-AU"/>
              </w:rPr>
            </w:pPr>
            <w:r w:rsidRPr="00B264D4">
              <w:rPr>
                <w:rFonts w:ascii="Calibri" w:eastAsiaTheme="minorEastAsia" w:hAnsi="Calibri" w:cs="Calibri"/>
                <w:b/>
                <w:bCs/>
                <w:color w:val="000000"/>
                <w:sz w:val="20"/>
                <w:lang w:eastAsia="en-AU"/>
              </w:rPr>
              <w:t>Net debt</w:t>
            </w:r>
          </w:p>
        </w:tc>
        <w:tc>
          <w:tcPr>
            <w:tcW w:w="1111" w:type="dxa"/>
            <w:tcBorders>
              <w:top w:val="single" w:sz="6" w:space="0" w:color="auto"/>
              <w:left w:val="nil"/>
              <w:bottom w:val="single" w:sz="12" w:space="0" w:color="auto"/>
              <w:right w:val="nil"/>
            </w:tcBorders>
            <w:shd w:val="solid" w:color="FFFFFF" w:fill="auto"/>
          </w:tcPr>
          <w:p w:rsidR="00965D85" w:rsidRPr="00B264D4"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B264D4">
              <w:rPr>
                <w:rFonts w:ascii="Calibri" w:eastAsiaTheme="minorEastAsia" w:hAnsi="Calibri" w:cs="Calibri"/>
                <w:b/>
                <w:bCs/>
                <w:color w:val="000000"/>
                <w:sz w:val="20"/>
                <w:lang w:eastAsia="en-AU"/>
              </w:rPr>
              <w:t>(56)</w:t>
            </w:r>
          </w:p>
        </w:tc>
        <w:tc>
          <w:tcPr>
            <w:tcW w:w="1111" w:type="dxa"/>
            <w:tcBorders>
              <w:top w:val="single" w:sz="6" w:space="0" w:color="auto"/>
              <w:left w:val="nil"/>
              <w:bottom w:val="single" w:sz="12" w:space="0" w:color="auto"/>
              <w:right w:val="nil"/>
            </w:tcBorders>
            <w:shd w:val="solid" w:color="FFFFFF" w:fill="auto"/>
          </w:tcPr>
          <w:p w:rsidR="00965D85" w:rsidRPr="00B264D4"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B264D4">
              <w:rPr>
                <w:rFonts w:ascii="Calibri" w:eastAsiaTheme="minorEastAsia" w:hAnsi="Calibri" w:cs="Calibri"/>
                <w:b/>
                <w:bCs/>
                <w:color w:val="000000"/>
                <w:sz w:val="20"/>
                <w:lang w:eastAsia="en-AU"/>
              </w:rPr>
              <w:t>(113)</w:t>
            </w:r>
          </w:p>
        </w:tc>
        <w:tc>
          <w:tcPr>
            <w:tcW w:w="1111" w:type="dxa"/>
            <w:tcBorders>
              <w:top w:val="single" w:sz="6" w:space="0" w:color="auto"/>
              <w:left w:val="nil"/>
              <w:bottom w:val="single" w:sz="12" w:space="0" w:color="auto"/>
              <w:right w:val="nil"/>
            </w:tcBorders>
            <w:shd w:val="solid" w:color="FFFFFF" w:fill="auto"/>
          </w:tcPr>
          <w:p w:rsidR="00965D85" w:rsidRPr="00B264D4"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B264D4">
              <w:rPr>
                <w:rFonts w:ascii="Calibri" w:eastAsiaTheme="minorEastAsia" w:hAnsi="Calibri" w:cs="Calibri"/>
                <w:b/>
                <w:bCs/>
                <w:color w:val="000000"/>
                <w:sz w:val="20"/>
                <w:lang w:eastAsia="en-AU"/>
              </w:rPr>
              <w:t>(173)</w:t>
            </w:r>
          </w:p>
        </w:tc>
        <w:tc>
          <w:tcPr>
            <w:tcW w:w="1111" w:type="dxa"/>
            <w:tcBorders>
              <w:top w:val="single" w:sz="6" w:space="0" w:color="auto"/>
              <w:left w:val="nil"/>
              <w:bottom w:val="single" w:sz="12" w:space="0" w:color="auto"/>
              <w:right w:val="nil"/>
            </w:tcBorders>
            <w:shd w:val="solid" w:color="FFFFFF" w:fill="auto"/>
          </w:tcPr>
          <w:p w:rsidR="00965D85" w:rsidRPr="00B264D4"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B264D4">
              <w:rPr>
                <w:rFonts w:ascii="Calibri" w:eastAsiaTheme="minorEastAsia" w:hAnsi="Calibri" w:cs="Calibri"/>
                <w:b/>
                <w:bCs/>
                <w:color w:val="000000"/>
                <w:sz w:val="20"/>
                <w:lang w:eastAsia="en-AU"/>
              </w:rPr>
              <w:t>(237)</w:t>
            </w:r>
          </w:p>
        </w:tc>
      </w:tr>
      <w:tr w:rsidR="00965D85" w:rsidRPr="00B264D4" w:rsidTr="008B46DF">
        <w:trPr>
          <w:trHeight w:val="199"/>
        </w:trPr>
        <w:tc>
          <w:tcPr>
            <w:tcW w:w="3538" w:type="dxa"/>
            <w:tcBorders>
              <w:top w:val="nil"/>
              <w:left w:val="nil"/>
              <w:bottom w:val="nil"/>
              <w:right w:val="nil"/>
            </w:tcBorders>
          </w:tcPr>
          <w:p w:rsidR="00965D85" w:rsidRPr="00B264D4" w:rsidRDefault="00965D85" w:rsidP="008B46DF">
            <w:pPr>
              <w:autoSpaceDE w:val="0"/>
              <w:autoSpaceDN w:val="0"/>
              <w:adjustRightInd w:val="0"/>
              <w:spacing w:after="0"/>
              <w:rPr>
                <w:rFonts w:ascii="Calibri" w:eastAsiaTheme="minorEastAsia" w:hAnsi="Calibri" w:cs="Calibri"/>
                <w:b/>
                <w:bCs/>
                <w:color w:val="000000"/>
                <w:sz w:val="20"/>
                <w:lang w:eastAsia="en-AU"/>
              </w:rPr>
            </w:pPr>
            <w:r w:rsidRPr="00B264D4">
              <w:rPr>
                <w:rFonts w:ascii="Calibri" w:eastAsiaTheme="minorEastAsia" w:hAnsi="Calibri" w:cs="Calibri"/>
                <w:b/>
                <w:bCs/>
                <w:color w:val="000000"/>
                <w:sz w:val="20"/>
                <w:lang w:eastAsia="en-AU"/>
              </w:rPr>
              <w:t xml:space="preserve">Interest rates </w:t>
            </w:r>
            <w:r w:rsidRPr="005F2A91">
              <w:rPr>
                <w:rFonts w:ascii="Calibri" w:eastAsiaTheme="minorEastAsia" w:hAnsi="Calibri" w:cs="Calibri"/>
                <w:b/>
                <w:bCs/>
                <w:color w:val="000000"/>
                <w:sz w:val="20"/>
                <w:vertAlign w:val="superscript"/>
                <w:lang w:eastAsia="en-AU"/>
              </w:rPr>
              <w:t>(i)</w:t>
            </w:r>
          </w:p>
        </w:tc>
        <w:tc>
          <w:tcPr>
            <w:tcW w:w="1111" w:type="dxa"/>
            <w:tcBorders>
              <w:top w:val="nil"/>
              <w:left w:val="nil"/>
              <w:bottom w:val="nil"/>
              <w:right w:val="nil"/>
            </w:tcBorders>
          </w:tcPr>
          <w:p w:rsidR="00965D85" w:rsidRPr="00B264D4"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B264D4">
              <w:rPr>
                <w:rFonts w:ascii="Calibri" w:eastAsiaTheme="minorEastAsia" w:hAnsi="Calibri" w:cs="Calibri"/>
                <w:color w:val="000000"/>
                <w:sz w:val="20"/>
                <w:lang w:eastAsia="en-AU"/>
              </w:rPr>
              <w:t xml:space="preserve"> </w:t>
            </w:r>
          </w:p>
        </w:tc>
        <w:tc>
          <w:tcPr>
            <w:tcW w:w="1111" w:type="dxa"/>
            <w:tcBorders>
              <w:top w:val="nil"/>
              <w:left w:val="nil"/>
              <w:bottom w:val="nil"/>
              <w:right w:val="nil"/>
            </w:tcBorders>
          </w:tcPr>
          <w:p w:rsidR="00965D85" w:rsidRPr="00B264D4"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B264D4">
              <w:rPr>
                <w:rFonts w:ascii="Calibri" w:eastAsiaTheme="minorEastAsia" w:hAnsi="Calibri" w:cs="Calibri"/>
                <w:color w:val="000000"/>
                <w:sz w:val="20"/>
                <w:lang w:eastAsia="en-AU"/>
              </w:rPr>
              <w:t xml:space="preserve"> </w:t>
            </w:r>
          </w:p>
        </w:tc>
        <w:tc>
          <w:tcPr>
            <w:tcW w:w="1111" w:type="dxa"/>
            <w:tcBorders>
              <w:top w:val="nil"/>
              <w:left w:val="nil"/>
              <w:bottom w:val="nil"/>
              <w:right w:val="nil"/>
            </w:tcBorders>
          </w:tcPr>
          <w:p w:rsidR="00965D85" w:rsidRPr="00B264D4"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B264D4">
              <w:rPr>
                <w:rFonts w:ascii="Calibri" w:eastAsiaTheme="minorEastAsia" w:hAnsi="Calibri" w:cs="Calibri"/>
                <w:color w:val="000000"/>
                <w:sz w:val="20"/>
                <w:lang w:eastAsia="en-AU"/>
              </w:rPr>
              <w:t xml:space="preserve"> </w:t>
            </w:r>
          </w:p>
        </w:tc>
        <w:tc>
          <w:tcPr>
            <w:tcW w:w="1111" w:type="dxa"/>
            <w:tcBorders>
              <w:top w:val="nil"/>
              <w:left w:val="nil"/>
              <w:bottom w:val="nil"/>
              <w:right w:val="nil"/>
            </w:tcBorders>
          </w:tcPr>
          <w:p w:rsidR="00965D85" w:rsidRPr="00B264D4"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B264D4">
              <w:rPr>
                <w:rFonts w:ascii="Calibri" w:eastAsiaTheme="minorEastAsia" w:hAnsi="Calibri" w:cs="Calibri"/>
                <w:color w:val="000000"/>
                <w:sz w:val="20"/>
                <w:lang w:eastAsia="en-AU"/>
              </w:rPr>
              <w:t xml:space="preserve"> </w:t>
            </w:r>
          </w:p>
        </w:tc>
      </w:tr>
      <w:tr w:rsidR="00965D85" w:rsidRPr="00B264D4" w:rsidTr="008B46DF">
        <w:trPr>
          <w:trHeight w:val="199"/>
        </w:trPr>
        <w:tc>
          <w:tcPr>
            <w:tcW w:w="3538" w:type="dxa"/>
            <w:tcBorders>
              <w:top w:val="nil"/>
              <w:left w:val="nil"/>
              <w:bottom w:val="nil"/>
              <w:right w:val="nil"/>
            </w:tcBorders>
          </w:tcPr>
          <w:p w:rsidR="00965D85" w:rsidRPr="00B264D4" w:rsidRDefault="00965D85" w:rsidP="008B46DF">
            <w:pPr>
              <w:autoSpaceDE w:val="0"/>
              <w:autoSpaceDN w:val="0"/>
              <w:adjustRightInd w:val="0"/>
              <w:spacing w:after="0"/>
              <w:rPr>
                <w:rFonts w:ascii="Calibri" w:eastAsiaTheme="minorEastAsia" w:hAnsi="Calibri" w:cs="Calibri"/>
                <w:color w:val="000000"/>
                <w:sz w:val="20"/>
                <w:lang w:eastAsia="en-AU"/>
              </w:rPr>
            </w:pPr>
            <w:r w:rsidRPr="00B264D4">
              <w:rPr>
                <w:rFonts w:ascii="Calibri" w:eastAsiaTheme="minorEastAsia" w:hAnsi="Calibri" w:cs="Calibri"/>
                <w:color w:val="000000"/>
                <w:sz w:val="20"/>
                <w:lang w:eastAsia="en-AU"/>
              </w:rPr>
              <w:t>Income from transactions</w:t>
            </w:r>
          </w:p>
        </w:tc>
        <w:tc>
          <w:tcPr>
            <w:tcW w:w="1111" w:type="dxa"/>
            <w:tcBorders>
              <w:top w:val="nil"/>
              <w:left w:val="nil"/>
              <w:bottom w:val="nil"/>
              <w:right w:val="nil"/>
            </w:tcBorders>
            <w:shd w:val="solid" w:color="FFFFFF" w:fill="auto"/>
          </w:tcPr>
          <w:p w:rsidR="00965D85" w:rsidRPr="00B264D4"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B264D4">
              <w:rPr>
                <w:rFonts w:ascii="Calibri" w:eastAsiaTheme="minorEastAsia" w:hAnsi="Calibri" w:cs="Calibri"/>
                <w:color w:val="000000"/>
                <w:sz w:val="20"/>
                <w:lang w:eastAsia="en-AU"/>
              </w:rPr>
              <w:t>230</w:t>
            </w:r>
          </w:p>
        </w:tc>
        <w:tc>
          <w:tcPr>
            <w:tcW w:w="1111" w:type="dxa"/>
            <w:tcBorders>
              <w:top w:val="nil"/>
              <w:left w:val="nil"/>
              <w:bottom w:val="nil"/>
              <w:right w:val="nil"/>
            </w:tcBorders>
            <w:shd w:val="solid" w:color="FFFFFF" w:fill="auto"/>
          </w:tcPr>
          <w:p w:rsidR="00965D85" w:rsidRPr="00B264D4"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B264D4">
              <w:rPr>
                <w:rFonts w:ascii="Calibri" w:eastAsiaTheme="minorEastAsia" w:hAnsi="Calibri" w:cs="Calibri"/>
                <w:color w:val="000000"/>
                <w:sz w:val="20"/>
                <w:lang w:eastAsia="en-AU"/>
              </w:rPr>
              <w:t>164</w:t>
            </w:r>
          </w:p>
        </w:tc>
        <w:tc>
          <w:tcPr>
            <w:tcW w:w="1111" w:type="dxa"/>
            <w:tcBorders>
              <w:top w:val="nil"/>
              <w:left w:val="nil"/>
              <w:bottom w:val="nil"/>
              <w:right w:val="nil"/>
            </w:tcBorders>
            <w:shd w:val="solid" w:color="FFFFFF" w:fill="auto"/>
          </w:tcPr>
          <w:p w:rsidR="00965D85" w:rsidRPr="00B264D4"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B264D4">
              <w:rPr>
                <w:rFonts w:ascii="Calibri" w:eastAsiaTheme="minorEastAsia" w:hAnsi="Calibri" w:cs="Calibri"/>
                <w:color w:val="000000"/>
                <w:sz w:val="20"/>
                <w:lang w:eastAsia="en-AU"/>
              </w:rPr>
              <w:t>203</w:t>
            </w:r>
          </w:p>
        </w:tc>
        <w:tc>
          <w:tcPr>
            <w:tcW w:w="1111" w:type="dxa"/>
            <w:tcBorders>
              <w:top w:val="nil"/>
              <w:left w:val="nil"/>
              <w:bottom w:val="nil"/>
              <w:right w:val="nil"/>
            </w:tcBorders>
            <w:shd w:val="solid" w:color="FFFFFF" w:fill="auto"/>
          </w:tcPr>
          <w:p w:rsidR="00965D85" w:rsidRPr="00B264D4"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B264D4">
              <w:rPr>
                <w:rFonts w:ascii="Calibri" w:eastAsiaTheme="minorEastAsia" w:hAnsi="Calibri" w:cs="Calibri"/>
                <w:color w:val="000000"/>
                <w:sz w:val="20"/>
                <w:lang w:eastAsia="en-AU"/>
              </w:rPr>
              <w:t>221</w:t>
            </w:r>
          </w:p>
        </w:tc>
      </w:tr>
      <w:tr w:rsidR="00965D85" w:rsidRPr="00B264D4" w:rsidTr="008B46DF">
        <w:trPr>
          <w:trHeight w:val="199"/>
        </w:trPr>
        <w:tc>
          <w:tcPr>
            <w:tcW w:w="3538" w:type="dxa"/>
            <w:tcBorders>
              <w:top w:val="nil"/>
              <w:left w:val="nil"/>
              <w:bottom w:val="nil"/>
              <w:right w:val="nil"/>
            </w:tcBorders>
          </w:tcPr>
          <w:p w:rsidR="00965D85" w:rsidRPr="00B264D4" w:rsidRDefault="00965D85" w:rsidP="008B46DF">
            <w:pPr>
              <w:autoSpaceDE w:val="0"/>
              <w:autoSpaceDN w:val="0"/>
              <w:adjustRightInd w:val="0"/>
              <w:spacing w:after="0"/>
              <w:rPr>
                <w:rFonts w:ascii="Calibri" w:eastAsiaTheme="minorEastAsia" w:hAnsi="Calibri" w:cs="Calibri"/>
                <w:color w:val="000000"/>
                <w:sz w:val="20"/>
                <w:lang w:eastAsia="en-AU"/>
              </w:rPr>
            </w:pPr>
            <w:r w:rsidRPr="00B264D4">
              <w:rPr>
                <w:rFonts w:ascii="Calibri" w:eastAsiaTheme="minorEastAsia" w:hAnsi="Calibri" w:cs="Calibri"/>
                <w:color w:val="000000"/>
                <w:sz w:val="20"/>
                <w:lang w:eastAsia="en-AU"/>
              </w:rPr>
              <w:t>Expenses from transactions</w:t>
            </w:r>
          </w:p>
        </w:tc>
        <w:tc>
          <w:tcPr>
            <w:tcW w:w="1111" w:type="dxa"/>
            <w:tcBorders>
              <w:top w:val="nil"/>
              <w:left w:val="nil"/>
              <w:bottom w:val="nil"/>
              <w:right w:val="nil"/>
            </w:tcBorders>
            <w:shd w:val="solid" w:color="FFFFFF" w:fill="auto"/>
          </w:tcPr>
          <w:p w:rsidR="00965D85" w:rsidRPr="00B264D4"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B264D4">
              <w:rPr>
                <w:rFonts w:ascii="Calibri" w:eastAsiaTheme="minorEastAsia" w:hAnsi="Calibri" w:cs="Calibri"/>
                <w:color w:val="000000"/>
                <w:sz w:val="20"/>
                <w:lang w:eastAsia="en-AU"/>
              </w:rPr>
              <w:t>6</w:t>
            </w:r>
          </w:p>
        </w:tc>
        <w:tc>
          <w:tcPr>
            <w:tcW w:w="1111" w:type="dxa"/>
            <w:tcBorders>
              <w:top w:val="nil"/>
              <w:left w:val="nil"/>
              <w:bottom w:val="nil"/>
              <w:right w:val="nil"/>
            </w:tcBorders>
            <w:shd w:val="solid" w:color="FFFFFF" w:fill="auto"/>
          </w:tcPr>
          <w:p w:rsidR="00965D85" w:rsidRPr="00B264D4"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B264D4">
              <w:rPr>
                <w:rFonts w:ascii="Calibri" w:eastAsiaTheme="minorEastAsia" w:hAnsi="Calibri" w:cs="Calibri"/>
                <w:color w:val="000000"/>
                <w:sz w:val="20"/>
                <w:lang w:eastAsia="en-AU"/>
              </w:rPr>
              <w:t>174</w:t>
            </w:r>
          </w:p>
        </w:tc>
        <w:tc>
          <w:tcPr>
            <w:tcW w:w="1111" w:type="dxa"/>
            <w:tcBorders>
              <w:top w:val="nil"/>
              <w:left w:val="nil"/>
              <w:bottom w:val="nil"/>
              <w:right w:val="nil"/>
            </w:tcBorders>
            <w:shd w:val="solid" w:color="FFFFFF" w:fill="auto"/>
          </w:tcPr>
          <w:p w:rsidR="00965D85" w:rsidRPr="00B264D4"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B264D4">
              <w:rPr>
                <w:rFonts w:ascii="Calibri" w:eastAsiaTheme="minorEastAsia" w:hAnsi="Calibri" w:cs="Calibri"/>
                <w:color w:val="000000"/>
                <w:sz w:val="20"/>
                <w:lang w:eastAsia="en-AU"/>
              </w:rPr>
              <w:t>170</w:t>
            </w:r>
          </w:p>
        </w:tc>
        <w:tc>
          <w:tcPr>
            <w:tcW w:w="1111" w:type="dxa"/>
            <w:tcBorders>
              <w:top w:val="nil"/>
              <w:left w:val="nil"/>
              <w:bottom w:val="nil"/>
              <w:right w:val="nil"/>
            </w:tcBorders>
            <w:shd w:val="solid" w:color="FFFFFF" w:fill="auto"/>
          </w:tcPr>
          <w:p w:rsidR="00965D85" w:rsidRPr="00B264D4" w:rsidRDefault="00965D85" w:rsidP="008B46DF">
            <w:pPr>
              <w:autoSpaceDE w:val="0"/>
              <w:autoSpaceDN w:val="0"/>
              <w:adjustRightInd w:val="0"/>
              <w:spacing w:after="0"/>
              <w:jc w:val="right"/>
              <w:rPr>
                <w:rFonts w:ascii="Calibri" w:eastAsiaTheme="minorEastAsia" w:hAnsi="Calibri" w:cs="Calibri"/>
                <w:color w:val="000000"/>
                <w:sz w:val="20"/>
                <w:lang w:eastAsia="en-AU"/>
              </w:rPr>
            </w:pPr>
            <w:r w:rsidRPr="00B264D4">
              <w:rPr>
                <w:rFonts w:ascii="Calibri" w:eastAsiaTheme="minorEastAsia" w:hAnsi="Calibri" w:cs="Calibri"/>
                <w:color w:val="000000"/>
                <w:sz w:val="20"/>
                <w:lang w:eastAsia="en-AU"/>
              </w:rPr>
              <w:t>151</w:t>
            </w:r>
          </w:p>
        </w:tc>
      </w:tr>
      <w:tr w:rsidR="00965D85" w:rsidRPr="00B264D4" w:rsidTr="008B46DF">
        <w:trPr>
          <w:trHeight w:val="199"/>
        </w:trPr>
        <w:tc>
          <w:tcPr>
            <w:tcW w:w="3538" w:type="dxa"/>
            <w:tcBorders>
              <w:top w:val="single" w:sz="6" w:space="0" w:color="auto"/>
              <w:left w:val="nil"/>
              <w:bottom w:val="single" w:sz="6" w:space="0" w:color="auto"/>
              <w:right w:val="nil"/>
            </w:tcBorders>
          </w:tcPr>
          <w:p w:rsidR="00965D85" w:rsidRPr="00B264D4" w:rsidRDefault="00965D85" w:rsidP="008B46DF">
            <w:pPr>
              <w:autoSpaceDE w:val="0"/>
              <w:autoSpaceDN w:val="0"/>
              <w:adjustRightInd w:val="0"/>
              <w:spacing w:after="0"/>
              <w:rPr>
                <w:rFonts w:ascii="Calibri" w:eastAsiaTheme="minorEastAsia" w:hAnsi="Calibri" w:cs="Calibri"/>
                <w:b/>
                <w:bCs/>
                <w:color w:val="000000"/>
                <w:sz w:val="20"/>
                <w:lang w:eastAsia="en-AU"/>
              </w:rPr>
            </w:pPr>
            <w:r w:rsidRPr="00B264D4">
              <w:rPr>
                <w:rFonts w:ascii="Calibri" w:eastAsiaTheme="minorEastAsia" w:hAnsi="Calibri" w:cs="Calibri"/>
                <w:b/>
                <w:bCs/>
                <w:color w:val="000000"/>
                <w:sz w:val="20"/>
                <w:lang w:eastAsia="en-AU"/>
              </w:rPr>
              <w:t>Net result</w:t>
            </w:r>
          </w:p>
        </w:tc>
        <w:tc>
          <w:tcPr>
            <w:tcW w:w="1111" w:type="dxa"/>
            <w:tcBorders>
              <w:top w:val="single" w:sz="6" w:space="0" w:color="auto"/>
              <w:left w:val="nil"/>
              <w:bottom w:val="single" w:sz="6" w:space="0" w:color="auto"/>
              <w:right w:val="nil"/>
            </w:tcBorders>
            <w:shd w:val="solid" w:color="FFFFFF" w:fill="auto"/>
          </w:tcPr>
          <w:p w:rsidR="00965D85" w:rsidRPr="00B264D4"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B264D4">
              <w:rPr>
                <w:rFonts w:ascii="Calibri" w:eastAsiaTheme="minorEastAsia" w:hAnsi="Calibri" w:cs="Calibri"/>
                <w:b/>
                <w:bCs/>
                <w:color w:val="000000"/>
                <w:sz w:val="20"/>
                <w:lang w:eastAsia="en-AU"/>
              </w:rPr>
              <w:t>224</w:t>
            </w:r>
          </w:p>
        </w:tc>
        <w:tc>
          <w:tcPr>
            <w:tcW w:w="1111" w:type="dxa"/>
            <w:tcBorders>
              <w:top w:val="single" w:sz="6" w:space="0" w:color="auto"/>
              <w:left w:val="nil"/>
              <w:bottom w:val="single" w:sz="6" w:space="0" w:color="auto"/>
              <w:right w:val="nil"/>
            </w:tcBorders>
            <w:shd w:val="solid" w:color="FFFFFF" w:fill="auto"/>
          </w:tcPr>
          <w:p w:rsidR="00965D85" w:rsidRPr="00B264D4"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B264D4">
              <w:rPr>
                <w:rFonts w:ascii="Calibri" w:eastAsiaTheme="minorEastAsia" w:hAnsi="Calibri" w:cs="Calibri"/>
                <w:b/>
                <w:bCs/>
                <w:color w:val="000000"/>
                <w:sz w:val="20"/>
                <w:lang w:eastAsia="en-AU"/>
              </w:rPr>
              <w:t>(11)</w:t>
            </w:r>
          </w:p>
        </w:tc>
        <w:tc>
          <w:tcPr>
            <w:tcW w:w="1111" w:type="dxa"/>
            <w:tcBorders>
              <w:top w:val="single" w:sz="6" w:space="0" w:color="auto"/>
              <w:left w:val="nil"/>
              <w:bottom w:val="single" w:sz="6" w:space="0" w:color="auto"/>
              <w:right w:val="nil"/>
            </w:tcBorders>
            <w:shd w:val="solid" w:color="FFFFFF" w:fill="auto"/>
          </w:tcPr>
          <w:p w:rsidR="00965D85" w:rsidRPr="00B264D4"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B264D4">
              <w:rPr>
                <w:rFonts w:ascii="Calibri" w:eastAsiaTheme="minorEastAsia" w:hAnsi="Calibri" w:cs="Calibri"/>
                <w:b/>
                <w:bCs/>
                <w:color w:val="000000"/>
                <w:sz w:val="20"/>
                <w:lang w:eastAsia="en-AU"/>
              </w:rPr>
              <w:t>34</w:t>
            </w:r>
          </w:p>
        </w:tc>
        <w:tc>
          <w:tcPr>
            <w:tcW w:w="1111" w:type="dxa"/>
            <w:tcBorders>
              <w:top w:val="single" w:sz="6" w:space="0" w:color="auto"/>
              <w:left w:val="nil"/>
              <w:bottom w:val="single" w:sz="6" w:space="0" w:color="auto"/>
              <w:right w:val="nil"/>
            </w:tcBorders>
            <w:shd w:val="solid" w:color="FFFFFF" w:fill="auto"/>
          </w:tcPr>
          <w:p w:rsidR="00965D85" w:rsidRPr="00B264D4"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B264D4">
              <w:rPr>
                <w:rFonts w:ascii="Calibri" w:eastAsiaTheme="minorEastAsia" w:hAnsi="Calibri" w:cs="Calibri"/>
                <w:b/>
                <w:bCs/>
                <w:color w:val="000000"/>
                <w:sz w:val="20"/>
                <w:lang w:eastAsia="en-AU"/>
              </w:rPr>
              <w:t>70</w:t>
            </w:r>
          </w:p>
        </w:tc>
      </w:tr>
      <w:tr w:rsidR="00965D85" w:rsidRPr="00B264D4" w:rsidTr="008B46DF">
        <w:trPr>
          <w:trHeight w:val="211"/>
        </w:trPr>
        <w:tc>
          <w:tcPr>
            <w:tcW w:w="3538" w:type="dxa"/>
            <w:tcBorders>
              <w:top w:val="single" w:sz="6" w:space="0" w:color="auto"/>
              <w:left w:val="nil"/>
              <w:bottom w:val="single" w:sz="12" w:space="0" w:color="auto"/>
              <w:right w:val="nil"/>
            </w:tcBorders>
          </w:tcPr>
          <w:p w:rsidR="00965D85" w:rsidRPr="00B264D4" w:rsidRDefault="00965D85" w:rsidP="008B46DF">
            <w:pPr>
              <w:autoSpaceDE w:val="0"/>
              <w:autoSpaceDN w:val="0"/>
              <w:adjustRightInd w:val="0"/>
              <w:spacing w:after="0"/>
              <w:rPr>
                <w:rFonts w:ascii="Calibri" w:eastAsiaTheme="minorEastAsia" w:hAnsi="Calibri" w:cs="Calibri"/>
                <w:b/>
                <w:bCs/>
                <w:color w:val="000000"/>
                <w:sz w:val="20"/>
                <w:lang w:eastAsia="en-AU"/>
              </w:rPr>
            </w:pPr>
            <w:r w:rsidRPr="00B264D4">
              <w:rPr>
                <w:rFonts w:ascii="Calibri" w:eastAsiaTheme="minorEastAsia" w:hAnsi="Calibri" w:cs="Calibri"/>
                <w:b/>
                <w:bCs/>
                <w:color w:val="000000"/>
                <w:sz w:val="20"/>
                <w:lang w:eastAsia="en-AU"/>
              </w:rPr>
              <w:t>Net debt (cumulative)</w:t>
            </w:r>
          </w:p>
        </w:tc>
        <w:tc>
          <w:tcPr>
            <w:tcW w:w="1111" w:type="dxa"/>
            <w:tcBorders>
              <w:top w:val="single" w:sz="6" w:space="0" w:color="auto"/>
              <w:left w:val="nil"/>
              <w:bottom w:val="single" w:sz="12" w:space="0" w:color="auto"/>
              <w:right w:val="nil"/>
            </w:tcBorders>
            <w:shd w:val="solid" w:color="FFFFFF" w:fill="auto"/>
          </w:tcPr>
          <w:p w:rsidR="00965D85" w:rsidRPr="00B264D4"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B264D4">
              <w:rPr>
                <w:rFonts w:ascii="Calibri" w:eastAsiaTheme="minorEastAsia" w:hAnsi="Calibri" w:cs="Calibri"/>
                <w:b/>
                <w:bCs/>
                <w:color w:val="000000"/>
                <w:sz w:val="20"/>
                <w:lang w:eastAsia="en-AU"/>
              </w:rPr>
              <w:t>(224)</w:t>
            </w:r>
          </w:p>
        </w:tc>
        <w:tc>
          <w:tcPr>
            <w:tcW w:w="1111" w:type="dxa"/>
            <w:tcBorders>
              <w:top w:val="single" w:sz="6" w:space="0" w:color="auto"/>
              <w:left w:val="nil"/>
              <w:bottom w:val="single" w:sz="12" w:space="0" w:color="auto"/>
              <w:right w:val="nil"/>
            </w:tcBorders>
            <w:shd w:val="solid" w:color="FFFFFF" w:fill="auto"/>
          </w:tcPr>
          <w:p w:rsidR="00965D85" w:rsidRPr="00B264D4"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B264D4">
              <w:rPr>
                <w:rFonts w:ascii="Calibri" w:eastAsiaTheme="minorEastAsia" w:hAnsi="Calibri" w:cs="Calibri"/>
                <w:b/>
                <w:bCs/>
                <w:color w:val="000000"/>
                <w:sz w:val="20"/>
                <w:lang w:eastAsia="en-AU"/>
              </w:rPr>
              <w:t>(392)</w:t>
            </w:r>
          </w:p>
        </w:tc>
        <w:tc>
          <w:tcPr>
            <w:tcW w:w="1111" w:type="dxa"/>
            <w:tcBorders>
              <w:top w:val="single" w:sz="6" w:space="0" w:color="auto"/>
              <w:left w:val="nil"/>
              <w:bottom w:val="single" w:sz="12" w:space="0" w:color="auto"/>
              <w:right w:val="nil"/>
            </w:tcBorders>
            <w:shd w:val="solid" w:color="FFFFFF" w:fill="auto"/>
          </w:tcPr>
          <w:p w:rsidR="00965D85" w:rsidRPr="00B264D4"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B264D4">
              <w:rPr>
                <w:rFonts w:ascii="Calibri" w:eastAsiaTheme="minorEastAsia" w:hAnsi="Calibri" w:cs="Calibri"/>
                <w:b/>
                <w:bCs/>
                <w:color w:val="000000"/>
                <w:sz w:val="20"/>
                <w:lang w:eastAsia="en-AU"/>
              </w:rPr>
              <w:t>(608)</w:t>
            </w:r>
          </w:p>
        </w:tc>
        <w:tc>
          <w:tcPr>
            <w:tcW w:w="1111" w:type="dxa"/>
            <w:tcBorders>
              <w:top w:val="single" w:sz="6" w:space="0" w:color="auto"/>
              <w:left w:val="nil"/>
              <w:bottom w:val="single" w:sz="12" w:space="0" w:color="auto"/>
              <w:right w:val="nil"/>
            </w:tcBorders>
            <w:shd w:val="solid" w:color="FFFFFF" w:fill="auto"/>
          </w:tcPr>
          <w:p w:rsidR="00965D85" w:rsidRPr="00B264D4" w:rsidRDefault="00965D85" w:rsidP="008B46DF">
            <w:pPr>
              <w:autoSpaceDE w:val="0"/>
              <w:autoSpaceDN w:val="0"/>
              <w:adjustRightInd w:val="0"/>
              <w:spacing w:after="0"/>
              <w:jc w:val="right"/>
              <w:rPr>
                <w:rFonts w:ascii="Calibri" w:eastAsiaTheme="minorEastAsia" w:hAnsi="Calibri" w:cs="Calibri"/>
                <w:b/>
                <w:bCs/>
                <w:color w:val="000000"/>
                <w:sz w:val="20"/>
                <w:lang w:eastAsia="en-AU"/>
              </w:rPr>
            </w:pPr>
            <w:r w:rsidRPr="00B264D4">
              <w:rPr>
                <w:rFonts w:ascii="Calibri" w:eastAsiaTheme="minorEastAsia" w:hAnsi="Calibri" w:cs="Calibri"/>
                <w:b/>
                <w:bCs/>
                <w:color w:val="000000"/>
                <w:sz w:val="20"/>
                <w:lang w:eastAsia="en-AU"/>
              </w:rPr>
              <w:t>(853)</w:t>
            </w:r>
          </w:p>
        </w:tc>
      </w:tr>
    </w:tbl>
    <w:p w:rsidR="00965D85" w:rsidRDefault="00965D85" w:rsidP="008B46DF">
      <w:pPr>
        <w:pStyle w:val="Source"/>
      </w:pPr>
      <w:r>
        <w:fldChar w:fldCharType="end"/>
      </w:r>
      <w:r>
        <w:rPr>
          <w:lang w:eastAsia="en-AU"/>
        </w:rPr>
        <w:t xml:space="preserve">Source: Department of Treasury and </w:t>
      </w:r>
      <w:r w:rsidRPr="00A27A3E">
        <w:t>Finance</w:t>
      </w:r>
    </w:p>
    <w:p w:rsidR="00965D85" w:rsidRDefault="00965D85" w:rsidP="008B46DF">
      <w:pPr>
        <w:pStyle w:val="Notes"/>
        <w:rPr>
          <w:lang w:eastAsia="en-AU"/>
        </w:rPr>
      </w:pPr>
      <w:r>
        <w:rPr>
          <w:lang w:eastAsia="en-AU"/>
        </w:rPr>
        <w:t>Notes:</w:t>
      </w:r>
    </w:p>
    <w:p w:rsidR="00965D85" w:rsidRPr="00D2756D" w:rsidRDefault="00965D85" w:rsidP="008B46DF">
      <w:pPr>
        <w:pStyle w:val="Notes"/>
        <w:rPr>
          <w:lang w:eastAsia="en-AU"/>
        </w:rPr>
      </w:pPr>
      <w:r>
        <w:rPr>
          <w:lang w:eastAsia="en-AU"/>
        </w:rPr>
        <w:t>(a)</w:t>
      </w:r>
      <w:r>
        <w:rPr>
          <w:lang w:eastAsia="en-AU"/>
        </w:rPr>
        <w:tab/>
        <w:t>In the</w:t>
      </w:r>
      <w:r w:rsidRPr="00D2756D">
        <w:rPr>
          <w:lang w:eastAsia="en-AU"/>
        </w:rPr>
        <w:t xml:space="preserve"> </w:t>
      </w:r>
      <w:r w:rsidRPr="00C53B5B">
        <w:rPr>
          <w:rFonts w:cs="Calibri"/>
          <w:i w:val="0"/>
          <w:lang w:eastAsia="en-AU"/>
        </w:rPr>
        <w:t>2015</w:t>
      </w:r>
      <w:r>
        <w:rPr>
          <w:rFonts w:cs="Calibri"/>
          <w:i w:val="0"/>
          <w:lang w:eastAsia="en-AU"/>
        </w:rPr>
        <w:noBreakHyphen/>
      </w:r>
      <w:r w:rsidRPr="00C53B5B">
        <w:rPr>
          <w:rFonts w:cs="Calibri"/>
          <w:i w:val="0"/>
          <w:lang w:eastAsia="en-AU"/>
        </w:rPr>
        <w:t>16 Budget</w:t>
      </w:r>
      <w:r w:rsidRPr="00D2756D">
        <w:rPr>
          <w:lang w:eastAsia="en-AU"/>
        </w:rPr>
        <w:t>, the Department of Treasury and Finance reviewed the methodology for generating th</w:t>
      </w:r>
      <w:r>
        <w:rPr>
          <w:lang w:eastAsia="en-AU"/>
        </w:rPr>
        <w:t>e sensitivity analysis. This</w:t>
      </w:r>
      <w:r w:rsidRPr="00D2756D">
        <w:rPr>
          <w:lang w:eastAsia="en-AU"/>
        </w:rPr>
        <w:t xml:space="preserve"> resulted in identification of superannuation expense movements which flow through to</w:t>
      </w:r>
      <w:r>
        <w:rPr>
          <w:lang w:eastAsia="en-AU"/>
        </w:rPr>
        <w:t xml:space="preserve"> </w:t>
      </w:r>
      <w:r w:rsidRPr="00D2756D">
        <w:rPr>
          <w:lang w:eastAsia="en-AU"/>
        </w:rPr>
        <w:t>net debt in more detail, consequently affecting the calculation of the net debt sensitivities to interest rates, consumer</w:t>
      </w:r>
      <w:r>
        <w:rPr>
          <w:lang w:eastAsia="en-AU"/>
        </w:rPr>
        <w:t xml:space="preserve"> </w:t>
      </w:r>
      <w:r w:rsidRPr="00D2756D">
        <w:rPr>
          <w:lang w:eastAsia="en-AU"/>
        </w:rPr>
        <w:t>prices, enterprise agreements, domestic and overseas share prices, and property prices.</w:t>
      </w:r>
    </w:p>
    <w:p w:rsidR="00965D85" w:rsidRPr="00D2756D" w:rsidRDefault="00965D85" w:rsidP="008B46DF">
      <w:pPr>
        <w:pStyle w:val="Notes"/>
        <w:rPr>
          <w:lang w:eastAsia="en-AU"/>
        </w:rPr>
      </w:pPr>
      <w:r>
        <w:rPr>
          <w:lang w:eastAsia="en-AU"/>
        </w:rPr>
        <w:t>(b)</w:t>
      </w:r>
      <w:r>
        <w:rPr>
          <w:lang w:eastAsia="en-AU"/>
        </w:rPr>
        <w:tab/>
      </w:r>
      <w:r w:rsidRPr="00D2756D">
        <w:rPr>
          <w:lang w:eastAsia="en-AU"/>
        </w:rPr>
        <w:t>Variations are applied to the economic variables in the budget year. For the out years it is assumed that variables</w:t>
      </w:r>
      <w:r>
        <w:rPr>
          <w:lang w:eastAsia="en-AU"/>
        </w:rPr>
        <w:t>’</w:t>
      </w:r>
      <w:r w:rsidRPr="00D2756D">
        <w:rPr>
          <w:lang w:eastAsia="en-AU"/>
        </w:rPr>
        <w:t xml:space="preserve"> growth rates match those under a no</w:t>
      </w:r>
      <w:r>
        <w:rPr>
          <w:lang w:eastAsia="en-AU"/>
        </w:rPr>
        <w:noBreakHyphen/>
      </w:r>
      <w:r w:rsidRPr="00D2756D">
        <w:rPr>
          <w:lang w:eastAsia="en-AU"/>
        </w:rPr>
        <w:t>variation scenario. This implies that economic variables are 1</w:t>
      </w:r>
      <w:r>
        <w:rPr>
          <w:lang w:eastAsia="en-AU"/>
        </w:rPr>
        <w:t> per cent</w:t>
      </w:r>
      <w:r w:rsidRPr="00D2756D">
        <w:rPr>
          <w:lang w:eastAsia="en-AU"/>
        </w:rPr>
        <w:t xml:space="preserve"> higher</w:t>
      </w:r>
      <w:r>
        <w:rPr>
          <w:lang w:eastAsia="en-AU"/>
        </w:rPr>
        <w:t xml:space="preserve"> </w:t>
      </w:r>
      <w:r w:rsidRPr="00D2756D">
        <w:rPr>
          <w:lang w:eastAsia="en-AU"/>
        </w:rPr>
        <w:t>across the budget and forward years compared with a no</w:t>
      </w:r>
      <w:r>
        <w:rPr>
          <w:lang w:eastAsia="en-AU"/>
        </w:rPr>
        <w:noBreakHyphen/>
      </w:r>
      <w:r w:rsidRPr="00D2756D">
        <w:rPr>
          <w:lang w:eastAsia="en-AU"/>
        </w:rPr>
        <w:t>variation scenario.</w:t>
      </w:r>
    </w:p>
    <w:p w:rsidR="00965D85" w:rsidRPr="00F062A9" w:rsidRDefault="00965D85" w:rsidP="008B46DF">
      <w:pPr>
        <w:pStyle w:val="Notes"/>
      </w:pPr>
      <w:r>
        <w:rPr>
          <w:lang w:eastAsia="en-AU"/>
        </w:rPr>
        <w:t>(c)</w:t>
      </w:r>
      <w:r>
        <w:rPr>
          <w:lang w:eastAsia="en-AU"/>
        </w:rPr>
        <w:tab/>
      </w:r>
      <w:r w:rsidRPr="00D2756D">
        <w:rPr>
          <w:lang w:eastAsia="en-AU"/>
        </w:rPr>
        <w:t>A positive number for income from transactions denotes an increase in revenue. A positive number for expenses from transactions denotes an increase in expenses (and hence a reduction in the net result from transactions and net result). A positive number for other economic flows represents a gain. A positive number for the net result from transactions and net result denotes a higher surplus or lower deficit. A positive number for net debt denotes a higher level of net</w:t>
      </w:r>
      <w:r>
        <w:rPr>
          <w:lang w:eastAsia="en-AU"/>
        </w:rPr>
        <w:t xml:space="preserve"> </w:t>
      </w:r>
      <w:r w:rsidRPr="00D2756D">
        <w:rPr>
          <w:lang w:eastAsia="en-AU"/>
        </w:rPr>
        <w:t xml:space="preserve">debt in the </w:t>
      </w:r>
      <w:r w:rsidRPr="00F062A9">
        <w:t>relevant year compared with a no</w:t>
      </w:r>
      <w:r>
        <w:noBreakHyphen/>
      </w:r>
      <w:r w:rsidRPr="00F062A9">
        <w:t>variation scenario. Numbers may not balance due to rounding.</w:t>
      </w:r>
    </w:p>
    <w:p w:rsidR="00965D85" w:rsidRPr="00F062A9" w:rsidRDefault="00965D85" w:rsidP="008B46DF">
      <w:pPr>
        <w:pStyle w:val="Notes"/>
      </w:pPr>
      <w:r w:rsidRPr="00F062A9">
        <w:t>(d)</w:t>
      </w:r>
      <w:r w:rsidRPr="00F062A9">
        <w:tab/>
        <w:t>The impact of a 1 per cent lower than expected outcome for an economic variable would, in most instances, simply be the opposite of the impact shown in the table.</w:t>
      </w:r>
    </w:p>
    <w:p w:rsidR="00965D85" w:rsidRPr="00F062A9" w:rsidRDefault="00965D85" w:rsidP="008B46DF">
      <w:pPr>
        <w:pStyle w:val="Notes"/>
      </w:pPr>
      <w:r w:rsidRPr="00F062A9">
        <w:t>(e)</w:t>
      </w:r>
      <w:r w:rsidRPr="00F062A9">
        <w:tab/>
        <w:t>Only reasonably quantifiable impacts have been included in the analysis.</w:t>
      </w:r>
    </w:p>
    <w:p w:rsidR="00965D85" w:rsidRPr="00F062A9" w:rsidRDefault="00965D85" w:rsidP="008B46DF">
      <w:pPr>
        <w:pStyle w:val="Notes"/>
      </w:pPr>
      <w:r w:rsidRPr="00F062A9">
        <w:t>(</w:t>
      </w:r>
      <w:r>
        <w:t>f</w:t>
      </w:r>
      <w:r w:rsidRPr="00F062A9">
        <w:t>)</w:t>
      </w:r>
      <w:r w:rsidRPr="00F062A9">
        <w:tab/>
      </w:r>
      <w:r>
        <w:t>Estimates of net debt are approximately equal to the cumulative impact of the net result. Over time however, small discrepancies arise from adding back certain non</w:t>
      </w:r>
      <w:r>
        <w:noBreakHyphen/>
        <w:t>cash expenses.</w:t>
      </w:r>
    </w:p>
    <w:p w:rsidR="00965D85" w:rsidRDefault="00965D85" w:rsidP="008B46DF">
      <w:pPr>
        <w:pStyle w:val="Notes"/>
        <w:rPr>
          <w:lang w:eastAsia="en-AU"/>
        </w:rPr>
      </w:pPr>
      <w:r w:rsidRPr="00F062A9">
        <w:t>(</w:t>
      </w:r>
      <w:r>
        <w:t>g</w:t>
      </w:r>
      <w:r w:rsidRPr="00F062A9">
        <w:t>)</w:t>
      </w:r>
      <w:r w:rsidRPr="00F062A9">
        <w:tab/>
        <w:t xml:space="preserve">Incorporates the impact of the departmental funding model arrangements. It is assumed that an increase in consumer prices within the budget year does not affect employee entitlements. </w:t>
      </w:r>
    </w:p>
    <w:p w:rsidR="00965D85" w:rsidRDefault="00965D85" w:rsidP="008B46DF">
      <w:pPr>
        <w:pStyle w:val="Notes"/>
        <w:rPr>
          <w:lang w:eastAsia="en-AU"/>
        </w:rPr>
      </w:pPr>
      <w:r>
        <w:t xml:space="preserve">(h) </w:t>
      </w:r>
      <w:r>
        <w:tab/>
      </w:r>
      <w:r w:rsidRPr="00F062A9">
        <w:t>Represents a 1 per c</w:t>
      </w:r>
      <w:r>
        <w:rPr>
          <w:lang w:eastAsia="en-AU"/>
        </w:rPr>
        <w:t>ent</w:t>
      </w:r>
      <w:r w:rsidRPr="00D2756D">
        <w:rPr>
          <w:lang w:eastAsia="en-AU"/>
        </w:rPr>
        <w:t xml:space="preserve"> increase in all government enterprise agreements.</w:t>
      </w:r>
    </w:p>
    <w:p w:rsidR="00965D85" w:rsidRDefault="00965D85" w:rsidP="008B46DF">
      <w:pPr>
        <w:pStyle w:val="Notes"/>
        <w:rPr>
          <w:lang w:eastAsia="en-AU"/>
        </w:rPr>
      </w:pPr>
      <w:r>
        <w:rPr>
          <w:lang w:eastAsia="en-AU"/>
        </w:rPr>
        <w:t>(i)</w:t>
      </w:r>
      <w:r>
        <w:rPr>
          <w:lang w:eastAsia="en-AU"/>
        </w:rPr>
        <w:tab/>
      </w:r>
      <w:r w:rsidRPr="00F062A9">
        <w:t>Assumes interest rates are 1 percentage point higher across the entire term structure, i.e. short and long</w:t>
      </w:r>
      <w:r>
        <w:noBreakHyphen/>
      </w:r>
      <w:r w:rsidRPr="00F062A9">
        <w:t>term rates, over the budget and forward estimates period.</w:t>
      </w:r>
    </w:p>
    <w:p w:rsidR="00965D85" w:rsidRDefault="00965D85">
      <w:pPr>
        <w:spacing w:after="0"/>
        <w:rPr>
          <w:rFonts w:ascii="Calibri" w:hAnsi="Calibri"/>
          <w:b/>
          <w:kern w:val="28"/>
          <w:sz w:val="26"/>
          <w:szCs w:val="22"/>
        </w:rPr>
      </w:pPr>
      <w:r>
        <w:br w:type="page"/>
      </w:r>
    </w:p>
    <w:p w:rsidR="00965D85" w:rsidRPr="00F75216" w:rsidRDefault="00965D85" w:rsidP="008B46DF">
      <w:pPr>
        <w:pStyle w:val="Heading2"/>
      </w:pPr>
      <w:r>
        <w:lastRenderedPageBreak/>
        <w:t xml:space="preserve">Sensitivity to </w:t>
      </w:r>
      <w:r w:rsidRPr="00A27A3E">
        <w:t>gross</w:t>
      </w:r>
      <w:r>
        <w:t xml:space="preserve"> state product</w:t>
      </w:r>
    </w:p>
    <w:p w:rsidR="00965D85" w:rsidRDefault="00965D85" w:rsidP="008B46DF">
      <w:r>
        <w:t xml:space="preserve">Higher than expected GSP is associated with higher household consumption, leading to higher revenue from state taxes and goods and services tax (GST). This increases the net result from transactions and reduces net debt. As net debt is a stock variable, the impacts in each year accumulate over the forward estimates. </w:t>
      </w:r>
    </w:p>
    <w:p w:rsidR="00965D85" w:rsidRPr="00191C8C" w:rsidRDefault="00965D85" w:rsidP="008B46DF">
      <w:r>
        <w:t>Based on Table D.1, if GSP was 1 per cent higher than forecast in 2015</w:t>
      </w:r>
      <w:r>
        <w:noBreakHyphen/>
        <w:t>16, the net result from transactions would increase by $158 million. An increase in the net result would lower net debt by the same amount. Over the budget and forward estimates period, the increased surpluses would reduce the stock of net debt by $737 million.</w:t>
      </w:r>
    </w:p>
    <w:p w:rsidR="00965D85" w:rsidRDefault="00965D85" w:rsidP="008B46DF">
      <w:pPr>
        <w:pStyle w:val="Chartheading"/>
      </w:pPr>
      <w:r>
        <w:t>Chart D.1:</w:t>
      </w:r>
      <w:r>
        <w:tab/>
        <w:t xml:space="preserve">Sensitivity of key fiscal aggregates to GSP being 1 per cent </w:t>
      </w:r>
      <w:r w:rsidRPr="006D0251">
        <w:t xml:space="preserve">higher </w:t>
      </w:r>
      <w:r>
        <w:t>than expected from 2015</w:t>
      </w:r>
      <w:r>
        <w:noBreakHyphen/>
        <w:t>16</w:t>
      </w:r>
      <w:r w:rsidRPr="00C26C96">
        <w:rPr>
          <w:vertAlign w:val="superscript"/>
        </w:rPr>
        <w:t>(a)</w:t>
      </w:r>
    </w:p>
    <w:p w:rsidR="00965D85" w:rsidRPr="00A75ED0" w:rsidRDefault="00965D85" w:rsidP="008B46DF">
      <w:pPr>
        <w:pStyle w:val="Source"/>
      </w:pPr>
      <w:r>
        <w:rPr>
          <w:lang w:eastAsia="en-AU"/>
        </w:rPr>
        <w:object w:dxaOrig="9510" w:dyaOrig="54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1.3pt;height:238.45pt" o:ole="">
            <v:imagedata r:id="rId35" o:title=""/>
            <o:lock v:ext="edit" aspectratio="f"/>
          </v:shape>
          <o:OLEObject Type="Link" ProgID="Excel.Sheet.12" ShapeID="_x0000_i1025" DrawAspect="Content" r:id="rId36" UpdateMode="OnCall">
            <o:LinkType>EnhancedMetaFile</o:LinkType>
            <o:LockedField/>
          </o:OLEObject>
        </w:object>
      </w:r>
      <w:r w:rsidRPr="00A75ED0">
        <w:rPr>
          <w:rStyle w:val="SourceChar"/>
          <w:i/>
        </w:rPr>
        <w:t>Source: Department of Treasury and Finance</w:t>
      </w:r>
    </w:p>
    <w:p w:rsidR="00965D85" w:rsidRPr="00AC3EE5" w:rsidRDefault="00965D85" w:rsidP="008B46DF">
      <w:pPr>
        <w:pStyle w:val="Notes"/>
      </w:pPr>
      <w:r w:rsidRPr="00AC3EE5">
        <w:t>Note:</w:t>
      </w:r>
    </w:p>
    <w:p w:rsidR="00965D85" w:rsidRDefault="00965D85" w:rsidP="008B46DF">
      <w:pPr>
        <w:pStyle w:val="Notes"/>
        <w:rPr>
          <w:lang w:eastAsia="en-AU"/>
        </w:rPr>
      </w:pPr>
      <w:r w:rsidRPr="00AC3EE5">
        <w:t>(a)</w:t>
      </w:r>
      <w:r w:rsidRPr="00AC3EE5">
        <w:tab/>
        <w:t>See footnotes for Table D.1 for detailed description of estimates.</w:t>
      </w:r>
    </w:p>
    <w:p w:rsidR="00965D85" w:rsidRDefault="00965D85">
      <w:pPr>
        <w:spacing w:after="0"/>
        <w:rPr>
          <w:rFonts w:ascii="Calibri" w:hAnsi="Calibri"/>
          <w:b/>
          <w:kern w:val="28"/>
          <w:sz w:val="26"/>
          <w:szCs w:val="22"/>
          <w:lang w:eastAsia="en-AU"/>
        </w:rPr>
      </w:pPr>
      <w:r>
        <w:rPr>
          <w:lang w:eastAsia="en-AU"/>
        </w:rPr>
        <w:br w:type="page"/>
      </w:r>
    </w:p>
    <w:p w:rsidR="00965D85" w:rsidRDefault="00965D85" w:rsidP="008B46DF">
      <w:pPr>
        <w:pStyle w:val="Heading2"/>
        <w:rPr>
          <w:lang w:eastAsia="en-AU"/>
        </w:rPr>
      </w:pPr>
      <w:r>
        <w:rPr>
          <w:lang w:eastAsia="en-AU"/>
        </w:rPr>
        <w:lastRenderedPageBreak/>
        <w:t xml:space="preserve">Sensitivity to interest </w:t>
      </w:r>
      <w:r w:rsidRPr="00A75ED0">
        <w:t>rates</w:t>
      </w:r>
    </w:p>
    <w:p w:rsidR="00965D85" w:rsidRDefault="00965D85" w:rsidP="008B46DF">
      <w:pPr>
        <w:rPr>
          <w:lang w:eastAsia="en-AU"/>
        </w:rPr>
      </w:pPr>
      <w:r>
        <w:rPr>
          <w:lang w:eastAsia="en-AU"/>
        </w:rPr>
        <w:t>An increase in interest rates results in a gain on the valuation of insurance liabilities of the state</w:t>
      </w:r>
      <w:r>
        <w:rPr>
          <w:lang w:eastAsia="en-AU"/>
        </w:rPr>
        <w:noBreakHyphen/>
        <w:t>owned insurance agencies, partially offset by a loss on the valuation of investment assets.</w:t>
      </w:r>
    </w:p>
    <w:p w:rsidR="00965D85" w:rsidRDefault="00965D85" w:rsidP="008B46DF">
      <w:pPr>
        <w:rPr>
          <w:lang w:eastAsia="en-AU"/>
        </w:rPr>
      </w:pPr>
      <w:r>
        <w:rPr>
          <w:lang w:eastAsia="en-AU"/>
        </w:rPr>
        <w:t>As dividends of the State’s insurance agencies are based on performance from insurance operations, which excludes the initial impact of discount rate movements, the increase in interest rates will have little direct impact on dividends in the budget year. As income tax equivalents (ITEs) of the insurance agencies are assessed on profit before tax, which includes the impact of interest rates on liability and asset values, an increase in interest rates will increase ITEs.</w:t>
      </w:r>
    </w:p>
    <w:p w:rsidR="00965D85" w:rsidRDefault="00965D85" w:rsidP="008B46DF">
      <w:pPr>
        <w:rPr>
          <w:lang w:eastAsia="en-AU"/>
        </w:rPr>
      </w:pPr>
      <w:r>
        <w:rPr>
          <w:lang w:eastAsia="en-AU"/>
        </w:rPr>
        <w:t>Higher borrowing costs lead to reduced net results of public non</w:t>
      </w:r>
      <w:r>
        <w:rPr>
          <w:lang w:eastAsia="en-AU"/>
        </w:rPr>
        <w:noBreakHyphen/>
        <w:t xml:space="preserve">financial corporations, lowering dividends and ITEs payable to the State. </w:t>
      </w:r>
    </w:p>
    <w:p w:rsidR="00965D85" w:rsidRDefault="00965D85" w:rsidP="008B46DF">
      <w:pPr>
        <w:rPr>
          <w:lang w:eastAsia="en-AU"/>
        </w:rPr>
      </w:pPr>
      <w:r>
        <w:rPr>
          <w:lang w:eastAsia="en-AU"/>
        </w:rPr>
        <w:t xml:space="preserve">An increase in interest rates also increases the superannuation expense and borrowing cost of the general government sector over the out years. </w:t>
      </w:r>
    </w:p>
    <w:p w:rsidR="00965D85" w:rsidRDefault="00965D85" w:rsidP="008B46DF">
      <w:pPr>
        <w:rPr>
          <w:lang w:eastAsia="en-AU"/>
        </w:rPr>
      </w:pPr>
      <w:r>
        <w:rPr>
          <w:lang w:eastAsia="en-AU"/>
        </w:rPr>
        <w:t>The combined effect of these influences produces the profile shown in Chart D.2.</w:t>
      </w:r>
    </w:p>
    <w:p w:rsidR="00965D85" w:rsidRPr="00001CC4" w:rsidRDefault="00965D85" w:rsidP="008B46DF">
      <w:pPr>
        <w:pStyle w:val="Chartheading"/>
      </w:pPr>
      <w:r>
        <w:t>Chart D.2</w:t>
      </w:r>
      <w:r w:rsidRPr="00001CC4">
        <w:t>:</w:t>
      </w:r>
      <w:r w:rsidRPr="00001CC4">
        <w:tab/>
        <w:t xml:space="preserve">Sensitivity of key fiscal aggregates to </w:t>
      </w:r>
      <w:r>
        <w:t xml:space="preserve">interest rates </w:t>
      </w:r>
      <w:r w:rsidRPr="00001CC4">
        <w:t>being 1</w:t>
      </w:r>
      <w:r>
        <w:t> percentage</w:t>
      </w:r>
      <w:r w:rsidRPr="00001CC4">
        <w:t xml:space="preserve"> </w:t>
      </w:r>
      <w:r>
        <w:t xml:space="preserve">point </w:t>
      </w:r>
      <w:r w:rsidRPr="00001CC4">
        <w:t>higher than expected from 2015</w:t>
      </w:r>
      <w:r>
        <w:noBreakHyphen/>
      </w:r>
      <w:r w:rsidRPr="00001CC4">
        <w:t>16</w:t>
      </w:r>
      <w:r w:rsidRPr="00C26C96">
        <w:rPr>
          <w:vertAlign w:val="superscript"/>
        </w:rPr>
        <w:t>(a)</w:t>
      </w:r>
    </w:p>
    <w:p w:rsidR="00965D85" w:rsidRDefault="00965D85" w:rsidP="008B46DF">
      <w:pPr>
        <w:pStyle w:val="Source"/>
        <w:rPr>
          <w:lang w:eastAsia="en-AU"/>
        </w:rPr>
      </w:pPr>
      <w:r>
        <w:rPr>
          <w:lang w:eastAsia="en-AU"/>
        </w:rPr>
        <w:object w:dxaOrig="9600" w:dyaOrig="5865">
          <v:shape id="_x0000_i1026" type="#_x0000_t75" style="width:390.85pt;height:237.95pt" o:ole="">
            <v:imagedata r:id="rId37" o:title=""/>
          </v:shape>
          <o:OLEObject Type="Link" ProgID="Excel.Sheet.12" ShapeID="_x0000_i1026" DrawAspect="Content" r:id="rId38" UpdateMode="OnCall">
            <o:LinkType>EnhancedMetaFile</o:LinkType>
            <o:LockedField/>
          </o:OLEObject>
        </w:object>
      </w:r>
      <w:r>
        <w:rPr>
          <w:lang w:eastAsia="en-AU"/>
        </w:rPr>
        <w:t xml:space="preserve">Source: Department of </w:t>
      </w:r>
      <w:r w:rsidRPr="00A75ED0">
        <w:t>Treasury</w:t>
      </w:r>
      <w:r>
        <w:rPr>
          <w:lang w:eastAsia="en-AU"/>
        </w:rPr>
        <w:t xml:space="preserve"> and Finance</w:t>
      </w:r>
    </w:p>
    <w:p w:rsidR="00965D85" w:rsidRDefault="00965D85" w:rsidP="008B46DF">
      <w:pPr>
        <w:pStyle w:val="Notes"/>
        <w:rPr>
          <w:lang w:eastAsia="en-AU"/>
        </w:rPr>
      </w:pPr>
      <w:r>
        <w:rPr>
          <w:lang w:eastAsia="en-AU"/>
        </w:rPr>
        <w:t>Note:</w:t>
      </w:r>
    </w:p>
    <w:p w:rsidR="00965D85" w:rsidRDefault="00965D85" w:rsidP="008B46DF">
      <w:pPr>
        <w:pStyle w:val="Notes"/>
        <w:rPr>
          <w:lang w:eastAsia="en-AU"/>
        </w:rPr>
      </w:pPr>
      <w:r>
        <w:rPr>
          <w:lang w:eastAsia="en-AU"/>
        </w:rPr>
        <w:t>(a)</w:t>
      </w:r>
      <w:r>
        <w:rPr>
          <w:lang w:eastAsia="en-AU"/>
        </w:rPr>
        <w:tab/>
        <w:t>See footnotes for Table D.1 for detailed description of estimates.</w:t>
      </w:r>
    </w:p>
    <w:p w:rsidR="00965D85" w:rsidRDefault="00965D85" w:rsidP="008B46DF">
      <w:pPr>
        <w:rPr>
          <w:lang w:eastAsia="en-AU"/>
        </w:rPr>
      </w:pPr>
    </w:p>
    <w:p w:rsidR="00965D85" w:rsidRDefault="00965D85" w:rsidP="008B46DF">
      <w:pPr>
        <w:pStyle w:val="Heading2"/>
        <w:rPr>
          <w:lang w:eastAsia="en-AU"/>
        </w:rPr>
      </w:pPr>
      <w:r>
        <w:rPr>
          <w:lang w:eastAsia="en-AU"/>
        </w:rPr>
        <w:lastRenderedPageBreak/>
        <w:t xml:space="preserve">Sensitivity to </w:t>
      </w:r>
      <w:r w:rsidRPr="00A75ED0">
        <w:t>consumer</w:t>
      </w:r>
      <w:r>
        <w:rPr>
          <w:lang w:eastAsia="en-AU"/>
        </w:rPr>
        <w:t xml:space="preserve"> prices</w:t>
      </w:r>
    </w:p>
    <w:p w:rsidR="00965D85" w:rsidRDefault="00965D85" w:rsidP="008B46DF">
      <w:pPr>
        <w:rPr>
          <w:lang w:eastAsia="en-AU"/>
        </w:rPr>
      </w:pPr>
      <w:r>
        <w:rPr>
          <w:lang w:eastAsia="en-AU"/>
        </w:rPr>
        <w:t>Higher consumer prices lead to higher taxation revenue, as the nominal values of tax bases rise. Commonwealth</w:t>
      </w:r>
      <w:r>
        <w:rPr>
          <w:lang w:eastAsia="en-AU"/>
        </w:rPr>
        <w:noBreakHyphen/>
        <w:t>sourced revenue also rises due to indexation. Dividends and ITEs from the State’s insurance agencies are reduced, mainly due to higher claims expenses.</w:t>
      </w:r>
    </w:p>
    <w:p w:rsidR="00965D85" w:rsidRDefault="00965D85" w:rsidP="008B46DF">
      <w:pPr>
        <w:rPr>
          <w:lang w:eastAsia="en-AU"/>
        </w:rPr>
      </w:pPr>
      <w:r>
        <w:rPr>
          <w:lang w:eastAsia="en-AU"/>
        </w:rPr>
        <w:t>Government expenses are affected through the higher cost of supplies and services and some increases in outlays on grants and transfers. Reflecting the operation of departmental funding arrangements, the impact of higher prices is limited as only a portion of department funding is automatically indexed to inflation. An increase in consumer prices also increases the superannuation expense in the out years.</w:t>
      </w:r>
    </w:p>
    <w:p w:rsidR="00965D85" w:rsidRDefault="00965D85" w:rsidP="008B46DF">
      <w:pPr>
        <w:rPr>
          <w:lang w:eastAsia="en-AU"/>
        </w:rPr>
      </w:pPr>
      <w:r>
        <w:rPr>
          <w:lang w:eastAsia="en-AU"/>
        </w:rPr>
        <w:t>Overall, there is a positive impact on the net result from transactions and a cumulative reduction in net debt over the budget and forward estimates.</w:t>
      </w:r>
    </w:p>
    <w:p w:rsidR="00965D85" w:rsidRPr="00C26C96" w:rsidRDefault="00965D85" w:rsidP="008B46DF">
      <w:pPr>
        <w:pStyle w:val="Chartheading"/>
        <w:rPr>
          <w:vertAlign w:val="superscript"/>
        </w:rPr>
      </w:pPr>
      <w:r>
        <w:t>Chart D.3:</w:t>
      </w:r>
      <w:r>
        <w:tab/>
        <w:t xml:space="preserve">Sensitivity of key fiscal aggregates to consumer prices being 1 per cent </w:t>
      </w:r>
      <w:r w:rsidRPr="00412AAF">
        <w:t xml:space="preserve">higher </w:t>
      </w:r>
      <w:r>
        <w:t>than expected from 2015</w:t>
      </w:r>
      <w:r>
        <w:noBreakHyphen/>
        <w:t>16</w:t>
      </w:r>
      <w:r>
        <w:rPr>
          <w:vertAlign w:val="superscript"/>
        </w:rPr>
        <w:t>(a)</w:t>
      </w:r>
    </w:p>
    <w:p w:rsidR="00965D85" w:rsidRPr="00A75ED0" w:rsidRDefault="00965D85" w:rsidP="008B46DF">
      <w:pPr>
        <w:pStyle w:val="Source"/>
      </w:pPr>
      <w:r>
        <w:rPr>
          <w:lang w:eastAsia="en-AU"/>
        </w:rPr>
        <w:object w:dxaOrig="9556" w:dyaOrig="5851">
          <v:shape id="_x0000_i1027" type="#_x0000_t75" style="width:389.45pt;height:238.45pt" o:ole="">
            <v:imagedata r:id="rId39" o:title=""/>
          </v:shape>
          <o:OLEObject Type="Link" ProgID="Excel.Sheet.12" ShapeID="_x0000_i1027" DrawAspect="Content" r:id="rId40" UpdateMode="OnCall">
            <o:LinkType>EnhancedMetaFile</o:LinkType>
            <o:LockedField/>
          </o:OLEObject>
        </w:object>
      </w:r>
      <w:r>
        <w:rPr>
          <w:lang w:eastAsia="en-AU"/>
        </w:rPr>
        <w:t>Source: Department of Treasury and Finance</w:t>
      </w:r>
    </w:p>
    <w:p w:rsidR="00965D85" w:rsidRPr="00F062A9" w:rsidRDefault="00965D85" w:rsidP="008B46DF">
      <w:pPr>
        <w:pStyle w:val="Notes"/>
      </w:pPr>
      <w:r w:rsidRPr="00A75ED0">
        <w:t>Note:</w:t>
      </w:r>
    </w:p>
    <w:p w:rsidR="00965D85" w:rsidRDefault="00965D85" w:rsidP="008B46DF">
      <w:pPr>
        <w:pStyle w:val="Notes"/>
      </w:pPr>
      <w:r>
        <w:t>(a)</w:t>
      </w:r>
      <w:r>
        <w:tab/>
      </w:r>
      <w:r w:rsidRPr="00A75ED0">
        <w:t>See footnotes for Table D.1 for detailed description of estimates.</w:t>
      </w:r>
    </w:p>
    <w:p w:rsidR="00965D85" w:rsidRDefault="00965D85">
      <w:pPr>
        <w:spacing w:after="0"/>
        <w:rPr>
          <w:rFonts w:ascii="Calibri" w:hAnsi="Calibri"/>
          <w:b/>
          <w:kern w:val="28"/>
          <w:sz w:val="26"/>
          <w:szCs w:val="22"/>
        </w:rPr>
      </w:pPr>
      <w:r>
        <w:br w:type="page"/>
      </w:r>
    </w:p>
    <w:p w:rsidR="00965D85" w:rsidRDefault="00965D85" w:rsidP="008B46DF">
      <w:pPr>
        <w:pStyle w:val="Heading2"/>
        <w:rPr>
          <w:lang w:eastAsia="en-AU"/>
        </w:rPr>
      </w:pPr>
      <w:r w:rsidRPr="00A75ED0">
        <w:lastRenderedPageBreak/>
        <w:t>Sensitivity</w:t>
      </w:r>
      <w:r>
        <w:rPr>
          <w:lang w:eastAsia="en-AU"/>
        </w:rPr>
        <w:t xml:space="preserve"> to employment</w:t>
      </w:r>
    </w:p>
    <w:p w:rsidR="00965D85" w:rsidRDefault="00965D85" w:rsidP="008B46DF">
      <w:pPr>
        <w:rPr>
          <w:lang w:eastAsia="en-AU"/>
        </w:rPr>
      </w:pPr>
      <w:r>
        <w:rPr>
          <w:lang w:eastAsia="en-AU"/>
        </w:rPr>
        <w:t>Higher than expected employment results in additional payroll tax revenue. An increase in the remuneration base also results in additional revenue from higher premiums for WorkSafe Victoria. This leads to higher ITEs for the State. These impacts increase the net result from transactions and cumulatively reduce net debt.</w:t>
      </w:r>
    </w:p>
    <w:p w:rsidR="00965D85" w:rsidRPr="00C26C96" w:rsidRDefault="00965D85" w:rsidP="008B46DF">
      <w:pPr>
        <w:pStyle w:val="Chartheading"/>
        <w:rPr>
          <w:vertAlign w:val="superscript"/>
        </w:rPr>
      </w:pPr>
      <w:r w:rsidRPr="00001CC4">
        <w:t xml:space="preserve">Chart </w:t>
      </w:r>
      <w:r>
        <w:t>D.4</w:t>
      </w:r>
      <w:r w:rsidRPr="00001CC4">
        <w:t>:</w:t>
      </w:r>
      <w:r w:rsidRPr="00001CC4">
        <w:tab/>
      </w:r>
      <w:r w:rsidRPr="00A75ED0">
        <w:t>Sensitivity</w:t>
      </w:r>
      <w:r w:rsidRPr="00001CC4">
        <w:t xml:space="preserve"> of key fiscal aggregates to </w:t>
      </w:r>
      <w:r>
        <w:t xml:space="preserve">employment </w:t>
      </w:r>
      <w:r w:rsidRPr="00001CC4">
        <w:t>being 1</w:t>
      </w:r>
      <w:r>
        <w:t> per cent</w:t>
      </w:r>
      <w:r w:rsidRPr="00001CC4">
        <w:t xml:space="preserve"> higher than expected from 2015</w:t>
      </w:r>
      <w:r>
        <w:noBreakHyphen/>
      </w:r>
      <w:r w:rsidRPr="00001CC4">
        <w:t>16</w:t>
      </w:r>
      <w:r>
        <w:rPr>
          <w:vertAlign w:val="superscript"/>
        </w:rPr>
        <w:t>(a)</w:t>
      </w:r>
    </w:p>
    <w:p w:rsidR="00965D85" w:rsidRDefault="00965D85" w:rsidP="008B46DF">
      <w:pPr>
        <w:pStyle w:val="Source"/>
        <w:rPr>
          <w:lang w:eastAsia="en-AU"/>
        </w:rPr>
      </w:pPr>
      <w:r>
        <w:rPr>
          <w:lang w:eastAsia="en-AU"/>
        </w:rPr>
        <w:object w:dxaOrig="9570" w:dyaOrig="5880">
          <v:shape id="_x0000_i1028" type="#_x0000_t75" style="width:387.6pt;height:238.45pt" o:ole="">
            <v:imagedata r:id="rId41" o:title=""/>
          </v:shape>
          <o:OLEObject Type="Link" ProgID="Excel.Sheet.12" ShapeID="_x0000_i1028" DrawAspect="Content" r:id="rId42" UpdateMode="OnCall">
            <o:LinkType>EnhancedMetaFile</o:LinkType>
            <o:LockedField/>
          </o:OLEObject>
        </w:object>
      </w:r>
      <w:r>
        <w:rPr>
          <w:lang w:eastAsia="en-AU"/>
        </w:rPr>
        <w:t>Source: Department of Treasury and Finance</w:t>
      </w:r>
    </w:p>
    <w:p w:rsidR="00965D85" w:rsidRPr="009D213C" w:rsidRDefault="00965D85" w:rsidP="008B46DF">
      <w:pPr>
        <w:pStyle w:val="Notes"/>
      </w:pPr>
      <w:r w:rsidRPr="009D213C">
        <w:t>Note:</w:t>
      </w:r>
    </w:p>
    <w:p w:rsidR="00965D85" w:rsidRDefault="00965D85" w:rsidP="008B46DF">
      <w:pPr>
        <w:pStyle w:val="Notes"/>
      </w:pPr>
      <w:r>
        <w:t>(a)</w:t>
      </w:r>
      <w:r>
        <w:tab/>
      </w:r>
      <w:r w:rsidRPr="009D213C">
        <w:t>See footnotes for Table D.1 for detailed description of estimates.</w:t>
      </w:r>
    </w:p>
    <w:p w:rsidR="00965D85" w:rsidRPr="009D213C" w:rsidRDefault="00965D85" w:rsidP="008B46DF"/>
    <w:p w:rsidR="00965D85" w:rsidRDefault="00965D85">
      <w:pPr>
        <w:spacing w:after="0"/>
        <w:rPr>
          <w:rFonts w:ascii="Calibri" w:hAnsi="Calibri"/>
          <w:b/>
          <w:kern w:val="28"/>
          <w:sz w:val="26"/>
          <w:szCs w:val="22"/>
          <w:lang w:eastAsia="en-AU"/>
        </w:rPr>
      </w:pPr>
      <w:r>
        <w:rPr>
          <w:lang w:eastAsia="en-AU"/>
        </w:rPr>
        <w:br w:type="page"/>
      </w:r>
    </w:p>
    <w:p w:rsidR="00965D85" w:rsidRDefault="00965D85" w:rsidP="008B46DF">
      <w:pPr>
        <w:pStyle w:val="Heading2"/>
        <w:rPr>
          <w:lang w:eastAsia="en-AU"/>
        </w:rPr>
      </w:pPr>
      <w:r>
        <w:rPr>
          <w:lang w:eastAsia="en-AU"/>
        </w:rPr>
        <w:lastRenderedPageBreak/>
        <w:t>Sensitivity to average weekly earnings</w:t>
      </w:r>
    </w:p>
    <w:p w:rsidR="00965D85" w:rsidRDefault="00965D85" w:rsidP="008B46DF">
      <w:pPr>
        <w:rPr>
          <w:lang w:eastAsia="en-AU"/>
        </w:rPr>
      </w:pPr>
      <w:r>
        <w:rPr>
          <w:lang w:eastAsia="en-AU"/>
        </w:rPr>
        <w:t>A rise in the level of wages in the economy (but not in the public sector) results in higher payroll tax revenue in each year. ITEs fall as claims expenses for WorkSafe Victoria increase, partially offset by increased premium revenue. Overall, these effects lead to a higher net result from transactions over most of the budget and forward estimates period.</w:t>
      </w:r>
    </w:p>
    <w:p w:rsidR="00965D85" w:rsidRDefault="00965D85" w:rsidP="008B46DF">
      <w:pPr>
        <w:pStyle w:val="Chartheading"/>
      </w:pPr>
      <w:r w:rsidRPr="00001CC4">
        <w:t xml:space="preserve">Chart </w:t>
      </w:r>
      <w:r>
        <w:t>D.5</w:t>
      </w:r>
      <w:r w:rsidRPr="00001CC4">
        <w:t>:</w:t>
      </w:r>
      <w:r w:rsidRPr="00001CC4">
        <w:tab/>
        <w:t xml:space="preserve">Sensitivity of key fiscal aggregates to </w:t>
      </w:r>
      <w:r>
        <w:t xml:space="preserve">average weekly earnings </w:t>
      </w:r>
      <w:r w:rsidRPr="00001CC4">
        <w:t>being 1</w:t>
      </w:r>
      <w:r>
        <w:t> per cent</w:t>
      </w:r>
      <w:r w:rsidRPr="00001CC4">
        <w:t xml:space="preserve"> higher than expected from 2015</w:t>
      </w:r>
      <w:r>
        <w:noBreakHyphen/>
      </w:r>
      <w:r w:rsidRPr="00001CC4">
        <w:t>16</w:t>
      </w:r>
      <w:r w:rsidRPr="00C26C96">
        <w:rPr>
          <w:vertAlign w:val="superscript"/>
        </w:rPr>
        <w:t>(a)</w:t>
      </w:r>
    </w:p>
    <w:p w:rsidR="00965D85" w:rsidRPr="009D213C" w:rsidRDefault="00965D85" w:rsidP="008B46DF">
      <w:pPr>
        <w:pStyle w:val="Source"/>
        <w:rPr>
          <w:lang w:eastAsia="en-AU"/>
        </w:rPr>
      </w:pPr>
      <w:r>
        <w:rPr>
          <w:lang w:eastAsia="en-AU"/>
        </w:rPr>
        <w:object w:dxaOrig="9585" w:dyaOrig="5851">
          <v:shape id="_x0000_i1029" type="#_x0000_t75" style="width:389.9pt;height:238.45pt" o:ole="">
            <v:imagedata r:id="rId43" o:title=""/>
          </v:shape>
          <o:OLEObject Type="Link" ProgID="Excel.Sheet.12" ShapeID="_x0000_i1029" DrawAspect="Content" r:id="rId44" UpdateMode="OnCall">
            <o:LinkType>EnhancedMetaFile</o:LinkType>
            <o:LockedField/>
          </o:OLEObject>
        </w:object>
      </w:r>
      <w:r>
        <w:rPr>
          <w:lang w:eastAsia="en-AU"/>
        </w:rPr>
        <w:t>Source: Department of Treasury and Finance</w:t>
      </w:r>
    </w:p>
    <w:p w:rsidR="00965D85" w:rsidRPr="009D213C" w:rsidRDefault="00965D85" w:rsidP="008B46DF">
      <w:pPr>
        <w:pStyle w:val="Notes"/>
      </w:pPr>
      <w:r w:rsidRPr="009D213C">
        <w:t>Note:</w:t>
      </w:r>
    </w:p>
    <w:p w:rsidR="00965D85" w:rsidRDefault="00965D85" w:rsidP="008B46DF">
      <w:pPr>
        <w:pStyle w:val="Notes"/>
      </w:pPr>
      <w:r>
        <w:t>(a)</w:t>
      </w:r>
      <w:r>
        <w:tab/>
      </w:r>
      <w:r w:rsidRPr="009D213C">
        <w:t>See footnotes for Table D.1 for detailed description of estimates.</w:t>
      </w:r>
    </w:p>
    <w:p w:rsidR="00965D85" w:rsidRDefault="00965D85" w:rsidP="008B46DF">
      <w:pPr>
        <w:pStyle w:val="Heading2"/>
        <w:rPr>
          <w:lang w:eastAsia="en-AU"/>
        </w:rPr>
      </w:pPr>
      <w:r>
        <w:rPr>
          <w:lang w:eastAsia="en-AU"/>
        </w:rPr>
        <w:t xml:space="preserve">Sensitivity </w:t>
      </w:r>
      <w:r w:rsidRPr="009D213C">
        <w:t>to</w:t>
      </w:r>
      <w:r>
        <w:rPr>
          <w:lang w:eastAsia="en-AU"/>
        </w:rPr>
        <w:t xml:space="preserve"> enterprise agreements</w:t>
      </w:r>
    </w:p>
    <w:p w:rsidR="00965D85" w:rsidRDefault="00965D85" w:rsidP="008B46DF">
      <w:pPr>
        <w:rPr>
          <w:lang w:eastAsia="en-AU"/>
        </w:rPr>
      </w:pPr>
      <w:r>
        <w:rPr>
          <w:lang w:eastAsia="en-AU"/>
        </w:rPr>
        <w:t>All government enterprise agreements are assumed to be unchanged over the projection period. An across</w:t>
      </w:r>
      <w:r>
        <w:rPr>
          <w:lang w:eastAsia="en-AU"/>
        </w:rPr>
        <w:noBreakHyphen/>
        <w:t>the</w:t>
      </w:r>
      <w:r>
        <w:rPr>
          <w:lang w:eastAsia="en-AU"/>
        </w:rPr>
        <w:noBreakHyphen/>
        <w:t>board increase in wages arising from an enterprise agreement, which exceeds the wages policy guideline rate, increases the general government sector’s employee entitlement expenses. Increased employee entitlements also increase the value of the superannuation liability and flow through to a greater superannuation expense in the out years. These impacts result in a decline in the net result from transactions and cumulatively higher net debt over the budget and forward estimates.</w:t>
      </w:r>
    </w:p>
    <w:p w:rsidR="00965D85" w:rsidRDefault="00965D85">
      <w:pPr>
        <w:spacing w:after="0"/>
        <w:rPr>
          <w:rFonts w:ascii="Calibri" w:hAnsi="Calibri"/>
          <w:b/>
          <w:kern w:val="28"/>
          <w:sz w:val="26"/>
          <w:szCs w:val="22"/>
          <w:lang w:eastAsia="en-AU"/>
        </w:rPr>
      </w:pPr>
      <w:r>
        <w:rPr>
          <w:lang w:eastAsia="en-AU"/>
        </w:rPr>
        <w:br w:type="page"/>
      </w:r>
    </w:p>
    <w:p w:rsidR="00965D85" w:rsidRPr="006506C6" w:rsidRDefault="00965D85" w:rsidP="008B46DF">
      <w:pPr>
        <w:pStyle w:val="Heading2"/>
      </w:pPr>
      <w:r w:rsidRPr="006506C6">
        <w:lastRenderedPageBreak/>
        <w:t>Sensitivity to domestic and overseas share prices</w:t>
      </w:r>
    </w:p>
    <w:p w:rsidR="00965D85" w:rsidRDefault="00965D85" w:rsidP="008B46DF">
      <w:pPr>
        <w:rPr>
          <w:lang w:eastAsia="en-AU"/>
        </w:rPr>
      </w:pPr>
      <w:r>
        <w:rPr>
          <w:lang w:eastAsia="en-AU"/>
        </w:rPr>
        <w:t>A rise in share prices increases the net results of the State’s insurance agencies. This leads to an increase in the ITEs payable to the State; however the availability of carry</w:t>
      </w:r>
      <w:r>
        <w:rPr>
          <w:lang w:eastAsia="en-AU"/>
        </w:rPr>
        <w:noBreakHyphen/>
        <w:t>forward tax losses means there is only a small impact on ITEs in the budget year. There is no significant impact on underlying dividends payable to the State as these are based on the agencies’ performance from insurance operations, which excludes the impact of investment returns being higher than the agencies’ budgeted long</w:t>
      </w:r>
      <w:r>
        <w:rPr>
          <w:lang w:eastAsia="en-AU"/>
        </w:rPr>
        <w:noBreakHyphen/>
        <w:t>term rates of return.</w:t>
      </w:r>
    </w:p>
    <w:p w:rsidR="00965D85" w:rsidRPr="00307BB8" w:rsidRDefault="00965D85" w:rsidP="008B46DF">
      <w:pPr>
        <w:rPr>
          <w:lang w:eastAsia="en-AU"/>
        </w:rPr>
      </w:pPr>
      <w:r>
        <w:rPr>
          <w:lang w:eastAsia="en-AU"/>
        </w:rPr>
        <w:t>An increase in domestic and international share prices also reduces the value of the superannuation liability due to the associated increase in superannuation fund assets. This then reduces the superannuation interest expense beyond the budget year, thereby improving the net result from transactions in these years.</w:t>
      </w:r>
    </w:p>
    <w:p w:rsidR="00965D85" w:rsidRPr="006506C6" w:rsidRDefault="00965D85" w:rsidP="008B46DF">
      <w:pPr>
        <w:pStyle w:val="Heading2"/>
      </w:pPr>
      <w:r w:rsidRPr="006506C6">
        <w:t>Sensitivity to property prices and volumes</w:t>
      </w:r>
    </w:p>
    <w:p w:rsidR="00965D85" w:rsidRDefault="00965D85" w:rsidP="008B46DF">
      <w:pPr>
        <w:spacing w:after="100"/>
        <w:rPr>
          <w:lang w:eastAsia="en-AU"/>
        </w:rPr>
      </w:pPr>
      <w:r>
        <w:rPr>
          <w:lang w:eastAsia="en-AU"/>
        </w:rPr>
        <w:t>Higher property prices have an immediate impact on the net result from transactions through increased collections of land transfer duty. At the same time, the value of the superannuation liability decreases due to the increased value of property holdings in superannuation funds’ investment portfolios. In later years, higher property prices continue to raise land transfer duty and land tax revenues, while the previous reduction in the superannuation liability reduces ongoing superannuation expenses. Each of these factors increase the net result from transactions and lower net debt.</w:t>
      </w:r>
    </w:p>
    <w:p w:rsidR="00965D85" w:rsidRDefault="00965D85" w:rsidP="008B46DF">
      <w:pPr>
        <w:spacing w:after="100"/>
        <w:rPr>
          <w:lang w:eastAsia="en-AU"/>
        </w:rPr>
      </w:pPr>
      <w:r>
        <w:rPr>
          <w:lang w:eastAsia="en-AU"/>
        </w:rPr>
        <w:t>Higher property transaction volumes increase land transfer duty receipts, leading to a rise in the net result from transactions and a reduction in net debt.</w:t>
      </w:r>
    </w:p>
    <w:p w:rsidR="00965D85" w:rsidRPr="006506C6" w:rsidRDefault="00965D85" w:rsidP="008B46DF">
      <w:pPr>
        <w:pStyle w:val="Heading1"/>
      </w:pPr>
      <w:bookmarkStart w:id="101" w:name="_Toc436147563"/>
      <w:r w:rsidRPr="006506C6">
        <w:t>Sensitivity to variations in the economic outlook</w:t>
      </w:r>
      <w:bookmarkEnd w:id="101"/>
    </w:p>
    <w:p w:rsidR="00965D85" w:rsidRDefault="00965D85" w:rsidP="008B46DF">
      <w:pPr>
        <w:rPr>
          <w:lang w:eastAsia="en-AU"/>
        </w:rPr>
      </w:pPr>
      <w:r>
        <w:rPr>
          <w:lang w:eastAsia="en-AU"/>
        </w:rPr>
        <w:t>The previous section considered the fiscal implications of independent variations in selected economic parameters. Typically, however, variations in economic parameters do not occur in isolation. For example, general economic conditions may differ from expectations, particularly in the event of an unanticipated economic or financial shock, causing most or all economic parameters to vary from forecasts.</w:t>
      </w:r>
    </w:p>
    <w:p w:rsidR="00965D85" w:rsidRDefault="00965D85" w:rsidP="008B46DF">
      <w:pPr>
        <w:rPr>
          <w:lang w:eastAsia="en-AU"/>
        </w:rPr>
      </w:pPr>
      <w:r>
        <w:rPr>
          <w:lang w:eastAsia="en-AU"/>
        </w:rPr>
        <w:t>This section considers two examples where general economic conditions varied significantly from expectations, resulting in the broad sweep of economic parameters being different from forecast. In the first example, in 2006</w:t>
      </w:r>
      <w:r>
        <w:rPr>
          <w:lang w:eastAsia="en-AU"/>
        </w:rPr>
        <w:noBreakHyphen/>
        <w:t>07 growth was significantly stronger than anticipated while in the second example, in 2008</w:t>
      </w:r>
      <w:r>
        <w:rPr>
          <w:lang w:eastAsia="en-AU"/>
        </w:rPr>
        <w:noBreakHyphen/>
        <w:t>09 the onset of the global financial crisis resulted in most economic and financial variables being lower than initially forecast.</w:t>
      </w:r>
    </w:p>
    <w:p w:rsidR="00965D85" w:rsidRDefault="00965D85" w:rsidP="008B46DF">
      <w:pPr>
        <w:rPr>
          <w:lang w:eastAsia="en-AU"/>
        </w:rPr>
      </w:pPr>
      <w:r>
        <w:rPr>
          <w:lang w:eastAsia="en-AU"/>
        </w:rPr>
        <w:t>The analysis confirms that the fiscal impact of variations in economic parameters can be significantly greater than indicated by the sum of each variable’s individual impact. This highlights the point that the relationships between economic parameters and fiscal aggregates are complex and heavily influenced by the specific nature and characteristics of a given economic shock. Such shocks affect Victoria’s fiscal position to varying degrees, but given the composition of Victoria’s revenue base, property</w:t>
      </w:r>
      <w:r>
        <w:rPr>
          <w:lang w:eastAsia="en-AU"/>
        </w:rPr>
        <w:noBreakHyphen/>
        <w:t>related shocks are likely to have the largest impact on the fiscal situation.</w:t>
      </w:r>
    </w:p>
    <w:p w:rsidR="00965D85" w:rsidRDefault="00965D85" w:rsidP="008B46DF">
      <w:pPr>
        <w:rPr>
          <w:lang w:eastAsia="en-AU"/>
        </w:rPr>
      </w:pPr>
      <w:r>
        <w:rPr>
          <w:lang w:eastAsia="en-AU"/>
        </w:rPr>
        <w:lastRenderedPageBreak/>
        <w:t>The State’s fiscal position in any year is the product of economic trends and policy changes in that and previous years. Similarly, an economic shock in a given year will affect fiscal outcomes in that and later years.</w:t>
      </w:r>
    </w:p>
    <w:p w:rsidR="00965D85" w:rsidRDefault="00965D85" w:rsidP="008B46DF">
      <w:pPr>
        <w:rPr>
          <w:lang w:eastAsia="en-AU"/>
        </w:rPr>
      </w:pPr>
      <w:r>
        <w:rPr>
          <w:lang w:eastAsia="en-AU"/>
        </w:rPr>
        <w:t>The outcomes for a particular year will diverge from forecast values because of forecast errors and policy changes. This analysis highlights the critical impact that government policy decisions have on the final result, which by nature cannot be captured by standard sensitivity analysis.</w:t>
      </w:r>
    </w:p>
    <w:p w:rsidR="00965D85" w:rsidRPr="006506C6" w:rsidRDefault="00965D85" w:rsidP="008B46DF">
      <w:pPr>
        <w:pStyle w:val="Heading2"/>
      </w:pPr>
      <w:r w:rsidRPr="006506C6">
        <w:t>2006</w:t>
      </w:r>
      <w:r w:rsidRPr="006506C6">
        <w:noBreakHyphen/>
        <w:t>07 – economic growth exceeding expectations</w:t>
      </w:r>
    </w:p>
    <w:p w:rsidR="00965D85" w:rsidRDefault="00965D85" w:rsidP="008B46DF">
      <w:pPr>
        <w:rPr>
          <w:lang w:eastAsia="en-AU"/>
        </w:rPr>
      </w:pPr>
      <w:r>
        <w:rPr>
          <w:lang w:eastAsia="en-AU"/>
        </w:rPr>
        <w:t>Table D.2 presents a situation where economic growth was underestimated. It shows the largest forecast error in the macroeconomic variables was for employment. Real GSP was also underestimated, and there were relatively minor errors in the forecasting of prices and wages.</w:t>
      </w:r>
    </w:p>
    <w:p w:rsidR="00965D85" w:rsidRDefault="00965D85" w:rsidP="008B46DF">
      <w:pPr>
        <w:pStyle w:val="Tableheading"/>
      </w:pPr>
      <w:r>
        <w:t>Table D.2:</w:t>
      </w:r>
      <w:r>
        <w:tab/>
        <w:t xml:space="preserve">Actual deviations of growth rates of key economic variables from </w:t>
      </w:r>
      <w:r>
        <w:rPr>
          <w:i/>
        </w:rPr>
        <w:t>2006</w:t>
      </w:r>
      <w:r>
        <w:rPr>
          <w:i/>
        </w:rPr>
        <w:noBreakHyphen/>
        <w:t>07 Budget</w:t>
      </w:r>
      <w:r>
        <w:t xml:space="preserve"> forecasts</w:t>
      </w:r>
    </w:p>
    <w:p w:rsidR="00965D85" w:rsidRPr="0053172E" w:rsidRDefault="00965D85" w:rsidP="008B46DF">
      <w:pPr>
        <w:pStyle w:val="million"/>
        <w:rPr>
          <w:rFonts w:ascii="Times New Roman" w:hAnsi="Times New Roman"/>
          <w:sz w:val="20"/>
          <w:lang w:eastAsia="en-AU"/>
        </w:rPr>
      </w:pPr>
      <w:r>
        <w:t>(per cent)</w:t>
      </w:r>
      <w:r>
        <w:fldChar w:fldCharType="begin" w:fldLock="1"/>
      </w:r>
      <w:r>
        <w:instrText xml:space="preserve"> LINK Excel.Sheet.12 \\\\PDCPTPRDFIL01\\DTFDATA02$\\SECURED\\Budget\\BudgetUpdate\\AppendixD\\2015-16BudUpd_AppD.xlsx Option2_Tables!Actual_deviations_0607 \f 4 \r \* MERGEFORMAT </w:instrText>
      </w:r>
      <w:r>
        <w:fldChar w:fldCharType="separate"/>
      </w:r>
    </w:p>
    <w:tbl>
      <w:tblPr>
        <w:tblW w:w="7767" w:type="dxa"/>
        <w:tblInd w:w="28" w:type="dxa"/>
        <w:tblLayout w:type="fixed"/>
        <w:tblCellMar>
          <w:left w:w="45" w:type="dxa"/>
          <w:right w:w="45" w:type="dxa"/>
        </w:tblCellMar>
        <w:tblLook w:val="0000" w:firstRow="0" w:lastRow="0" w:firstColumn="0" w:lastColumn="0" w:noHBand="0" w:noVBand="0"/>
      </w:tblPr>
      <w:tblGrid>
        <w:gridCol w:w="4647"/>
        <w:gridCol w:w="1040"/>
        <w:gridCol w:w="1040"/>
        <w:gridCol w:w="1040"/>
      </w:tblGrid>
      <w:tr w:rsidR="00965D85" w:rsidRPr="0053172E" w:rsidTr="008B46DF">
        <w:trPr>
          <w:trHeight w:val="503"/>
        </w:trPr>
        <w:tc>
          <w:tcPr>
            <w:tcW w:w="4647" w:type="dxa"/>
            <w:tcBorders>
              <w:top w:val="single" w:sz="6" w:space="0" w:color="000000"/>
              <w:left w:val="single" w:sz="6" w:space="0" w:color="000000"/>
            </w:tcBorders>
            <w:shd w:val="clear" w:color="000000" w:fill="000000"/>
          </w:tcPr>
          <w:p w:rsidR="00965D85" w:rsidRPr="0053172E" w:rsidRDefault="00965D85" w:rsidP="008B46DF">
            <w:pPr>
              <w:pStyle w:val="Tabletextheading"/>
              <w:jc w:val="left"/>
              <w:rPr>
                <w:rFonts w:eastAsiaTheme="minorEastAsia"/>
                <w:color w:val="FFFFFF"/>
                <w:lang w:eastAsia="en-AU"/>
              </w:rPr>
            </w:pPr>
            <w:r w:rsidRPr="0053172E">
              <w:rPr>
                <w:rFonts w:eastAsiaTheme="minorEastAsia"/>
                <w:color w:val="FFFFFF"/>
                <w:lang w:eastAsia="en-AU"/>
              </w:rPr>
              <w:t xml:space="preserve"> </w:t>
            </w:r>
          </w:p>
          <w:p w:rsidR="00965D85" w:rsidRPr="0053172E" w:rsidRDefault="00965D85" w:rsidP="008B46DF">
            <w:pPr>
              <w:pStyle w:val="Tabletextheading"/>
              <w:jc w:val="left"/>
              <w:rPr>
                <w:rFonts w:eastAsiaTheme="minorEastAsia"/>
                <w:color w:val="FFFFFF"/>
                <w:lang w:eastAsia="en-AU"/>
              </w:rPr>
            </w:pPr>
            <w:r w:rsidRPr="0053172E">
              <w:rPr>
                <w:rFonts w:eastAsiaTheme="minorEastAsia"/>
                <w:color w:val="FFFFFF"/>
                <w:lang w:eastAsia="en-AU"/>
              </w:rPr>
              <w:t xml:space="preserve"> </w:t>
            </w:r>
          </w:p>
        </w:tc>
        <w:tc>
          <w:tcPr>
            <w:tcW w:w="1040" w:type="dxa"/>
            <w:tcBorders>
              <w:top w:val="single" w:sz="6" w:space="0" w:color="000000"/>
            </w:tcBorders>
            <w:shd w:val="clear" w:color="000000" w:fill="000000"/>
          </w:tcPr>
          <w:p w:rsidR="00965D85" w:rsidRPr="0053172E" w:rsidRDefault="00965D85" w:rsidP="008B46DF">
            <w:pPr>
              <w:pStyle w:val="Tabletextheading"/>
              <w:rPr>
                <w:rFonts w:eastAsiaTheme="minorEastAsia"/>
                <w:color w:val="FFFFFF"/>
                <w:lang w:eastAsia="en-AU"/>
              </w:rPr>
            </w:pPr>
            <w:r w:rsidRPr="0053172E">
              <w:rPr>
                <w:rFonts w:eastAsiaTheme="minorEastAsia"/>
                <w:color w:val="FFFFFF"/>
                <w:lang w:eastAsia="en-AU"/>
              </w:rPr>
              <w:t>2006-07</w:t>
            </w:r>
          </w:p>
          <w:p w:rsidR="00965D85" w:rsidRPr="0053172E" w:rsidRDefault="00965D85" w:rsidP="008B46DF">
            <w:pPr>
              <w:pStyle w:val="Tabletextheading"/>
              <w:rPr>
                <w:rFonts w:eastAsiaTheme="minorEastAsia"/>
                <w:color w:val="FFFFFF"/>
                <w:lang w:eastAsia="en-AU"/>
              </w:rPr>
            </w:pPr>
            <w:r w:rsidRPr="0053172E">
              <w:rPr>
                <w:rFonts w:eastAsiaTheme="minorEastAsia"/>
                <w:color w:val="FFFFFF"/>
                <w:lang w:eastAsia="en-AU"/>
              </w:rPr>
              <w:t xml:space="preserve">budget </w:t>
            </w:r>
            <w:r w:rsidRPr="0053172E">
              <w:rPr>
                <w:rFonts w:eastAsiaTheme="minorEastAsia"/>
                <w:color w:val="FFFFFF"/>
                <w:vertAlign w:val="superscript"/>
                <w:lang w:eastAsia="en-AU"/>
              </w:rPr>
              <w:t>(a)</w:t>
            </w:r>
          </w:p>
        </w:tc>
        <w:tc>
          <w:tcPr>
            <w:tcW w:w="1040" w:type="dxa"/>
            <w:tcBorders>
              <w:top w:val="single" w:sz="6" w:space="0" w:color="000000"/>
            </w:tcBorders>
            <w:shd w:val="clear" w:color="000000" w:fill="000000"/>
          </w:tcPr>
          <w:p w:rsidR="00965D85" w:rsidRPr="0053172E" w:rsidRDefault="00965D85" w:rsidP="008B46DF">
            <w:pPr>
              <w:pStyle w:val="Tabletextheading"/>
              <w:rPr>
                <w:rFonts w:eastAsiaTheme="minorEastAsia"/>
                <w:color w:val="FFFFFF"/>
                <w:lang w:eastAsia="en-AU"/>
              </w:rPr>
            </w:pPr>
            <w:r w:rsidRPr="0053172E">
              <w:rPr>
                <w:rFonts w:eastAsiaTheme="minorEastAsia"/>
                <w:color w:val="FFFFFF"/>
                <w:lang w:eastAsia="en-AU"/>
              </w:rPr>
              <w:t>2006-07</w:t>
            </w:r>
          </w:p>
          <w:p w:rsidR="00965D85" w:rsidRPr="0053172E" w:rsidRDefault="00965D85" w:rsidP="008B46DF">
            <w:pPr>
              <w:pStyle w:val="Tabletextheading"/>
              <w:rPr>
                <w:rFonts w:eastAsiaTheme="minorEastAsia"/>
                <w:color w:val="FFFFFF"/>
                <w:lang w:eastAsia="en-AU"/>
              </w:rPr>
            </w:pPr>
            <w:r w:rsidRPr="0053172E">
              <w:rPr>
                <w:rFonts w:eastAsiaTheme="minorEastAsia"/>
                <w:color w:val="FFFFFF"/>
                <w:lang w:eastAsia="en-AU"/>
              </w:rPr>
              <w:t>actual</w:t>
            </w:r>
          </w:p>
        </w:tc>
        <w:tc>
          <w:tcPr>
            <w:tcW w:w="1040" w:type="dxa"/>
            <w:tcBorders>
              <w:top w:val="single" w:sz="6" w:space="0" w:color="000000"/>
              <w:right w:val="single" w:sz="6" w:space="0" w:color="000000"/>
            </w:tcBorders>
            <w:shd w:val="clear" w:color="000000" w:fill="000000"/>
          </w:tcPr>
          <w:p w:rsidR="00965D85" w:rsidRPr="0053172E" w:rsidRDefault="00965D85" w:rsidP="008B46DF">
            <w:pPr>
              <w:pStyle w:val="Tabletextheading"/>
              <w:rPr>
                <w:rFonts w:eastAsiaTheme="minorEastAsia"/>
                <w:color w:val="FFFFFF"/>
                <w:lang w:eastAsia="en-AU"/>
              </w:rPr>
            </w:pPr>
            <w:r w:rsidRPr="0053172E">
              <w:rPr>
                <w:rFonts w:eastAsiaTheme="minorEastAsia"/>
                <w:color w:val="FFFFFF"/>
                <w:lang w:eastAsia="en-AU"/>
              </w:rPr>
              <w:t>Forecast</w:t>
            </w:r>
          </w:p>
          <w:p w:rsidR="00965D85" w:rsidRPr="0053172E" w:rsidRDefault="00965D85" w:rsidP="008B46DF">
            <w:pPr>
              <w:pStyle w:val="Tabletextheading"/>
              <w:rPr>
                <w:rFonts w:eastAsiaTheme="minorEastAsia"/>
                <w:color w:val="FFFFFF"/>
                <w:lang w:eastAsia="en-AU"/>
              </w:rPr>
            </w:pPr>
            <w:r w:rsidRPr="0053172E">
              <w:rPr>
                <w:rFonts w:eastAsiaTheme="minorEastAsia"/>
                <w:color w:val="FFFFFF"/>
                <w:lang w:eastAsia="en-AU"/>
              </w:rPr>
              <w:t xml:space="preserve">error </w:t>
            </w:r>
            <w:r w:rsidRPr="0053172E">
              <w:rPr>
                <w:rFonts w:eastAsiaTheme="minorEastAsia"/>
                <w:color w:val="FFFFFF"/>
                <w:vertAlign w:val="superscript"/>
                <w:lang w:eastAsia="en-AU"/>
              </w:rPr>
              <w:t>(b)</w:t>
            </w:r>
          </w:p>
        </w:tc>
      </w:tr>
      <w:tr w:rsidR="00965D85" w:rsidRPr="0053172E" w:rsidTr="008B46DF">
        <w:tc>
          <w:tcPr>
            <w:tcW w:w="4647" w:type="dxa"/>
            <w:tcBorders>
              <w:top w:val="single" w:sz="6" w:space="0" w:color="000000"/>
              <w:left w:val="nil"/>
              <w:bottom w:val="nil"/>
              <w:right w:val="nil"/>
            </w:tcBorders>
          </w:tcPr>
          <w:p w:rsidR="00965D85" w:rsidRPr="0053172E" w:rsidRDefault="00965D85" w:rsidP="008B46DF">
            <w:pPr>
              <w:pStyle w:val="Tabletext"/>
              <w:rPr>
                <w:rFonts w:eastAsiaTheme="minorEastAsia"/>
                <w:lang w:eastAsia="en-AU"/>
              </w:rPr>
            </w:pPr>
            <w:r w:rsidRPr="0053172E">
              <w:rPr>
                <w:rFonts w:eastAsiaTheme="minorEastAsia"/>
                <w:lang w:eastAsia="en-AU"/>
              </w:rPr>
              <w:t>Real GSP</w:t>
            </w:r>
          </w:p>
        </w:tc>
        <w:tc>
          <w:tcPr>
            <w:tcW w:w="1040" w:type="dxa"/>
            <w:tcBorders>
              <w:top w:val="single" w:sz="6" w:space="0" w:color="000000"/>
              <w:left w:val="nil"/>
              <w:bottom w:val="nil"/>
              <w:right w:val="nil"/>
            </w:tcBorders>
            <w:shd w:val="solid" w:color="FFFFFF" w:fill="auto"/>
          </w:tcPr>
          <w:p w:rsidR="00965D85" w:rsidRPr="0053172E" w:rsidRDefault="00965D85" w:rsidP="008B46DF">
            <w:pPr>
              <w:pStyle w:val="TableofFigures"/>
              <w:rPr>
                <w:rFonts w:eastAsiaTheme="minorEastAsia"/>
                <w:lang w:eastAsia="en-AU"/>
              </w:rPr>
            </w:pPr>
            <w:r w:rsidRPr="0053172E">
              <w:rPr>
                <w:rFonts w:eastAsiaTheme="minorEastAsia"/>
                <w:lang w:eastAsia="en-AU"/>
              </w:rPr>
              <w:t>3.3</w:t>
            </w:r>
          </w:p>
        </w:tc>
        <w:tc>
          <w:tcPr>
            <w:tcW w:w="1040" w:type="dxa"/>
            <w:tcBorders>
              <w:top w:val="single" w:sz="6" w:space="0" w:color="000000"/>
              <w:left w:val="nil"/>
              <w:bottom w:val="nil"/>
              <w:right w:val="nil"/>
            </w:tcBorders>
            <w:shd w:val="solid" w:color="FFFFFF" w:fill="auto"/>
          </w:tcPr>
          <w:p w:rsidR="00965D85" w:rsidRPr="0053172E" w:rsidRDefault="00965D85" w:rsidP="008B46DF">
            <w:pPr>
              <w:pStyle w:val="TableofFigures"/>
              <w:rPr>
                <w:rFonts w:eastAsiaTheme="minorEastAsia"/>
                <w:lang w:eastAsia="en-AU"/>
              </w:rPr>
            </w:pPr>
            <w:r w:rsidRPr="0053172E">
              <w:rPr>
                <w:rFonts w:eastAsiaTheme="minorEastAsia"/>
                <w:lang w:eastAsia="en-AU"/>
              </w:rPr>
              <w:t>3.5</w:t>
            </w:r>
          </w:p>
        </w:tc>
        <w:tc>
          <w:tcPr>
            <w:tcW w:w="1040" w:type="dxa"/>
            <w:tcBorders>
              <w:top w:val="single" w:sz="6" w:space="0" w:color="000000"/>
              <w:left w:val="nil"/>
              <w:bottom w:val="nil"/>
              <w:right w:val="nil"/>
            </w:tcBorders>
            <w:shd w:val="solid" w:color="FFFFFF" w:fill="auto"/>
          </w:tcPr>
          <w:p w:rsidR="00965D85" w:rsidRPr="0053172E" w:rsidRDefault="00965D85" w:rsidP="008B46DF">
            <w:pPr>
              <w:pStyle w:val="TableofFigures"/>
              <w:rPr>
                <w:rFonts w:eastAsiaTheme="minorEastAsia"/>
                <w:lang w:eastAsia="en-AU"/>
              </w:rPr>
            </w:pPr>
            <w:r w:rsidRPr="0053172E">
              <w:rPr>
                <w:rFonts w:eastAsiaTheme="minorEastAsia"/>
                <w:lang w:eastAsia="en-AU"/>
              </w:rPr>
              <w:t>0.2</w:t>
            </w:r>
          </w:p>
        </w:tc>
      </w:tr>
      <w:tr w:rsidR="00965D85" w:rsidRPr="0053172E" w:rsidTr="008B46DF">
        <w:tc>
          <w:tcPr>
            <w:tcW w:w="4647" w:type="dxa"/>
            <w:tcBorders>
              <w:top w:val="nil"/>
              <w:left w:val="nil"/>
              <w:bottom w:val="nil"/>
              <w:right w:val="nil"/>
            </w:tcBorders>
          </w:tcPr>
          <w:p w:rsidR="00965D85" w:rsidRPr="0053172E" w:rsidRDefault="00965D85" w:rsidP="008B46DF">
            <w:pPr>
              <w:pStyle w:val="Tabletext"/>
              <w:rPr>
                <w:rFonts w:eastAsiaTheme="minorEastAsia"/>
                <w:lang w:eastAsia="en-AU"/>
              </w:rPr>
            </w:pPr>
            <w:r w:rsidRPr="0053172E">
              <w:rPr>
                <w:rFonts w:eastAsiaTheme="minorEastAsia"/>
                <w:lang w:eastAsia="en-AU"/>
              </w:rPr>
              <w:t>Employment</w:t>
            </w:r>
          </w:p>
        </w:tc>
        <w:tc>
          <w:tcPr>
            <w:tcW w:w="1040" w:type="dxa"/>
            <w:tcBorders>
              <w:top w:val="nil"/>
              <w:left w:val="nil"/>
              <w:bottom w:val="nil"/>
              <w:right w:val="nil"/>
            </w:tcBorders>
            <w:shd w:val="solid" w:color="FFFFFF" w:fill="auto"/>
          </w:tcPr>
          <w:p w:rsidR="00965D85" w:rsidRPr="0053172E" w:rsidRDefault="00965D85" w:rsidP="008B46DF">
            <w:pPr>
              <w:pStyle w:val="TableofFigures"/>
              <w:rPr>
                <w:rFonts w:eastAsiaTheme="minorEastAsia"/>
                <w:lang w:eastAsia="en-AU"/>
              </w:rPr>
            </w:pPr>
            <w:r w:rsidRPr="0053172E">
              <w:rPr>
                <w:rFonts w:eastAsiaTheme="minorEastAsia"/>
                <w:lang w:eastAsia="en-AU"/>
              </w:rPr>
              <w:t>1.3</w:t>
            </w:r>
          </w:p>
        </w:tc>
        <w:tc>
          <w:tcPr>
            <w:tcW w:w="1040" w:type="dxa"/>
            <w:tcBorders>
              <w:top w:val="nil"/>
              <w:left w:val="nil"/>
              <w:bottom w:val="nil"/>
              <w:right w:val="nil"/>
            </w:tcBorders>
            <w:shd w:val="solid" w:color="FFFFFF" w:fill="auto"/>
          </w:tcPr>
          <w:p w:rsidR="00965D85" w:rsidRPr="0053172E" w:rsidRDefault="00965D85" w:rsidP="008B46DF">
            <w:pPr>
              <w:pStyle w:val="TableofFigures"/>
              <w:rPr>
                <w:rFonts w:eastAsiaTheme="minorEastAsia"/>
                <w:lang w:eastAsia="en-AU"/>
              </w:rPr>
            </w:pPr>
            <w:r w:rsidRPr="0053172E">
              <w:rPr>
                <w:rFonts w:eastAsiaTheme="minorEastAsia"/>
                <w:lang w:eastAsia="en-AU"/>
              </w:rPr>
              <w:t>3.2</w:t>
            </w:r>
          </w:p>
        </w:tc>
        <w:tc>
          <w:tcPr>
            <w:tcW w:w="1040" w:type="dxa"/>
            <w:tcBorders>
              <w:top w:val="nil"/>
              <w:left w:val="nil"/>
              <w:bottom w:val="nil"/>
              <w:right w:val="nil"/>
            </w:tcBorders>
            <w:shd w:val="solid" w:color="FFFFFF" w:fill="auto"/>
          </w:tcPr>
          <w:p w:rsidR="00965D85" w:rsidRPr="0053172E" w:rsidRDefault="00965D85" w:rsidP="008B46DF">
            <w:pPr>
              <w:pStyle w:val="TableofFigures"/>
              <w:rPr>
                <w:rFonts w:eastAsiaTheme="minorEastAsia"/>
                <w:lang w:eastAsia="en-AU"/>
              </w:rPr>
            </w:pPr>
            <w:r w:rsidRPr="0053172E">
              <w:rPr>
                <w:rFonts w:eastAsiaTheme="minorEastAsia"/>
                <w:lang w:eastAsia="en-AU"/>
              </w:rPr>
              <w:t>1.9</w:t>
            </w:r>
          </w:p>
        </w:tc>
      </w:tr>
      <w:tr w:rsidR="00965D85" w:rsidRPr="0053172E" w:rsidTr="008B46DF">
        <w:tc>
          <w:tcPr>
            <w:tcW w:w="4647" w:type="dxa"/>
            <w:tcBorders>
              <w:top w:val="nil"/>
              <w:left w:val="nil"/>
              <w:right w:val="nil"/>
            </w:tcBorders>
          </w:tcPr>
          <w:p w:rsidR="00965D85" w:rsidRPr="0053172E" w:rsidRDefault="00965D85" w:rsidP="008B46DF">
            <w:pPr>
              <w:pStyle w:val="Tabletext"/>
              <w:rPr>
                <w:rFonts w:eastAsiaTheme="minorEastAsia"/>
                <w:lang w:eastAsia="en-AU"/>
              </w:rPr>
            </w:pPr>
            <w:r w:rsidRPr="0053172E">
              <w:rPr>
                <w:rFonts w:eastAsiaTheme="minorEastAsia"/>
                <w:lang w:eastAsia="en-AU"/>
              </w:rPr>
              <w:t>Consumer price index</w:t>
            </w:r>
          </w:p>
        </w:tc>
        <w:tc>
          <w:tcPr>
            <w:tcW w:w="1040" w:type="dxa"/>
            <w:tcBorders>
              <w:top w:val="nil"/>
              <w:left w:val="nil"/>
              <w:right w:val="nil"/>
            </w:tcBorders>
            <w:shd w:val="solid" w:color="FFFFFF" w:fill="auto"/>
          </w:tcPr>
          <w:p w:rsidR="00965D85" w:rsidRPr="0053172E" w:rsidRDefault="00965D85" w:rsidP="008B46DF">
            <w:pPr>
              <w:pStyle w:val="TableofFigures"/>
              <w:rPr>
                <w:rFonts w:eastAsiaTheme="minorEastAsia"/>
                <w:lang w:eastAsia="en-AU"/>
              </w:rPr>
            </w:pPr>
            <w:r w:rsidRPr="0053172E">
              <w:rPr>
                <w:rFonts w:eastAsiaTheme="minorEastAsia"/>
                <w:lang w:eastAsia="en-AU"/>
              </w:rPr>
              <w:t>2.5</w:t>
            </w:r>
          </w:p>
        </w:tc>
        <w:tc>
          <w:tcPr>
            <w:tcW w:w="1040" w:type="dxa"/>
            <w:tcBorders>
              <w:top w:val="nil"/>
              <w:left w:val="nil"/>
              <w:right w:val="nil"/>
            </w:tcBorders>
            <w:shd w:val="solid" w:color="FFFFFF" w:fill="auto"/>
          </w:tcPr>
          <w:p w:rsidR="00965D85" w:rsidRPr="0053172E" w:rsidRDefault="00965D85" w:rsidP="008B46DF">
            <w:pPr>
              <w:pStyle w:val="TableofFigures"/>
              <w:rPr>
                <w:rFonts w:eastAsiaTheme="minorEastAsia"/>
                <w:lang w:eastAsia="en-AU"/>
              </w:rPr>
            </w:pPr>
            <w:r w:rsidRPr="0053172E">
              <w:rPr>
                <w:rFonts w:eastAsiaTheme="minorEastAsia"/>
                <w:lang w:eastAsia="en-AU"/>
              </w:rPr>
              <w:t>2.6</w:t>
            </w:r>
          </w:p>
        </w:tc>
        <w:tc>
          <w:tcPr>
            <w:tcW w:w="1040" w:type="dxa"/>
            <w:tcBorders>
              <w:top w:val="nil"/>
              <w:left w:val="nil"/>
              <w:right w:val="nil"/>
            </w:tcBorders>
            <w:shd w:val="solid" w:color="FFFFFF" w:fill="auto"/>
          </w:tcPr>
          <w:p w:rsidR="00965D85" w:rsidRPr="0053172E" w:rsidRDefault="00965D85" w:rsidP="008B46DF">
            <w:pPr>
              <w:pStyle w:val="TableofFigures"/>
              <w:rPr>
                <w:rFonts w:eastAsiaTheme="minorEastAsia"/>
                <w:lang w:eastAsia="en-AU"/>
              </w:rPr>
            </w:pPr>
            <w:r w:rsidRPr="0053172E">
              <w:rPr>
                <w:rFonts w:eastAsiaTheme="minorEastAsia"/>
                <w:lang w:eastAsia="en-AU"/>
              </w:rPr>
              <w:t>0.1</w:t>
            </w:r>
          </w:p>
        </w:tc>
      </w:tr>
      <w:tr w:rsidR="00965D85" w:rsidRPr="0053172E" w:rsidTr="008B46DF">
        <w:tc>
          <w:tcPr>
            <w:tcW w:w="4647" w:type="dxa"/>
            <w:tcBorders>
              <w:top w:val="nil"/>
              <w:left w:val="nil"/>
              <w:bottom w:val="single" w:sz="12" w:space="0" w:color="000000"/>
              <w:right w:val="nil"/>
            </w:tcBorders>
          </w:tcPr>
          <w:p w:rsidR="00965D85" w:rsidRPr="0053172E" w:rsidRDefault="00965D85" w:rsidP="008B46DF">
            <w:pPr>
              <w:pStyle w:val="Tabletext"/>
              <w:rPr>
                <w:rFonts w:eastAsiaTheme="minorEastAsia"/>
                <w:vertAlign w:val="superscript"/>
                <w:lang w:eastAsia="en-AU"/>
              </w:rPr>
            </w:pPr>
            <w:r w:rsidRPr="0053172E">
              <w:rPr>
                <w:rFonts w:eastAsiaTheme="minorEastAsia"/>
                <w:lang w:eastAsia="en-AU"/>
              </w:rPr>
              <w:t xml:space="preserve">Wage price index </w:t>
            </w:r>
            <w:r w:rsidRPr="0053172E">
              <w:rPr>
                <w:rFonts w:eastAsiaTheme="minorEastAsia"/>
                <w:vertAlign w:val="superscript"/>
                <w:lang w:eastAsia="en-AU"/>
              </w:rPr>
              <w:t>(c)</w:t>
            </w:r>
          </w:p>
        </w:tc>
        <w:tc>
          <w:tcPr>
            <w:tcW w:w="1040" w:type="dxa"/>
            <w:tcBorders>
              <w:top w:val="nil"/>
              <w:left w:val="nil"/>
              <w:bottom w:val="single" w:sz="12" w:space="0" w:color="000000"/>
              <w:right w:val="nil"/>
            </w:tcBorders>
            <w:shd w:val="solid" w:color="FFFFFF" w:fill="auto"/>
          </w:tcPr>
          <w:p w:rsidR="00965D85" w:rsidRPr="0053172E" w:rsidRDefault="00965D85" w:rsidP="008B46DF">
            <w:pPr>
              <w:pStyle w:val="TableofFigures"/>
              <w:rPr>
                <w:rFonts w:eastAsiaTheme="minorEastAsia"/>
                <w:lang w:eastAsia="en-AU"/>
              </w:rPr>
            </w:pPr>
            <w:r w:rsidRPr="0053172E">
              <w:rPr>
                <w:rFonts w:eastAsiaTheme="minorEastAsia"/>
                <w:lang w:eastAsia="en-AU"/>
              </w:rPr>
              <w:t>3.5</w:t>
            </w:r>
          </w:p>
        </w:tc>
        <w:tc>
          <w:tcPr>
            <w:tcW w:w="1040" w:type="dxa"/>
            <w:tcBorders>
              <w:top w:val="nil"/>
              <w:left w:val="nil"/>
              <w:bottom w:val="single" w:sz="12" w:space="0" w:color="000000"/>
              <w:right w:val="nil"/>
            </w:tcBorders>
            <w:shd w:val="solid" w:color="FFFFFF" w:fill="auto"/>
          </w:tcPr>
          <w:p w:rsidR="00965D85" w:rsidRPr="0053172E" w:rsidRDefault="00965D85" w:rsidP="008B46DF">
            <w:pPr>
              <w:pStyle w:val="TableofFigures"/>
              <w:rPr>
                <w:rFonts w:eastAsiaTheme="minorEastAsia"/>
                <w:lang w:eastAsia="en-AU"/>
              </w:rPr>
            </w:pPr>
            <w:r w:rsidRPr="0053172E">
              <w:rPr>
                <w:rFonts w:eastAsiaTheme="minorEastAsia"/>
                <w:lang w:eastAsia="en-AU"/>
              </w:rPr>
              <w:t>3.6</w:t>
            </w:r>
          </w:p>
        </w:tc>
        <w:tc>
          <w:tcPr>
            <w:tcW w:w="1040" w:type="dxa"/>
            <w:tcBorders>
              <w:top w:val="nil"/>
              <w:left w:val="nil"/>
              <w:bottom w:val="single" w:sz="12" w:space="0" w:color="000000"/>
              <w:right w:val="nil"/>
            </w:tcBorders>
            <w:shd w:val="solid" w:color="FFFFFF" w:fill="auto"/>
          </w:tcPr>
          <w:p w:rsidR="00965D85" w:rsidRPr="0053172E" w:rsidRDefault="00965D85" w:rsidP="008B46DF">
            <w:pPr>
              <w:pStyle w:val="TableofFigures"/>
              <w:rPr>
                <w:rFonts w:eastAsiaTheme="minorEastAsia"/>
                <w:lang w:eastAsia="en-AU"/>
              </w:rPr>
            </w:pPr>
            <w:r w:rsidRPr="0053172E">
              <w:rPr>
                <w:rFonts w:eastAsiaTheme="minorEastAsia"/>
                <w:lang w:eastAsia="en-AU"/>
              </w:rPr>
              <w:t>0.1</w:t>
            </w:r>
          </w:p>
        </w:tc>
      </w:tr>
    </w:tbl>
    <w:p w:rsidR="00965D85" w:rsidRPr="00F216F2" w:rsidRDefault="00965D85" w:rsidP="008B46DF">
      <w:pPr>
        <w:pStyle w:val="Source"/>
      </w:pPr>
      <w:r>
        <w:fldChar w:fldCharType="end"/>
      </w:r>
      <w:r w:rsidRPr="00F216F2">
        <w:t>Sources: Australian Bureau of Statistics; Department of Treasury and Finance</w:t>
      </w:r>
    </w:p>
    <w:p w:rsidR="00965D85" w:rsidRPr="009D213C" w:rsidRDefault="00965D85" w:rsidP="008B46DF">
      <w:pPr>
        <w:pStyle w:val="Notes"/>
      </w:pPr>
      <w:r w:rsidRPr="009D213C">
        <w:t>Notes:</w:t>
      </w:r>
    </w:p>
    <w:p w:rsidR="00965D85" w:rsidRPr="009D213C" w:rsidRDefault="00965D85" w:rsidP="008B46DF">
      <w:pPr>
        <w:pStyle w:val="Notes"/>
      </w:pPr>
      <w:r>
        <w:t>(a)</w:t>
      </w:r>
      <w:r>
        <w:tab/>
      </w:r>
      <w:r w:rsidRPr="009D213C">
        <w:t xml:space="preserve">Forecast in May 2006 for </w:t>
      </w:r>
      <w:r w:rsidRPr="00C53B5B">
        <w:rPr>
          <w:i w:val="0"/>
        </w:rPr>
        <w:t>2006</w:t>
      </w:r>
      <w:r>
        <w:rPr>
          <w:i w:val="0"/>
        </w:rPr>
        <w:noBreakHyphen/>
      </w:r>
      <w:r w:rsidRPr="00C53B5B">
        <w:rPr>
          <w:i w:val="0"/>
        </w:rPr>
        <w:t>07 Budget</w:t>
      </w:r>
      <w:r w:rsidRPr="009D213C">
        <w:t>.</w:t>
      </w:r>
    </w:p>
    <w:p w:rsidR="00965D85" w:rsidRPr="009D213C" w:rsidRDefault="00965D85" w:rsidP="008B46DF">
      <w:pPr>
        <w:pStyle w:val="Notes"/>
      </w:pPr>
      <w:r>
        <w:t>(b)</w:t>
      </w:r>
      <w:r>
        <w:tab/>
      </w:r>
      <w:r w:rsidRPr="009D213C">
        <w:t>Percentage point variation.</w:t>
      </w:r>
    </w:p>
    <w:p w:rsidR="00965D85" w:rsidRDefault="00965D85" w:rsidP="008B46DF">
      <w:pPr>
        <w:pStyle w:val="Notes"/>
      </w:pPr>
      <w:r>
        <w:t>(c)</w:t>
      </w:r>
      <w:r>
        <w:tab/>
      </w:r>
      <w:r w:rsidRPr="009D213C">
        <w:t>Total hourly rate excluding bonuses.</w:t>
      </w:r>
    </w:p>
    <w:p w:rsidR="00965D85" w:rsidRPr="009D213C" w:rsidRDefault="00965D85" w:rsidP="008B46DF"/>
    <w:p w:rsidR="00965D85" w:rsidRDefault="00965D85" w:rsidP="008B46DF">
      <w:pPr>
        <w:rPr>
          <w:lang w:eastAsia="en-AU"/>
        </w:rPr>
      </w:pPr>
      <w:r>
        <w:rPr>
          <w:lang w:eastAsia="en-AU"/>
        </w:rPr>
        <w:t>The main areas of revenue forecast error in 2006</w:t>
      </w:r>
      <w:r>
        <w:rPr>
          <w:lang w:eastAsia="en-AU"/>
        </w:rPr>
        <w:noBreakHyphen/>
        <w:t>07 relate to the underestimation of land transfer duty and of other revenue, while payroll tax was close to forecast (Table D.3). Strong land transfer duty revenues largely reflect the property cycle. As land transfer duty is a transaction</w:t>
      </w:r>
      <w:r>
        <w:rPr>
          <w:lang w:eastAsia="en-AU"/>
        </w:rPr>
        <w:noBreakHyphen/>
        <w:t>based tax, with the bulk of revenue collected from the residential property sector, collections are subject to the volatile nature of consumer sentiment. In 2006</w:t>
      </w:r>
      <w:r>
        <w:rPr>
          <w:lang w:eastAsia="en-AU"/>
        </w:rPr>
        <w:noBreakHyphen/>
        <w:t xml:space="preserve">07, both house prices and volumes were in growth phases, and in the second half of the financial year consumer sentiment was well above historical averages. </w:t>
      </w:r>
    </w:p>
    <w:p w:rsidR="00965D85" w:rsidRDefault="00965D85" w:rsidP="008B46DF">
      <w:pPr>
        <w:rPr>
          <w:lang w:eastAsia="en-AU"/>
        </w:rPr>
      </w:pPr>
      <w:r>
        <w:rPr>
          <w:lang w:eastAsia="en-AU"/>
        </w:rPr>
        <w:t>A significant portion of other revenue is composed of tied grants from the Commonwealth Government for health and education purposes. Forecasts are finalised around four months before the start of the relevant budget year and alternative arrangements may be made with the Commonwealth Government at any time during the ensuing 16 months to affect revenue from this source.</w:t>
      </w:r>
    </w:p>
    <w:p w:rsidR="00965D85" w:rsidRDefault="00965D85">
      <w:pPr>
        <w:spacing w:after="0"/>
        <w:rPr>
          <w:lang w:eastAsia="en-AU"/>
        </w:rPr>
      </w:pPr>
      <w:r>
        <w:rPr>
          <w:lang w:eastAsia="en-AU"/>
        </w:rPr>
        <w:br w:type="page"/>
      </w:r>
    </w:p>
    <w:p w:rsidR="00965D85" w:rsidRDefault="00965D85" w:rsidP="008B46DF">
      <w:pPr>
        <w:rPr>
          <w:lang w:eastAsia="en-AU"/>
        </w:rPr>
      </w:pPr>
      <w:r>
        <w:rPr>
          <w:lang w:eastAsia="en-AU"/>
        </w:rPr>
        <w:lastRenderedPageBreak/>
        <w:t>As payroll tax is levied on the stock of employees, forecast errors in growth are unlikely to have a large effect on revenue from this line. This proved to be the case in 2006</w:t>
      </w:r>
      <w:r>
        <w:rPr>
          <w:lang w:eastAsia="en-AU"/>
        </w:rPr>
        <w:noBreakHyphen/>
        <w:t>07. Despite growth in employment being two percentage points higher than anticipated, the 2006</w:t>
      </w:r>
      <w:r>
        <w:rPr>
          <w:lang w:eastAsia="en-AU"/>
        </w:rPr>
        <w:noBreakHyphen/>
        <w:t>07 outcome for payroll tax was largely consistent with budgeted estimates. This suggests a disconnect at that time between Victoria’s labour market performance and payroll tax collections, and may have occurred because payroll tax is levied on a small share of Victorian businesses, which may not necessarily have been the drivers of growth.</w:t>
      </w:r>
    </w:p>
    <w:p w:rsidR="00965D85" w:rsidRDefault="00965D85" w:rsidP="008B46DF">
      <w:pPr>
        <w:pStyle w:val="Tableheading"/>
      </w:pPr>
      <w:r>
        <w:t>Table D.3:</w:t>
      </w:r>
      <w:r>
        <w:tab/>
        <w:t xml:space="preserve">Actual deviations of key revenue lines from </w:t>
      </w:r>
      <w:r>
        <w:rPr>
          <w:i/>
        </w:rPr>
        <w:t>2006</w:t>
      </w:r>
      <w:r>
        <w:rPr>
          <w:i/>
        </w:rPr>
        <w:noBreakHyphen/>
        <w:t>07 Budget</w:t>
      </w:r>
      <w:r>
        <w:t xml:space="preserve"> forecasts</w:t>
      </w:r>
    </w:p>
    <w:p w:rsidR="00965D85" w:rsidRPr="0053172E" w:rsidRDefault="00965D85" w:rsidP="008B46DF">
      <w:pPr>
        <w:pStyle w:val="million"/>
      </w:pPr>
      <w:r>
        <w:t>($ million)</w:t>
      </w:r>
      <w:r>
        <w:fldChar w:fldCharType="begin" w:fldLock="1"/>
      </w:r>
      <w:r>
        <w:instrText xml:space="preserve"> LINK Excel.Sheet.12 \\\\PDCPTPRDFIL01\\DTFDATA02$\\SECURED\\Budget\\BudgetUpdate\\AppendixD\\2015-16BudUpd_AppD.xlsx Option2_Tables!Actual_Deviations_KeyRevenue_0607 \f 4 \r \* MERGEFORMAT </w:instrText>
      </w:r>
      <w:r>
        <w:fldChar w:fldCharType="separate"/>
      </w:r>
    </w:p>
    <w:tbl>
      <w:tblPr>
        <w:tblW w:w="7767" w:type="dxa"/>
        <w:tblInd w:w="28" w:type="dxa"/>
        <w:tblLayout w:type="fixed"/>
        <w:tblCellMar>
          <w:left w:w="45" w:type="dxa"/>
          <w:right w:w="45" w:type="dxa"/>
        </w:tblCellMar>
        <w:tblLook w:val="0000" w:firstRow="0" w:lastRow="0" w:firstColumn="0" w:lastColumn="0" w:noHBand="0" w:noVBand="0"/>
      </w:tblPr>
      <w:tblGrid>
        <w:gridCol w:w="3791"/>
        <w:gridCol w:w="994"/>
        <w:gridCol w:w="994"/>
        <w:gridCol w:w="994"/>
        <w:gridCol w:w="994"/>
      </w:tblGrid>
      <w:tr w:rsidR="00965D85" w:rsidRPr="0053172E" w:rsidTr="008B46DF">
        <w:trPr>
          <w:trHeight w:val="503"/>
        </w:trPr>
        <w:tc>
          <w:tcPr>
            <w:tcW w:w="3791" w:type="dxa"/>
            <w:tcBorders>
              <w:top w:val="single" w:sz="6" w:space="0" w:color="000000"/>
              <w:left w:val="single" w:sz="6" w:space="0" w:color="000000"/>
            </w:tcBorders>
            <w:shd w:val="clear" w:color="000000" w:fill="000000"/>
          </w:tcPr>
          <w:p w:rsidR="00965D85" w:rsidRPr="0053172E" w:rsidRDefault="00965D85" w:rsidP="008B46DF">
            <w:pPr>
              <w:pStyle w:val="Tabletextheading"/>
              <w:jc w:val="left"/>
              <w:rPr>
                <w:rFonts w:eastAsiaTheme="minorEastAsia"/>
                <w:color w:val="FFFFFF"/>
                <w:lang w:eastAsia="en-AU"/>
              </w:rPr>
            </w:pPr>
          </w:p>
        </w:tc>
        <w:tc>
          <w:tcPr>
            <w:tcW w:w="994" w:type="dxa"/>
            <w:tcBorders>
              <w:top w:val="single" w:sz="6" w:space="0" w:color="000000"/>
            </w:tcBorders>
            <w:shd w:val="clear" w:color="000000" w:fill="000000"/>
          </w:tcPr>
          <w:p w:rsidR="00965D85" w:rsidRPr="0053172E" w:rsidRDefault="00965D85" w:rsidP="008B46DF">
            <w:pPr>
              <w:pStyle w:val="Tabletextheading"/>
              <w:rPr>
                <w:rFonts w:eastAsiaTheme="minorEastAsia"/>
                <w:iCs/>
                <w:color w:val="FFFFFF"/>
                <w:lang w:eastAsia="en-AU"/>
              </w:rPr>
            </w:pPr>
            <w:r w:rsidRPr="0053172E">
              <w:rPr>
                <w:rFonts w:eastAsiaTheme="minorEastAsia"/>
                <w:iCs/>
                <w:color w:val="FFFFFF"/>
                <w:lang w:eastAsia="en-AU"/>
              </w:rPr>
              <w:t>2006-07</w:t>
            </w:r>
          </w:p>
          <w:p w:rsidR="00965D85" w:rsidRPr="0053172E" w:rsidRDefault="00965D85" w:rsidP="008B46DF">
            <w:pPr>
              <w:pStyle w:val="Tabletextheading"/>
              <w:rPr>
                <w:rFonts w:eastAsiaTheme="minorEastAsia"/>
                <w:iCs/>
                <w:color w:val="FFFFFF"/>
                <w:lang w:eastAsia="en-AU"/>
              </w:rPr>
            </w:pPr>
            <w:r w:rsidRPr="0053172E">
              <w:rPr>
                <w:rFonts w:eastAsiaTheme="minorEastAsia"/>
                <w:iCs/>
                <w:color w:val="FFFFFF"/>
                <w:lang w:eastAsia="en-AU"/>
              </w:rPr>
              <w:t>budget</w:t>
            </w:r>
          </w:p>
        </w:tc>
        <w:tc>
          <w:tcPr>
            <w:tcW w:w="994" w:type="dxa"/>
            <w:tcBorders>
              <w:top w:val="single" w:sz="6" w:space="0" w:color="000000"/>
            </w:tcBorders>
            <w:shd w:val="clear" w:color="000000" w:fill="000000"/>
          </w:tcPr>
          <w:p w:rsidR="00965D85" w:rsidRPr="0053172E" w:rsidRDefault="00965D85" w:rsidP="008B46DF">
            <w:pPr>
              <w:pStyle w:val="Tabletextheading"/>
              <w:rPr>
                <w:rFonts w:eastAsiaTheme="minorEastAsia"/>
                <w:iCs/>
                <w:color w:val="FFFFFF"/>
                <w:lang w:eastAsia="en-AU"/>
              </w:rPr>
            </w:pPr>
            <w:r w:rsidRPr="0053172E">
              <w:rPr>
                <w:rFonts w:eastAsiaTheme="minorEastAsia"/>
                <w:iCs/>
                <w:color w:val="FFFFFF"/>
                <w:lang w:eastAsia="en-AU"/>
              </w:rPr>
              <w:t>2006-07</w:t>
            </w:r>
          </w:p>
          <w:p w:rsidR="00965D85" w:rsidRPr="0053172E" w:rsidRDefault="00965D85" w:rsidP="008B46DF">
            <w:pPr>
              <w:pStyle w:val="Tabletextheading"/>
              <w:rPr>
                <w:rFonts w:eastAsiaTheme="minorEastAsia"/>
                <w:iCs/>
                <w:color w:val="FFFFFF"/>
                <w:lang w:eastAsia="en-AU"/>
              </w:rPr>
            </w:pPr>
            <w:r w:rsidRPr="0053172E">
              <w:rPr>
                <w:rFonts w:eastAsiaTheme="minorEastAsia"/>
                <w:iCs/>
                <w:color w:val="FFFFFF"/>
                <w:lang w:eastAsia="en-AU"/>
              </w:rPr>
              <w:t>actual</w:t>
            </w:r>
          </w:p>
        </w:tc>
        <w:tc>
          <w:tcPr>
            <w:tcW w:w="994" w:type="dxa"/>
            <w:tcBorders>
              <w:top w:val="single" w:sz="6" w:space="0" w:color="000000"/>
            </w:tcBorders>
            <w:shd w:val="clear" w:color="000000" w:fill="000000"/>
          </w:tcPr>
          <w:p w:rsidR="00965D85" w:rsidRPr="0053172E" w:rsidRDefault="00965D85" w:rsidP="008B46DF">
            <w:pPr>
              <w:pStyle w:val="Tabletextheading"/>
              <w:rPr>
                <w:rFonts w:eastAsiaTheme="minorEastAsia"/>
                <w:iCs/>
                <w:color w:val="FFFFFF"/>
                <w:lang w:eastAsia="en-AU"/>
              </w:rPr>
            </w:pPr>
            <w:r w:rsidRPr="0053172E">
              <w:rPr>
                <w:rFonts w:eastAsiaTheme="minorEastAsia"/>
                <w:iCs/>
                <w:color w:val="FFFFFF"/>
                <w:lang w:eastAsia="en-AU"/>
              </w:rPr>
              <w:t>Forecast</w:t>
            </w:r>
          </w:p>
          <w:p w:rsidR="00965D85" w:rsidRPr="0053172E" w:rsidRDefault="00965D85" w:rsidP="008B46DF">
            <w:pPr>
              <w:pStyle w:val="Tabletextheading"/>
              <w:rPr>
                <w:rFonts w:eastAsiaTheme="minorEastAsia"/>
                <w:iCs/>
                <w:color w:val="FFFFFF"/>
                <w:lang w:eastAsia="en-AU"/>
              </w:rPr>
            </w:pPr>
            <w:r w:rsidRPr="0053172E">
              <w:rPr>
                <w:rFonts w:eastAsiaTheme="minorEastAsia"/>
                <w:iCs/>
                <w:color w:val="FFFFFF"/>
                <w:lang w:eastAsia="en-AU"/>
              </w:rPr>
              <w:t>error</w:t>
            </w:r>
          </w:p>
        </w:tc>
        <w:tc>
          <w:tcPr>
            <w:tcW w:w="994" w:type="dxa"/>
            <w:tcBorders>
              <w:top w:val="single" w:sz="6" w:space="0" w:color="000000"/>
              <w:right w:val="single" w:sz="6" w:space="0" w:color="000000"/>
            </w:tcBorders>
            <w:shd w:val="clear" w:color="000000" w:fill="000000"/>
          </w:tcPr>
          <w:p w:rsidR="00965D85" w:rsidRPr="0053172E" w:rsidRDefault="00965D85" w:rsidP="008B46DF">
            <w:pPr>
              <w:pStyle w:val="Tabletextheading"/>
              <w:rPr>
                <w:rFonts w:eastAsiaTheme="minorEastAsia"/>
                <w:iCs/>
                <w:color w:val="FFFFFF"/>
                <w:lang w:eastAsia="en-AU"/>
              </w:rPr>
            </w:pPr>
            <w:r w:rsidRPr="0053172E">
              <w:rPr>
                <w:rFonts w:eastAsiaTheme="minorEastAsia"/>
                <w:iCs/>
                <w:color w:val="FFFFFF"/>
                <w:lang w:eastAsia="en-AU"/>
              </w:rPr>
              <w:t xml:space="preserve">Forecast </w:t>
            </w:r>
          </w:p>
          <w:p w:rsidR="00965D85" w:rsidRPr="0053172E" w:rsidRDefault="00965D85" w:rsidP="008B46DF">
            <w:pPr>
              <w:pStyle w:val="Tabletextheading"/>
              <w:rPr>
                <w:rFonts w:eastAsiaTheme="minorEastAsia"/>
                <w:iCs/>
                <w:color w:val="FFFFFF"/>
                <w:lang w:eastAsia="en-AU"/>
              </w:rPr>
            </w:pPr>
            <w:r w:rsidRPr="0053172E">
              <w:rPr>
                <w:rFonts w:eastAsiaTheme="minorEastAsia"/>
                <w:iCs/>
                <w:color w:val="FFFFFF"/>
                <w:lang w:eastAsia="en-AU"/>
              </w:rPr>
              <w:t>error (%)</w:t>
            </w:r>
          </w:p>
        </w:tc>
      </w:tr>
      <w:tr w:rsidR="00965D85" w:rsidRPr="0053172E" w:rsidTr="008B46DF">
        <w:tc>
          <w:tcPr>
            <w:tcW w:w="3791" w:type="dxa"/>
            <w:tcBorders>
              <w:top w:val="single" w:sz="6" w:space="0" w:color="000000"/>
              <w:left w:val="nil"/>
              <w:bottom w:val="nil"/>
              <w:right w:val="nil"/>
            </w:tcBorders>
          </w:tcPr>
          <w:p w:rsidR="00965D85" w:rsidRPr="0053172E" w:rsidRDefault="00965D85" w:rsidP="008B46DF">
            <w:pPr>
              <w:autoSpaceDE w:val="0"/>
              <w:autoSpaceDN w:val="0"/>
              <w:adjustRightInd w:val="0"/>
              <w:spacing w:after="0"/>
              <w:rPr>
                <w:rFonts w:ascii="Calibri" w:eastAsiaTheme="minorEastAsia" w:hAnsi="Calibri" w:cs="Calibri"/>
                <w:sz w:val="20"/>
                <w:lang w:eastAsia="en-AU"/>
              </w:rPr>
            </w:pPr>
            <w:r w:rsidRPr="0053172E">
              <w:rPr>
                <w:rFonts w:ascii="Calibri" w:eastAsiaTheme="minorEastAsia" w:hAnsi="Calibri" w:cs="Calibri"/>
                <w:sz w:val="20"/>
                <w:lang w:eastAsia="en-AU"/>
              </w:rPr>
              <w:t>Payroll taxes</w:t>
            </w:r>
          </w:p>
        </w:tc>
        <w:tc>
          <w:tcPr>
            <w:tcW w:w="994" w:type="dxa"/>
            <w:tcBorders>
              <w:top w:val="single" w:sz="6" w:space="0" w:color="000000"/>
              <w:left w:val="nil"/>
              <w:bottom w:val="nil"/>
              <w:right w:val="nil"/>
            </w:tcBorders>
          </w:tcPr>
          <w:p w:rsidR="00965D85" w:rsidRPr="0053172E" w:rsidRDefault="00965D85" w:rsidP="008B46DF">
            <w:pPr>
              <w:autoSpaceDE w:val="0"/>
              <w:autoSpaceDN w:val="0"/>
              <w:adjustRightInd w:val="0"/>
              <w:spacing w:after="0"/>
              <w:jc w:val="right"/>
              <w:rPr>
                <w:rFonts w:ascii="Calibri" w:eastAsiaTheme="minorEastAsia" w:hAnsi="Calibri" w:cs="Calibri"/>
                <w:sz w:val="20"/>
                <w:lang w:eastAsia="en-AU"/>
              </w:rPr>
            </w:pPr>
            <w:r w:rsidRPr="0053172E">
              <w:rPr>
                <w:rFonts w:ascii="Calibri" w:eastAsiaTheme="minorEastAsia" w:hAnsi="Calibri" w:cs="Calibri"/>
                <w:sz w:val="20"/>
                <w:lang w:eastAsia="en-AU"/>
              </w:rPr>
              <w:t>3 418</w:t>
            </w:r>
          </w:p>
        </w:tc>
        <w:tc>
          <w:tcPr>
            <w:tcW w:w="994" w:type="dxa"/>
            <w:tcBorders>
              <w:top w:val="single" w:sz="6" w:space="0" w:color="000000"/>
              <w:left w:val="nil"/>
              <w:bottom w:val="nil"/>
              <w:right w:val="nil"/>
            </w:tcBorders>
          </w:tcPr>
          <w:p w:rsidR="00965D85" w:rsidRPr="0053172E" w:rsidRDefault="00965D85" w:rsidP="008B46DF">
            <w:pPr>
              <w:autoSpaceDE w:val="0"/>
              <w:autoSpaceDN w:val="0"/>
              <w:adjustRightInd w:val="0"/>
              <w:spacing w:after="0"/>
              <w:jc w:val="right"/>
              <w:rPr>
                <w:rFonts w:ascii="Calibri" w:eastAsiaTheme="minorEastAsia" w:hAnsi="Calibri" w:cs="Calibri"/>
                <w:sz w:val="20"/>
                <w:lang w:eastAsia="en-AU"/>
              </w:rPr>
            </w:pPr>
            <w:r w:rsidRPr="0053172E">
              <w:rPr>
                <w:rFonts w:ascii="Calibri" w:eastAsiaTheme="minorEastAsia" w:hAnsi="Calibri" w:cs="Calibri"/>
                <w:sz w:val="20"/>
                <w:lang w:eastAsia="en-AU"/>
              </w:rPr>
              <w:t>3 479</w:t>
            </w:r>
          </w:p>
        </w:tc>
        <w:tc>
          <w:tcPr>
            <w:tcW w:w="994" w:type="dxa"/>
            <w:tcBorders>
              <w:top w:val="single" w:sz="6" w:space="0" w:color="000000"/>
              <w:left w:val="nil"/>
              <w:bottom w:val="nil"/>
              <w:right w:val="nil"/>
            </w:tcBorders>
          </w:tcPr>
          <w:p w:rsidR="00965D85" w:rsidRPr="0053172E" w:rsidRDefault="00965D85" w:rsidP="008B46DF">
            <w:pPr>
              <w:autoSpaceDE w:val="0"/>
              <w:autoSpaceDN w:val="0"/>
              <w:adjustRightInd w:val="0"/>
              <w:spacing w:after="0"/>
              <w:jc w:val="right"/>
              <w:rPr>
                <w:rFonts w:ascii="Calibri" w:eastAsiaTheme="minorEastAsia" w:hAnsi="Calibri" w:cs="Calibri"/>
                <w:sz w:val="20"/>
                <w:lang w:eastAsia="en-AU"/>
              </w:rPr>
            </w:pPr>
            <w:r w:rsidRPr="0053172E">
              <w:rPr>
                <w:rFonts w:ascii="Calibri" w:eastAsiaTheme="minorEastAsia" w:hAnsi="Calibri" w:cs="Calibri"/>
                <w:sz w:val="20"/>
                <w:lang w:eastAsia="en-AU"/>
              </w:rPr>
              <w:t xml:space="preserve"> 61</w:t>
            </w:r>
          </w:p>
        </w:tc>
        <w:tc>
          <w:tcPr>
            <w:tcW w:w="994" w:type="dxa"/>
            <w:tcBorders>
              <w:top w:val="single" w:sz="6" w:space="0" w:color="000000"/>
              <w:left w:val="nil"/>
              <w:bottom w:val="nil"/>
              <w:right w:val="nil"/>
            </w:tcBorders>
          </w:tcPr>
          <w:p w:rsidR="00965D85" w:rsidRPr="0053172E" w:rsidRDefault="00965D85" w:rsidP="008B46DF">
            <w:pPr>
              <w:autoSpaceDE w:val="0"/>
              <w:autoSpaceDN w:val="0"/>
              <w:adjustRightInd w:val="0"/>
              <w:spacing w:after="0"/>
              <w:jc w:val="right"/>
              <w:rPr>
                <w:rFonts w:ascii="Calibri" w:eastAsiaTheme="minorEastAsia" w:hAnsi="Calibri" w:cs="Calibri"/>
                <w:sz w:val="20"/>
                <w:lang w:eastAsia="en-AU"/>
              </w:rPr>
            </w:pPr>
            <w:r w:rsidRPr="0053172E">
              <w:rPr>
                <w:rFonts w:ascii="Calibri" w:eastAsiaTheme="minorEastAsia" w:hAnsi="Calibri" w:cs="Calibri"/>
                <w:sz w:val="20"/>
                <w:lang w:eastAsia="en-AU"/>
              </w:rPr>
              <w:t xml:space="preserve">2 </w:t>
            </w:r>
          </w:p>
        </w:tc>
      </w:tr>
      <w:tr w:rsidR="00965D85" w:rsidRPr="0053172E" w:rsidTr="008B46DF">
        <w:tc>
          <w:tcPr>
            <w:tcW w:w="3791" w:type="dxa"/>
            <w:tcBorders>
              <w:top w:val="nil"/>
              <w:left w:val="nil"/>
              <w:bottom w:val="nil"/>
              <w:right w:val="nil"/>
            </w:tcBorders>
          </w:tcPr>
          <w:p w:rsidR="00965D85" w:rsidRPr="0053172E" w:rsidRDefault="00965D85" w:rsidP="008B46DF">
            <w:pPr>
              <w:autoSpaceDE w:val="0"/>
              <w:autoSpaceDN w:val="0"/>
              <w:adjustRightInd w:val="0"/>
              <w:spacing w:after="0"/>
              <w:rPr>
                <w:rFonts w:ascii="Calibri" w:eastAsiaTheme="minorEastAsia" w:hAnsi="Calibri" w:cs="Calibri"/>
                <w:sz w:val="20"/>
                <w:lang w:eastAsia="en-AU"/>
              </w:rPr>
            </w:pPr>
            <w:r w:rsidRPr="0053172E">
              <w:rPr>
                <w:rFonts w:ascii="Calibri" w:eastAsiaTheme="minorEastAsia" w:hAnsi="Calibri" w:cs="Calibri"/>
                <w:sz w:val="20"/>
                <w:lang w:eastAsia="en-AU"/>
              </w:rPr>
              <w:t>Land transfer duty</w:t>
            </w:r>
          </w:p>
        </w:tc>
        <w:tc>
          <w:tcPr>
            <w:tcW w:w="994" w:type="dxa"/>
            <w:tcBorders>
              <w:top w:val="nil"/>
              <w:left w:val="nil"/>
              <w:bottom w:val="nil"/>
              <w:right w:val="nil"/>
            </w:tcBorders>
          </w:tcPr>
          <w:p w:rsidR="00965D85" w:rsidRPr="0053172E" w:rsidRDefault="00965D85" w:rsidP="008B46DF">
            <w:pPr>
              <w:autoSpaceDE w:val="0"/>
              <w:autoSpaceDN w:val="0"/>
              <w:adjustRightInd w:val="0"/>
              <w:spacing w:after="0"/>
              <w:jc w:val="right"/>
              <w:rPr>
                <w:rFonts w:ascii="Calibri" w:eastAsiaTheme="minorEastAsia" w:hAnsi="Calibri" w:cs="Calibri"/>
                <w:sz w:val="20"/>
                <w:lang w:eastAsia="en-AU"/>
              </w:rPr>
            </w:pPr>
            <w:r w:rsidRPr="0053172E">
              <w:rPr>
                <w:rFonts w:ascii="Calibri" w:eastAsiaTheme="minorEastAsia" w:hAnsi="Calibri" w:cs="Calibri"/>
                <w:sz w:val="20"/>
                <w:lang w:eastAsia="en-AU"/>
              </w:rPr>
              <w:t>2 424</w:t>
            </w:r>
          </w:p>
        </w:tc>
        <w:tc>
          <w:tcPr>
            <w:tcW w:w="994" w:type="dxa"/>
            <w:tcBorders>
              <w:top w:val="nil"/>
              <w:left w:val="nil"/>
              <w:bottom w:val="nil"/>
              <w:right w:val="nil"/>
            </w:tcBorders>
          </w:tcPr>
          <w:p w:rsidR="00965D85" w:rsidRPr="0053172E" w:rsidRDefault="00965D85" w:rsidP="008B46DF">
            <w:pPr>
              <w:autoSpaceDE w:val="0"/>
              <w:autoSpaceDN w:val="0"/>
              <w:adjustRightInd w:val="0"/>
              <w:spacing w:after="0"/>
              <w:jc w:val="right"/>
              <w:rPr>
                <w:rFonts w:ascii="Calibri" w:eastAsiaTheme="minorEastAsia" w:hAnsi="Calibri" w:cs="Calibri"/>
                <w:sz w:val="20"/>
                <w:lang w:eastAsia="en-AU"/>
              </w:rPr>
            </w:pPr>
            <w:r w:rsidRPr="0053172E">
              <w:rPr>
                <w:rFonts w:ascii="Calibri" w:eastAsiaTheme="minorEastAsia" w:hAnsi="Calibri" w:cs="Calibri"/>
                <w:sz w:val="20"/>
                <w:lang w:eastAsia="en-AU"/>
              </w:rPr>
              <w:t>2 961</w:t>
            </w:r>
          </w:p>
        </w:tc>
        <w:tc>
          <w:tcPr>
            <w:tcW w:w="994" w:type="dxa"/>
            <w:tcBorders>
              <w:top w:val="nil"/>
              <w:left w:val="nil"/>
              <w:bottom w:val="nil"/>
              <w:right w:val="nil"/>
            </w:tcBorders>
          </w:tcPr>
          <w:p w:rsidR="00965D85" w:rsidRPr="0053172E" w:rsidRDefault="00965D85" w:rsidP="008B46DF">
            <w:pPr>
              <w:autoSpaceDE w:val="0"/>
              <w:autoSpaceDN w:val="0"/>
              <w:adjustRightInd w:val="0"/>
              <w:spacing w:after="0"/>
              <w:jc w:val="right"/>
              <w:rPr>
                <w:rFonts w:ascii="Calibri" w:eastAsiaTheme="minorEastAsia" w:hAnsi="Calibri" w:cs="Calibri"/>
                <w:sz w:val="20"/>
                <w:lang w:eastAsia="en-AU"/>
              </w:rPr>
            </w:pPr>
            <w:r w:rsidRPr="0053172E">
              <w:rPr>
                <w:rFonts w:ascii="Calibri" w:eastAsiaTheme="minorEastAsia" w:hAnsi="Calibri" w:cs="Calibri"/>
                <w:sz w:val="20"/>
                <w:lang w:eastAsia="en-AU"/>
              </w:rPr>
              <w:t xml:space="preserve"> 537</w:t>
            </w:r>
          </w:p>
        </w:tc>
        <w:tc>
          <w:tcPr>
            <w:tcW w:w="994" w:type="dxa"/>
            <w:tcBorders>
              <w:top w:val="nil"/>
              <w:left w:val="nil"/>
              <w:bottom w:val="nil"/>
              <w:right w:val="nil"/>
            </w:tcBorders>
          </w:tcPr>
          <w:p w:rsidR="00965D85" w:rsidRPr="0053172E" w:rsidRDefault="00965D85" w:rsidP="008B46DF">
            <w:pPr>
              <w:autoSpaceDE w:val="0"/>
              <w:autoSpaceDN w:val="0"/>
              <w:adjustRightInd w:val="0"/>
              <w:spacing w:after="0"/>
              <w:jc w:val="right"/>
              <w:rPr>
                <w:rFonts w:ascii="Calibri" w:eastAsiaTheme="minorEastAsia" w:hAnsi="Calibri" w:cs="Calibri"/>
                <w:sz w:val="20"/>
                <w:lang w:eastAsia="en-AU"/>
              </w:rPr>
            </w:pPr>
            <w:r w:rsidRPr="0053172E">
              <w:rPr>
                <w:rFonts w:ascii="Calibri" w:eastAsiaTheme="minorEastAsia" w:hAnsi="Calibri" w:cs="Calibri"/>
                <w:sz w:val="20"/>
                <w:lang w:eastAsia="en-AU"/>
              </w:rPr>
              <w:t xml:space="preserve">22 </w:t>
            </w:r>
          </w:p>
        </w:tc>
      </w:tr>
      <w:tr w:rsidR="00965D85" w:rsidRPr="0053172E" w:rsidTr="008B46DF">
        <w:tc>
          <w:tcPr>
            <w:tcW w:w="3791" w:type="dxa"/>
            <w:tcBorders>
              <w:top w:val="nil"/>
              <w:left w:val="nil"/>
              <w:bottom w:val="single" w:sz="6" w:space="0" w:color="auto"/>
              <w:right w:val="nil"/>
            </w:tcBorders>
          </w:tcPr>
          <w:p w:rsidR="00965D85" w:rsidRPr="0053172E" w:rsidRDefault="00965D85" w:rsidP="008B46DF">
            <w:pPr>
              <w:autoSpaceDE w:val="0"/>
              <w:autoSpaceDN w:val="0"/>
              <w:adjustRightInd w:val="0"/>
              <w:spacing w:after="0"/>
              <w:rPr>
                <w:rFonts w:ascii="Calibri" w:eastAsiaTheme="minorEastAsia" w:hAnsi="Calibri" w:cs="Calibri"/>
                <w:sz w:val="20"/>
                <w:lang w:eastAsia="en-AU"/>
              </w:rPr>
            </w:pPr>
            <w:r w:rsidRPr="0053172E">
              <w:rPr>
                <w:rFonts w:ascii="Calibri" w:eastAsiaTheme="minorEastAsia" w:hAnsi="Calibri" w:cs="Calibri"/>
                <w:sz w:val="20"/>
                <w:lang w:eastAsia="en-AU"/>
              </w:rPr>
              <w:t>Other own-sourced revenue</w:t>
            </w:r>
          </w:p>
        </w:tc>
        <w:tc>
          <w:tcPr>
            <w:tcW w:w="994" w:type="dxa"/>
            <w:tcBorders>
              <w:top w:val="nil"/>
              <w:left w:val="nil"/>
              <w:bottom w:val="single" w:sz="6" w:space="0" w:color="auto"/>
              <w:right w:val="nil"/>
            </w:tcBorders>
          </w:tcPr>
          <w:p w:rsidR="00965D85" w:rsidRPr="0053172E" w:rsidRDefault="00965D85" w:rsidP="008B46DF">
            <w:pPr>
              <w:autoSpaceDE w:val="0"/>
              <w:autoSpaceDN w:val="0"/>
              <w:adjustRightInd w:val="0"/>
              <w:spacing w:after="0"/>
              <w:jc w:val="right"/>
              <w:rPr>
                <w:rFonts w:ascii="Calibri" w:eastAsiaTheme="minorEastAsia" w:hAnsi="Calibri" w:cs="Calibri"/>
                <w:sz w:val="20"/>
                <w:lang w:eastAsia="en-AU"/>
              </w:rPr>
            </w:pPr>
            <w:r w:rsidRPr="0053172E">
              <w:rPr>
                <w:rFonts w:ascii="Calibri" w:eastAsiaTheme="minorEastAsia" w:hAnsi="Calibri" w:cs="Calibri"/>
                <w:sz w:val="20"/>
                <w:lang w:eastAsia="en-AU"/>
              </w:rPr>
              <w:t>5 129</w:t>
            </w:r>
          </w:p>
        </w:tc>
        <w:tc>
          <w:tcPr>
            <w:tcW w:w="994" w:type="dxa"/>
            <w:tcBorders>
              <w:top w:val="nil"/>
              <w:left w:val="nil"/>
              <w:bottom w:val="single" w:sz="6" w:space="0" w:color="auto"/>
              <w:right w:val="nil"/>
            </w:tcBorders>
          </w:tcPr>
          <w:p w:rsidR="00965D85" w:rsidRPr="0053172E" w:rsidRDefault="00965D85" w:rsidP="008B46DF">
            <w:pPr>
              <w:autoSpaceDE w:val="0"/>
              <w:autoSpaceDN w:val="0"/>
              <w:adjustRightInd w:val="0"/>
              <w:spacing w:after="0"/>
              <w:jc w:val="right"/>
              <w:rPr>
                <w:rFonts w:ascii="Calibri" w:eastAsiaTheme="minorEastAsia" w:hAnsi="Calibri" w:cs="Calibri"/>
                <w:sz w:val="20"/>
                <w:lang w:eastAsia="en-AU"/>
              </w:rPr>
            </w:pPr>
            <w:r w:rsidRPr="0053172E">
              <w:rPr>
                <w:rFonts w:ascii="Calibri" w:eastAsiaTheme="minorEastAsia" w:hAnsi="Calibri" w:cs="Calibri"/>
                <w:sz w:val="20"/>
                <w:lang w:eastAsia="en-AU"/>
              </w:rPr>
              <w:t>5 262</w:t>
            </w:r>
          </w:p>
        </w:tc>
        <w:tc>
          <w:tcPr>
            <w:tcW w:w="994" w:type="dxa"/>
            <w:tcBorders>
              <w:top w:val="nil"/>
              <w:left w:val="nil"/>
              <w:bottom w:val="single" w:sz="6" w:space="0" w:color="auto"/>
              <w:right w:val="nil"/>
            </w:tcBorders>
          </w:tcPr>
          <w:p w:rsidR="00965D85" w:rsidRPr="0053172E" w:rsidRDefault="00965D85" w:rsidP="008B46DF">
            <w:pPr>
              <w:autoSpaceDE w:val="0"/>
              <w:autoSpaceDN w:val="0"/>
              <w:adjustRightInd w:val="0"/>
              <w:spacing w:after="0"/>
              <w:jc w:val="right"/>
              <w:rPr>
                <w:rFonts w:ascii="Calibri" w:eastAsiaTheme="minorEastAsia" w:hAnsi="Calibri" w:cs="Calibri"/>
                <w:sz w:val="20"/>
                <w:lang w:eastAsia="en-AU"/>
              </w:rPr>
            </w:pPr>
            <w:r w:rsidRPr="0053172E">
              <w:rPr>
                <w:rFonts w:ascii="Calibri" w:eastAsiaTheme="minorEastAsia" w:hAnsi="Calibri" w:cs="Calibri"/>
                <w:sz w:val="20"/>
                <w:lang w:eastAsia="en-AU"/>
              </w:rPr>
              <w:t xml:space="preserve"> 133</w:t>
            </w:r>
          </w:p>
        </w:tc>
        <w:tc>
          <w:tcPr>
            <w:tcW w:w="994" w:type="dxa"/>
            <w:tcBorders>
              <w:top w:val="nil"/>
              <w:left w:val="nil"/>
              <w:bottom w:val="single" w:sz="6" w:space="0" w:color="auto"/>
              <w:right w:val="nil"/>
            </w:tcBorders>
          </w:tcPr>
          <w:p w:rsidR="00965D85" w:rsidRPr="0053172E" w:rsidRDefault="00965D85" w:rsidP="008B46DF">
            <w:pPr>
              <w:autoSpaceDE w:val="0"/>
              <w:autoSpaceDN w:val="0"/>
              <w:adjustRightInd w:val="0"/>
              <w:spacing w:after="0"/>
              <w:jc w:val="right"/>
              <w:rPr>
                <w:rFonts w:ascii="Calibri" w:eastAsiaTheme="minorEastAsia" w:hAnsi="Calibri" w:cs="Calibri"/>
                <w:sz w:val="20"/>
                <w:lang w:eastAsia="en-AU"/>
              </w:rPr>
            </w:pPr>
            <w:r w:rsidRPr="0053172E">
              <w:rPr>
                <w:rFonts w:ascii="Calibri" w:eastAsiaTheme="minorEastAsia" w:hAnsi="Calibri" w:cs="Calibri"/>
                <w:sz w:val="20"/>
                <w:lang w:eastAsia="en-AU"/>
              </w:rPr>
              <w:t xml:space="preserve">3 </w:t>
            </w:r>
          </w:p>
        </w:tc>
      </w:tr>
      <w:tr w:rsidR="00965D85" w:rsidRPr="0053172E" w:rsidTr="008B46DF">
        <w:tc>
          <w:tcPr>
            <w:tcW w:w="3791" w:type="dxa"/>
            <w:tcBorders>
              <w:top w:val="nil"/>
              <w:left w:val="nil"/>
              <w:bottom w:val="nil"/>
              <w:right w:val="nil"/>
            </w:tcBorders>
          </w:tcPr>
          <w:p w:rsidR="00965D85" w:rsidRPr="0053172E" w:rsidRDefault="00965D85" w:rsidP="008B46DF">
            <w:pPr>
              <w:autoSpaceDE w:val="0"/>
              <w:autoSpaceDN w:val="0"/>
              <w:adjustRightInd w:val="0"/>
              <w:spacing w:after="0"/>
              <w:rPr>
                <w:rFonts w:ascii="Calibri" w:eastAsiaTheme="minorEastAsia" w:hAnsi="Calibri" w:cs="Calibri"/>
                <w:b/>
                <w:bCs/>
                <w:sz w:val="20"/>
                <w:lang w:eastAsia="en-AU"/>
              </w:rPr>
            </w:pPr>
            <w:r w:rsidRPr="0053172E">
              <w:rPr>
                <w:rFonts w:ascii="Calibri" w:eastAsiaTheme="minorEastAsia" w:hAnsi="Calibri" w:cs="Calibri"/>
                <w:b/>
                <w:bCs/>
                <w:sz w:val="20"/>
                <w:lang w:eastAsia="en-AU"/>
              </w:rPr>
              <w:t>Taxation revenue</w:t>
            </w:r>
          </w:p>
        </w:tc>
        <w:tc>
          <w:tcPr>
            <w:tcW w:w="994" w:type="dxa"/>
            <w:tcBorders>
              <w:top w:val="nil"/>
              <w:left w:val="nil"/>
              <w:bottom w:val="nil"/>
              <w:right w:val="nil"/>
            </w:tcBorders>
          </w:tcPr>
          <w:p w:rsidR="00965D85" w:rsidRPr="0053172E" w:rsidRDefault="00965D85" w:rsidP="008B46DF">
            <w:pPr>
              <w:autoSpaceDE w:val="0"/>
              <w:autoSpaceDN w:val="0"/>
              <w:adjustRightInd w:val="0"/>
              <w:spacing w:after="0"/>
              <w:jc w:val="right"/>
              <w:rPr>
                <w:rFonts w:ascii="Calibri" w:eastAsiaTheme="minorEastAsia" w:hAnsi="Calibri" w:cs="Calibri"/>
                <w:b/>
                <w:bCs/>
                <w:sz w:val="20"/>
                <w:lang w:eastAsia="en-AU"/>
              </w:rPr>
            </w:pPr>
            <w:r w:rsidRPr="0053172E">
              <w:rPr>
                <w:rFonts w:ascii="Calibri" w:eastAsiaTheme="minorEastAsia" w:hAnsi="Calibri" w:cs="Calibri"/>
                <w:b/>
                <w:bCs/>
                <w:sz w:val="20"/>
                <w:lang w:eastAsia="en-AU"/>
              </w:rPr>
              <w:t>10 971</w:t>
            </w:r>
          </w:p>
        </w:tc>
        <w:tc>
          <w:tcPr>
            <w:tcW w:w="994" w:type="dxa"/>
            <w:tcBorders>
              <w:top w:val="nil"/>
              <w:left w:val="nil"/>
              <w:bottom w:val="nil"/>
              <w:right w:val="nil"/>
            </w:tcBorders>
          </w:tcPr>
          <w:p w:rsidR="00965D85" w:rsidRPr="0053172E" w:rsidRDefault="00965D85" w:rsidP="008B46DF">
            <w:pPr>
              <w:autoSpaceDE w:val="0"/>
              <w:autoSpaceDN w:val="0"/>
              <w:adjustRightInd w:val="0"/>
              <w:spacing w:after="0"/>
              <w:jc w:val="right"/>
              <w:rPr>
                <w:rFonts w:ascii="Calibri" w:eastAsiaTheme="minorEastAsia" w:hAnsi="Calibri" w:cs="Calibri"/>
                <w:b/>
                <w:bCs/>
                <w:sz w:val="20"/>
                <w:lang w:eastAsia="en-AU"/>
              </w:rPr>
            </w:pPr>
            <w:r w:rsidRPr="0053172E">
              <w:rPr>
                <w:rFonts w:ascii="Calibri" w:eastAsiaTheme="minorEastAsia" w:hAnsi="Calibri" w:cs="Calibri"/>
                <w:b/>
                <w:bCs/>
                <w:sz w:val="20"/>
                <w:lang w:eastAsia="en-AU"/>
              </w:rPr>
              <w:t>11 702</w:t>
            </w:r>
          </w:p>
        </w:tc>
        <w:tc>
          <w:tcPr>
            <w:tcW w:w="994" w:type="dxa"/>
            <w:tcBorders>
              <w:top w:val="nil"/>
              <w:left w:val="nil"/>
              <w:bottom w:val="nil"/>
              <w:right w:val="nil"/>
            </w:tcBorders>
          </w:tcPr>
          <w:p w:rsidR="00965D85" w:rsidRPr="0053172E" w:rsidRDefault="00965D85" w:rsidP="008B46DF">
            <w:pPr>
              <w:autoSpaceDE w:val="0"/>
              <w:autoSpaceDN w:val="0"/>
              <w:adjustRightInd w:val="0"/>
              <w:spacing w:after="0"/>
              <w:jc w:val="right"/>
              <w:rPr>
                <w:rFonts w:ascii="Calibri" w:eastAsiaTheme="minorEastAsia" w:hAnsi="Calibri" w:cs="Calibri"/>
                <w:b/>
                <w:bCs/>
                <w:sz w:val="20"/>
                <w:lang w:eastAsia="en-AU"/>
              </w:rPr>
            </w:pPr>
            <w:r w:rsidRPr="0053172E">
              <w:rPr>
                <w:rFonts w:ascii="Calibri" w:eastAsiaTheme="minorEastAsia" w:hAnsi="Calibri" w:cs="Calibri"/>
                <w:b/>
                <w:bCs/>
                <w:sz w:val="20"/>
                <w:lang w:eastAsia="en-AU"/>
              </w:rPr>
              <w:t xml:space="preserve"> 731</w:t>
            </w:r>
          </w:p>
        </w:tc>
        <w:tc>
          <w:tcPr>
            <w:tcW w:w="994" w:type="dxa"/>
            <w:tcBorders>
              <w:top w:val="nil"/>
              <w:left w:val="nil"/>
              <w:bottom w:val="nil"/>
              <w:right w:val="nil"/>
            </w:tcBorders>
          </w:tcPr>
          <w:p w:rsidR="00965D85" w:rsidRPr="0053172E" w:rsidRDefault="00965D85" w:rsidP="008B46DF">
            <w:pPr>
              <w:autoSpaceDE w:val="0"/>
              <w:autoSpaceDN w:val="0"/>
              <w:adjustRightInd w:val="0"/>
              <w:spacing w:after="0"/>
              <w:jc w:val="right"/>
              <w:rPr>
                <w:rFonts w:ascii="Calibri" w:eastAsiaTheme="minorEastAsia" w:hAnsi="Calibri" w:cs="Calibri"/>
                <w:b/>
                <w:bCs/>
                <w:sz w:val="20"/>
                <w:lang w:eastAsia="en-AU"/>
              </w:rPr>
            </w:pPr>
            <w:r w:rsidRPr="0053172E">
              <w:rPr>
                <w:rFonts w:ascii="Calibri" w:eastAsiaTheme="minorEastAsia" w:hAnsi="Calibri" w:cs="Calibri"/>
                <w:b/>
                <w:bCs/>
                <w:sz w:val="20"/>
                <w:lang w:eastAsia="en-AU"/>
              </w:rPr>
              <w:t xml:space="preserve">7 </w:t>
            </w:r>
          </w:p>
        </w:tc>
      </w:tr>
      <w:tr w:rsidR="00965D85" w:rsidRPr="0053172E" w:rsidTr="008B46DF">
        <w:tc>
          <w:tcPr>
            <w:tcW w:w="3791" w:type="dxa"/>
            <w:tcBorders>
              <w:top w:val="nil"/>
              <w:left w:val="nil"/>
              <w:bottom w:val="nil"/>
              <w:right w:val="nil"/>
            </w:tcBorders>
          </w:tcPr>
          <w:p w:rsidR="00965D85" w:rsidRPr="0053172E" w:rsidRDefault="00965D85" w:rsidP="008B46DF">
            <w:pPr>
              <w:autoSpaceDE w:val="0"/>
              <w:autoSpaceDN w:val="0"/>
              <w:adjustRightInd w:val="0"/>
              <w:spacing w:after="0"/>
              <w:rPr>
                <w:rFonts w:ascii="Calibri" w:eastAsiaTheme="minorEastAsia" w:hAnsi="Calibri" w:cs="Calibri"/>
                <w:sz w:val="20"/>
                <w:lang w:eastAsia="en-AU"/>
              </w:rPr>
            </w:pPr>
            <w:r w:rsidRPr="0053172E">
              <w:rPr>
                <w:rFonts w:ascii="Calibri" w:eastAsiaTheme="minorEastAsia" w:hAnsi="Calibri" w:cs="Calibri"/>
                <w:sz w:val="20"/>
                <w:lang w:eastAsia="en-AU"/>
              </w:rPr>
              <w:t>Other revenue</w:t>
            </w:r>
          </w:p>
        </w:tc>
        <w:tc>
          <w:tcPr>
            <w:tcW w:w="994" w:type="dxa"/>
            <w:tcBorders>
              <w:top w:val="nil"/>
              <w:left w:val="nil"/>
              <w:bottom w:val="nil"/>
              <w:right w:val="nil"/>
            </w:tcBorders>
          </w:tcPr>
          <w:p w:rsidR="00965D85" w:rsidRPr="0053172E" w:rsidRDefault="00965D85" w:rsidP="008B46DF">
            <w:pPr>
              <w:autoSpaceDE w:val="0"/>
              <w:autoSpaceDN w:val="0"/>
              <w:adjustRightInd w:val="0"/>
              <w:spacing w:after="0"/>
              <w:jc w:val="right"/>
              <w:rPr>
                <w:rFonts w:ascii="Calibri" w:eastAsiaTheme="minorEastAsia" w:hAnsi="Calibri" w:cs="Calibri"/>
                <w:sz w:val="20"/>
                <w:lang w:eastAsia="en-AU"/>
              </w:rPr>
            </w:pPr>
            <w:r w:rsidRPr="0053172E">
              <w:rPr>
                <w:rFonts w:ascii="Calibri" w:eastAsiaTheme="minorEastAsia" w:hAnsi="Calibri" w:cs="Calibri"/>
                <w:sz w:val="20"/>
                <w:lang w:eastAsia="en-AU"/>
              </w:rPr>
              <w:t>13 002</w:t>
            </w:r>
          </w:p>
        </w:tc>
        <w:tc>
          <w:tcPr>
            <w:tcW w:w="994" w:type="dxa"/>
            <w:tcBorders>
              <w:top w:val="nil"/>
              <w:left w:val="nil"/>
              <w:bottom w:val="nil"/>
              <w:right w:val="nil"/>
            </w:tcBorders>
          </w:tcPr>
          <w:p w:rsidR="00965D85" w:rsidRPr="0053172E" w:rsidRDefault="00965D85" w:rsidP="008B46DF">
            <w:pPr>
              <w:autoSpaceDE w:val="0"/>
              <w:autoSpaceDN w:val="0"/>
              <w:adjustRightInd w:val="0"/>
              <w:spacing w:after="0"/>
              <w:jc w:val="right"/>
              <w:rPr>
                <w:rFonts w:ascii="Calibri" w:eastAsiaTheme="minorEastAsia" w:hAnsi="Calibri" w:cs="Calibri"/>
                <w:sz w:val="20"/>
                <w:lang w:eastAsia="en-AU"/>
              </w:rPr>
            </w:pPr>
            <w:r w:rsidRPr="0053172E">
              <w:rPr>
                <w:rFonts w:ascii="Calibri" w:eastAsiaTheme="minorEastAsia" w:hAnsi="Calibri" w:cs="Calibri"/>
                <w:sz w:val="20"/>
                <w:lang w:eastAsia="en-AU"/>
              </w:rPr>
              <w:t>14 600</w:t>
            </w:r>
          </w:p>
        </w:tc>
        <w:tc>
          <w:tcPr>
            <w:tcW w:w="994" w:type="dxa"/>
            <w:tcBorders>
              <w:top w:val="nil"/>
              <w:left w:val="nil"/>
              <w:bottom w:val="nil"/>
              <w:right w:val="nil"/>
            </w:tcBorders>
          </w:tcPr>
          <w:p w:rsidR="00965D85" w:rsidRPr="0053172E" w:rsidRDefault="00965D85" w:rsidP="008B46DF">
            <w:pPr>
              <w:autoSpaceDE w:val="0"/>
              <w:autoSpaceDN w:val="0"/>
              <w:adjustRightInd w:val="0"/>
              <w:spacing w:after="0"/>
              <w:jc w:val="right"/>
              <w:rPr>
                <w:rFonts w:ascii="Calibri" w:eastAsiaTheme="minorEastAsia" w:hAnsi="Calibri" w:cs="Calibri"/>
                <w:sz w:val="20"/>
                <w:lang w:eastAsia="en-AU"/>
              </w:rPr>
            </w:pPr>
            <w:r w:rsidRPr="0053172E">
              <w:rPr>
                <w:rFonts w:ascii="Calibri" w:eastAsiaTheme="minorEastAsia" w:hAnsi="Calibri" w:cs="Calibri"/>
                <w:sz w:val="20"/>
                <w:lang w:eastAsia="en-AU"/>
              </w:rPr>
              <w:t>1 598</w:t>
            </w:r>
          </w:p>
        </w:tc>
        <w:tc>
          <w:tcPr>
            <w:tcW w:w="994" w:type="dxa"/>
            <w:tcBorders>
              <w:top w:val="nil"/>
              <w:left w:val="nil"/>
              <w:bottom w:val="nil"/>
              <w:right w:val="nil"/>
            </w:tcBorders>
          </w:tcPr>
          <w:p w:rsidR="00965D85" w:rsidRPr="0053172E" w:rsidRDefault="00965D85" w:rsidP="008B46DF">
            <w:pPr>
              <w:autoSpaceDE w:val="0"/>
              <w:autoSpaceDN w:val="0"/>
              <w:adjustRightInd w:val="0"/>
              <w:spacing w:after="0"/>
              <w:jc w:val="right"/>
              <w:rPr>
                <w:rFonts w:ascii="Calibri" w:eastAsiaTheme="minorEastAsia" w:hAnsi="Calibri" w:cs="Calibri"/>
                <w:sz w:val="20"/>
                <w:lang w:eastAsia="en-AU"/>
              </w:rPr>
            </w:pPr>
            <w:r w:rsidRPr="0053172E">
              <w:rPr>
                <w:rFonts w:ascii="Calibri" w:eastAsiaTheme="minorEastAsia" w:hAnsi="Calibri" w:cs="Calibri"/>
                <w:sz w:val="20"/>
                <w:lang w:eastAsia="en-AU"/>
              </w:rPr>
              <w:t xml:space="preserve">12 </w:t>
            </w:r>
          </w:p>
        </w:tc>
      </w:tr>
      <w:tr w:rsidR="00965D85" w:rsidRPr="0053172E" w:rsidTr="008B46DF">
        <w:tc>
          <w:tcPr>
            <w:tcW w:w="3791" w:type="dxa"/>
            <w:tcBorders>
              <w:top w:val="nil"/>
              <w:left w:val="nil"/>
              <w:bottom w:val="single" w:sz="6" w:space="0" w:color="auto"/>
              <w:right w:val="nil"/>
            </w:tcBorders>
          </w:tcPr>
          <w:p w:rsidR="00965D85" w:rsidRPr="0053172E" w:rsidRDefault="00965D85" w:rsidP="008B46DF">
            <w:pPr>
              <w:autoSpaceDE w:val="0"/>
              <w:autoSpaceDN w:val="0"/>
              <w:adjustRightInd w:val="0"/>
              <w:spacing w:after="0"/>
              <w:rPr>
                <w:rFonts w:ascii="Calibri" w:eastAsiaTheme="minorEastAsia" w:hAnsi="Calibri" w:cs="Calibri"/>
                <w:sz w:val="20"/>
                <w:lang w:eastAsia="en-AU"/>
              </w:rPr>
            </w:pPr>
            <w:r w:rsidRPr="0053172E">
              <w:rPr>
                <w:rFonts w:ascii="Calibri" w:eastAsiaTheme="minorEastAsia" w:hAnsi="Calibri" w:cs="Calibri"/>
                <w:sz w:val="20"/>
                <w:lang w:eastAsia="en-AU"/>
              </w:rPr>
              <w:t>GST</w:t>
            </w:r>
          </w:p>
        </w:tc>
        <w:tc>
          <w:tcPr>
            <w:tcW w:w="994" w:type="dxa"/>
            <w:tcBorders>
              <w:top w:val="nil"/>
              <w:left w:val="nil"/>
              <w:bottom w:val="single" w:sz="6" w:space="0" w:color="auto"/>
              <w:right w:val="nil"/>
            </w:tcBorders>
          </w:tcPr>
          <w:p w:rsidR="00965D85" w:rsidRPr="0053172E" w:rsidRDefault="00965D85" w:rsidP="008B46DF">
            <w:pPr>
              <w:autoSpaceDE w:val="0"/>
              <w:autoSpaceDN w:val="0"/>
              <w:adjustRightInd w:val="0"/>
              <w:spacing w:after="0"/>
              <w:jc w:val="right"/>
              <w:rPr>
                <w:rFonts w:ascii="Calibri" w:eastAsiaTheme="minorEastAsia" w:hAnsi="Calibri" w:cs="Calibri"/>
                <w:sz w:val="20"/>
                <w:lang w:eastAsia="en-AU"/>
              </w:rPr>
            </w:pPr>
            <w:r w:rsidRPr="0053172E">
              <w:rPr>
                <w:rFonts w:ascii="Calibri" w:eastAsiaTheme="minorEastAsia" w:hAnsi="Calibri" w:cs="Calibri"/>
                <w:sz w:val="20"/>
                <w:lang w:eastAsia="en-AU"/>
              </w:rPr>
              <w:t>8 469</w:t>
            </w:r>
          </w:p>
        </w:tc>
        <w:tc>
          <w:tcPr>
            <w:tcW w:w="994" w:type="dxa"/>
            <w:tcBorders>
              <w:top w:val="nil"/>
              <w:left w:val="nil"/>
              <w:bottom w:val="single" w:sz="6" w:space="0" w:color="auto"/>
              <w:right w:val="nil"/>
            </w:tcBorders>
          </w:tcPr>
          <w:p w:rsidR="00965D85" w:rsidRPr="0053172E" w:rsidRDefault="00965D85" w:rsidP="008B46DF">
            <w:pPr>
              <w:autoSpaceDE w:val="0"/>
              <w:autoSpaceDN w:val="0"/>
              <w:adjustRightInd w:val="0"/>
              <w:spacing w:after="0"/>
              <w:jc w:val="right"/>
              <w:rPr>
                <w:rFonts w:ascii="Calibri" w:eastAsiaTheme="minorEastAsia" w:hAnsi="Calibri" w:cs="Calibri"/>
                <w:sz w:val="20"/>
                <w:lang w:eastAsia="en-AU"/>
              </w:rPr>
            </w:pPr>
            <w:r w:rsidRPr="0053172E">
              <w:rPr>
                <w:rFonts w:ascii="Calibri" w:eastAsiaTheme="minorEastAsia" w:hAnsi="Calibri" w:cs="Calibri"/>
                <w:sz w:val="20"/>
                <w:lang w:eastAsia="en-AU"/>
              </w:rPr>
              <w:t>8 584</w:t>
            </w:r>
          </w:p>
        </w:tc>
        <w:tc>
          <w:tcPr>
            <w:tcW w:w="994" w:type="dxa"/>
            <w:tcBorders>
              <w:top w:val="nil"/>
              <w:left w:val="nil"/>
              <w:bottom w:val="single" w:sz="6" w:space="0" w:color="auto"/>
              <w:right w:val="nil"/>
            </w:tcBorders>
          </w:tcPr>
          <w:p w:rsidR="00965D85" w:rsidRPr="0053172E" w:rsidRDefault="00965D85" w:rsidP="008B46DF">
            <w:pPr>
              <w:autoSpaceDE w:val="0"/>
              <w:autoSpaceDN w:val="0"/>
              <w:adjustRightInd w:val="0"/>
              <w:spacing w:after="0"/>
              <w:jc w:val="right"/>
              <w:rPr>
                <w:rFonts w:ascii="Calibri" w:eastAsiaTheme="minorEastAsia" w:hAnsi="Calibri" w:cs="Calibri"/>
                <w:sz w:val="20"/>
                <w:lang w:eastAsia="en-AU"/>
              </w:rPr>
            </w:pPr>
            <w:r w:rsidRPr="0053172E">
              <w:rPr>
                <w:rFonts w:ascii="Calibri" w:eastAsiaTheme="minorEastAsia" w:hAnsi="Calibri" w:cs="Calibri"/>
                <w:sz w:val="20"/>
                <w:lang w:eastAsia="en-AU"/>
              </w:rPr>
              <w:t xml:space="preserve"> 114</w:t>
            </w:r>
          </w:p>
        </w:tc>
        <w:tc>
          <w:tcPr>
            <w:tcW w:w="994" w:type="dxa"/>
            <w:tcBorders>
              <w:top w:val="nil"/>
              <w:left w:val="nil"/>
              <w:bottom w:val="single" w:sz="6" w:space="0" w:color="auto"/>
              <w:right w:val="nil"/>
            </w:tcBorders>
          </w:tcPr>
          <w:p w:rsidR="00965D85" w:rsidRPr="0053172E" w:rsidRDefault="00965D85" w:rsidP="008B46DF">
            <w:pPr>
              <w:autoSpaceDE w:val="0"/>
              <w:autoSpaceDN w:val="0"/>
              <w:adjustRightInd w:val="0"/>
              <w:spacing w:after="0"/>
              <w:jc w:val="right"/>
              <w:rPr>
                <w:rFonts w:ascii="Calibri" w:eastAsiaTheme="minorEastAsia" w:hAnsi="Calibri" w:cs="Calibri"/>
                <w:sz w:val="20"/>
                <w:lang w:eastAsia="en-AU"/>
              </w:rPr>
            </w:pPr>
            <w:r w:rsidRPr="0053172E">
              <w:rPr>
                <w:rFonts w:ascii="Calibri" w:eastAsiaTheme="minorEastAsia" w:hAnsi="Calibri" w:cs="Calibri"/>
                <w:sz w:val="20"/>
                <w:lang w:eastAsia="en-AU"/>
              </w:rPr>
              <w:t xml:space="preserve">1 </w:t>
            </w:r>
          </w:p>
        </w:tc>
      </w:tr>
      <w:tr w:rsidR="00965D85" w:rsidRPr="0053172E" w:rsidTr="008B46DF">
        <w:tc>
          <w:tcPr>
            <w:tcW w:w="3791" w:type="dxa"/>
            <w:tcBorders>
              <w:top w:val="nil"/>
              <w:left w:val="nil"/>
              <w:bottom w:val="nil"/>
              <w:right w:val="nil"/>
            </w:tcBorders>
          </w:tcPr>
          <w:p w:rsidR="00965D85" w:rsidRPr="0053172E" w:rsidRDefault="00965D85" w:rsidP="008B46DF">
            <w:pPr>
              <w:autoSpaceDE w:val="0"/>
              <w:autoSpaceDN w:val="0"/>
              <w:adjustRightInd w:val="0"/>
              <w:spacing w:after="0"/>
              <w:rPr>
                <w:rFonts w:ascii="Calibri" w:eastAsiaTheme="minorEastAsia" w:hAnsi="Calibri" w:cs="Calibri"/>
                <w:b/>
                <w:bCs/>
                <w:sz w:val="20"/>
                <w:lang w:eastAsia="en-AU"/>
              </w:rPr>
            </w:pPr>
            <w:r w:rsidRPr="0053172E">
              <w:rPr>
                <w:rFonts w:ascii="Calibri" w:eastAsiaTheme="minorEastAsia" w:hAnsi="Calibri" w:cs="Calibri"/>
                <w:b/>
                <w:bCs/>
                <w:sz w:val="20"/>
                <w:lang w:eastAsia="en-AU"/>
              </w:rPr>
              <w:t>Total revenue</w:t>
            </w:r>
          </w:p>
        </w:tc>
        <w:tc>
          <w:tcPr>
            <w:tcW w:w="994" w:type="dxa"/>
            <w:tcBorders>
              <w:top w:val="nil"/>
              <w:left w:val="nil"/>
              <w:bottom w:val="nil"/>
              <w:right w:val="nil"/>
            </w:tcBorders>
          </w:tcPr>
          <w:p w:rsidR="00965D85" w:rsidRPr="0053172E" w:rsidRDefault="00965D85" w:rsidP="008B46DF">
            <w:pPr>
              <w:autoSpaceDE w:val="0"/>
              <w:autoSpaceDN w:val="0"/>
              <w:adjustRightInd w:val="0"/>
              <w:spacing w:after="0"/>
              <w:jc w:val="right"/>
              <w:rPr>
                <w:rFonts w:ascii="Calibri" w:eastAsiaTheme="minorEastAsia" w:hAnsi="Calibri" w:cs="Calibri"/>
                <w:b/>
                <w:bCs/>
                <w:sz w:val="20"/>
                <w:lang w:eastAsia="en-AU"/>
              </w:rPr>
            </w:pPr>
            <w:r w:rsidRPr="0053172E">
              <w:rPr>
                <w:rFonts w:ascii="Calibri" w:eastAsiaTheme="minorEastAsia" w:hAnsi="Calibri" w:cs="Calibri"/>
                <w:b/>
                <w:bCs/>
                <w:sz w:val="20"/>
                <w:lang w:eastAsia="en-AU"/>
              </w:rPr>
              <w:t>32 442</w:t>
            </w:r>
          </w:p>
        </w:tc>
        <w:tc>
          <w:tcPr>
            <w:tcW w:w="994" w:type="dxa"/>
            <w:tcBorders>
              <w:top w:val="nil"/>
              <w:left w:val="nil"/>
              <w:bottom w:val="nil"/>
              <w:right w:val="nil"/>
            </w:tcBorders>
          </w:tcPr>
          <w:p w:rsidR="00965D85" w:rsidRPr="0053172E" w:rsidRDefault="00965D85" w:rsidP="008B46DF">
            <w:pPr>
              <w:autoSpaceDE w:val="0"/>
              <w:autoSpaceDN w:val="0"/>
              <w:adjustRightInd w:val="0"/>
              <w:spacing w:after="0"/>
              <w:jc w:val="right"/>
              <w:rPr>
                <w:rFonts w:ascii="Calibri" w:eastAsiaTheme="minorEastAsia" w:hAnsi="Calibri" w:cs="Calibri"/>
                <w:b/>
                <w:bCs/>
                <w:sz w:val="20"/>
                <w:lang w:eastAsia="en-AU"/>
              </w:rPr>
            </w:pPr>
            <w:r w:rsidRPr="0053172E">
              <w:rPr>
                <w:rFonts w:ascii="Calibri" w:eastAsiaTheme="minorEastAsia" w:hAnsi="Calibri" w:cs="Calibri"/>
                <w:b/>
                <w:bCs/>
                <w:sz w:val="20"/>
                <w:lang w:eastAsia="en-AU"/>
              </w:rPr>
              <w:t>34 886</w:t>
            </w:r>
          </w:p>
        </w:tc>
        <w:tc>
          <w:tcPr>
            <w:tcW w:w="994" w:type="dxa"/>
            <w:tcBorders>
              <w:top w:val="nil"/>
              <w:left w:val="nil"/>
              <w:bottom w:val="nil"/>
              <w:right w:val="nil"/>
            </w:tcBorders>
          </w:tcPr>
          <w:p w:rsidR="00965D85" w:rsidRPr="0053172E" w:rsidRDefault="00965D85" w:rsidP="008B46DF">
            <w:pPr>
              <w:autoSpaceDE w:val="0"/>
              <w:autoSpaceDN w:val="0"/>
              <w:adjustRightInd w:val="0"/>
              <w:spacing w:after="0"/>
              <w:jc w:val="right"/>
              <w:rPr>
                <w:rFonts w:ascii="Calibri" w:eastAsiaTheme="minorEastAsia" w:hAnsi="Calibri" w:cs="Calibri"/>
                <w:b/>
                <w:bCs/>
                <w:sz w:val="20"/>
                <w:lang w:eastAsia="en-AU"/>
              </w:rPr>
            </w:pPr>
            <w:r w:rsidRPr="0053172E">
              <w:rPr>
                <w:rFonts w:ascii="Calibri" w:eastAsiaTheme="minorEastAsia" w:hAnsi="Calibri" w:cs="Calibri"/>
                <w:b/>
                <w:bCs/>
                <w:sz w:val="20"/>
                <w:lang w:eastAsia="en-AU"/>
              </w:rPr>
              <w:t>2 444</w:t>
            </w:r>
          </w:p>
        </w:tc>
        <w:tc>
          <w:tcPr>
            <w:tcW w:w="994" w:type="dxa"/>
            <w:tcBorders>
              <w:top w:val="nil"/>
              <w:left w:val="nil"/>
              <w:bottom w:val="nil"/>
              <w:right w:val="nil"/>
            </w:tcBorders>
          </w:tcPr>
          <w:p w:rsidR="00965D85" w:rsidRPr="0053172E" w:rsidRDefault="00965D85" w:rsidP="008B46DF">
            <w:pPr>
              <w:autoSpaceDE w:val="0"/>
              <w:autoSpaceDN w:val="0"/>
              <w:adjustRightInd w:val="0"/>
              <w:spacing w:after="0"/>
              <w:jc w:val="right"/>
              <w:rPr>
                <w:rFonts w:ascii="Calibri" w:eastAsiaTheme="minorEastAsia" w:hAnsi="Calibri" w:cs="Calibri"/>
                <w:b/>
                <w:bCs/>
                <w:sz w:val="20"/>
                <w:lang w:eastAsia="en-AU"/>
              </w:rPr>
            </w:pPr>
            <w:r w:rsidRPr="0053172E">
              <w:rPr>
                <w:rFonts w:ascii="Calibri" w:eastAsiaTheme="minorEastAsia" w:hAnsi="Calibri" w:cs="Calibri"/>
                <w:b/>
                <w:bCs/>
                <w:sz w:val="20"/>
                <w:lang w:eastAsia="en-AU"/>
              </w:rPr>
              <w:t xml:space="preserve">8 </w:t>
            </w:r>
          </w:p>
        </w:tc>
      </w:tr>
      <w:tr w:rsidR="00965D85" w:rsidRPr="0053172E" w:rsidTr="008B46DF">
        <w:tc>
          <w:tcPr>
            <w:tcW w:w="3791" w:type="dxa"/>
            <w:tcBorders>
              <w:top w:val="nil"/>
              <w:left w:val="nil"/>
              <w:bottom w:val="single" w:sz="6" w:space="0" w:color="auto"/>
              <w:right w:val="nil"/>
            </w:tcBorders>
          </w:tcPr>
          <w:p w:rsidR="00965D85" w:rsidRPr="0053172E" w:rsidRDefault="00965D85" w:rsidP="008B46DF">
            <w:pPr>
              <w:autoSpaceDE w:val="0"/>
              <w:autoSpaceDN w:val="0"/>
              <w:adjustRightInd w:val="0"/>
              <w:spacing w:after="0"/>
              <w:rPr>
                <w:rFonts w:ascii="Calibri" w:eastAsiaTheme="minorEastAsia" w:hAnsi="Calibri" w:cs="Calibri"/>
                <w:b/>
                <w:bCs/>
                <w:sz w:val="20"/>
                <w:lang w:eastAsia="en-AU"/>
              </w:rPr>
            </w:pPr>
            <w:r w:rsidRPr="0053172E">
              <w:rPr>
                <w:rFonts w:ascii="Calibri" w:eastAsiaTheme="minorEastAsia" w:hAnsi="Calibri" w:cs="Calibri"/>
                <w:b/>
                <w:bCs/>
                <w:sz w:val="20"/>
                <w:lang w:eastAsia="en-AU"/>
              </w:rPr>
              <w:t>Total expenses</w:t>
            </w:r>
          </w:p>
        </w:tc>
        <w:tc>
          <w:tcPr>
            <w:tcW w:w="994" w:type="dxa"/>
            <w:tcBorders>
              <w:top w:val="nil"/>
              <w:left w:val="nil"/>
              <w:bottom w:val="single" w:sz="6" w:space="0" w:color="auto"/>
              <w:right w:val="nil"/>
            </w:tcBorders>
          </w:tcPr>
          <w:p w:rsidR="00965D85" w:rsidRPr="0053172E" w:rsidRDefault="00965D85" w:rsidP="008B46DF">
            <w:pPr>
              <w:autoSpaceDE w:val="0"/>
              <w:autoSpaceDN w:val="0"/>
              <w:adjustRightInd w:val="0"/>
              <w:spacing w:after="0"/>
              <w:jc w:val="right"/>
              <w:rPr>
                <w:rFonts w:ascii="Calibri" w:eastAsiaTheme="minorEastAsia" w:hAnsi="Calibri" w:cs="Calibri"/>
                <w:b/>
                <w:bCs/>
                <w:sz w:val="20"/>
                <w:lang w:eastAsia="en-AU"/>
              </w:rPr>
            </w:pPr>
            <w:r w:rsidRPr="0053172E">
              <w:rPr>
                <w:rFonts w:ascii="Calibri" w:eastAsiaTheme="minorEastAsia" w:hAnsi="Calibri" w:cs="Calibri"/>
                <w:b/>
                <w:bCs/>
                <w:sz w:val="20"/>
                <w:lang w:eastAsia="en-AU"/>
              </w:rPr>
              <w:t>32 125</w:t>
            </w:r>
          </w:p>
        </w:tc>
        <w:tc>
          <w:tcPr>
            <w:tcW w:w="994" w:type="dxa"/>
            <w:tcBorders>
              <w:top w:val="nil"/>
              <w:left w:val="nil"/>
              <w:bottom w:val="single" w:sz="6" w:space="0" w:color="auto"/>
              <w:right w:val="nil"/>
            </w:tcBorders>
          </w:tcPr>
          <w:p w:rsidR="00965D85" w:rsidRPr="0053172E" w:rsidRDefault="00965D85" w:rsidP="008B46DF">
            <w:pPr>
              <w:autoSpaceDE w:val="0"/>
              <w:autoSpaceDN w:val="0"/>
              <w:adjustRightInd w:val="0"/>
              <w:spacing w:after="0"/>
              <w:jc w:val="right"/>
              <w:rPr>
                <w:rFonts w:ascii="Calibri" w:eastAsiaTheme="minorEastAsia" w:hAnsi="Calibri" w:cs="Calibri"/>
                <w:b/>
                <w:bCs/>
                <w:sz w:val="20"/>
                <w:lang w:eastAsia="en-AU"/>
              </w:rPr>
            </w:pPr>
            <w:r w:rsidRPr="0053172E">
              <w:rPr>
                <w:rFonts w:ascii="Calibri" w:eastAsiaTheme="minorEastAsia" w:hAnsi="Calibri" w:cs="Calibri"/>
                <w:b/>
                <w:bCs/>
                <w:sz w:val="20"/>
                <w:lang w:eastAsia="en-AU"/>
              </w:rPr>
              <w:t>33 551</w:t>
            </w:r>
          </w:p>
        </w:tc>
        <w:tc>
          <w:tcPr>
            <w:tcW w:w="994" w:type="dxa"/>
            <w:tcBorders>
              <w:top w:val="nil"/>
              <w:left w:val="nil"/>
              <w:bottom w:val="single" w:sz="6" w:space="0" w:color="auto"/>
              <w:right w:val="nil"/>
            </w:tcBorders>
          </w:tcPr>
          <w:p w:rsidR="00965D85" w:rsidRPr="0053172E" w:rsidRDefault="00965D85" w:rsidP="008B46DF">
            <w:pPr>
              <w:autoSpaceDE w:val="0"/>
              <w:autoSpaceDN w:val="0"/>
              <w:adjustRightInd w:val="0"/>
              <w:spacing w:after="0"/>
              <w:jc w:val="right"/>
              <w:rPr>
                <w:rFonts w:ascii="Calibri" w:eastAsiaTheme="minorEastAsia" w:hAnsi="Calibri" w:cs="Calibri"/>
                <w:b/>
                <w:bCs/>
                <w:sz w:val="20"/>
                <w:lang w:eastAsia="en-AU"/>
              </w:rPr>
            </w:pPr>
            <w:r w:rsidRPr="0053172E">
              <w:rPr>
                <w:rFonts w:ascii="Calibri" w:eastAsiaTheme="minorEastAsia" w:hAnsi="Calibri" w:cs="Calibri"/>
                <w:b/>
                <w:bCs/>
                <w:sz w:val="20"/>
                <w:lang w:eastAsia="en-AU"/>
              </w:rPr>
              <w:t>1 426</w:t>
            </w:r>
          </w:p>
        </w:tc>
        <w:tc>
          <w:tcPr>
            <w:tcW w:w="994" w:type="dxa"/>
            <w:tcBorders>
              <w:top w:val="nil"/>
              <w:left w:val="nil"/>
              <w:bottom w:val="single" w:sz="6" w:space="0" w:color="auto"/>
              <w:right w:val="nil"/>
            </w:tcBorders>
          </w:tcPr>
          <w:p w:rsidR="00965D85" w:rsidRPr="0053172E" w:rsidRDefault="00965D85" w:rsidP="008B46DF">
            <w:pPr>
              <w:autoSpaceDE w:val="0"/>
              <w:autoSpaceDN w:val="0"/>
              <w:adjustRightInd w:val="0"/>
              <w:spacing w:after="0"/>
              <w:jc w:val="right"/>
              <w:rPr>
                <w:rFonts w:ascii="Calibri" w:eastAsiaTheme="minorEastAsia" w:hAnsi="Calibri" w:cs="Calibri"/>
                <w:b/>
                <w:bCs/>
                <w:sz w:val="20"/>
                <w:lang w:eastAsia="en-AU"/>
              </w:rPr>
            </w:pPr>
            <w:r w:rsidRPr="0053172E">
              <w:rPr>
                <w:rFonts w:ascii="Calibri" w:eastAsiaTheme="minorEastAsia" w:hAnsi="Calibri" w:cs="Calibri"/>
                <w:b/>
                <w:bCs/>
                <w:sz w:val="20"/>
                <w:lang w:eastAsia="en-AU"/>
              </w:rPr>
              <w:t xml:space="preserve">4 </w:t>
            </w:r>
          </w:p>
        </w:tc>
      </w:tr>
      <w:tr w:rsidR="00965D85" w:rsidRPr="0053172E" w:rsidTr="008B46DF">
        <w:tc>
          <w:tcPr>
            <w:tcW w:w="3791" w:type="dxa"/>
            <w:tcBorders>
              <w:top w:val="single" w:sz="6" w:space="0" w:color="auto"/>
              <w:left w:val="nil"/>
              <w:bottom w:val="single" w:sz="12" w:space="0" w:color="000000"/>
              <w:right w:val="nil"/>
            </w:tcBorders>
          </w:tcPr>
          <w:p w:rsidR="00965D85" w:rsidRPr="0053172E" w:rsidRDefault="00965D85" w:rsidP="008B46DF">
            <w:pPr>
              <w:autoSpaceDE w:val="0"/>
              <w:autoSpaceDN w:val="0"/>
              <w:adjustRightInd w:val="0"/>
              <w:spacing w:after="0"/>
              <w:rPr>
                <w:rFonts w:ascii="Calibri" w:eastAsiaTheme="minorEastAsia" w:hAnsi="Calibri" w:cs="Calibri"/>
                <w:b/>
                <w:bCs/>
                <w:sz w:val="20"/>
                <w:lang w:eastAsia="en-AU"/>
              </w:rPr>
            </w:pPr>
            <w:r w:rsidRPr="0053172E">
              <w:rPr>
                <w:rFonts w:ascii="Calibri" w:eastAsiaTheme="minorEastAsia" w:hAnsi="Calibri" w:cs="Calibri"/>
                <w:b/>
                <w:bCs/>
                <w:sz w:val="20"/>
                <w:lang w:eastAsia="en-AU"/>
              </w:rPr>
              <w:t>Net result from transactions</w:t>
            </w:r>
          </w:p>
        </w:tc>
        <w:tc>
          <w:tcPr>
            <w:tcW w:w="994" w:type="dxa"/>
            <w:tcBorders>
              <w:top w:val="single" w:sz="6" w:space="0" w:color="auto"/>
              <w:left w:val="nil"/>
              <w:bottom w:val="single" w:sz="12" w:space="0" w:color="000000"/>
              <w:right w:val="nil"/>
            </w:tcBorders>
          </w:tcPr>
          <w:p w:rsidR="00965D85" w:rsidRPr="0053172E" w:rsidRDefault="00965D85" w:rsidP="008B46DF">
            <w:pPr>
              <w:autoSpaceDE w:val="0"/>
              <w:autoSpaceDN w:val="0"/>
              <w:adjustRightInd w:val="0"/>
              <w:spacing w:after="0"/>
              <w:jc w:val="right"/>
              <w:rPr>
                <w:rFonts w:ascii="Calibri" w:eastAsiaTheme="minorEastAsia" w:hAnsi="Calibri" w:cs="Calibri"/>
                <w:b/>
                <w:bCs/>
                <w:sz w:val="20"/>
                <w:lang w:eastAsia="en-AU"/>
              </w:rPr>
            </w:pPr>
            <w:r w:rsidRPr="0053172E">
              <w:rPr>
                <w:rFonts w:ascii="Calibri" w:eastAsiaTheme="minorEastAsia" w:hAnsi="Calibri" w:cs="Calibri"/>
                <w:b/>
                <w:bCs/>
                <w:sz w:val="20"/>
                <w:lang w:eastAsia="en-AU"/>
              </w:rPr>
              <w:t xml:space="preserve"> 317</w:t>
            </w:r>
          </w:p>
        </w:tc>
        <w:tc>
          <w:tcPr>
            <w:tcW w:w="994" w:type="dxa"/>
            <w:tcBorders>
              <w:top w:val="single" w:sz="6" w:space="0" w:color="auto"/>
              <w:left w:val="nil"/>
              <w:bottom w:val="single" w:sz="12" w:space="0" w:color="000000"/>
              <w:right w:val="nil"/>
            </w:tcBorders>
          </w:tcPr>
          <w:p w:rsidR="00965D85" w:rsidRPr="0053172E" w:rsidRDefault="00965D85" w:rsidP="008B46DF">
            <w:pPr>
              <w:autoSpaceDE w:val="0"/>
              <w:autoSpaceDN w:val="0"/>
              <w:adjustRightInd w:val="0"/>
              <w:spacing w:after="0"/>
              <w:jc w:val="right"/>
              <w:rPr>
                <w:rFonts w:ascii="Calibri" w:eastAsiaTheme="minorEastAsia" w:hAnsi="Calibri" w:cs="Calibri"/>
                <w:b/>
                <w:bCs/>
                <w:sz w:val="20"/>
                <w:lang w:eastAsia="en-AU"/>
              </w:rPr>
            </w:pPr>
            <w:r w:rsidRPr="0053172E">
              <w:rPr>
                <w:rFonts w:ascii="Calibri" w:eastAsiaTheme="minorEastAsia" w:hAnsi="Calibri" w:cs="Calibri"/>
                <w:b/>
                <w:bCs/>
                <w:sz w:val="20"/>
                <w:lang w:eastAsia="en-AU"/>
              </w:rPr>
              <w:t>1 335</w:t>
            </w:r>
          </w:p>
        </w:tc>
        <w:tc>
          <w:tcPr>
            <w:tcW w:w="994" w:type="dxa"/>
            <w:tcBorders>
              <w:top w:val="single" w:sz="6" w:space="0" w:color="auto"/>
              <w:left w:val="nil"/>
              <w:bottom w:val="single" w:sz="12" w:space="0" w:color="000000"/>
              <w:right w:val="nil"/>
            </w:tcBorders>
            <w:shd w:val="solid" w:color="FFFFFF" w:fill="auto"/>
          </w:tcPr>
          <w:p w:rsidR="00965D85" w:rsidRPr="0053172E" w:rsidRDefault="00965D85" w:rsidP="008B46DF">
            <w:pPr>
              <w:autoSpaceDE w:val="0"/>
              <w:autoSpaceDN w:val="0"/>
              <w:adjustRightInd w:val="0"/>
              <w:spacing w:after="0"/>
              <w:jc w:val="right"/>
              <w:rPr>
                <w:rFonts w:ascii="Calibri" w:eastAsiaTheme="minorEastAsia" w:hAnsi="Calibri" w:cs="Calibri"/>
                <w:b/>
                <w:bCs/>
                <w:sz w:val="20"/>
                <w:lang w:eastAsia="en-AU"/>
              </w:rPr>
            </w:pPr>
            <w:r w:rsidRPr="0053172E">
              <w:rPr>
                <w:rFonts w:ascii="Calibri" w:eastAsiaTheme="minorEastAsia" w:hAnsi="Calibri" w:cs="Calibri"/>
                <w:b/>
                <w:bCs/>
                <w:sz w:val="20"/>
                <w:lang w:eastAsia="en-AU"/>
              </w:rPr>
              <w:t>1 018</w:t>
            </w:r>
          </w:p>
        </w:tc>
        <w:tc>
          <w:tcPr>
            <w:tcW w:w="994" w:type="dxa"/>
            <w:tcBorders>
              <w:top w:val="single" w:sz="6" w:space="0" w:color="auto"/>
              <w:left w:val="nil"/>
              <w:bottom w:val="single" w:sz="12" w:space="0" w:color="000000"/>
              <w:right w:val="nil"/>
            </w:tcBorders>
          </w:tcPr>
          <w:p w:rsidR="00965D85" w:rsidRPr="0053172E" w:rsidRDefault="00965D85" w:rsidP="008B46DF">
            <w:pPr>
              <w:autoSpaceDE w:val="0"/>
              <w:autoSpaceDN w:val="0"/>
              <w:adjustRightInd w:val="0"/>
              <w:spacing w:after="0"/>
              <w:jc w:val="right"/>
              <w:rPr>
                <w:rFonts w:ascii="Calibri" w:eastAsiaTheme="minorEastAsia" w:hAnsi="Calibri" w:cs="Calibri"/>
                <w:b/>
                <w:bCs/>
                <w:sz w:val="20"/>
                <w:lang w:eastAsia="en-AU"/>
              </w:rPr>
            </w:pPr>
            <w:r w:rsidRPr="0053172E">
              <w:rPr>
                <w:rFonts w:ascii="Calibri" w:eastAsiaTheme="minorEastAsia" w:hAnsi="Calibri" w:cs="Calibri"/>
                <w:b/>
                <w:bCs/>
                <w:sz w:val="20"/>
                <w:lang w:eastAsia="en-AU"/>
              </w:rPr>
              <w:t xml:space="preserve">321 </w:t>
            </w:r>
          </w:p>
        </w:tc>
      </w:tr>
    </w:tbl>
    <w:p w:rsidR="00965D85" w:rsidRDefault="00965D85" w:rsidP="008B46DF">
      <w:pPr>
        <w:pStyle w:val="Source"/>
        <w:rPr>
          <w:lang w:eastAsia="en-AU"/>
        </w:rPr>
      </w:pPr>
      <w:r>
        <w:fldChar w:fldCharType="end"/>
      </w:r>
      <w:r>
        <w:rPr>
          <w:lang w:eastAsia="en-AU"/>
        </w:rPr>
        <w:t>Source: Department of Treasury and Finance</w:t>
      </w:r>
    </w:p>
    <w:p w:rsidR="00965D85" w:rsidRPr="0084207A" w:rsidRDefault="00965D85" w:rsidP="008B46DF">
      <w:pPr>
        <w:pStyle w:val="Heading2"/>
      </w:pPr>
      <w:r w:rsidRPr="0084207A">
        <w:t>2008</w:t>
      </w:r>
      <w:r>
        <w:noBreakHyphen/>
      </w:r>
      <w:r w:rsidRPr="0084207A">
        <w:t xml:space="preserve">09 – global </w:t>
      </w:r>
      <w:r w:rsidRPr="00C53B5B">
        <w:t>financial</w:t>
      </w:r>
      <w:r w:rsidRPr="0084207A">
        <w:t xml:space="preserve"> crisis</w:t>
      </w:r>
    </w:p>
    <w:p w:rsidR="00965D85" w:rsidRDefault="00965D85" w:rsidP="008B46DF">
      <w:pPr>
        <w:rPr>
          <w:lang w:eastAsia="en-AU"/>
        </w:rPr>
      </w:pPr>
      <w:r>
        <w:rPr>
          <w:lang w:eastAsia="en-AU"/>
        </w:rPr>
        <w:t>A situation where economic growth was overestimated is shown in Table D.4. The largest forecast errors occurred in real GSP and consumption. Relatively small errors occurred in employment as employers chose to reduce hours and accept productivity falls rather than lay off staff. Consumer prices and wages were less affected by the global financial crisis and consequently the level of forecast error was much lower for these variables.</w:t>
      </w:r>
    </w:p>
    <w:p w:rsidR="00965D85" w:rsidRPr="000B30C1" w:rsidRDefault="00965D85" w:rsidP="008B46DF">
      <w:pPr>
        <w:pStyle w:val="Tableheading"/>
      </w:pPr>
      <w:r w:rsidRPr="000B30C1">
        <w:t>Table D.4:</w:t>
      </w:r>
      <w:r>
        <w:tab/>
      </w:r>
      <w:r w:rsidRPr="000B30C1">
        <w:t xml:space="preserve">Actual deviations of growth rates of key economic variables </w:t>
      </w:r>
      <w:r>
        <w:t xml:space="preserve">from </w:t>
      </w:r>
      <w:r w:rsidRPr="000B30C1">
        <w:rPr>
          <w:i/>
        </w:rPr>
        <w:t>2008</w:t>
      </w:r>
      <w:r>
        <w:rPr>
          <w:i/>
        </w:rPr>
        <w:noBreakHyphen/>
      </w:r>
      <w:r w:rsidRPr="000B30C1">
        <w:rPr>
          <w:i/>
        </w:rPr>
        <w:t>09 Budget</w:t>
      </w:r>
      <w:r w:rsidRPr="000B30C1">
        <w:t xml:space="preserve"> forecasts</w:t>
      </w:r>
    </w:p>
    <w:p w:rsidR="00965D85" w:rsidRPr="0053172E" w:rsidRDefault="00965D85" w:rsidP="008B46DF">
      <w:pPr>
        <w:pStyle w:val="million"/>
        <w:rPr>
          <w:rFonts w:ascii="Times New Roman" w:hAnsi="Times New Roman"/>
          <w:sz w:val="20"/>
          <w:lang w:eastAsia="en-AU"/>
        </w:rPr>
      </w:pPr>
      <w:r w:rsidRPr="000B30C1">
        <w:rPr>
          <w:sz w:val="20"/>
        </w:rPr>
        <w:t>(per cent)</w:t>
      </w:r>
      <w:r>
        <w:fldChar w:fldCharType="begin" w:fldLock="1"/>
      </w:r>
      <w:r>
        <w:instrText xml:space="preserve"> LINK Excel.Sheet.12 \\\\PDCPTPRDFIL01\\DTFDATA02$\\SECURED\\Budget\\BudgetUpdate\\AppendixD\\2015-16BudUpd_AppD.xlsx Option2_Tables!Actual_deviations_0809 \f 4 \r \* MERGEFORMAT </w:instrText>
      </w:r>
      <w:r>
        <w:fldChar w:fldCharType="separate"/>
      </w:r>
    </w:p>
    <w:tbl>
      <w:tblPr>
        <w:tblW w:w="7767" w:type="dxa"/>
        <w:tblInd w:w="28" w:type="dxa"/>
        <w:tblLayout w:type="fixed"/>
        <w:tblCellMar>
          <w:left w:w="45" w:type="dxa"/>
          <w:right w:w="45" w:type="dxa"/>
        </w:tblCellMar>
        <w:tblLook w:val="0000" w:firstRow="0" w:lastRow="0" w:firstColumn="0" w:lastColumn="0" w:noHBand="0" w:noVBand="0"/>
      </w:tblPr>
      <w:tblGrid>
        <w:gridCol w:w="4647"/>
        <w:gridCol w:w="1040"/>
        <w:gridCol w:w="1040"/>
        <w:gridCol w:w="1040"/>
      </w:tblGrid>
      <w:tr w:rsidR="00965D85" w:rsidRPr="0053172E" w:rsidTr="008B46DF">
        <w:trPr>
          <w:trHeight w:val="503"/>
        </w:trPr>
        <w:tc>
          <w:tcPr>
            <w:tcW w:w="4647" w:type="dxa"/>
            <w:tcBorders>
              <w:top w:val="single" w:sz="6" w:space="0" w:color="000000"/>
              <w:left w:val="single" w:sz="6" w:space="0" w:color="000000"/>
            </w:tcBorders>
            <w:shd w:val="clear" w:color="000000" w:fill="000000"/>
          </w:tcPr>
          <w:p w:rsidR="00965D85" w:rsidRPr="0053172E" w:rsidRDefault="00965D85" w:rsidP="008B46DF">
            <w:pPr>
              <w:pStyle w:val="Tabletextheading"/>
              <w:jc w:val="left"/>
              <w:rPr>
                <w:rFonts w:eastAsiaTheme="minorEastAsia"/>
                <w:color w:val="FFFFFF"/>
                <w:lang w:eastAsia="en-AU"/>
              </w:rPr>
            </w:pPr>
            <w:r w:rsidRPr="0053172E">
              <w:rPr>
                <w:rFonts w:eastAsiaTheme="minorEastAsia"/>
                <w:color w:val="FFFFFF"/>
                <w:lang w:eastAsia="en-AU"/>
              </w:rPr>
              <w:t xml:space="preserve"> </w:t>
            </w:r>
          </w:p>
          <w:p w:rsidR="00965D85" w:rsidRPr="0053172E" w:rsidRDefault="00965D85" w:rsidP="008B46DF">
            <w:pPr>
              <w:pStyle w:val="Tabletextheading"/>
              <w:jc w:val="left"/>
              <w:rPr>
                <w:rFonts w:eastAsiaTheme="minorEastAsia"/>
                <w:color w:val="FFFFFF"/>
                <w:lang w:eastAsia="en-AU"/>
              </w:rPr>
            </w:pPr>
            <w:r w:rsidRPr="0053172E">
              <w:rPr>
                <w:rFonts w:eastAsiaTheme="minorEastAsia"/>
                <w:color w:val="FFFFFF"/>
                <w:lang w:eastAsia="en-AU"/>
              </w:rPr>
              <w:t xml:space="preserve"> </w:t>
            </w:r>
          </w:p>
        </w:tc>
        <w:tc>
          <w:tcPr>
            <w:tcW w:w="1040" w:type="dxa"/>
            <w:tcBorders>
              <w:top w:val="single" w:sz="6" w:space="0" w:color="000000"/>
            </w:tcBorders>
            <w:shd w:val="clear" w:color="000000" w:fill="000000"/>
          </w:tcPr>
          <w:p w:rsidR="00965D85" w:rsidRPr="0053172E" w:rsidRDefault="00965D85" w:rsidP="008B46DF">
            <w:pPr>
              <w:pStyle w:val="Tabletextheading"/>
              <w:rPr>
                <w:rFonts w:eastAsiaTheme="minorEastAsia"/>
                <w:color w:val="FFFFFF"/>
                <w:lang w:eastAsia="en-AU"/>
              </w:rPr>
            </w:pPr>
            <w:r w:rsidRPr="0053172E">
              <w:rPr>
                <w:rFonts w:eastAsiaTheme="minorEastAsia"/>
                <w:color w:val="FFFFFF"/>
                <w:lang w:eastAsia="en-AU"/>
              </w:rPr>
              <w:t>2008-09</w:t>
            </w:r>
          </w:p>
          <w:p w:rsidR="00965D85" w:rsidRPr="0053172E" w:rsidRDefault="00965D85" w:rsidP="008B46DF">
            <w:pPr>
              <w:pStyle w:val="Tabletextheading"/>
              <w:rPr>
                <w:rFonts w:eastAsiaTheme="minorEastAsia"/>
                <w:color w:val="FFFFFF"/>
                <w:lang w:eastAsia="en-AU"/>
              </w:rPr>
            </w:pPr>
            <w:r w:rsidRPr="0053172E">
              <w:rPr>
                <w:rFonts w:eastAsiaTheme="minorEastAsia"/>
                <w:color w:val="FFFFFF"/>
                <w:lang w:eastAsia="en-AU"/>
              </w:rPr>
              <w:t xml:space="preserve">budget </w:t>
            </w:r>
            <w:r w:rsidRPr="0053172E">
              <w:rPr>
                <w:rFonts w:eastAsiaTheme="minorEastAsia"/>
                <w:color w:val="FFFFFF"/>
                <w:vertAlign w:val="superscript"/>
                <w:lang w:eastAsia="en-AU"/>
              </w:rPr>
              <w:t>(a)</w:t>
            </w:r>
          </w:p>
        </w:tc>
        <w:tc>
          <w:tcPr>
            <w:tcW w:w="1040" w:type="dxa"/>
            <w:tcBorders>
              <w:top w:val="single" w:sz="6" w:space="0" w:color="000000"/>
            </w:tcBorders>
            <w:shd w:val="clear" w:color="000000" w:fill="000000"/>
          </w:tcPr>
          <w:p w:rsidR="00965D85" w:rsidRPr="0053172E" w:rsidRDefault="00965D85" w:rsidP="008B46DF">
            <w:pPr>
              <w:pStyle w:val="Tabletextheading"/>
              <w:rPr>
                <w:rFonts w:eastAsiaTheme="minorEastAsia"/>
                <w:color w:val="FFFFFF"/>
                <w:lang w:eastAsia="en-AU"/>
              </w:rPr>
            </w:pPr>
            <w:r w:rsidRPr="0053172E">
              <w:rPr>
                <w:rFonts w:eastAsiaTheme="minorEastAsia"/>
                <w:color w:val="FFFFFF"/>
                <w:lang w:eastAsia="en-AU"/>
              </w:rPr>
              <w:t>2008-09</w:t>
            </w:r>
          </w:p>
          <w:p w:rsidR="00965D85" w:rsidRPr="0053172E" w:rsidRDefault="00965D85" w:rsidP="008B46DF">
            <w:pPr>
              <w:pStyle w:val="Tabletextheading"/>
              <w:rPr>
                <w:rFonts w:eastAsiaTheme="minorEastAsia"/>
                <w:color w:val="FFFFFF"/>
                <w:lang w:eastAsia="en-AU"/>
              </w:rPr>
            </w:pPr>
            <w:r w:rsidRPr="0053172E">
              <w:rPr>
                <w:rFonts w:eastAsiaTheme="minorEastAsia"/>
                <w:color w:val="FFFFFF"/>
                <w:lang w:eastAsia="en-AU"/>
              </w:rPr>
              <w:t>actual</w:t>
            </w:r>
          </w:p>
        </w:tc>
        <w:tc>
          <w:tcPr>
            <w:tcW w:w="1040" w:type="dxa"/>
            <w:tcBorders>
              <w:top w:val="single" w:sz="6" w:space="0" w:color="000000"/>
              <w:right w:val="single" w:sz="6" w:space="0" w:color="000000"/>
            </w:tcBorders>
            <w:shd w:val="clear" w:color="000000" w:fill="000000"/>
          </w:tcPr>
          <w:p w:rsidR="00965D85" w:rsidRPr="0053172E" w:rsidRDefault="00965D85" w:rsidP="008B46DF">
            <w:pPr>
              <w:pStyle w:val="Tabletextheading"/>
              <w:rPr>
                <w:rFonts w:eastAsiaTheme="minorEastAsia"/>
                <w:color w:val="FFFFFF"/>
                <w:lang w:eastAsia="en-AU"/>
              </w:rPr>
            </w:pPr>
            <w:r w:rsidRPr="0053172E">
              <w:rPr>
                <w:rFonts w:eastAsiaTheme="minorEastAsia"/>
                <w:color w:val="FFFFFF"/>
                <w:lang w:eastAsia="en-AU"/>
              </w:rPr>
              <w:t>Forecast</w:t>
            </w:r>
          </w:p>
          <w:p w:rsidR="00965D85" w:rsidRPr="0053172E" w:rsidRDefault="00965D85" w:rsidP="008B46DF">
            <w:pPr>
              <w:pStyle w:val="Tabletextheading"/>
              <w:rPr>
                <w:rFonts w:eastAsiaTheme="minorEastAsia"/>
                <w:color w:val="FFFFFF"/>
                <w:lang w:eastAsia="en-AU"/>
              </w:rPr>
            </w:pPr>
            <w:r w:rsidRPr="0053172E">
              <w:rPr>
                <w:rFonts w:eastAsiaTheme="minorEastAsia"/>
                <w:color w:val="FFFFFF"/>
                <w:lang w:eastAsia="en-AU"/>
              </w:rPr>
              <w:t xml:space="preserve">error </w:t>
            </w:r>
            <w:r w:rsidRPr="0053172E">
              <w:rPr>
                <w:rFonts w:eastAsiaTheme="minorEastAsia"/>
                <w:color w:val="FFFFFF"/>
                <w:vertAlign w:val="superscript"/>
                <w:lang w:eastAsia="en-AU"/>
              </w:rPr>
              <w:t>(b)</w:t>
            </w:r>
          </w:p>
        </w:tc>
      </w:tr>
      <w:tr w:rsidR="00965D85" w:rsidRPr="0053172E" w:rsidTr="008B46DF">
        <w:tc>
          <w:tcPr>
            <w:tcW w:w="4647" w:type="dxa"/>
            <w:tcBorders>
              <w:top w:val="single" w:sz="6" w:space="0" w:color="000000"/>
              <w:left w:val="nil"/>
              <w:bottom w:val="nil"/>
              <w:right w:val="nil"/>
            </w:tcBorders>
          </w:tcPr>
          <w:p w:rsidR="00965D85" w:rsidRPr="0053172E" w:rsidRDefault="00965D85" w:rsidP="008B46DF">
            <w:pPr>
              <w:autoSpaceDE w:val="0"/>
              <w:autoSpaceDN w:val="0"/>
              <w:adjustRightInd w:val="0"/>
              <w:spacing w:after="0"/>
              <w:rPr>
                <w:rFonts w:ascii="Calibri" w:eastAsiaTheme="minorEastAsia" w:hAnsi="Calibri" w:cs="Calibri"/>
                <w:sz w:val="20"/>
                <w:lang w:eastAsia="en-AU"/>
              </w:rPr>
            </w:pPr>
            <w:r w:rsidRPr="0053172E">
              <w:rPr>
                <w:rFonts w:ascii="Calibri" w:eastAsiaTheme="minorEastAsia" w:hAnsi="Calibri" w:cs="Calibri"/>
                <w:sz w:val="20"/>
                <w:lang w:eastAsia="en-AU"/>
              </w:rPr>
              <w:t>Real GSP</w:t>
            </w:r>
          </w:p>
        </w:tc>
        <w:tc>
          <w:tcPr>
            <w:tcW w:w="1040" w:type="dxa"/>
            <w:tcBorders>
              <w:top w:val="single" w:sz="6" w:space="0" w:color="000000"/>
              <w:left w:val="nil"/>
              <w:bottom w:val="nil"/>
              <w:right w:val="nil"/>
            </w:tcBorders>
            <w:shd w:val="solid" w:color="FFFFFF" w:fill="auto"/>
          </w:tcPr>
          <w:p w:rsidR="00965D85" w:rsidRPr="0053172E" w:rsidRDefault="00965D85" w:rsidP="008B46DF">
            <w:pPr>
              <w:autoSpaceDE w:val="0"/>
              <w:autoSpaceDN w:val="0"/>
              <w:adjustRightInd w:val="0"/>
              <w:spacing w:after="0"/>
              <w:jc w:val="right"/>
              <w:rPr>
                <w:rFonts w:ascii="Calibri" w:eastAsiaTheme="minorEastAsia" w:hAnsi="Calibri" w:cs="Calibri"/>
                <w:sz w:val="20"/>
                <w:lang w:eastAsia="en-AU"/>
              </w:rPr>
            </w:pPr>
            <w:r w:rsidRPr="0053172E">
              <w:rPr>
                <w:rFonts w:ascii="Calibri" w:eastAsiaTheme="minorEastAsia" w:hAnsi="Calibri" w:cs="Calibri"/>
                <w:sz w:val="20"/>
                <w:lang w:eastAsia="en-AU"/>
              </w:rPr>
              <w:t>3.0</w:t>
            </w:r>
          </w:p>
        </w:tc>
        <w:tc>
          <w:tcPr>
            <w:tcW w:w="1040" w:type="dxa"/>
            <w:tcBorders>
              <w:top w:val="single" w:sz="6" w:space="0" w:color="000000"/>
              <w:left w:val="nil"/>
              <w:bottom w:val="nil"/>
              <w:right w:val="nil"/>
            </w:tcBorders>
            <w:shd w:val="solid" w:color="FFFFFF" w:fill="auto"/>
          </w:tcPr>
          <w:p w:rsidR="00965D85" w:rsidRPr="0053172E" w:rsidRDefault="00965D85" w:rsidP="008B46DF">
            <w:pPr>
              <w:autoSpaceDE w:val="0"/>
              <w:autoSpaceDN w:val="0"/>
              <w:adjustRightInd w:val="0"/>
              <w:spacing w:after="0"/>
              <w:jc w:val="right"/>
              <w:rPr>
                <w:rFonts w:ascii="Calibri" w:eastAsiaTheme="minorEastAsia" w:hAnsi="Calibri" w:cs="Calibri"/>
                <w:sz w:val="20"/>
                <w:lang w:eastAsia="en-AU"/>
              </w:rPr>
            </w:pPr>
            <w:r w:rsidRPr="0053172E">
              <w:rPr>
                <w:rFonts w:ascii="Calibri" w:eastAsiaTheme="minorEastAsia" w:hAnsi="Calibri" w:cs="Calibri"/>
                <w:sz w:val="20"/>
                <w:lang w:eastAsia="en-AU"/>
              </w:rPr>
              <w:t>1.5</w:t>
            </w:r>
          </w:p>
        </w:tc>
        <w:tc>
          <w:tcPr>
            <w:tcW w:w="1040" w:type="dxa"/>
            <w:tcBorders>
              <w:top w:val="single" w:sz="6" w:space="0" w:color="000000"/>
              <w:left w:val="nil"/>
              <w:bottom w:val="nil"/>
              <w:right w:val="nil"/>
            </w:tcBorders>
            <w:shd w:val="solid" w:color="FFFFFF" w:fill="auto"/>
          </w:tcPr>
          <w:p w:rsidR="00965D85" w:rsidRPr="0053172E" w:rsidRDefault="00965D85" w:rsidP="008B46DF">
            <w:pPr>
              <w:autoSpaceDE w:val="0"/>
              <w:autoSpaceDN w:val="0"/>
              <w:adjustRightInd w:val="0"/>
              <w:spacing w:after="0"/>
              <w:jc w:val="right"/>
              <w:rPr>
                <w:rFonts w:ascii="Calibri" w:eastAsiaTheme="minorEastAsia" w:hAnsi="Calibri" w:cs="Calibri"/>
                <w:sz w:val="20"/>
                <w:lang w:eastAsia="en-AU"/>
              </w:rPr>
            </w:pPr>
            <w:r w:rsidRPr="0053172E">
              <w:rPr>
                <w:rFonts w:ascii="Calibri" w:eastAsiaTheme="minorEastAsia" w:hAnsi="Calibri" w:cs="Calibri"/>
                <w:sz w:val="20"/>
                <w:lang w:eastAsia="en-AU"/>
              </w:rPr>
              <w:t>(1.5)</w:t>
            </w:r>
          </w:p>
        </w:tc>
      </w:tr>
      <w:tr w:rsidR="00965D85" w:rsidRPr="0053172E" w:rsidTr="008B46DF">
        <w:tc>
          <w:tcPr>
            <w:tcW w:w="4647" w:type="dxa"/>
            <w:tcBorders>
              <w:top w:val="nil"/>
              <w:left w:val="nil"/>
              <w:bottom w:val="nil"/>
              <w:right w:val="nil"/>
            </w:tcBorders>
          </w:tcPr>
          <w:p w:rsidR="00965D85" w:rsidRPr="0053172E" w:rsidRDefault="00965D85" w:rsidP="008B46DF">
            <w:pPr>
              <w:autoSpaceDE w:val="0"/>
              <w:autoSpaceDN w:val="0"/>
              <w:adjustRightInd w:val="0"/>
              <w:spacing w:after="0"/>
              <w:rPr>
                <w:rFonts w:ascii="Calibri" w:eastAsiaTheme="minorEastAsia" w:hAnsi="Calibri" w:cs="Calibri"/>
                <w:sz w:val="20"/>
                <w:lang w:eastAsia="en-AU"/>
              </w:rPr>
            </w:pPr>
            <w:r w:rsidRPr="0053172E">
              <w:rPr>
                <w:rFonts w:ascii="Calibri" w:eastAsiaTheme="minorEastAsia" w:hAnsi="Calibri" w:cs="Calibri"/>
                <w:sz w:val="20"/>
                <w:lang w:eastAsia="en-AU"/>
              </w:rPr>
              <w:t>Consumption (unpublished)</w:t>
            </w:r>
          </w:p>
        </w:tc>
        <w:tc>
          <w:tcPr>
            <w:tcW w:w="1040" w:type="dxa"/>
            <w:tcBorders>
              <w:top w:val="nil"/>
              <w:left w:val="nil"/>
              <w:bottom w:val="nil"/>
              <w:right w:val="nil"/>
            </w:tcBorders>
            <w:shd w:val="solid" w:color="FFFFFF" w:fill="auto"/>
          </w:tcPr>
          <w:p w:rsidR="00965D85" w:rsidRPr="0053172E" w:rsidRDefault="00965D85" w:rsidP="008B46DF">
            <w:pPr>
              <w:autoSpaceDE w:val="0"/>
              <w:autoSpaceDN w:val="0"/>
              <w:adjustRightInd w:val="0"/>
              <w:spacing w:after="0"/>
              <w:jc w:val="right"/>
              <w:rPr>
                <w:rFonts w:ascii="Calibri" w:eastAsiaTheme="minorEastAsia" w:hAnsi="Calibri" w:cs="Calibri"/>
                <w:sz w:val="20"/>
                <w:lang w:eastAsia="en-AU"/>
              </w:rPr>
            </w:pPr>
            <w:r w:rsidRPr="0053172E">
              <w:rPr>
                <w:rFonts w:ascii="Calibri" w:eastAsiaTheme="minorEastAsia" w:hAnsi="Calibri" w:cs="Calibri"/>
                <w:sz w:val="20"/>
                <w:lang w:eastAsia="en-AU"/>
              </w:rPr>
              <w:t>2.8</w:t>
            </w:r>
          </w:p>
        </w:tc>
        <w:tc>
          <w:tcPr>
            <w:tcW w:w="1040" w:type="dxa"/>
            <w:tcBorders>
              <w:top w:val="nil"/>
              <w:left w:val="nil"/>
              <w:bottom w:val="nil"/>
              <w:right w:val="nil"/>
            </w:tcBorders>
            <w:shd w:val="solid" w:color="FFFFFF" w:fill="auto"/>
          </w:tcPr>
          <w:p w:rsidR="00965D85" w:rsidRPr="0053172E" w:rsidRDefault="00965D85" w:rsidP="008B46DF">
            <w:pPr>
              <w:autoSpaceDE w:val="0"/>
              <w:autoSpaceDN w:val="0"/>
              <w:adjustRightInd w:val="0"/>
              <w:spacing w:after="0"/>
              <w:jc w:val="right"/>
              <w:rPr>
                <w:rFonts w:ascii="Calibri" w:eastAsiaTheme="minorEastAsia" w:hAnsi="Calibri" w:cs="Calibri"/>
                <w:sz w:val="20"/>
                <w:lang w:eastAsia="en-AU"/>
              </w:rPr>
            </w:pPr>
            <w:r w:rsidRPr="0053172E">
              <w:rPr>
                <w:rFonts w:ascii="Calibri" w:eastAsiaTheme="minorEastAsia" w:hAnsi="Calibri" w:cs="Calibri"/>
                <w:sz w:val="20"/>
                <w:lang w:eastAsia="en-AU"/>
              </w:rPr>
              <w:t>0.5</w:t>
            </w:r>
          </w:p>
        </w:tc>
        <w:tc>
          <w:tcPr>
            <w:tcW w:w="1040" w:type="dxa"/>
            <w:tcBorders>
              <w:top w:val="nil"/>
              <w:left w:val="nil"/>
              <w:bottom w:val="nil"/>
              <w:right w:val="nil"/>
            </w:tcBorders>
            <w:shd w:val="solid" w:color="FFFFFF" w:fill="auto"/>
          </w:tcPr>
          <w:p w:rsidR="00965D85" w:rsidRPr="0053172E" w:rsidRDefault="00965D85" w:rsidP="008B46DF">
            <w:pPr>
              <w:autoSpaceDE w:val="0"/>
              <w:autoSpaceDN w:val="0"/>
              <w:adjustRightInd w:val="0"/>
              <w:spacing w:after="0"/>
              <w:jc w:val="right"/>
              <w:rPr>
                <w:rFonts w:ascii="Calibri" w:eastAsiaTheme="minorEastAsia" w:hAnsi="Calibri" w:cs="Calibri"/>
                <w:sz w:val="20"/>
                <w:lang w:eastAsia="en-AU"/>
              </w:rPr>
            </w:pPr>
            <w:r w:rsidRPr="0053172E">
              <w:rPr>
                <w:rFonts w:ascii="Calibri" w:eastAsiaTheme="minorEastAsia" w:hAnsi="Calibri" w:cs="Calibri"/>
                <w:sz w:val="20"/>
                <w:lang w:eastAsia="en-AU"/>
              </w:rPr>
              <w:t>(2.3)</w:t>
            </w:r>
          </w:p>
        </w:tc>
      </w:tr>
      <w:tr w:rsidR="00965D85" w:rsidRPr="0053172E" w:rsidTr="008B46DF">
        <w:tc>
          <w:tcPr>
            <w:tcW w:w="4647" w:type="dxa"/>
            <w:tcBorders>
              <w:top w:val="nil"/>
              <w:left w:val="nil"/>
              <w:bottom w:val="nil"/>
              <w:right w:val="nil"/>
            </w:tcBorders>
          </w:tcPr>
          <w:p w:rsidR="00965D85" w:rsidRPr="0053172E" w:rsidRDefault="00965D85" w:rsidP="008B46DF">
            <w:pPr>
              <w:autoSpaceDE w:val="0"/>
              <w:autoSpaceDN w:val="0"/>
              <w:adjustRightInd w:val="0"/>
              <w:spacing w:after="0"/>
              <w:rPr>
                <w:rFonts w:ascii="Calibri" w:eastAsiaTheme="minorEastAsia" w:hAnsi="Calibri" w:cs="Calibri"/>
                <w:sz w:val="20"/>
                <w:lang w:eastAsia="en-AU"/>
              </w:rPr>
            </w:pPr>
            <w:r w:rsidRPr="0053172E">
              <w:rPr>
                <w:rFonts w:ascii="Calibri" w:eastAsiaTheme="minorEastAsia" w:hAnsi="Calibri" w:cs="Calibri"/>
                <w:sz w:val="20"/>
                <w:lang w:eastAsia="en-AU"/>
              </w:rPr>
              <w:t>Employment</w:t>
            </w:r>
          </w:p>
        </w:tc>
        <w:tc>
          <w:tcPr>
            <w:tcW w:w="1040" w:type="dxa"/>
            <w:tcBorders>
              <w:top w:val="nil"/>
              <w:left w:val="nil"/>
              <w:bottom w:val="nil"/>
              <w:right w:val="nil"/>
            </w:tcBorders>
            <w:shd w:val="solid" w:color="FFFFFF" w:fill="auto"/>
          </w:tcPr>
          <w:p w:rsidR="00965D85" w:rsidRPr="0053172E" w:rsidRDefault="00965D85" w:rsidP="008B46DF">
            <w:pPr>
              <w:autoSpaceDE w:val="0"/>
              <w:autoSpaceDN w:val="0"/>
              <w:adjustRightInd w:val="0"/>
              <w:spacing w:after="0"/>
              <w:jc w:val="right"/>
              <w:rPr>
                <w:rFonts w:ascii="Calibri" w:eastAsiaTheme="minorEastAsia" w:hAnsi="Calibri" w:cs="Calibri"/>
                <w:sz w:val="20"/>
                <w:lang w:eastAsia="en-AU"/>
              </w:rPr>
            </w:pPr>
            <w:r w:rsidRPr="0053172E">
              <w:rPr>
                <w:rFonts w:ascii="Calibri" w:eastAsiaTheme="minorEastAsia" w:hAnsi="Calibri" w:cs="Calibri"/>
                <w:sz w:val="20"/>
                <w:lang w:eastAsia="en-AU"/>
              </w:rPr>
              <w:t>1.5</w:t>
            </w:r>
          </w:p>
        </w:tc>
        <w:tc>
          <w:tcPr>
            <w:tcW w:w="1040" w:type="dxa"/>
            <w:tcBorders>
              <w:top w:val="nil"/>
              <w:left w:val="nil"/>
              <w:bottom w:val="nil"/>
              <w:right w:val="nil"/>
            </w:tcBorders>
            <w:shd w:val="solid" w:color="FFFFFF" w:fill="auto"/>
          </w:tcPr>
          <w:p w:rsidR="00965D85" w:rsidRPr="0053172E" w:rsidRDefault="00965D85" w:rsidP="008B46DF">
            <w:pPr>
              <w:autoSpaceDE w:val="0"/>
              <w:autoSpaceDN w:val="0"/>
              <w:adjustRightInd w:val="0"/>
              <w:spacing w:after="0"/>
              <w:jc w:val="right"/>
              <w:rPr>
                <w:rFonts w:ascii="Calibri" w:eastAsiaTheme="minorEastAsia" w:hAnsi="Calibri" w:cs="Calibri"/>
                <w:sz w:val="20"/>
                <w:lang w:eastAsia="en-AU"/>
              </w:rPr>
            </w:pPr>
            <w:r w:rsidRPr="0053172E">
              <w:rPr>
                <w:rFonts w:ascii="Calibri" w:eastAsiaTheme="minorEastAsia" w:hAnsi="Calibri" w:cs="Calibri"/>
                <w:sz w:val="20"/>
                <w:lang w:eastAsia="en-AU"/>
              </w:rPr>
              <w:t>0.9</w:t>
            </w:r>
          </w:p>
        </w:tc>
        <w:tc>
          <w:tcPr>
            <w:tcW w:w="1040" w:type="dxa"/>
            <w:tcBorders>
              <w:top w:val="nil"/>
              <w:left w:val="nil"/>
              <w:bottom w:val="nil"/>
              <w:right w:val="nil"/>
            </w:tcBorders>
            <w:shd w:val="solid" w:color="FFFFFF" w:fill="auto"/>
          </w:tcPr>
          <w:p w:rsidR="00965D85" w:rsidRPr="0053172E" w:rsidRDefault="00965D85" w:rsidP="008B46DF">
            <w:pPr>
              <w:autoSpaceDE w:val="0"/>
              <w:autoSpaceDN w:val="0"/>
              <w:adjustRightInd w:val="0"/>
              <w:spacing w:after="0"/>
              <w:jc w:val="right"/>
              <w:rPr>
                <w:rFonts w:ascii="Calibri" w:eastAsiaTheme="minorEastAsia" w:hAnsi="Calibri" w:cs="Calibri"/>
                <w:sz w:val="20"/>
                <w:lang w:eastAsia="en-AU"/>
              </w:rPr>
            </w:pPr>
            <w:r w:rsidRPr="0053172E">
              <w:rPr>
                <w:rFonts w:ascii="Calibri" w:eastAsiaTheme="minorEastAsia" w:hAnsi="Calibri" w:cs="Calibri"/>
                <w:sz w:val="20"/>
                <w:lang w:eastAsia="en-AU"/>
              </w:rPr>
              <w:t>(0.6)</w:t>
            </w:r>
          </w:p>
        </w:tc>
      </w:tr>
      <w:tr w:rsidR="00965D85" w:rsidRPr="0053172E" w:rsidTr="008B46DF">
        <w:tc>
          <w:tcPr>
            <w:tcW w:w="4647" w:type="dxa"/>
            <w:tcBorders>
              <w:top w:val="nil"/>
              <w:left w:val="nil"/>
              <w:right w:val="nil"/>
            </w:tcBorders>
          </w:tcPr>
          <w:p w:rsidR="00965D85" w:rsidRPr="0053172E" w:rsidRDefault="00965D85" w:rsidP="008B46DF">
            <w:pPr>
              <w:autoSpaceDE w:val="0"/>
              <w:autoSpaceDN w:val="0"/>
              <w:adjustRightInd w:val="0"/>
              <w:spacing w:after="0"/>
              <w:rPr>
                <w:rFonts w:ascii="Calibri" w:eastAsiaTheme="minorEastAsia" w:hAnsi="Calibri" w:cs="Calibri"/>
                <w:sz w:val="20"/>
                <w:lang w:eastAsia="en-AU"/>
              </w:rPr>
            </w:pPr>
            <w:r w:rsidRPr="0053172E">
              <w:rPr>
                <w:rFonts w:ascii="Calibri" w:eastAsiaTheme="minorEastAsia" w:hAnsi="Calibri" w:cs="Calibri"/>
                <w:sz w:val="20"/>
                <w:lang w:eastAsia="en-AU"/>
              </w:rPr>
              <w:t>Consumer price index</w:t>
            </w:r>
          </w:p>
        </w:tc>
        <w:tc>
          <w:tcPr>
            <w:tcW w:w="1040" w:type="dxa"/>
            <w:tcBorders>
              <w:top w:val="nil"/>
              <w:left w:val="nil"/>
              <w:right w:val="nil"/>
            </w:tcBorders>
            <w:shd w:val="solid" w:color="FFFFFF" w:fill="auto"/>
          </w:tcPr>
          <w:p w:rsidR="00965D85" w:rsidRPr="0053172E" w:rsidRDefault="00965D85" w:rsidP="008B46DF">
            <w:pPr>
              <w:autoSpaceDE w:val="0"/>
              <w:autoSpaceDN w:val="0"/>
              <w:adjustRightInd w:val="0"/>
              <w:spacing w:after="0"/>
              <w:jc w:val="right"/>
              <w:rPr>
                <w:rFonts w:ascii="Calibri" w:eastAsiaTheme="minorEastAsia" w:hAnsi="Calibri" w:cs="Calibri"/>
                <w:sz w:val="20"/>
                <w:lang w:eastAsia="en-AU"/>
              </w:rPr>
            </w:pPr>
            <w:r w:rsidRPr="0053172E">
              <w:rPr>
                <w:rFonts w:ascii="Calibri" w:eastAsiaTheme="minorEastAsia" w:hAnsi="Calibri" w:cs="Calibri"/>
                <w:sz w:val="20"/>
                <w:lang w:eastAsia="en-AU"/>
              </w:rPr>
              <w:t>3.0</w:t>
            </w:r>
          </w:p>
        </w:tc>
        <w:tc>
          <w:tcPr>
            <w:tcW w:w="1040" w:type="dxa"/>
            <w:tcBorders>
              <w:top w:val="nil"/>
              <w:left w:val="nil"/>
              <w:right w:val="nil"/>
            </w:tcBorders>
            <w:shd w:val="solid" w:color="FFFFFF" w:fill="auto"/>
          </w:tcPr>
          <w:p w:rsidR="00965D85" w:rsidRPr="0053172E" w:rsidRDefault="00965D85" w:rsidP="008B46DF">
            <w:pPr>
              <w:autoSpaceDE w:val="0"/>
              <w:autoSpaceDN w:val="0"/>
              <w:adjustRightInd w:val="0"/>
              <w:spacing w:after="0"/>
              <w:jc w:val="right"/>
              <w:rPr>
                <w:rFonts w:ascii="Calibri" w:eastAsiaTheme="minorEastAsia" w:hAnsi="Calibri" w:cs="Calibri"/>
                <w:sz w:val="20"/>
                <w:lang w:eastAsia="en-AU"/>
              </w:rPr>
            </w:pPr>
            <w:r w:rsidRPr="0053172E">
              <w:rPr>
                <w:rFonts w:ascii="Calibri" w:eastAsiaTheme="minorEastAsia" w:hAnsi="Calibri" w:cs="Calibri"/>
                <w:sz w:val="20"/>
                <w:lang w:eastAsia="en-AU"/>
              </w:rPr>
              <w:t>2.8</w:t>
            </w:r>
          </w:p>
        </w:tc>
        <w:tc>
          <w:tcPr>
            <w:tcW w:w="1040" w:type="dxa"/>
            <w:tcBorders>
              <w:top w:val="nil"/>
              <w:left w:val="nil"/>
              <w:right w:val="nil"/>
            </w:tcBorders>
            <w:shd w:val="solid" w:color="FFFFFF" w:fill="auto"/>
          </w:tcPr>
          <w:p w:rsidR="00965D85" w:rsidRPr="0053172E" w:rsidRDefault="00965D85" w:rsidP="008B46DF">
            <w:pPr>
              <w:autoSpaceDE w:val="0"/>
              <w:autoSpaceDN w:val="0"/>
              <w:adjustRightInd w:val="0"/>
              <w:spacing w:after="0"/>
              <w:jc w:val="right"/>
              <w:rPr>
                <w:rFonts w:ascii="Calibri" w:eastAsiaTheme="minorEastAsia" w:hAnsi="Calibri" w:cs="Calibri"/>
                <w:sz w:val="20"/>
                <w:lang w:eastAsia="en-AU"/>
              </w:rPr>
            </w:pPr>
            <w:r w:rsidRPr="0053172E">
              <w:rPr>
                <w:rFonts w:ascii="Calibri" w:eastAsiaTheme="minorEastAsia" w:hAnsi="Calibri" w:cs="Calibri"/>
                <w:sz w:val="20"/>
                <w:lang w:eastAsia="en-AU"/>
              </w:rPr>
              <w:t>(0.2)</w:t>
            </w:r>
          </w:p>
        </w:tc>
      </w:tr>
      <w:tr w:rsidR="00965D85" w:rsidRPr="0053172E" w:rsidTr="008B46DF">
        <w:tc>
          <w:tcPr>
            <w:tcW w:w="4647" w:type="dxa"/>
            <w:tcBorders>
              <w:top w:val="nil"/>
              <w:left w:val="nil"/>
              <w:bottom w:val="single" w:sz="12" w:space="0" w:color="000000"/>
              <w:right w:val="nil"/>
            </w:tcBorders>
          </w:tcPr>
          <w:p w:rsidR="00965D85" w:rsidRPr="0053172E" w:rsidRDefault="00965D85" w:rsidP="008B46DF">
            <w:pPr>
              <w:autoSpaceDE w:val="0"/>
              <w:autoSpaceDN w:val="0"/>
              <w:adjustRightInd w:val="0"/>
              <w:spacing w:after="0"/>
              <w:rPr>
                <w:rFonts w:ascii="Calibri" w:eastAsiaTheme="minorEastAsia" w:hAnsi="Calibri" w:cs="Calibri"/>
                <w:sz w:val="20"/>
                <w:vertAlign w:val="superscript"/>
                <w:lang w:eastAsia="en-AU"/>
              </w:rPr>
            </w:pPr>
            <w:r w:rsidRPr="0053172E">
              <w:rPr>
                <w:rFonts w:ascii="Calibri" w:eastAsiaTheme="minorEastAsia" w:hAnsi="Calibri" w:cs="Calibri"/>
                <w:sz w:val="20"/>
                <w:lang w:eastAsia="en-AU"/>
              </w:rPr>
              <w:t xml:space="preserve">Wage price index </w:t>
            </w:r>
            <w:r w:rsidRPr="0053172E">
              <w:rPr>
                <w:rFonts w:ascii="Calibri" w:eastAsiaTheme="minorEastAsia" w:hAnsi="Calibri" w:cs="Calibri"/>
                <w:sz w:val="20"/>
                <w:vertAlign w:val="superscript"/>
                <w:lang w:eastAsia="en-AU"/>
              </w:rPr>
              <w:t>(c)</w:t>
            </w:r>
          </w:p>
        </w:tc>
        <w:tc>
          <w:tcPr>
            <w:tcW w:w="1040" w:type="dxa"/>
            <w:tcBorders>
              <w:top w:val="nil"/>
              <w:left w:val="nil"/>
              <w:bottom w:val="single" w:sz="12" w:space="0" w:color="000000"/>
              <w:right w:val="nil"/>
            </w:tcBorders>
            <w:shd w:val="solid" w:color="FFFFFF" w:fill="auto"/>
          </w:tcPr>
          <w:p w:rsidR="00965D85" w:rsidRPr="0053172E" w:rsidRDefault="00965D85" w:rsidP="008B46DF">
            <w:pPr>
              <w:autoSpaceDE w:val="0"/>
              <w:autoSpaceDN w:val="0"/>
              <w:adjustRightInd w:val="0"/>
              <w:spacing w:after="0"/>
              <w:jc w:val="right"/>
              <w:rPr>
                <w:rFonts w:ascii="Calibri" w:eastAsiaTheme="minorEastAsia" w:hAnsi="Calibri" w:cs="Calibri"/>
                <w:sz w:val="20"/>
                <w:lang w:eastAsia="en-AU"/>
              </w:rPr>
            </w:pPr>
            <w:r w:rsidRPr="0053172E">
              <w:rPr>
                <w:rFonts w:ascii="Calibri" w:eastAsiaTheme="minorEastAsia" w:hAnsi="Calibri" w:cs="Calibri"/>
                <w:sz w:val="20"/>
                <w:lang w:eastAsia="en-AU"/>
              </w:rPr>
              <w:t>3.8</w:t>
            </w:r>
          </w:p>
        </w:tc>
        <w:tc>
          <w:tcPr>
            <w:tcW w:w="1040" w:type="dxa"/>
            <w:tcBorders>
              <w:top w:val="nil"/>
              <w:left w:val="nil"/>
              <w:bottom w:val="single" w:sz="12" w:space="0" w:color="000000"/>
              <w:right w:val="nil"/>
            </w:tcBorders>
            <w:shd w:val="solid" w:color="FFFFFF" w:fill="auto"/>
          </w:tcPr>
          <w:p w:rsidR="00965D85" w:rsidRPr="0053172E" w:rsidRDefault="00965D85" w:rsidP="008B46DF">
            <w:pPr>
              <w:autoSpaceDE w:val="0"/>
              <w:autoSpaceDN w:val="0"/>
              <w:adjustRightInd w:val="0"/>
              <w:spacing w:after="0"/>
              <w:jc w:val="right"/>
              <w:rPr>
                <w:rFonts w:ascii="Calibri" w:eastAsiaTheme="minorEastAsia" w:hAnsi="Calibri" w:cs="Calibri"/>
                <w:sz w:val="20"/>
                <w:lang w:eastAsia="en-AU"/>
              </w:rPr>
            </w:pPr>
            <w:r w:rsidRPr="0053172E">
              <w:rPr>
                <w:rFonts w:ascii="Calibri" w:eastAsiaTheme="minorEastAsia" w:hAnsi="Calibri" w:cs="Calibri"/>
                <w:sz w:val="20"/>
                <w:lang w:eastAsia="en-AU"/>
              </w:rPr>
              <w:t>4.0</w:t>
            </w:r>
          </w:p>
        </w:tc>
        <w:tc>
          <w:tcPr>
            <w:tcW w:w="1040" w:type="dxa"/>
            <w:tcBorders>
              <w:top w:val="nil"/>
              <w:left w:val="nil"/>
              <w:bottom w:val="single" w:sz="12" w:space="0" w:color="000000"/>
              <w:right w:val="nil"/>
            </w:tcBorders>
            <w:shd w:val="solid" w:color="FFFFFF" w:fill="auto"/>
          </w:tcPr>
          <w:p w:rsidR="00965D85" w:rsidRPr="0053172E" w:rsidRDefault="00965D85" w:rsidP="008B46DF">
            <w:pPr>
              <w:autoSpaceDE w:val="0"/>
              <w:autoSpaceDN w:val="0"/>
              <w:adjustRightInd w:val="0"/>
              <w:spacing w:after="0"/>
              <w:jc w:val="right"/>
              <w:rPr>
                <w:rFonts w:ascii="Calibri" w:eastAsiaTheme="minorEastAsia" w:hAnsi="Calibri" w:cs="Calibri"/>
                <w:sz w:val="20"/>
                <w:lang w:eastAsia="en-AU"/>
              </w:rPr>
            </w:pPr>
            <w:r w:rsidRPr="0053172E">
              <w:rPr>
                <w:rFonts w:ascii="Calibri" w:eastAsiaTheme="minorEastAsia" w:hAnsi="Calibri" w:cs="Calibri"/>
                <w:sz w:val="20"/>
                <w:lang w:eastAsia="en-AU"/>
              </w:rPr>
              <w:t>0.3</w:t>
            </w:r>
          </w:p>
        </w:tc>
      </w:tr>
    </w:tbl>
    <w:p w:rsidR="00965D85" w:rsidRPr="00F216F2" w:rsidRDefault="00965D85" w:rsidP="008B46DF">
      <w:pPr>
        <w:pStyle w:val="Source"/>
      </w:pPr>
      <w:r>
        <w:fldChar w:fldCharType="end"/>
      </w:r>
      <w:r w:rsidRPr="00C53B5B">
        <w:t>Sources</w:t>
      </w:r>
      <w:r w:rsidRPr="00F216F2">
        <w:t>: Australian Bureau of Statistics; Department of Treasury and Finance</w:t>
      </w:r>
    </w:p>
    <w:p w:rsidR="00965D85" w:rsidRPr="00C53B5B" w:rsidRDefault="00965D85" w:rsidP="008B46DF">
      <w:pPr>
        <w:pStyle w:val="Notes"/>
      </w:pPr>
      <w:r w:rsidRPr="00C53B5B">
        <w:t>Notes:</w:t>
      </w:r>
    </w:p>
    <w:p w:rsidR="00965D85" w:rsidRPr="00C53B5B" w:rsidRDefault="00965D85" w:rsidP="008B46DF">
      <w:pPr>
        <w:pStyle w:val="Notes"/>
      </w:pPr>
      <w:r>
        <w:t>(a)</w:t>
      </w:r>
      <w:r>
        <w:tab/>
      </w:r>
      <w:r w:rsidRPr="00C53B5B">
        <w:t xml:space="preserve">Forecast in May 2008 for </w:t>
      </w:r>
      <w:r w:rsidRPr="00C53B5B">
        <w:rPr>
          <w:i w:val="0"/>
        </w:rPr>
        <w:t>2008</w:t>
      </w:r>
      <w:r>
        <w:rPr>
          <w:i w:val="0"/>
        </w:rPr>
        <w:noBreakHyphen/>
      </w:r>
      <w:r w:rsidRPr="00C53B5B">
        <w:rPr>
          <w:i w:val="0"/>
        </w:rPr>
        <w:t>09 Budget</w:t>
      </w:r>
      <w:r w:rsidRPr="00C53B5B">
        <w:t>.</w:t>
      </w:r>
    </w:p>
    <w:p w:rsidR="00965D85" w:rsidRPr="00C53B5B" w:rsidRDefault="00965D85" w:rsidP="008B46DF">
      <w:pPr>
        <w:pStyle w:val="Notes"/>
      </w:pPr>
      <w:r>
        <w:t>(b)</w:t>
      </w:r>
      <w:r>
        <w:tab/>
      </w:r>
      <w:r w:rsidRPr="00C53B5B">
        <w:t>Percentage point variation.</w:t>
      </w:r>
    </w:p>
    <w:p w:rsidR="00965D85" w:rsidRPr="00C53B5B" w:rsidRDefault="00965D85" w:rsidP="008B46DF">
      <w:pPr>
        <w:pStyle w:val="Notes"/>
      </w:pPr>
      <w:r>
        <w:t>(c)</w:t>
      </w:r>
      <w:r>
        <w:tab/>
      </w:r>
      <w:r w:rsidRPr="00C53B5B">
        <w:t>Total hourly rate excluding bonuses.</w:t>
      </w:r>
    </w:p>
    <w:p w:rsidR="00965D85" w:rsidRDefault="00965D85" w:rsidP="008B46DF">
      <w:pPr>
        <w:ind w:right="-98"/>
        <w:rPr>
          <w:lang w:eastAsia="en-AU"/>
        </w:rPr>
      </w:pPr>
      <w:r>
        <w:rPr>
          <w:lang w:eastAsia="en-AU"/>
        </w:rPr>
        <w:lastRenderedPageBreak/>
        <w:t>The impact of the global financial crisis on revenue is evident in Table D.5, which shows forecast revenue and expenditure compared with the actual outcome. Both revenue and expenditure were underestimated; however expenditure was underestimated to a greater extent leading to a forecast error of $576 million in the net result from transactions.</w:t>
      </w:r>
    </w:p>
    <w:p w:rsidR="00965D85" w:rsidRDefault="00965D85" w:rsidP="008B46DF">
      <w:pPr>
        <w:ind w:right="-98"/>
        <w:rPr>
          <w:lang w:eastAsia="en-AU"/>
        </w:rPr>
      </w:pPr>
      <w:r>
        <w:rPr>
          <w:lang w:eastAsia="en-AU"/>
        </w:rPr>
        <w:t xml:space="preserve">This increase in expenditure largely reflects the Commonwealth Government’s fiscal stimulus packages, such as </w:t>
      </w:r>
      <w:r w:rsidRPr="0028283C">
        <w:rPr>
          <w:i/>
        </w:rPr>
        <w:t>Building the Education Revolution</w:t>
      </w:r>
      <w:r>
        <w:rPr>
          <w:lang w:eastAsia="en-AU"/>
        </w:rPr>
        <w:t>, which were mostly distributed by the states.</w:t>
      </w:r>
    </w:p>
    <w:p w:rsidR="00965D85" w:rsidRDefault="00965D85" w:rsidP="008B46DF">
      <w:pPr>
        <w:ind w:right="-98"/>
        <w:rPr>
          <w:lang w:eastAsia="en-AU"/>
        </w:rPr>
      </w:pPr>
      <w:r>
        <w:rPr>
          <w:lang w:eastAsia="en-AU"/>
        </w:rPr>
        <w:t>Much of the overestimation of taxation revenue can be attributed to the weak performance of the property market, with the land transfer duty forecast being over $900 million higher than the actual outcome. By contrast, the error in the forecast of payroll tax revenue was small and partly reflects the response of employers to hoard labour.</w:t>
      </w:r>
    </w:p>
    <w:p w:rsidR="00965D85" w:rsidRDefault="00965D85" w:rsidP="008B46DF">
      <w:pPr>
        <w:ind w:right="-98"/>
        <w:rPr>
          <w:lang w:eastAsia="en-AU"/>
        </w:rPr>
      </w:pPr>
      <w:r>
        <w:rPr>
          <w:lang w:eastAsia="en-AU"/>
        </w:rPr>
        <w:t>The pervading weak consumer sentiment during the global financial crisis led to much weaker consumption growth, and consequently to a sizeable forecast error for GST revenue. The global financial crisis seems to have created a structural shift in the economy, with the impacts felt over a number of years. Households adjusted their behaviour and entered a phase of reducing debt. This hastened the return of the household savings ratio to long</w:t>
      </w:r>
      <w:r>
        <w:rPr>
          <w:lang w:eastAsia="en-AU"/>
        </w:rPr>
        <w:noBreakHyphen/>
        <w:t>term averages, following a sustained period of near zero savings.</w:t>
      </w:r>
    </w:p>
    <w:p w:rsidR="00965D85" w:rsidRDefault="00965D85" w:rsidP="008B46DF">
      <w:pPr>
        <w:ind w:right="-98"/>
        <w:rPr>
          <w:lang w:eastAsia="en-AU"/>
        </w:rPr>
      </w:pPr>
      <w:r>
        <w:rPr>
          <w:lang w:eastAsia="en-AU"/>
        </w:rPr>
        <w:t>The overestimation of land transfer duty and GST was dwarfed by the underestimation of other revenues. A large share of this was the increased Commonwealth Government disbursements to the states as part of the stimulus package. However, these revenues were partially offset by increased expenditure as the Commonwealth Government’s stimulus payments were spent. Of the $3.2 billion forecast error for other revenues, approximately $2.4 billion is attributable to grants revenue other than GST.</w:t>
      </w:r>
    </w:p>
    <w:p w:rsidR="00965D85" w:rsidRDefault="00965D85" w:rsidP="008B46DF">
      <w:pPr>
        <w:ind w:right="-98"/>
        <w:rPr>
          <w:lang w:eastAsia="en-AU"/>
        </w:rPr>
      </w:pPr>
      <w:r>
        <w:rPr>
          <w:lang w:eastAsia="en-AU"/>
        </w:rPr>
        <w:t>This analysis reports the contemporaneous effect of macroeconomic shocks, whereas in many situations there will be enduring influences. While the national GST pool recovered from the lows of 2009</w:t>
      </w:r>
      <w:r>
        <w:rPr>
          <w:lang w:eastAsia="en-AU"/>
        </w:rPr>
        <w:noBreakHyphen/>
        <w:t>10 following the global financial crisis, since then its growth has remained below trend. This is consistent with the changes in household consumption. Similarly, following a temporary recovery in land transfer volumes in 2009</w:t>
      </w:r>
      <w:r>
        <w:rPr>
          <w:lang w:eastAsia="en-AU"/>
        </w:rPr>
        <w:noBreakHyphen/>
        <w:t>10, property market turnover was subdued in subsequent years as potential buyers were cautious about entering the market.</w:t>
      </w:r>
    </w:p>
    <w:p w:rsidR="00965D85" w:rsidRDefault="00965D85" w:rsidP="008B46DF">
      <w:pPr>
        <w:pStyle w:val="Tableheading"/>
        <w:spacing w:before="160"/>
        <w:ind w:left="1151" w:hanging="1151"/>
      </w:pPr>
      <w:r>
        <w:t>Table D.5:</w:t>
      </w:r>
      <w:r>
        <w:tab/>
        <w:t xml:space="preserve">Actual deviations of key revenue lines from </w:t>
      </w:r>
      <w:r>
        <w:rPr>
          <w:i/>
        </w:rPr>
        <w:t>2008</w:t>
      </w:r>
      <w:r>
        <w:rPr>
          <w:i/>
        </w:rPr>
        <w:noBreakHyphen/>
        <w:t>09</w:t>
      </w:r>
      <w:r>
        <w:t xml:space="preserve"> </w:t>
      </w:r>
      <w:r>
        <w:rPr>
          <w:i/>
        </w:rPr>
        <w:t>Budget</w:t>
      </w:r>
      <w:r>
        <w:t xml:space="preserve"> forecasts</w:t>
      </w:r>
    </w:p>
    <w:p w:rsidR="00965D85" w:rsidRPr="0053172E" w:rsidRDefault="00965D85" w:rsidP="008B46DF">
      <w:pPr>
        <w:pStyle w:val="million"/>
        <w:rPr>
          <w:rFonts w:ascii="Times New Roman" w:hAnsi="Times New Roman"/>
          <w:sz w:val="20"/>
          <w:lang w:eastAsia="en-AU"/>
        </w:rPr>
      </w:pPr>
      <w:r>
        <w:rPr>
          <w:lang w:eastAsia="en-AU"/>
        </w:rPr>
        <w:t xml:space="preserve">($ million) </w:t>
      </w:r>
      <w:r>
        <w:rPr>
          <w:rFonts w:cs="Garamond"/>
          <w:lang w:eastAsia="en-AU"/>
        </w:rPr>
        <w:fldChar w:fldCharType="begin" w:fldLock="1"/>
      </w:r>
      <w:r>
        <w:rPr>
          <w:rFonts w:cs="Garamond"/>
          <w:lang w:eastAsia="en-AU"/>
        </w:rPr>
        <w:instrText xml:space="preserve"> LINK Excel.Sheet.12 \\\\PDCPTPRDFIL01\\DTFDATA02$\\SECURED\\Budget\\BudgetUpdate\\AppendixD\\2015-16BudUpd_AppD.xlsx Option2_Tables!ActualDeviations_KeyRevenue \f 4 \r \* MERGEFORMAT </w:instrText>
      </w:r>
      <w:r>
        <w:rPr>
          <w:rFonts w:cs="Garamond"/>
          <w:lang w:eastAsia="en-AU"/>
        </w:rPr>
        <w:fldChar w:fldCharType="separate"/>
      </w:r>
    </w:p>
    <w:tbl>
      <w:tblPr>
        <w:tblW w:w="7767" w:type="dxa"/>
        <w:tblInd w:w="28" w:type="dxa"/>
        <w:tblLayout w:type="fixed"/>
        <w:tblCellMar>
          <w:left w:w="45" w:type="dxa"/>
          <w:right w:w="45" w:type="dxa"/>
        </w:tblCellMar>
        <w:tblLook w:val="0000" w:firstRow="0" w:lastRow="0" w:firstColumn="0" w:lastColumn="0" w:noHBand="0" w:noVBand="0"/>
      </w:tblPr>
      <w:tblGrid>
        <w:gridCol w:w="4647"/>
        <w:gridCol w:w="1040"/>
        <w:gridCol w:w="1040"/>
        <w:gridCol w:w="1040"/>
      </w:tblGrid>
      <w:tr w:rsidR="00965D85" w:rsidRPr="0053172E" w:rsidTr="008B46DF">
        <w:trPr>
          <w:trHeight w:val="503"/>
        </w:trPr>
        <w:tc>
          <w:tcPr>
            <w:tcW w:w="4647" w:type="dxa"/>
            <w:tcBorders>
              <w:top w:val="single" w:sz="6" w:space="0" w:color="000000"/>
              <w:left w:val="single" w:sz="6" w:space="0" w:color="000000"/>
            </w:tcBorders>
            <w:shd w:val="clear" w:color="000000" w:fill="000000"/>
          </w:tcPr>
          <w:p w:rsidR="00965D85" w:rsidRPr="0053172E" w:rsidRDefault="00965D85" w:rsidP="008B46DF">
            <w:pPr>
              <w:pStyle w:val="Tabletextheading"/>
              <w:jc w:val="left"/>
              <w:rPr>
                <w:rFonts w:eastAsiaTheme="minorEastAsia"/>
                <w:color w:val="FFFFFF"/>
                <w:lang w:eastAsia="en-AU"/>
              </w:rPr>
            </w:pPr>
          </w:p>
        </w:tc>
        <w:tc>
          <w:tcPr>
            <w:tcW w:w="1040" w:type="dxa"/>
            <w:tcBorders>
              <w:top w:val="single" w:sz="6" w:space="0" w:color="000000"/>
            </w:tcBorders>
            <w:shd w:val="clear" w:color="000000" w:fill="000000"/>
          </w:tcPr>
          <w:p w:rsidR="00965D85" w:rsidRPr="0053172E" w:rsidRDefault="00965D85" w:rsidP="008B46DF">
            <w:pPr>
              <w:pStyle w:val="Tabletextheading"/>
              <w:rPr>
                <w:rFonts w:eastAsiaTheme="minorEastAsia"/>
                <w:iCs/>
                <w:color w:val="FFFFFF"/>
                <w:lang w:eastAsia="en-AU"/>
              </w:rPr>
            </w:pPr>
            <w:r w:rsidRPr="0053172E">
              <w:rPr>
                <w:rFonts w:eastAsiaTheme="minorEastAsia"/>
                <w:iCs/>
                <w:color w:val="FFFFFF"/>
                <w:lang w:eastAsia="en-AU"/>
              </w:rPr>
              <w:t>2008-09</w:t>
            </w:r>
          </w:p>
          <w:p w:rsidR="00965D85" w:rsidRPr="0053172E" w:rsidRDefault="00965D85" w:rsidP="008B46DF">
            <w:pPr>
              <w:pStyle w:val="Tabletextheading"/>
              <w:rPr>
                <w:rFonts w:eastAsiaTheme="minorEastAsia"/>
                <w:iCs/>
                <w:color w:val="FFFFFF"/>
                <w:lang w:eastAsia="en-AU"/>
              </w:rPr>
            </w:pPr>
            <w:r w:rsidRPr="0053172E">
              <w:rPr>
                <w:rFonts w:eastAsiaTheme="minorEastAsia"/>
                <w:iCs/>
                <w:color w:val="FFFFFF"/>
                <w:lang w:eastAsia="en-AU"/>
              </w:rPr>
              <w:t>budget</w:t>
            </w:r>
          </w:p>
        </w:tc>
        <w:tc>
          <w:tcPr>
            <w:tcW w:w="1040" w:type="dxa"/>
            <w:tcBorders>
              <w:top w:val="single" w:sz="6" w:space="0" w:color="000000"/>
            </w:tcBorders>
            <w:shd w:val="clear" w:color="000000" w:fill="000000"/>
          </w:tcPr>
          <w:p w:rsidR="00965D85" w:rsidRPr="0053172E" w:rsidRDefault="00965D85" w:rsidP="008B46DF">
            <w:pPr>
              <w:pStyle w:val="Tabletextheading"/>
              <w:rPr>
                <w:rFonts w:eastAsiaTheme="minorEastAsia"/>
                <w:iCs/>
                <w:color w:val="FFFFFF"/>
                <w:lang w:eastAsia="en-AU"/>
              </w:rPr>
            </w:pPr>
            <w:r w:rsidRPr="0053172E">
              <w:rPr>
                <w:rFonts w:eastAsiaTheme="minorEastAsia"/>
                <w:iCs/>
                <w:color w:val="FFFFFF"/>
                <w:lang w:eastAsia="en-AU"/>
              </w:rPr>
              <w:t>2008-09</w:t>
            </w:r>
          </w:p>
          <w:p w:rsidR="00965D85" w:rsidRPr="0053172E" w:rsidRDefault="00965D85" w:rsidP="008B46DF">
            <w:pPr>
              <w:pStyle w:val="Tabletextheading"/>
              <w:rPr>
                <w:rFonts w:eastAsiaTheme="minorEastAsia"/>
                <w:iCs/>
                <w:color w:val="FFFFFF"/>
                <w:lang w:eastAsia="en-AU"/>
              </w:rPr>
            </w:pPr>
            <w:r w:rsidRPr="0053172E">
              <w:rPr>
                <w:rFonts w:eastAsiaTheme="minorEastAsia"/>
                <w:iCs/>
                <w:color w:val="FFFFFF"/>
                <w:lang w:eastAsia="en-AU"/>
              </w:rPr>
              <w:t>actual</w:t>
            </w:r>
          </w:p>
        </w:tc>
        <w:tc>
          <w:tcPr>
            <w:tcW w:w="1040" w:type="dxa"/>
            <w:tcBorders>
              <w:top w:val="single" w:sz="6" w:space="0" w:color="000000"/>
              <w:right w:val="single" w:sz="6" w:space="0" w:color="000000"/>
            </w:tcBorders>
            <w:shd w:val="clear" w:color="000000" w:fill="000000"/>
          </w:tcPr>
          <w:p w:rsidR="00965D85" w:rsidRPr="0053172E" w:rsidRDefault="00965D85" w:rsidP="008B46DF">
            <w:pPr>
              <w:pStyle w:val="Tabletextheading"/>
              <w:rPr>
                <w:rFonts w:eastAsiaTheme="minorEastAsia"/>
                <w:iCs/>
                <w:color w:val="FFFFFF"/>
                <w:lang w:eastAsia="en-AU"/>
              </w:rPr>
            </w:pPr>
            <w:r w:rsidRPr="0053172E">
              <w:rPr>
                <w:rFonts w:eastAsiaTheme="minorEastAsia"/>
                <w:iCs/>
                <w:color w:val="FFFFFF"/>
                <w:lang w:eastAsia="en-AU"/>
              </w:rPr>
              <w:t>Forecast</w:t>
            </w:r>
          </w:p>
          <w:p w:rsidR="00965D85" w:rsidRPr="0053172E" w:rsidRDefault="00965D85" w:rsidP="008B46DF">
            <w:pPr>
              <w:pStyle w:val="Tabletextheading"/>
              <w:rPr>
                <w:rFonts w:eastAsiaTheme="minorEastAsia"/>
                <w:iCs/>
                <w:color w:val="FFFFFF"/>
                <w:lang w:eastAsia="en-AU"/>
              </w:rPr>
            </w:pPr>
            <w:r w:rsidRPr="0053172E">
              <w:rPr>
                <w:rFonts w:eastAsiaTheme="minorEastAsia"/>
                <w:iCs/>
                <w:color w:val="FFFFFF"/>
                <w:lang w:eastAsia="en-AU"/>
              </w:rPr>
              <w:t>error</w:t>
            </w:r>
          </w:p>
        </w:tc>
      </w:tr>
      <w:tr w:rsidR="00965D85" w:rsidRPr="0053172E" w:rsidTr="008B46DF">
        <w:tc>
          <w:tcPr>
            <w:tcW w:w="4647" w:type="dxa"/>
            <w:tcBorders>
              <w:top w:val="single" w:sz="6" w:space="0" w:color="000000"/>
              <w:left w:val="nil"/>
              <w:bottom w:val="nil"/>
              <w:right w:val="nil"/>
            </w:tcBorders>
          </w:tcPr>
          <w:p w:rsidR="00965D85" w:rsidRPr="0053172E" w:rsidRDefault="00965D85" w:rsidP="008B46DF">
            <w:pPr>
              <w:autoSpaceDE w:val="0"/>
              <w:autoSpaceDN w:val="0"/>
              <w:adjustRightInd w:val="0"/>
              <w:spacing w:after="0"/>
              <w:rPr>
                <w:rFonts w:ascii="Calibri" w:eastAsiaTheme="minorEastAsia" w:hAnsi="Calibri" w:cs="Calibri"/>
                <w:sz w:val="20"/>
                <w:lang w:eastAsia="en-AU"/>
              </w:rPr>
            </w:pPr>
            <w:r w:rsidRPr="0053172E">
              <w:rPr>
                <w:rFonts w:ascii="Calibri" w:eastAsiaTheme="minorEastAsia" w:hAnsi="Calibri" w:cs="Calibri"/>
                <w:sz w:val="20"/>
                <w:lang w:eastAsia="en-AU"/>
              </w:rPr>
              <w:t>Payroll taxes</w:t>
            </w:r>
          </w:p>
        </w:tc>
        <w:tc>
          <w:tcPr>
            <w:tcW w:w="1040" w:type="dxa"/>
            <w:tcBorders>
              <w:top w:val="single" w:sz="6" w:space="0" w:color="000000"/>
              <w:left w:val="nil"/>
              <w:bottom w:val="nil"/>
              <w:right w:val="nil"/>
            </w:tcBorders>
          </w:tcPr>
          <w:p w:rsidR="00965D85" w:rsidRPr="0053172E" w:rsidRDefault="00965D85" w:rsidP="008B46DF">
            <w:pPr>
              <w:autoSpaceDE w:val="0"/>
              <w:autoSpaceDN w:val="0"/>
              <w:adjustRightInd w:val="0"/>
              <w:spacing w:after="0"/>
              <w:jc w:val="right"/>
              <w:rPr>
                <w:rFonts w:ascii="Calibri" w:eastAsiaTheme="minorEastAsia" w:hAnsi="Calibri" w:cs="Calibri"/>
                <w:sz w:val="20"/>
                <w:lang w:eastAsia="en-AU"/>
              </w:rPr>
            </w:pPr>
            <w:r w:rsidRPr="0053172E">
              <w:rPr>
                <w:rFonts w:ascii="Calibri" w:eastAsiaTheme="minorEastAsia" w:hAnsi="Calibri" w:cs="Calibri"/>
                <w:sz w:val="20"/>
                <w:lang w:eastAsia="en-AU"/>
              </w:rPr>
              <w:t>3 963</w:t>
            </w:r>
          </w:p>
        </w:tc>
        <w:tc>
          <w:tcPr>
            <w:tcW w:w="1040" w:type="dxa"/>
            <w:tcBorders>
              <w:top w:val="single" w:sz="6" w:space="0" w:color="000000"/>
              <w:left w:val="nil"/>
              <w:bottom w:val="nil"/>
              <w:right w:val="nil"/>
            </w:tcBorders>
          </w:tcPr>
          <w:p w:rsidR="00965D85" w:rsidRPr="0053172E" w:rsidRDefault="00965D85" w:rsidP="008B46DF">
            <w:pPr>
              <w:autoSpaceDE w:val="0"/>
              <w:autoSpaceDN w:val="0"/>
              <w:adjustRightInd w:val="0"/>
              <w:spacing w:after="0"/>
              <w:jc w:val="right"/>
              <w:rPr>
                <w:rFonts w:ascii="Calibri" w:eastAsiaTheme="minorEastAsia" w:hAnsi="Calibri" w:cs="Calibri"/>
                <w:sz w:val="20"/>
                <w:lang w:eastAsia="en-AU"/>
              </w:rPr>
            </w:pPr>
            <w:r w:rsidRPr="0053172E">
              <w:rPr>
                <w:rFonts w:ascii="Calibri" w:eastAsiaTheme="minorEastAsia" w:hAnsi="Calibri" w:cs="Calibri"/>
                <w:sz w:val="20"/>
                <w:lang w:eastAsia="en-AU"/>
              </w:rPr>
              <w:t>3 980</w:t>
            </w:r>
          </w:p>
        </w:tc>
        <w:tc>
          <w:tcPr>
            <w:tcW w:w="1040" w:type="dxa"/>
            <w:tcBorders>
              <w:top w:val="single" w:sz="6" w:space="0" w:color="000000"/>
              <w:left w:val="nil"/>
              <w:bottom w:val="nil"/>
              <w:right w:val="nil"/>
            </w:tcBorders>
          </w:tcPr>
          <w:p w:rsidR="00965D85" w:rsidRPr="0053172E" w:rsidRDefault="00965D85" w:rsidP="008B46DF">
            <w:pPr>
              <w:autoSpaceDE w:val="0"/>
              <w:autoSpaceDN w:val="0"/>
              <w:adjustRightInd w:val="0"/>
              <w:spacing w:after="0"/>
              <w:jc w:val="right"/>
              <w:rPr>
                <w:rFonts w:ascii="Calibri" w:eastAsiaTheme="minorEastAsia" w:hAnsi="Calibri" w:cs="Calibri"/>
                <w:sz w:val="20"/>
                <w:lang w:eastAsia="en-AU"/>
              </w:rPr>
            </w:pPr>
            <w:r w:rsidRPr="0053172E">
              <w:rPr>
                <w:rFonts w:ascii="Calibri" w:eastAsiaTheme="minorEastAsia" w:hAnsi="Calibri" w:cs="Calibri"/>
                <w:sz w:val="20"/>
                <w:lang w:eastAsia="en-AU"/>
              </w:rPr>
              <w:t xml:space="preserve"> 17</w:t>
            </w:r>
          </w:p>
        </w:tc>
      </w:tr>
      <w:tr w:rsidR="00965D85" w:rsidRPr="0053172E" w:rsidTr="008B46DF">
        <w:tc>
          <w:tcPr>
            <w:tcW w:w="4647" w:type="dxa"/>
            <w:tcBorders>
              <w:top w:val="nil"/>
              <w:left w:val="nil"/>
              <w:bottom w:val="nil"/>
              <w:right w:val="nil"/>
            </w:tcBorders>
          </w:tcPr>
          <w:p w:rsidR="00965D85" w:rsidRPr="0053172E" w:rsidRDefault="00965D85" w:rsidP="008B46DF">
            <w:pPr>
              <w:autoSpaceDE w:val="0"/>
              <w:autoSpaceDN w:val="0"/>
              <w:adjustRightInd w:val="0"/>
              <w:spacing w:after="0"/>
              <w:rPr>
                <w:rFonts w:ascii="Calibri" w:eastAsiaTheme="minorEastAsia" w:hAnsi="Calibri" w:cs="Calibri"/>
                <w:sz w:val="20"/>
                <w:lang w:eastAsia="en-AU"/>
              </w:rPr>
            </w:pPr>
            <w:r w:rsidRPr="0053172E">
              <w:rPr>
                <w:rFonts w:ascii="Calibri" w:eastAsiaTheme="minorEastAsia" w:hAnsi="Calibri" w:cs="Calibri"/>
                <w:sz w:val="20"/>
                <w:lang w:eastAsia="en-AU"/>
              </w:rPr>
              <w:t>Land transfer duty</w:t>
            </w:r>
          </w:p>
        </w:tc>
        <w:tc>
          <w:tcPr>
            <w:tcW w:w="1040" w:type="dxa"/>
            <w:tcBorders>
              <w:top w:val="nil"/>
              <w:left w:val="nil"/>
              <w:bottom w:val="nil"/>
              <w:right w:val="nil"/>
            </w:tcBorders>
          </w:tcPr>
          <w:p w:rsidR="00965D85" w:rsidRPr="0053172E" w:rsidRDefault="00965D85" w:rsidP="008B46DF">
            <w:pPr>
              <w:autoSpaceDE w:val="0"/>
              <w:autoSpaceDN w:val="0"/>
              <w:adjustRightInd w:val="0"/>
              <w:spacing w:after="0"/>
              <w:jc w:val="right"/>
              <w:rPr>
                <w:rFonts w:ascii="Calibri" w:eastAsiaTheme="minorEastAsia" w:hAnsi="Calibri" w:cs="Calibri"/>
                <w:sz w:val="20"/>
                <w:lang w:eastAsia="en-AU"/>
              </w:rPr>
            </w:pPr>
            <w:r w:rsidRPr="0053172E">
              <w:rPr>
                <w:rFonts w:ascii="Calibri" w:eastAsiaTheme="minorEastAsia" w:hAnsi="Calibri" w:cs="Calibri"/>
                <w:sz w:val="20"/>
                <w:lang w:eastAsia="en-AU"/>
              </w:rPr>
              <w:t>3 737</w:t>
            </w:r>
          </w:p>
        </w:tc>
        <w:tc>
          <w:tcPr>
            <w:tcW w:w="1040" w:type="dxa"/>
            <w:tcBorders>
              <w:top w:val="nil"/>
              <w:left w:val="nil"/>
              <w:bottom w:val="nil"/>
              <w:right w:val="nil"/>
            </w:tcBorders>
          </w:tcPr>
          <w:p w:rsidR="00965D85" w:rsidRPr="0053172E" w:rsidRDefault="00965D85" w:rsidP="008B46DF">
            <w:pPr>
              <w:autoSpaceDE w:val="0"/>
              <w:autoSpaceDN w:val="0"/>
              <w:adjustRightInd w:val="0"/>
              <w:spacing w:after="0"/>
              <w:jc w:val="right"/>
              <w:rPr>
                <w:rFonts w:ascii="Calibri" w:eastAsiaTheme="minorEastAsia" w:hAnsi="Calibri" w:cs="Calibri"/>
                <w:sz w:val="20"/>
                <w:lang w:eastAsia="en-AU"/>
              </w:rPr>
            </w:pPr>
            <w:r w:rsidRPr="0053172E">
              <w:rPr>
                <w:rFonts w:ascii="Calibri" w:eastAsiaTheme="minorEastAsia" w:hAnsi="Calibri" w:cs="Calibri"/>
                <w:sz w:val="20"/>
                <w:lang w:eastAsia="en-AU"/>
              </w:rPr>
              <w:t>2 801</w:t>
            </w:r>
          </w:p>
        </w:tc>
        <w:tc>
          <w:tcPr>
            <w:tcW w:w="1040" w:type="dxa"/>
            <w:tcBorders>
              <w:top w:val="nil"/>
              <w:left w:val="nil"/>
              <w:bottom w:val="nil"/>
              <w:right w:val="nil"/>
            </w:tcBorders>
          </w:tcPr>
          <w:p w:rsidR="00965D85" w:rsidRPr="0053172E" w:rsidRDefault="00965D85" w:rsidP="008B46DF">
            <w:pPr>
              <w:autoSpaceDE w:val="0"/>
              <w:autoSpaceDN w:val="0"/>
              <w:adjustRightInd w:val="0"/>
              <w:spacing w:after="0"/>
              <w:jc w:val="right"/>
              <w:rPr>
                <w:rFonts w:ascii="Calibri" w:eastAsiaTheme="minorEastAsia" w:hAnsi="Calibri" w:cs="Calibri"/>
                <w:sz w:val="20"/>
                <w:lang w:eastAsia="en-AU"/>
              </w:rPr>
            </w:pPr>
            <w:r>
              <w:rPr>
                <w:rFonts w:ascii="Calibri" w:eastAsiaTheme="minorEastAsia" w:hAnsi="Calibri" w:cs="Calibri"/>
                <w:sz w:val="20"/>
                <w:lang w:eastAsia="en-AU"/>
              </w:rPr>
              <w:t>(936)</w:t>
            </w:r>
          </w:p>
        </w:tc>
      </w:tr>
      <w:tr w:rsidR="00965D85" w:rsidRPr="0053172E" w:rsidTr="008B46DF">
        <w:tc>
          <w:tcPr>
            <w:tcW w:w="4647" w:type="dxa"/>
            <w:tcBorders>
              <w:top w:val="nil"/>
              <w:left w:val="nil"/>
              <w:bottom w:val="single" w:sz="6" w:space="0" w:color="auto"/>
              <w:right w:val="nil"/>
            </w:tcBorders>
          </w:tcPr>
          <w:p w:rsidR="00965D85" w:rsidRPr="0053172E" w:rsidRDefault="00965D85" w:rsidP="008B46DF">
            <w:pPr>
              <w:autoSpaceDE w:val="0"/>
              <w:autoSpaceDN w:val="0"/>
              <w:adjustRightInd w:val="0"/>
              <w:spacing w:after="0"/>
              <w:rPr>
                <w:rFonts w:ascii="Calibri" w:eastAsiaTheme="minorEastAsia" w:hAnsi="Calibri" w:cs="Calibri"/>
                <w:sz w:val="20"/>
                <w:lang w:eastAsia="en-AU"/>
              </w:rPr>
            </w:pPr>
            <w:r w:rsidRPr="0053172E">
              <w:rPr>
                <w:rFonts w:ascii="Calibri" w:eastAsiaTheme="minorEastAsia" w:hAnsi="Calibri" w:cs="Calibri"/>
                <w:sz w:val="20"/>
                <w:lang w:eastAsia="en-AU"/>
              </w:rPr>
              <w:t>Other own-sourced revenue</w:t>
            </w:r>
          </w:p>
        </w:tc>
        <w:tc>
          <w:tcPr>
            <w:tcW w:w="1040" w:type="dxa"/>
            <w:tcBorders>
              <w:top w:val="nil"/>
              <w:left w:val="nil"/>
              <w:bottom w:val="single" w:sz="6" w:space="0" w:color="auto"/>
              <w:right w:val="nil"/>
            </w:tcBorders>
          </w:tcPr>
          <w:p w:rsidR="00965D85" w:rsidRPr="0053172E" w:rsidRDefault="00965D85" w:rsidP="008B46DF">
            <w:pPr>
              <w:autoSpaceDE w:val="0"/>
              <w:autoSpaceDN w:val="0"/>
              <w:adjustRightInd w:val="0"/>
              <w:spacing w:after="0"/>
              <w:jc w:val="right"/>
              <w:rPr>
                <w:rFonts w:ascii="Calibri" w:eastAsiaTheme="minorEastAsia" w:hAnsi="Calibri" w:cs="Calibri"/>
                <w:sz w:val="20"/>
                <w:lang w:eastAsia="en-AU"/>
              </w:rPr>
            </w:pPr>
            <w:r w:rsidRPr="0053172E">
              <w:rPr>
                <w:rFonts w:ascii="Calibri" w:eastAsiaTheme="minorEastAsia" w:hAnsi="Calibri" w:cs="Calibri"/>
                <w:sz w:val="20"/>
                <w:lang w:eastAsia="en-AU"/>
              </w:rPr>
              <w:t>5 683</w:t>
            </w:r>
          </w:p>
        </w:tc>
        <w:tc>
          <w:tcPr>
            <w:tcW w:w="1040" w:type="dxa"/>
            <w:tcBorders>
              <w:top w:val="nil"/>
              <w:left w:val="nil"/>
              <w:bottom w:val="single" w:sz="6" w:space="0" w:color="auto"/>
              <w:right w:val="nil"/>
            </w:tcBorders>
          </w:tcPr>
          <w:p w:rsidR="00965D85" w:rsidRPr="0053172E" w:rsidRDefault="00965D85" w:rsidP="008B46DF">
            <w:pPr>
              <w:autoSpaceDE w:val="0"/>
              <w:autoSpaceDN w:val="0"/>
              <w:adjustRightInd w:val="0"/>
              <w:spacing w:after="0"/>
              <w:jc w:val="right"/>
              <w:rPr>
                <w:rFonts w:ascii="Calibri" w:eastAsiaTheme="minorEastAsia" w:hAnsi="Calibri" w:cs="Calibri"/>
                <w:sz w:val="20"/>
                <w:lang w:eastAsia="en-AU"/>
              </w:rPr>
            </w:pPr>
            <w:r w:rsidRPr="0053172E">
              <w:rPr>
                <w:rFonts w:ascii="Calibri" w:eastAsiaTheme="minorEastAsia" w:hAnsi="Calibri" w:cs="Calibri"/>
                <w:sz w:val="20"/>
                <w:lang w:eastAsia="en-AU"/>
              </w:rPr>
              <w:t>5 846</w:t>
            </w:r>
          </w:p>
        </w:tc>
        <w:tc>
          <w:tcPr>
            <w:tcW w:w="1040" w:type="dxa"/>
            <w:tcBorders>
              <w:top w:val="nil"/>
              <w:left w:val="nil"/>
              <w:bottom w:val="single" w:sz="6" w:space="0" w:color="auto"/>
              <w:right w:val="nil"/>
            </w:tcBorders>
          </w:tcPr>
          <w:p w:rsidR="00965D85" w:rsidRPr="0053172E" w:rsidRDefault="00965D85" w:rsidP="008B46DF">
            <w:pPr>
              <w:autoSpaceDE w:val="0"/>
              <w:autoSpaceDN w:val="0"/>
              <w:adjustRightInd w:val="0"/>
              <w:spacing w:after="0"/>
              <w:jc w:val="right"/>
              <w:rPr>
                <w:rFonts w:ascii="Calibri" w:eastAsiaTheme="minorEastAsia" w:hAnsi="Calibri" w:cs="Calibri"/>
                <w:sz w:val="20"/>
                <w:lang w:eastAsia="en-AU"/>
              </w:rPr>
            </w:pPr>
            <w:r w:rsidRPr="0053172E">
              <w:rPr>
                <w:rFonts w:ascii="Calibri" w:eastAsiaTheme="minorEastAsia" w:hAnsi="Calibri" w:cs="Calibri"/>
                <w:sz w:val="20"/>
                <w:lang w:eastAsia="en-AU"/>
              </w:rPr>
              <w:t xml:space="preserve"> 163</w:t>
            </w:r>
          </w:p>
        </w:tc>
      </w:tr>
      <w:tr w:rsidR="00965D85" w:rsidRPr="0053172E" w:rsidTr="008B46DF">
        <w:tc>
          <w:tcPr>
            <w:tcW w:w="4647" w:type="dxa"/>
            <w:tcBorders>
              <w:top w:val="nil"/>
              <w:left w:val="nil"/>
              <w:bottom w:val="nil"/>
              <w:right w:val="nil"/>
            </w:tcBorders>
          </w:tcPr>
          <w:p w:rsidR="00965D85" w:rsidRPr="0053172E" w:rsidRDefault="00965D85" w:rsidP="008B46DF">
            <w:pPr>
              <w:autoSpaceDE w:val="0"/>
              <w:autoSpaceDN w:val="0"/>
              <w:adjustRightInd w:val="0"/>
              <w:spacing w:after="0"/>
              <w:rPr>
                <w:rFonts w:ascii="Calibri" w:eastAsiaTheme="minorEastAsia" w:hAnsi="Calibri" w:cs="Calibri"/>
                <w:b/>
                <w:bCs/>
                <w:sz w:val="20"/>
                <w:lang w:eastAsia="en-AU"/>
              </w:rPr>
            </w:pPr>
            <w:r w:rsidRPr="0053172E">
              <w:rPr>
                <w:rFonts w:ascii="Calibri" w:eastAsiaTheme="minorEastAsia" w:hAnsi="Calibri" w:cs="Calibri"/>
                <w:b/>
                <w:bCs/>
                <w:sz w:val="20"/>
                <w:lang w:eastAsia="en-AU"/>
              </w:rPr>
              <w:t>Taxation revenue</w:t>
            </w:r>
          </w:p>
        </w:tc>
        <w:tc>
          <w:tcPr>
            <w:tcW w:w="1040" w:type="dxa"/>
            <w:tcBorders>
              <w:top w:val="nil"/>
              <w:left w:val="nil"/>
              <w:bottom w:val="nil"/>
              <w:right w:val="nil"/>
            </w:tcBorders>
          </w:tcPr>
          <w:p w:rsidR="00965D85" w:rsidRPr="0053172E" w:rsidRDefault="00965D85" w:rsidP="008B46DF">
            <w:pPr>
              <w:autoSpaceDE w:val="0"/>
              <w:autoSpaceDN w:val="0"/>
              <w:adjustRightInd w:val="0"/>
              <w:spacing w:after="0"/>
              <w:jc w:val="right"/>
              <w:rPr>
                <w:rFonts w:ascii="Calibri" w:eastAsiaTheme="minorEastAsia" w:hAnsi="Calibri" w:cs="Calibri"/>
                <w:b/>
                <w:bCs/>
                <w:sz w:val="20"/>
                <w:lang w:eastAsia="en-AU"/>
              </w:rPr>
            </w:pPr>
            <w:r w:rsidRPr="0053172E">
              <w:rPr>
                <w:rFonts w:ascii="Calibri" w:eastAsiaTheme="minorEastAsia" w:hAnsi="Calibri" w:cs="Calibri"/>
                <w:b/>
                <w:bCs/>
                <w:sz w:val="20"/>
                <w:lang w:eastAsia="en-AU"/>
              </w:rPr>
              <w:t>13 383</w:t>
            </w:r>
          </w:p>
        </w:tc>
        <w:tc>
          <w:tcPr>
            <w:tcW w:w="1040" w:type="dxa"/>
            <w:tcBorders>
              <w:top w:val="nil"/>
              <w:left w:val="nil"/>
              <w:bottom w:val="nil"/>
              <w:right w:val="nil"/>
            </w:tcBorders>
          </w:tcPr>
          <w:p w:rsidR="00965D85" w:rsidRPr="0053172E" w:rsidRDefault="00965D85" w:rsidP="008B46DF">
            <w:pPr>
              <w:autoSpaceDE w:val="0"/>
              <w:autoSpaceDN w:val="0"/>
              <w:adjustRightInd w:val="0"/>
              <w:spacing w:after="0"/>
              <w:jc w:val="right"/>
              <w:rPr>
                <w:rFonts w:ascii="Calibri" w:eastAsiaTheme="minorEastAsia" w:hAnsi="Calibri" w:cs="Calibri"/>
                <w:b/>
                <w:bCs/>
                <w:sz w:val="20"/>
                <w:lang w:eastAsia="en-AU"/>
              </w:rPr>
            </w:pPr>
            <w:r w:rsidRPr="0053172E">
              <w:rPr>
                <w:rFonts w:ascii="Calibri" w:eastAsiaTheme="minorEastAsia" w:hAnsi="Calibri" w:cs="Calibri"/>
                <w:b/>
                <w:bCs/>
                <w:sz w:val="20"/>
                <w:lang w:eastAsia="en-AU"/>
              </w:rPr>
              <w:t>12 627</w:t>
            </w:r>
          </w:p>
        </w:tc>
        <w:tc>
          <w:tcPr>
            <w:tcW w:w="1040" w:type="dxa"/>
            <w:tcBorders>
              <w:top w:val="nil"/>
              <w:left w:val="nil"/>
              <w:bottom w:val="nil"/>
              <w:right w:val="nil"/>
            </w:tcBorders>
          </w:tcPr>
          <w:p w:rsidR="00965D85" w:rsidRPr="0053172E" w:rsidRDefault="00965D85" w:rsidP="008B46DF">
            <w:pPr>
              <w:autoSpaceDE w:val="0"/>
              <w:autoSpaceDN w:val="0"/>
              <w:adjustRightInd w:val="0"/>
              <w:spacing w:after="0"/>
              <w:jc w:val="right"/>
              <w:rPr>
                <w:rFonts w:ascii="Calibri" w:eastAsiaTheme="minorEastAsia" w:hAnsi="Calibri" w:cs="Calibri"/>
                <w:b/>
                <w:bCs/>
                <w:sz w:val="20"/>
                <w:lang w:eastAsia="en-AU"/>
              </w:rPr>
            </w:pPr>
            <w:r>
              <w:rPr>
                <w:rFonts w:ascii="Calibri" w:eastAsiaTheme="minorEastAsia" w:hAnsi="Calibri" w:cs="Calibri"/>
                <w:b/>
                <w:bCs/>
                <w:sz w:val="20"/>
                <w:lang w:eastAsia="en-AU"/>
              </w:rPr>
              <w:t>(756)</w:t>
            </w:r>
          </w:p>
        </w:tc>
      </w:tr>
      <w:tr w:rsidR="00965D85" w:rsidRPr="0053172E" w:rsidTr="008B46DF">
        <w:tc>
          <w:tcPr>
            <w:tcW w:w="4647" w:type="dxa"/>
            <w:tcBorders>
              <w:top w:val="nil"/>
              <w:left w:val="nil"/>
              <w:bottom w:val="nil"/>
              <w:right w:val="nil"/>
            </w:tcBorders>
          </w:tcPr>
          <w:p w:rsidR="00965D85" w:rsidRPr="0053172E" w:rsidRDefault="00965D85" w:rsidP="008B46DF">
            <w:pPr>
              <w:autoSpaceDE w:val="0"/>
              <w:autoSpaceDN w:val="0"/>
              <w:adjustRightInd w:val="0"/>
              <w:spacing w:after="0"/>
              <w:rPr>
                <w:rFonts w:ascii="Calibri" w:eastAsiaTheme="minorEastAsia" w:hAnsi="Calibri" w:cs="Calibri"/>
                <w:sz w:val="20"/>
                <w:lang w:eastAsia="en-AU"/>
              </w:rPr>
            </w:pPr>
            <w:r w:rsidRPr="0053172E">
              <w:rPr>
                <w:rFonts w:ascii="Calibri" w:eastAsiaTheme="minorEastAsia" w:hAnsi="Calibri" w:cs="Calibri"/>
                <w:sz w:val="20"/>
                <w:lang w:eastAsia="en-AU"/>
              </w:rPr>
              <w:t>Other revenue</w:t>
            </w:r>
          </w:p>
        </w:tc>
        <w:tc>
          <w:tcPr>
            <w:tcW w:w="1040" w:type="dxa"/>
            <w:tcBorders>
              <w:top w:val="nil"/>
              <w:left w:val="nil"/>
              <w:bottom w:val="nil"/>
              <w:right w:val="nil"/>
            </w:tcBorders>
          </w:tcPr>
          <w:p w:rsidR="00965D85" w:rsidRPr="0053172E" w:rsidRDefault="00965D85" w:rsidP="008B46DF">
            <w:pPr>
              <w:autoSpaceDE w:val="0"/>
              <w:autoSpaceDN w:val="0"/>
              <w:adjustRightInd w:val="0"/>
              <w:spacing w:after="0"/>
              <w:jc w:val="right"/>
              <w:rPr>
                <w:rFonts w:ascii="Calibri" w:eastAsiaTheme="minorEastAsia" w:hAnsi="Calibri" w:cs="Calibri"/>
                <w:sz w:val="20"/>
                <w:lang w:eastAsia="en-AU"/>
              </w:rPr>
            </w:pPr>
            <w:r w:rsidRPr="0053172E">
              <w:rPr>
                <w:rFonts w:ascii="Calibri" w:eastAsiaTheme="minorEastAsia" w:hAnsi="Calibri" w:cs="Calibri"/>
                <w:sz w:val="20"/>
                <w:lang w:eastAsia="en-AU"/>
              </w:rPr>
              <w:t>14 146</w:t>
            </w:r>
          </w:p>
        </w:tc>
        <w:tc>
          <w:tcPr>
            <w:tcW w:w="1040" w:type="dxa"/>
            <w:tcBorders>
              <w:top w:val="nil"/>
              <w:left w:val="nil"/>
              <w:bottom w:val="nil"/>
              <w:right w:val="nil"/>
            </w:tcBorders>
          </w:tcPr>
          <w:p w:rsidR="00965D85" w:rsidRPr="0053172E" w:rsidRDefault="00965D85" w:rsidP="008B46DF">
            <w:pPr>
              <w:autoSpaceDE w:val="0"/>
              <w:autoSpaceDN w:val="0"/>
              <w:adjustRightInd w:val="0"/>
              <w:spacing w:after="0"/>
              <w:jc w:val="right"/>
              <w:rPr>
                <w:rFonts w:ascii="Calibri" w:eastAsiaTheme="minorEastAsia" w:hAnsi="Calibri" w:cs="Calibri"/>
                <w:sz w:val="20"/>
                <w:lang w:eastAsia="en-AU"/>
              </w:rPr>
            </w:pPr>
            <w:r w:rsidRPr="0053172E">
              <w:rPr>
                <w:rFonts w:ascii="Calibri" w:eastAsiaTheme="minorEastAsia" w:hAnsi="Calibri" w:cs="Calibri"/>
                <w:sz w:val="20"/>
                <w:lang w:eastAsia="en-AU"/>
              </w:rPr>
              <w:t>17 339</w:t>
            </w:r>
          </w:p>
        </w:tc>
        <w:tc>
          <w:tcPr>
            <w:tcW w:w="1040" w:type="dxa"/>
            <w:tcBorders>
              <w:top w:val="nil"/>
              <w:left w:val="nil"/>
              <w:bottom w:val="nil"/>
              <w:right w:val="nil"/>
            </w:tcBorders>
          </w:tcPr>
          <w:p w:rsidR="00965D85" w:rsidRPr="0053172E" w:rsidRDefault="00965D85" w:rsidP="008B46DF">
            <w:pPr>
              <w:autoSpaceDE w:val="0"/>
              <w:autoSpaceDN w:val="0"/>
              <w:adjustRightInd w:val="0"/>
              <w:spacing w:after="0"/>
              <w:jc w:val="right"/>
              <w:rPr>
                <w:rFonts w:ascii="Calibri" w:eastAsiaTheme="minorEastAsia" w:hAnsi="Calibri" w:cs="Calibri"/>
                <w:sz w:val="20"/>
                <w:lang w:eastAsia="en-AU"/>
              </w:rPr>
            </w:pPr>
            <w:r w:rsidRPr="0053172E">
              <w:rPr>
                <w:rFonts w:ascii="Calibri" w:eastAsiaTheme="minorEastAsia" w:hAnsi="Calibri" w:cs="Calibri"/>
                <w:sz w:val="20"/>
                <w:lang w:eastAsia="en-AU"/>
              </w:rPr>
              <w:t>3 193</w:t>
            </w:r>
          </w:p>
        </w:tc>
      </w:tr>
      <w:tr w:rsidR="00965D85" w:rsidRPr="0053172E" w:rsidTr="008B46DF">
        <w:tc>
          <w:tcPr>
            <w:tcW w:w="4647" w:type="dxa"/>
            <w:tcBorders>
              <w:top w:val="nil"/>
              <w:left w:val="nil"/>
              <w:bottom w:val="single" w:sz="6" w:space="0" w:color="auto"/>
              <w:right w:val="nil"/>
            </w:tcBorders>
          </w:tcPr>
          <w:p w:rsidR="00965D85" w:rsidRPr="0053172E" w:rsidRDefault="00965D85" w:rsidP="008B46DF">
            <w:pPr>
              <w:autoSpaceDE w:val="0"/>
              <w:autoSpaceDN w:val="0"/>
              <w:adjustRightInd w:val="0"/>
              <w:spacing w:after="0"/>
              <w:rPr>
                <w:rFonts w:ascii="Calibri" w:eastAsiaTheme="minorEastAsia" w:hAnsi="Calibri" w:cs="Calibri"/>
                <w:sz w:val="20"/>
                <w:lang w:eastAsia="en-AU"/>
              </w:rPr>
            </w:pPr>
            <w:r w:rsidRPr="0053172E">
              <w:rPr>
                <w:rFonts w:ascii="Calibri" w:eastAsiaTheme="minorEastAsia" w:hAnsi="Calibri" w:cs="Calibri"/>
                <w:sz w:val="20"/>
                <w:lang w:eastAsia="en-AU"/>
              </w:rPr>
              <w:t>GST</w:t>
            </w:r>
          </w:p>
        </w:tc>
        <w:tc>
          <w:tcPr>
            <w:tcW w:w="1040" w:type="dxa"/>
            <w:tcBorders>
              <w:top w:val="nil"/>
              <w:left w:val="nil"/>
              <w:bottom w:val="single" w:sz="6" w:space="0" w:color="auto"/>
              <w:right w:val="nil"/>
            </w:tcBorders>
          </w:tcPr>
          <w:p w:rsidR="00965D85" w:rsidRPr="0053172E" w:rsidRDefault="00965D85" w:rsidP="008B46DF">
            <w:pPr>
              <w:autoSpaceDE w:val="0"/>
              <w:autoSpaceDN w:val="0"/>
              <w:adjustRightInd w:val="0"/>
              <w:spacing w:after="0"/>
              <w:jc w:val="right"/>
              <w:rPr>
                <w:rFonts w:ascii="Calibri" w:eastAsiaTheme="minorEastAsia" w:hAnsi="Calibri" w:cs="Calibri"/>
                <w:sz w:val="20"/>
                <w:lang w:eastAsia="en-AU"/>
              </w:rPr>
            </w:pPr>
            <w:r w:rsidRPr="0053172E">
              <w:rPr>
                <w:rFonts w:ascii="Calibri" w:eastAsiaTheme="minorEastAsia" w:hAnsi="Calibri" w:cs="Calibri"/>
                <w:sz w:val="20"/>
                <w:lang w:eastAsia="en-AU"/>
              </w:rPr>
              <w:t>10 281</w:t>
            </w:r>
          </w:p>
        </w:tc>
        <w:tc>
          <w:tcPr>
            <w:tcW w:w="1040" w:type="dxa"/>
            <w:tcBorders>
              <w:top w:val="nil"/>
              <w:left w:val="nil"/>
              <w:bottom w:val="single" w:sz="6" w:space="0" w:color="auto"/>
              <w:right w:val="nil"/>
            </w:tcBorders>
          </w:tcPr>
          <w:p w:rsidR="00965D85" w:rsidRPr="0053172E" w:rsidRDefault="00965D85" w:rsidP="008B46DF">
            <w:pPr>
              <w:autoSpaceDE w:val="0"/>
              <w:autoSpaceDN w:val="0"/>
              <w:adjustRightInd w:val="0"/>
              <w:spacing w:after="0"/>
              <w:jc w:val="right"/>
              <w:rPr>
                <w:rFonts w:ascii="Calibri" w:eastAsiaTheme="minorEastAsia" w:hAnsi="Calibri" w:cs="Calibri"/>
                <w:sz w:val="20"/>
                <w:lang w:eastAsia="en-AU"/>
              </w:rPr>
            </w:pPr>
            <w:r w:rsidRPr="0053172E">
              <w:rPr>
                <w:rFonts w:ascii="Calibri" w:eastAsiaTheme="minorEastAsia" w:hAnsi="Calibri" w:cs="Calibri"/>
                <w:sz w:val="20"/>
                <w:lang w:eastAsia="en-AU"/>
              </w:rPr>
              <w:t>9 319</w:t>
            </w:r>
          </w:p>
        </w:tc>
        <w:tc>
          <w:tcPr>
            <w:tcW w:w="1040" w:type="dxa"/>
            <w:tcBorders>
              <w:top w:val="nil"/>
              <w:left w:val="nil"/>
              <w:bottom w:val="single" w:sz="6" w:space="0" w:color="auto"/>
              <w:right w:val="nil"/>
            </w:tcBorders>
          </w:tcPr>
          <w:p w:rsidR="00965D85" w:rsidRPr="0053172E" w:rsidRDefault="00965D85" w:rsidP="008B46DF">
            <w:pPr>
              <w:autoSpaceDE w:val="0"/>
              <w:autoSpaceDN w:val="0"/>
              <w:adjustRightInd w:val="0"/>
              <w:spacing w:after="0"/>
              <w:jc w:val="right"/>
              <w:rPr>
                <w:rFonts w:ascii="Calibri" w:eastAsiaTheme="minorEastAsia" w:hAnsi="Calibri" w:cs="Calibri"/>
                <w:sz w:val="20"/>
                <w:lang w:eastAsia="en-AU"/>
              </w:rPr>
            </w:pPr>
            <w:r>
              <w:rPr>
                <w:rFonts w:ascii="Calibri" w:eastAsiaTheme="minorEastAsia" w:hAnsi="Calibri" w:cs="Calibri"/>
                <w:sz w:val="20"/>
                <w:lang w:eastAsia="en-AU"/>
              </w:rPr>
              <w:t>(962)</w:t>
            </w:r>
          </w:p>
        </w:tc>
      </w:tr>
      <w:tr w:rsidR="00965D85" w:rsidRPr="0053172E" w:rsidTr="008B46DF">
        <w:tc>
          <w:tcPr>
            <w:tcW w:w="4647" w:type="dxa"/>
            <w:tcBorders>
              <w:top w:val="nil"/>
              <w:left w:val="nil"/>
              <w:bottom w:val="nil"/>
              <w:right w:val="nil"/>
            </w:tcBorders>
          </w:tcPr>
          <w:p w:rsidR="00965D85" w:rsidRPr="0053172E" w:rsidRDefault="00965D85" w:rsidP="008B46DF">
            <w:pPr>
              <w:autoSpaceDE w:val="0"/>
              <w:autoSpaceDN w:val="0"/>
              <w:adjustRightInd w:val="0"/>
              <w:spacing w:after="0"/>
              <w:rPr>
                <w:rFonts w:ascii="Calibri" w:eastAsiaTheme="minorEastAsia" w:hAnsi="Calibri" w:cs="Calibri"/>
                <w:b/>
                <w:bCs/>
                <w:sz w:val="20"/>
                <w:lang w:eastAsia="en-AU"/>
              </w:rPr>
            </w:pPr>
            <w:r w:rsidRPr="0053172E">
              <w:rPr>
                <w:rFonts w:ascii="Calibri" w:eastAsiaTheme="minorEastAsia" w:hAnsi="Calibri" w:cs="Calibri"/>
                <w:b/>
                <w:bCs/>
                <w:sz w:val="20"/>
                <w:lang w:eastAsia="en-AU"/>
              </w:rPr>
              <w:t>Total revenue</w:t>
            </w:r>
          </w:p>
        </w:tc>
        <w:tc>
          <w:tcPr>
            <w:tcW w:w="1040" w:type="dxa"/>
            <w:tcBorders>
              <w:top w:val="nil"/>
              <w:left w:val="nil"/>
              <w:bottom w:val="nil"/>
              <w:right w:val="nil"/>
            </w:tcBorders>
          </w:tcPr>
          <w:p w:rsidR="00965D85" w:rsidRPr="0053172E" w:rsidRDefault="00965D85" w:rsidP="008B46DF">
            <w:pPr>
              <w:autoSpaceDE w:val="0"/>
              <w:autoSpaceDN w:val="0"/>
              <w:adjustRightInd w:val="0"/>
              <w:spacing w:after="0"/>
              <w:jc w:val="right"/>
              <w:rPr>
                <w:rFonts w:ascii="Calibri" w:eastAsiaTheme="minorEastAsia" w:hAnsi="Calibri" w:cs="Calibri"/>
                <w:b/>
                <w:bCs/>
                <w:sz w:val="20"/>
                <w:lang w:eastAsia="en-AU"/>
              </w:rPr>
            </w:pPr>
            <w:r w:rsidRPr="0053172E">
              <w:rPr>
                <w:rFonts w:ascii="Calibri" w:eastAsiaTheme="minorEastAsia" w:hAnsi="Calibri" w:cs="Calibri"/>
                <w:b/>
                <w:bCs/>
                <w:sz w:val="20"/>
                <w:lang w:eastAsia="en-AU"/>
              </w:rPr>
              <w:t>37 810</w:t>
            </w:r>
          </w:p>
        </w:tc>
        <w:tc>
          <w:tcPr>
            <w:tcW w:w="1040" w:type="dxa"/>
            <w:tcBorders>
              <w:top w:val="nil"/>
              <w:left w:val="nil"/>
              <w:bottom w:val="nil"/>
              <w:right w:val="nil"/>
            </w:tcBorders>
          </w:tcPr>
          <w:p w:rsidR="00965D85" w:rsidRPr="0053172E" w:rsidRDefault="00965D85" w:rsidP="008B46DF">
            <w:pPr>
              <w:autoSpaceDE w:val="0"/>
              <w:autoSpaceDN w:val="0"/>
              <w:adjustRightInd w:val="0"/>
              <w:spacing w:after="0"/>
              <w:jc w:val="right"/>
              <w:rPr>
                <w:rFonts w:ascii="Calibri" w:eastAsiaTheme="minorEastAsia" w:hAnsi="Calibri" w:cs="Calibri"/>
                <w:b/>
                <w:bCs/>
                <w:sz w:val="20"/>
                <w:lang w:eastAsia="en-AU"/>
              </w:rPr>
            </w:pPr>
            <w:r w:rsidRPr="0053172E">
              <w:rPr>
                <w:rFonts w:ascii="Calibri" w:eastAsiaTheme="minorEastAsia" w:hAnsi="Calibri" w:cs="Calibri"/>
                <w:b/>
                <w:bCs/>
                <w:sz w:val="20"/>
                <w:lang w:eastAsia="en-AU"/>
              </w:rPr>
              <w:t>39 285</w:t>
            </w:r>
          </w:p>
        </w:tc>
        <w:tc>
          <w:tcPr>
            <w:tcW w:w="1040" w:type="dxa"/>
            <w:tcBorders>
              <w:top w:val="nil"/>
              <w:left w:val="nil"/>
              <w:bottom w:val="nil"/>
              <w:right w:val="nil"/>
            </w:tcBorders>
          </w:tcPr>
          <w:p w:rsidR="00965D85" w:rsidRPr="0053172E" w:rsidRDefault="00965D85" w:rsidP="008B46DF">
            <w:pPr>
              <w:autoSpaceDE w:val="0"/>
              <w:autoSpaceDN w:val="0"/>
              <w:adjustRightInd w:val="0"/>
              <w:spacing w:after="0"/>
              <w:jc w:val="right"/>
              <w:rPr>
                <w:rFonts w:ascii="Calibri" w:eastAsiaTheme="minorEastAsia" w:hAnsi="Calibri" w:cs="Calibri"/>
                <w:b/>
                <w:bCs/>
                <w:sz w:val="20"/>
                <w:lang w:eastAsia="en-AU"/>
              </w:rPr>
            </w:pPr>
            <w:r w:rsidRPr="0053172E">
              <w:rPr>
                <w:rFonts w:ascii="Calibri" w:eastAsiaTheme="minorEastAsia" w:hAnsi="Calibri" w:cs="Calibri"/>
                <w:b/>
                <w:bCs/>
                <w:sz w:val="20"/>
                <w:lang w:eastAsia="en-AU"/>
              </w:rPr>
              <w:t>1 475</w:t>
            </w:r>
          </w:p>
        </w:tc>
      </w:tr>
      <w:tr w:rsidR="00965D85" w:rsidRPr="0053172E" w:rsidTr="008B46DF">
        <w:tc>
          <w:tcPr>
            <w:tcW w:w="4647" w:type="dxa"/>
            <w:tcBorders>
              <w:top w:val="nil"/>
              <w:left w:val="nil"/>
              <w:bottom w:val="single" w:sz="6" w:space="0" w:color="auto"/>
              <w:right w:val="nil"/>
            </w:tcBorders>
          </w:tcPr>
          <w:p w:rsidR="00965D85" w:rsidRPr="0053172E" w:rsidRDefault="00965D85" w:rsidP="008B46DF">
            <w:pPr>
              <w:autoSpaceDE w:val="0"/>
              <w:autoSpaceDN w:val="0"/>
              <w:adjustRightInd w:val="0"/>
              <w:spacing w:after="0"/>
              <w:rPr>
                <w:rFonts w:ascii="Calibri" w:eastAsiaTheme="minorEastAsia" w:hAnsi="Calibri" w:cs="Calibri"/>
                <w:b/>
                <w:bCs/>
                <w:sz w:val="20"/>
                <w:lang w:eastAsia="en-AU"/>
              </w:rPr>
            </w:pPr>
            <w:r w:rsidRPr="0053172E">
              <w:rPr>
                <w:rFonts w:ascii="Calibri" w:eastAsiaTheme="minorEastAsia" w:hAnsi="Calibri" w:cs="Calibri"/>
                <w:b/>
                <w:bCs/>
                <w:sz w:val="20"/>
                <w:lang w:eastAsia="en-AU"/>
              </w:rPr>
              <w:t>Total expenses</w:t>
            </w:r>
          </w:p>
        </w:tc>
        <w:tc>
          <w:tcPr>
            <w:tcW w:w="1040" w:type="dxa"/>
            <w:tcBorders>
              <w:top w:val="nil"/>
              <w:left w:val="nil"/>
              <w:bottom w:val="single" w:sz="6" w:space="0" w:color="auto"/>
              <w:right w:val="nil"/>
            </w:tcBorders>
          </w:tcPr>
          <w:p w:rsidR="00965D85" w:rsidRPr="0053172E" w:rsidRDefault="00965D85" w:rsidP="008B46DF">
            <w:pPr>
              <w:autoSpaceDE w:val="0"/>
              <w:autoSpaceDN w:val="0"/>
              <w:adjustRightInd w:val="0"/>
              <w:spacing w:after="0"/>
              <w:jc w:val="right"/>
              <w:rPr>
                <w:rFonts w:ascii="Calibri" w:eastAsiaTheme="minorEastAsia" w:hAnsi="Calibri" w:cs="Calibri"/>
                <w:b/>
                <w:bCs/>
                <w:sz w:val="20"/>
                <w:lang w:eastAsia="en-AU"/>
              </w:rPr>
            </w:pPr>
            <w:r w:rsidRPr="0053172E">
              <w:rPr>
                <w:rFonts w:ascii="Calibri" w:eastAsiaTheme="minorEastAsia" w:hAnsi="Calibri" w:cs="Calibri"/>
                <w:b/>
                <w:bCs/>
                <w:sz w:val="20"/>
                <w:lang w:eastAsia="en-AU"/>
              </w:rPr>
              <w:t>36 982</w:t>
            </w:r>
          </w:p>
        </w:tc>
        <w:tc>
          <w:tcPr>
            <w:tcW w:w="1040" w:type="dxa"/>
            <w:tcBorders>
              <w:top w:val="nil"/>
              <w:left w:val="nil"/>
              <w:bottom w:val="single" w:sz="6" w:space="0" w:color="auto"/>
              <w:right w:val="nil"/>
            </w:tcBorders>
          </w:tcPr>
          <w:p w:rsidR="00965D85" w:rsidRPr="0053172E" w:rsidRDefault="00965D85" w:rsidP="008B46DF">
            <w:pPr>
              <w:autoSpaceDE w:val="0"/>
              <w:autoSpaceDN w:val="0"/>
              <w:adjustRightInd w:val="0"/>
              <w:spacing w:after="0"/>
              <w:jc w:val="right"/>
              <w:rPr>
                <w:rFonts w:ascii="Calibri" w:eastAsiaTheme="minorEastAsia" w:hAnsi="Calibri" w:cs="Calibri"/>
                <w:b/>
                <w:bCs/>
                <w:sz w:val="20"/>
                <w:lang w:eastAsia="en-AU"/>
              </w:rPr>
            </w:pPr>
            <w:r w:rsidRPr="0053172E">
              <w:rPr>
                <w:rFonts w:ascii="Calibri" w:eastAsiaTheme="minorEastAsia" w:hAnsi="Calibri" w:cs="Calibri"/>
                <w:b/>
                <w:bCs/>
                <w:sz w:val="20"/>
                <w:lang w:eastAsia="en-AU"/>
              </w:rPr>
              <w:t>39 034</w:t>
            </w:r>
          </w:p>
        </w:tc>
        <w:tc>
          <w:tcPr>
            <w:tcW w:w="1040" w:type="dxa"/>
            <w:tcBorders>
              <w:top w:val="nil"/>
              <w:left w:val="nil"/>
              <w:bottom w:val="single" w:sz="6" w:space="0" w:color="auto"/>
              <w:right w:val="nil"/>
            </w:tcBorders>
          </w:tcPr>
          <w:p w:rsidR="00965D85" w:rsidRPr="0053172E" w:rsidRDefault="00965D85" w:rsidP="008B46DF">
            <w:pPr>
              <w:autoSpaceDE w:val="0"/>
              <w:autoSpaceDN w:val="0"/>
              <w:adjustRightInd w:val="0"/>
              <w:spacing w:after="0"/>
              <w:jc w:val="right"/>
              <w:rPr>
                <w:rFonts w:ascii="Calibri" w:eastAsiaTheme="minorEastAsia" w:hAnsi="Calibri" w:cs="Calibri"/>
                <w:b/>
                <w:bCs/>
                <w:sz w:val="20"/>
                <w:lang w:eastAsia="en-AU"/>
              </w:rPr>
            </w:pPr>
            <w:r w:rsidRPr="0053172E">
              <w:rPr>
                <w:rFonts w:ascii="Calibri" w:eastAsiaTheme="minorEastAsia" w:hAnsi="Calibri" w:cs="Calibri"/>
                <w:b/>
                <w:bCs/>
                <w:sz w:val="20"/>
                <w:lang w:eastAsia="en-AU"/>
              </w:rPr>
              <w:t>2 051</w:t>
            </w:r>
          </w:p>
        </w:tc>
      </w:tr>
      <w:tr w:rsidR="00965D85" w:rsidRPr="0053172E" w:rsidTr="008B46DF">
        <w:tc>
          <w:tcPr>
            <w:tcW w:w="4647" w:type="dxa"/>
            <w:tcBorders>
              <w:top w:val="single" w:sz="6" w:space="0" w:color="auto"/>
              <w:left w:val="nil"/>
              <w:bottom w:val="single" w:sz="12" w:space="0" w:color="000000"/>
              <w:right w:val="nil"/>
            </w:tcBorders>
          </w:tcPr>
          <w:p w:rsidR="00965D85" w:rsidRPr="0053172E" w:rsidRDefault="00965D85" w:rsidP="008B46DF">
            <w:pPr>
              <w:autoSpaceDE w:val="0"/>
              <w:autoSpaceDN w:val="0"/>
              <w:adjustRightInd w:val="0"/>
              <w:spacing w:after="0"/>
              <w:rPr>
                <w:rFonts w:ascii="Calibri" w:eastAsiaTheme="minorEastAsia" w:hAnsi="Calibri" w:cs="Calibri"/>
                <w:b/>
                <w:bCs/>
                <w:sz w:val="20"/>
                <w:lang w:eastAsia="en-AU"/>
              </w:rPr>
            </w:pPr>
            <w:r w:rsidRPr="0053172E">
              <w:rPr>
                <w:rFonts w:ascii="Calibri" w:eastAsiaTheme="minorEastAsia" w:hAnsi="Calibri" w:cs="Calibri"/>
                <w:b/>
                <w:bCs/>
                <w:sz w:val="20"/>
                <w:lang w:eastAsia="en-AU"/>
              </w:rPr>
              <w:t>Net result from transactions</w:t>
            </w:r>
          </w:p>
        </w:tc>
        <w:tc>
          <w:tcPr>
            <w:tcW w:w="1040" w:type="dxa"/>
            <w:tcBorders>
              <w:top w:val="single" w:sz="6" w:space="0" w:color="auto"/>
              <w:left w:val="nil"/>
              <w:bottom w:val="single" w:sz="12" w:space="0" w:color="000000"/>
              <w:right w:val="nil"/>
            </w:tcBorders>
          </w:tcPr>
          <w:p w:rsidR="00965D85" w:rsidRPr="0053172E" w:rsidRDefault="00965D85" w:rsidP="008B46DF">
            <w:pPr>
              <w:autoSpaceDE w:val="0"/>
              <w:autoSpaceDN w:val="0"/>
              <w:adjustRightInd w:val="0"/>
              <w:spacing w:after="0"/>
              <w:jc w:val="right"/>
              <w:rPr>
                <w:rFonts w:ascii="Calibri" w:eastAsiaTheme="minorEastAsia" w:hAnsi="Calibri" w:cs="Calibri"/>
                <w:b/>
                <w:bCs/>
                <w:sz w:val="20"/>
                <w:lang w:eastAsia="en-AU"/>
              </w:rPr>
            </w:pPr>
            <w:r w:rsidRPr="0053172E">
              <w:rPr>
                <w:rFonts w:ascii="Calibri" w:eastAsiaTheme="minorEastAsia" w:hAnsi="Calibri" w:cs="Calibri"/>
                <w:b/>
                <w:bCs/>
                <w:sz w:val="20"/>
                <w:lang w:eastAsia="en-AU"/>
              </w:rPr>
              <w:t xml:space="preserve"> 828</w:t>
            </w:r>
          </w:p>
        </w:tc>
        <w:tc>
          <w:tcPr>
            <w:tcW w:w="1040" w:type="dxa"/>
            <w:tcBorders>
              <w:top w:val="single" w:sz="6" w:space="0" w:color="auto"/>
              <w:left w:val="nil"/>
              <w:bottom w:val="single" w:sz="12" w:space="0" w:color="000000"/>
              <w:right w:val="nil"/>
            </w:tcBorders>
          </w:tcPr>
          <w:p w:rsidR="00965D85" w:rsidRPr="0053172E" w:rsidRDefault="00965D85" w:rsidP="008B46DF">
            <w:pPr>
              <w:autoSpaceDE w:val="0"/>
              <w:autoSpaceDN w:val="0"/>
              <w:adjustRightInd w:val="0"/>
              <w:spacing w:after="0"/>
              <w:jc w:val="right"/>
              <w:rPr>
                <w:rFonts w:ascii="Calibri" w:eastAsiaTheme="minorEastAsia" w:hAnsi="Calibri" w:cs="Calibri"/>
                <w:b/>
                <w:bCs/>
                <w:sz w:val="20"/>
                <w:lang w:eastAsia="en-AU"/>
              </w:rPr>
            </w:pPr>
            <w:r w:rsidRPr="0053172E">
              <w:rPr>
                <w:rFonts w:ascii="Calibri" w:eastAsiaTheme="minorEastAsia" w:hAnsi="Calibri" w:cs="Calibri"/>
                <w:b/>
                <w:bCs/>
                <w:sz w:val="20"/>
                <w:lang w:eastAsia="en-AU"/>
              </w:rPr>
              <w:t xml:space="preserve"> 251</w:t>
            </w:r>
          </w:p>
        </w:tc>
        <w:tc>
          <w:tcPr>
            <w:tcW w:w="1040" w:type="dxa"/>
            <w:tcBorders>
              <w:top w:val="single" w:sz="6" w:space="0" w:color="auto"/>
              <w:left w:val="nil"/>
              <w:bottom w:val="single" w:sz="12" w:space="0" w:color="000000"/>
              <w:right w:val="nil"/>
            </w:tcBorders>
            <w:shd w:val="solid" w:color="FFFFFF" w:fill="auto"/>
          </w:tcPr>
          <w:p w:rsidR="00965D85" w:rsidRPr="0053172E" w:rsidRDefault="00965D85" w:rsidP="008B46DF">
            <w:pPr>
              <w:autoSpaceDE w:val="0"/>
              <w:autoSpaceDN w:val="0"/>
              <w:adjustRightInd w:val="0"/>
              <w:spacing w:after="0"/>
              <w:jc w:val="right"/>
              <w:rPr>
                <w:rFonts w:ascii="Calibri" w:eastAsiaTheme="minorEastAsia" w:hAnsi="Calibri" w:cs="Calibri"/>
                <w:b/>
                <w:bCs/>
                <w:sz w:val="20"/>
                <w:lang w:eastAsia="en-AU"/>
              </w:rPr>
            </w:pPr>
            <w:r>
              <w:rPr>
                <w:rFonts w:ascii="Calibri" w:eastAsiaTheme="minorEastAsia" w:hAnsi="Calibri" w:cs="Calibri"/>
                <w:b/>
                <w:bCs/>
                <w:sz w:val="20"/>
                <w:lang w:eastAsia="en-AU"/>
              </w:rPr>
              <w:t>(576)</w:t>
            </w:r>
          </w:p>
        </w:tc>
      </w:tr>
    </w:tbl>
    <w:p w:rsidR="00965D85" w:rsidRPr="00C53B5B" w:rsidRDefault="00965D85" w:rsidP="008B46DF">
      <w:pPr>
        <w:pStyle w:val="Source"/>
        <w:spacing w:after="0"/>
        <w:rPr>
          <w:lang w:eastAsia="en-AU"/>
        </w:rPr>
      </w:pPr>
      <w:r>
        <w:rPr>
          <w:rFonts w:cs="Garamond"/>
          <w:lang w:eastAsia="en-AU"/>
        </w:rPr>
        <w:fldChar w:fldCharType="end"/>
      </w:r>
      <w:r>
        <w:rPr>
          <w:lang w:eastAsia="en-AU"/>
        </w:rPr>
        <w:t>Source: Department of Treasury and Finance</w:t>
      </w:r>
    </w:p>
    <w:p w:rsidR="00965D85" w:rsidRDefault="00965D85" w:rsidP="00DF54C9">
      <w:pPr>
        <w:sectPr w:rsidR="00965D85" w:rsidSect="00F302FC">
          <w:footerReference w:type="even" r:id="rId45"/>
          <w:footerReference w:type="default" r:id="rId46"/>
          <w:type w:val="oddPage"/>
          <w:pgSz w:w="9979" w:h="14181" w:code="138"/>
          <w:pgMar w:top="1138" w:right="1138" w:bottom="1138" w:left="1138" w:header="720" w:footer="432" w:gutter="0"/>
          <w:cols w:space="708"/>
          <w:docGrid w:linePitch="360"/>
        </w:sectPr>
      </w:pPr>
    </w:p>
    <w:p w:rsidR="00965D85" w:rsidRPr="00427D0E" w:rsidRDefault="00965D85" w:rsidP="00074C4D">
      <w:pPr>
        <w:pStyle w:val="ChapterHeading"/>
      </w:pPr>
      <w:bookmarkStart w:id="102" w:name="_Toc436147564"/>
      <w:r w:rsidRPr="00427D0E">
        <w:lastRenderedPageBreak/>
        <w:t xml:space="preserve">Appendix E – Requirements of the </w:t>
      </w:r>
      <w:r w:rsidRPr="00074C4D">
        <w:rPr>
          <w:i/>
        </w:rPr>
        <w:t>Financial Management Act 1994</w:t>
      </w:r>
      <w:bookmarkEnd w:id="102"/>
    </w:p>
    <w:p w:rsidR="00965D85" w:rsidRDefault="00965D85" w:rsidP="008B46DF">
      <w:pPr>
        <w:rPr>
          <w:lang w:eastAsia="en-AU"/>
        </w:rPr>
      </w:pPr>
      <w:r>
        <w:rPr>
          <w:lang w:eastAsia="en-AU"/>
        </w:rPr>
        <w:t xml:space="preserve">The </w:t>
      </w:r>
      <w:r w:rsidRPr="007C6B37">
        <w:rPr>
          <w:i/>
        </w:rPr>
        <w:t>Financial Management Act 1994</w:t>
      </w:r>
      <w:r w:rsidRPr="007C6B37">
        <w:t xml:space="preserve"> (the</w:t>
      </w:r>
      <w:r>
        <w:rPr>
          <w:lang w:eastAsia="en-AU"/>
        </w:rPr>
        <w:t xml:space="preserve"> Act) requires the Minister to prepare a budget update for tabling in Parliament each financial year. The provisions of the Act have been complied with in </w:t>
      </w:r>
      <w:r w:rsidRPr="00321815">
        <w:t xml:space="preserve">the </w:t>
      </w:r>
      <w:r w:rsidRPr="00321815">
        <w:rPr>
          <w:i/>
        </w:rPr>
        <w:t>201</w:t>
      </w:r>
      <w:r>
        <w:rPr>
          <w:i/>
        </w:rPr>
        <w:t>5</w:t>
      </w:r>
      <w:r>
        <w:rPr>
          <w:i/>
        </w:rPr>
        <w:noBreakHyphen/>
        <w:t>16</w:t>
      </w:r>
      <w:r w:rsidRPr="00321815">
        <w:rPr>
          <w:i/>
        </w:rPr>
        <w:t xml:space="preserve"> Budget Update</w:t>
      </w:r>
      <w:r w:rsidRPr="00321815">
        <w:t>.</w:t>
      </w:r>
    </w:p>
    <w:p w:rsidR="00965D85" w:rsidRDefault="00965D85" w:rsidP="008B46DF">
      <w:pPr>
        <w:rPr>
          <w:lang w:eastAsia="en-AU"/>
        </w:rPr>
      </w:pPr>
      <w:r>
        <w:rPr>
          <w:lang w:eastAsia="en-AU"/>
        </w:rPr>
        <w:t>Table E.1 details the statements required to be included in this document under the provisions of the Act together with appropriate chapter references.</w:t>
      </w:r>
    </w:p>
    <w:p w:rsidR="00965D85" w:rsidRPr="00DF427C" w:rsidRDefault="00965D85" w:rsidP="008B46DF">
      <w:pPr>
        <w:pStyle w:val="Tableheading"/>
        <w:rPr>
          <w:i/>
        </w:rPr>
      </w:pPr>
      <w:r w:rsidRPr="00DF427C">
        <w:t>Table E.1:</w:t>
      </w:r>
      <w:r w:rsidRPr="00DF427C">
        <w:tab/>
        <w:t xml:space="preserve">Statements required by the </w:t>
      </w:r>
      <w:r w:rsidRPr="00DF427C">
        <w:rPr>
          <w:i/>
        </w:rPr>
        <w:t>Financial Management Act 1994</w:t>
      </w:r>
      <w:r w:rsidRPr="00DF427C">
        <w:t xml:space="preserve"> and location in the </w:t>
      </w:r>
      <w:r w:rsidRPr="00DF427C">
        <w:rPr>
          <w:i/>
        </w:rPr>
        <w:t>201</w:t>
      </w:r>
      <w:r>
        <w:rPr>
          <w:i/>
        </w:rPr>
        <w:t>5</w:t>
      </w:r>
      <w:r>
        <w:rPr>
          <w:i/>
        </w:rPr>
        <w:noBreakHyphen/>
      </w:r>
      <w:r w:rsidRPr="00DF427C">
        <w:rPr>
          <w:i/>
        </w:rPr>
        <w:t>1</w:t>
      </w:r>
      <w:r>
        <w:rPr>
          <w:i/>
        </w:rPr>
        <w:t>6</w:t>
      </w:r>
      <w:r w:rsidRPr="00DF427C">
        <w:rPr>
          <w:i/>
        </w:rPr>
        <w:t> Budget Update</w:t>
      </w:r>
    </w:p>
    <w:tbl>
      <w:tblPr>
        <w:tblW w:w="0" w:type="auto"/>
        <w:tblCellMar>
          <w:left w:w="43" w:type="dxa"/>
          <w:right w:w="43" w:type="dxa"/>
        </w:tblCellMar>
        <w:tblLook w:val="01E0" w:firstRow="1" w:lastRow="1" w:firstColumn="1" w:lastColumn="1" w:noHBand="0" w:noVBand="0"/>
      </w:tblPr>
      <w:tblGrid>
        <w:gridCol w:w="3896"/>
        <w:gridCol w:w="3893"/>
      </w:tblGrid>
      <w:tr w:rsidR="00965D85" w:rsidRPr="00DF427C" w:rsidTr="008B46DF">
        <w:trPr>
          <w:tblHeader/>
        </w:trPr>
        <w:tc>
          <w:tcPr>
            <w:tcW w:w="3896" w:type="dxa"/>
            <w:tcBorders>
              <w:top w:val="single" w:sz="6" w:space="0" w:color="auto"/>
              <w:left w:val="single" w:sz="6" w:space="0" w:color="auto"/>
              <w:bottom w:val="single" w:sz="6" w:space="0" w:color="auto"/>
            </w:tcBorders>
            <w:shd w:val="clear" w:color="auto" w:fill="000000"/>
          </w:tcPr>
          <w:p w:rsidR="00965D85" w:rsidRPr="00DF427C" w:rsidRDefault="00965D85" w:rsidP="008B46DF">
            <w:pPr>
              <w:pStyle w:val="Tabletextheadingleft"/>
            </w:pPr>
            <w:r w:rsidRPr="00DF427C">
              <w:t xml:space="preserve">Relevant section of the Act and </w:t>
            </w:r>
            <w:r w:rsidRPr="00DF427C">
              <w:br/>
              <w:t>corresponding requirement</w:t>
            </w:r>
          </w:p>
        </w:tc>
        <w:tc>
          <w:tcPr>
            <w:tcW w:w="3893" w:type="dxa"/>
            <w:tcBorders>
              <w:top w:val="single" w:sz="6" w:space="0" w:color="auto"/>
              <w:bottom w:val="single" w:sz="6" w:space="0" w:color="auto"/>
              <w:right w:val="single" w:sz="6" w:space="0" w:color="auto"/>
            </w:tcBorders>
            <w:shd w:val="clear" w:color="auto" w:fill="000000"/>
            <w:vAlign w:val="bottom"/>
          </w:tcPr>
          <w:p w:rsidR="00965D85" w:rsidRPr="00DF427C" w:rsidRDefault="00965D85" w:rsidP="008B46DF">
            <w:pPr>
              <w:pStyle w:val="Tabletextheadingleft"/>
            </w:pPr>
            <w:r w:rsidRPr="00DF427C">
              <w:t>Location</w:t>
            </w:r>
          </w:p>
        </w:tc>
      </w:tr>
      <w:tr w:rsidR="00965D85" w:rsidRPr="00DF427C" w:rsidTr="008B46DF">
        <w:tc>
          <w:tcPr>
            <w:tcW w:w="3896" w:type="dxa"/>
            <w:tcBorders>
              <w:top w:val="single" w:sz="6" w:space="0" w:color="auto"/>
            </w:tcBorders>
            <w:shd w:val="clear" w:color="auto" w:fill="auto"/>
          </w:tcPr>
          <w:p w:rsidR="00965D85" w:rsidRPr="00DF427C" w:rsidRDefault="00965D85" w:rsidP="008B46DF">
            <w:pPr>
              <w:pStyle w:val="Tabletext"/>
              <w:ind w:left="0" w:firstLine="0"/>
              <w:rPr>
                <w:b/>
              </w:rPr>
            </w:pPr>
            <w:r w:rsidRPr="00DF427C">
              <w:rPr>
                <w:b/>
              </w:rPr>
              <w:t>Sections 23 E</w:t>
            </w:r>
            <w:r>
              <w:rPr>
                <w:b/>
              </w:rPr>
              <w:noBreakHyphen/>
            </w:r>
            <w:r w:rsidRPr="00DF427C">
              <w:rPr>
                <w:b/>
              </w:rPr>
              <w:t>G</w:t>
            </w:r>
          </w:p>
        </w:tc>
        <w:tc>
          <w:tcPr>
            <w:tcW w:w="3893" w:type="dxa"/>
            <w:tcBorders>
              <w:top w:val="single" w:sz="6" w:space="0" w:color="auto"/>
            </w:tcBorders>
            <w:shd w:val="clear" w:color="auto" w:fill="auto"/>
          </w:tcPr>
          <w:p w:rsidR="00965D85" w:rsidRPr="00DF427C" w:rsidRDefault="00965D85" w:rsidP="008B46DF">
            <w:pPr>
              <w:pStyle w:val="Tabletext"/>
              <w:ind w:left="0" w:firstLine="0"/>
            </w:pPr>
          </w:p>
        </w:tc>
      </w:tr>
      <w:tr w:rsidR="00965D85" w:rsidRPr="00B15DB6" w:rsidTr="008B46DF">
        <w:tc>
          <w:tcPr>
            <w:tcW w:w="3896" w:type="dxa"/>
            <w:shd w:val="clear" w:color="auto" w:fill="auto"/>
          </w:tcPr>
          <w:p w:rsidR="00965D85" w:rsidRPr="00B15DB6" w:rsidRDefault="00965D85" w:rsidP="008B46DF">
            <w:pPr>
              <w:pStyle w:val="Tabletext"/>
              <w:ind w:left="0" w:firstLine="0"/>
            </w:pPr>
            <w:r w:rsidRPr="00B15DB6">
              <w:t>Statement of financial policy objectives and strategies for the year.</w:t>
            </w:r>
          </w:p>
        </w:tc>
        <w:tc>
          <w:tcPr>
            <w:tcW w:w="3893" w:type="dxa"/>
            <w:shd w:val="clear" w:color="auto" w:fill="auto"/>
          </w:tcPr>
          <w:p w:rsidR="00965D85" w:rsidRPr="00B15DB6" w:rsidRDefault="00965D85" w:rsidP="008B46DF">
            <w:pPr>
              <w:pStyle w:val="Tabletext"/>
              <w:ind w:left="0" w:firstLine="0"/>
            </w:pPr>
            <w:r w:rsidRPr="00B15DB6">
              <w:t xml:space="preserve">Chapter 1 </w:t>
            </w:r>
            <w:r w:rsidRPr="00B15DB6">
              <w:rPr>
                <w:i/>
              </w:rPr>
              <w:t>Economic and fiscal overview</w:t>
            </w:r>
          </w:p>
        </w:tc>
      </w:tr>
      <w:tr w:rsidR="00965D85" w:rsidRPr="00B15DB6" w:rsidTr="008B46DF">
        <w:tc>
          <w:tcPr>
            <w:tcW w:w="3896" w:type="dxa"/>
            <w:shd w:val="clear" w:color="auto" w:fill="auto"/>
          </w:tcPr>
          <w:p w:rsidR="00965D85" w:rsidRPr="00B15DB6" w:rsidRDefault="00965D85" w:rsidP="008B46DF">
            <w:pPr>
              <w:pStyle w:val="Tabletext"/>
              <w:ind w:left="0" w:firstLine="0"/>
              <w:rPr>
                <w:b/>
              </w:rPr>
            </w:pPr>
            <w:r w:rsidRPr="00B15DB6">
              <w:rPr>
                <w:b/>
              </w:rPr>
              <w:t>Sections 23 H</w:t>
            </w:r>
            <w:r w:rsidRPr="00B15DB6">
              <w:rPr>
                <w:b/>
              </w:rPr>
              <w:noBreakHyphen/>
              <w:t>N</w:t>
            </w:r>
          </w:p>
        </w:tc>
        <w:tc>
          <w:tcPr>
            <w:tcW w:w="3893" w:type="dxa"/>
            <w:shd w:val="clear" w:color="auto" w:fill="auto"/>
          </w:tcPr>
          <w:p w:rsidR="00965D85" w:rsidRPr="00B15DB6" w:rsidRDefault="00965D85" w:rsidP="008B46DF">
            <w:pPr>
              <w:pStyle w:val="Tabletext"/>
              <w:ind w:left="0" w:firstLine="0"/>
            </w:pPr>
          </w:p>
        </w:tc>
      </w:tr>
      <w:tr w:rsidR="00965D85" w:rsidRPr="00B15DB6" w:rsidTr="008B46DF">
        <w:tc>
          <w:tcPr>
            <w:tcW w:w="3896" w:type="dxa"/>
            <w:shd w:val="clear" w:color="auto" w:fill="auto"/>
          </w:tcPr>
          <w:p w:rsidR="00965D85" w:rsidRPr="00B15DB6" w:rsidRDefault="00965D85" w:rsidP="008B46DF">
            <w:pPr>
              <w:pStyle w:val="Tabletext"/>
              <w:ind w:left="0" w:firstLine="0"/>
            </w:pPr>
            <w:r w:rsidRPr="00B15DB6">
              <w:t>Estimated financial statements for the year comprising:</w:t>
            </w:r>
          </w:p>
          <w:p w:rsidR="00965D85" w:rsidRPr="00B15DB6" w:rsidRDefault="00965D85" w:rsidP="008B46DF">
            <w:pPr>
              <w:pStyle w:val="Tabletext"/>
              <w:numPr>
                <w:ilvl w:val="0"/>
                <w:numId w:val="45"/>
              </w:numPr>
              <w:rPr>
                <w:rFonts w:cs="Garamond"/>
              </w:rPr>
            </w:pPr>
            <w:r w:rsidRPr="00B15DB6">
              <w:rPr>
                <w:rFonts w:cs="Garamond"/>
              </w:rPr>
              <w:t>an estimated statement of financial performance for the year;</w:t>
            </w:r>
          </w:p>
          <w:p w:rsidR="00965D85" w:rsidRPr="00B15DB6" w:rsidRDefault="00965D85" w:rsidP="008B46DF">
            <w:pPr>
              <w:pStyle w:val="Tabletext"/>
              <w:numPr>
                <w:ilvl w:val="0"/>
                <w:numId w:val="45"/>
              </w:numPr>
              <w:rPr>
                <w:rFonts w:cs="Garamond"/>
              </w:rPr>
            </w:pPr>
            <w:r w:rsidRPr="00B15DB6">
              <w:rPr>
                <w:rFonts w:cs="Garamond"/>
              </w:rPr>
              <w:t>an estimated statement of financial position at the end of the year;</w:t>
            </w:r>
          </w:p>
          <w:p w:rsidR="00965D85" w:rsidRPr="00B15DB6" w:rsidRDefault="00965D85" w:rsidP="008B46DF">
            <w:pPr>
              <w:pStyle w:val="Tabletext"/>
              <w:numPr>
                <w:ilvl w:val="0"/>
                <w:numId w:val="45"/>
              </w:numPr>
              <w:rPr>
                <w:rFonts w:cs="Garamond"/>
              </w:rPr>
            </w:pPr>
            <w:r w:rsidRPr="00B15DB6">
              <w:rPr>
                <w:rFonts w:cs="Garamond"/>
              </w:rPr>
              <w:t xml:space="preserve">an estimated statement of cash flows for the year; </w:t>
            </w:r>
          </w:p>
          <w:p w:rsidR="00965D85" w:rsidRPr="00B15DB6" w:rsidRDefault="00965D85" w:rsidP="008B46DF">
            <w:pPr>
              <w:pStyle w:val="Tabletext"/>
              <w:numPr>
                <w:ilvl w:val="0"/>
                <w:numId w:val="45"/>
              </w:numPr>
            </w:pPr>
            <w:r w:rsidRPr="00B15DB6">
              <w:rPr>
                <w:rFonts w:cs="Garamond"/>
              </w:rPr>
              <w:t>a statement of the accounting policies on which these statements are based and explanatory notes; and</w:t>
            </w:r>
          </w:p>
        </w:tc>
        <w:tc>
          <w:tcPr>
            <w:tcW w:w="3893" w:type="dxa"/>
            <w:shd w:val="clear" w:color="auto" w:fill="auto"/>
          </w:tcPr>
          <w:p w:rsidR="00965D85" w:rsidRPr="00B15DB6" w:rsidRDefault="00965D85" w:rsidP="008B46DF">
            <w:pPr>
              <w:pStyle w:val="Tabletext"/>
              <w:ind w:left="0" w:firstLine="0"/>
            </w:pPr>
            <w:r w:rsidRPr="00B15DB6">
              <w:t xml:space="preserve">Chapter 4 </w:t>
            </w:r>
            <w:r w:rsidRPr="00B15DB6">
              <w:rPr>
                <w:i/>
              </w:rPr>
              <w:t>Estimated financial statements and notes</w:t>
            </w:r>
            <w:r w:rsidRPr="00B15DB6">
              <w:t xml:space="preserve"> (estimated consolidated comprehensive operating statement, estimated consolidated balance sheet, estimated consolidated cash flow statement and estimated consolidated statement of changes in equity provided as per AASB 1049)</w:t>
            </w:r>
          </w:p>
        </w:tc>
      </w:tr>
      <w:tr w:rsidR="00965D85" w:rsidRPr="00B15DB6" w:rsidTr="008B46DF">
        <w:tc>
          <w:tcPr>
            <w:tcW w:w="3896" w:type="dxa"/>
            <w:shd w:val="clear" w:color="auto" w:fill="auto"/>
          </w:tcPr>
          <w:p w:rsidR="00965D85" w:rsidRPr="00B15DB6" w:rsidRDefault="00965D85" w:rsidP="008B46DF">
            <w:pPr>
              <w:pStyle w:val="Tabletext"/>
              <w:numPr>
                <w:ilvl w:val="0"/>
                <w:numId w:val="45"/>
              </w:numPr>
            </w:pPr>
            <w:r w:rsidRPr="00B15DB6">
              <w:rPr>
                <w:rFonts w:cs="Garamond"/>
              </w:rPr>
              <w:t>government decisions and other circumstances that may have a material effect on the estimated financial statements.</w:t>
            </w:r>
            <w:r w:rsidRPr="00B15DB6">
              <w:t xml:space="preserve"> </w:t>
            </w:r>
          </w:p>
        </w:tc>
        <w:tc>
          <w:tcPr>
            <w:tcW w:w="3893" w:type="dxa"/>
            <w:shd w:val="clear" w:color="auto" w:fill="auto"/>
          </w:tcPr>
          <w:p w:rsidR="00965D85" w:rsidRPr="00B15DB6" w:rsidRDefault="00965D85" w:rsidP="008B46DF">
            <w:pPr>
              <w:pStyle w:val="Tabletext"/>
              <w:ind w:left="0" w:firstLine="0"/>
            </w:pPr>
            <w:r w:rsidRPr="00B15DB6">
              <w:t xml:space="preserve">Appendix A </w:t>
            </w:r>
            <w:r w:rsidRPr="00B15DB6">
              <w:rPr>
                <w:i/>
              </w:rPr>
              <w:t>Specific policy initiatives affecting the budget position</w:t>
            </w:r>
          </w:p>
        </w:tc>
      </w:tr>
    </w:tbl>
    <w:p w:rsidR="00965D85" w:rsidRPr="00B15DB6" w:rsidRDefault="00965D85" w:rsidP="008B46DF"/>
    <w:p w:rsidR="00965D85" w:rsidRPr="00B15DB6" w:rsidRDefault="00965D85" w:rsidP="008B46DF">
      <w:pPr>
        <w:pStyle w:val="Heading1"/>
      </w:pPr>
      <w:r w:rsidRPr="00B15DB6">
        <w:rPr>
          <w:caps w:val="0"/>
        </w:rPr>
        <w:br w:type="page"/>
      </w:r>
    </w:p>
    <w:p w:rsidR="00965D85" w:rsidRPr="00B15DB6" w:rsidRDefault="00965D85" w:rsidP="008B46DF">
      <w:pPr>
        <w:pStyle w:val="Tableheading"/>
        <w:rPr>
          <w:i/>
        </w:rPr>
      </w:pPr>
      <w:r w:rsidRPr="00B15DB6">
        <w:lastRenderedPageBreak/>
        <w:t>Table E.1:</w:t>
      </w:r>
      <w:r w:rsidRPr="00B15DB6">
        <w:tab/>
        <w:t xml:space="preserve">Statements required by the </w:t>
      </w:r>
      <w:r w:rsidRPr="00B15DB6">
        <w:rPr>
          <w:i/>
        </w:rPr>
        <w:t>Financial Management Act 1994</w:t>
      </w:r>
      <w:r w:rsidRPr="00B15DB6">
        <w:t xml:space="preserve"> and location in the </w:t>
      </w:r>
      <w:r w:rsidRPr="00B15DB6">
        <w:rPr>
          <w:i/>
        </w:rPr>
        <w:t>2015</w:t>
      </w:r>
      <w:r w:rsidRPr="00B15DB6">
        <w:rPr>
          <w:i/>
        </w:rPr>
        <w:noBreakHyphen/>
        <w:t>16 Budget Update (continued)</w:t>
      </w:r>
    </w:p>
    <w:tbl>
      <w:tblPr>
        <w:tblW w:w="0" w:type="auto"/>
        <w:tblInd w:w="65" w:type="dxa"/>
        <w:tblLook w:val="01E0" w:firstRow="1" w:lastRow="1" w:firstColumn="1" w:lastColumn="1" w:noHBand="0" w:noVBand="0"/>
      </w:tblPr>
      <w:tblGrid>
        <w:gridCol w:w="3928"/>
        <w:gridCol w:w="3926"/>
      </w:tblGrid>
      <w:tr w:rsidR="00965D85" w:rsidRPr="00B15DB6" w:rsidTr="008B46DF">
        <w:tc>
          <w:tcPr>
            <w:tcW w:w="3928" w:type="dxa"/>
            <w:tcBorders>
              <w:top w:val="single" w:sz="4" w:space="0" w:color="auto"/>
              <w:left w:val="single" w:sz="4" w:space="0" w:color="auto"/>
              <w:bottom w:val="single" w:sz="4" w:space="0" w:color="auto"/>
            </w:tcBorders>
            <w:shd w:val="clear" w:color="auto" w:fill="000000"/>
          </w:tcPr>
          <w:p w:rsidR="00965D85" w:rsidRPr="00B15DB6" w:rsidRDefault="00965D85" w:rsidP="008B46DF">
            <w:pPr>
              <w:pStyle w:val="Tabletextheadingleft"/>
            </w:pPr>
            <w:r w:rsidRPr="00B15DB6">
              <w:t xml:space="preserve">Relevant section of the Act and </w:t>
            </w:r>
            <w:r w:rsidRPr="00B15DB6">
              <w:br/>
              <w:t>corresponding requirement</w:t>
            </w:r>
          </w:p>
        </w:tc>
        <w:tc>
          <w:tcPr>
            <w:tcW w:w="3926" w:type="dxa"/>
            <w:tcBorders>
              <w:top w:val="single" w:sz="4" w:space="0" w:color="auto"/>
              <w:bottom w:val="single" w:sz="4" w:space="0" w:color="auto"/>
              <w:right w:val="single" w:sz="4" w:space="0" w:color="auto"/>
            </w:tcBorders>
            <w:shd w:val="clear" w:color="auto" w:fill="000000"/>
          </w:tcPr>
          <w:p w:rsidR="00965D85" w:rsidRPr="00B15DB6" w:rsidRDefault="00965D85" w:rsidP="008B46DF">
            <w:pPr>
              <w:pStyle w:val="Tabletextheadingleft"/>
            </w:pPr>
            <w:r w:rsidRPr="00B15DB6">
              <w:t>Location</w:t>
            </w:r>
          </w:p>
        </w:tc>
      </w:tr>
      <w:tr w:rsidR="00965D85" w:rsidRPr="00B15DB6" w:rsidTr="008B46DF">
        <w:tblPrEx>
          <w:tblCellMar>
            <w:left w:w="43" w:type="dxa"/>
            <w:right w:w="43" w:type="dxa"/>
          </w:tblCellMar>
        </w:tblPrEx>
        <w:tc>
          <w:tcPr>
            <w:tcW w:w="3928" w:type="dxa"/>
            <w:tcBorders>
              <w:top w:val="single" w:sz="4" w:space="0" w:color="auto"/>
            </w:tcBorders>
            <w:shd w:val="clear" w:color="auto" w:fill="auto"/>
          </w:tcPr>
          <w:p w:rsidR="00965D85" w:rsidRPr="00B15DB6" w:rsidRDefault="00965D85" w:rsidP="008B46DF">
            <w:pPr>
              <w:pStyle w:val="Tabletext"/>
              <w:ind w:left="0" w:firstLine="0"/>
            </w:pPr>
            <w:r w:rsidRPr="00B15DB6">
              <w:t>Accompanying statement to estimated financial statements which:</w:t>
            </w:r>
          </w:p>
        </w:tc>
        <w:tc>
          <w:tcPr>
            <w:tcW w:w="3926" w:type="dxa"/>
            <w:tcBorders>
              <w:top w:val="single" w:sz="4" w:space="0" w:color="auto"/>
            </w:tcBorders>
            <w:shd w:val="clear" w:color="auto" w:fill="auto"/>
          </w:tcPr>
          <w:p w:rsidR="00965D85" w:rsidRPr="00B15DB6" w:rsidRDefault="00965D85" w:rsidP="008B46DF">
            <w:pPr>
              <w:pStyle w:val="Tabletext"/>
              <w:ind w:left="0" w:firstLine="0"/>
            </w:pPr>
          </w:p>
        </w:tc>
      </w:tr>
      <w:tr w:rsidR="00965D85" w:rsidRPr="00B15DB6" w:rsidTr="008B46DF">
        <w:tblPrEx>
          <w:tblCellMar>
            <w:left w:w="43" w:type="dxa"/>
            <w:right w:w="43" w:type="dxa"/>
          </w:tblCellMar>
        </w:tblPrEx>
        <w:tc>
          <w:tcPr>
            <w:tcW w:w="3928" w:type="dxa"/>
            <w:shd w:val="clear" w:color="auto" w:fill="auto"/>
          </w:tcPr>
          <w:p w:rsidR="00965D85" w:rsidRPr="00B15DB6" w:rsidRDefault="00965D85" w:rsidP="008B46DF">
            <w:pPr>
              <w:pStyle w:val="Tabletext"/>
              <w:numPr>
                <w:ilvl w:val="0"/>
                <w:numId w:val="45"/>
              </w:numPr>
            </w:pPr>
            <w:r w:rsidRPr="00B15DB6">
              <w:rPr>
                <w:rFonts w:cs="Garamond"/>
              </w:rPr>
              <w:t>outlines the material economic assumptions used in preparation of the estimated financial statements;</w:t>
            </w:r>
          </w:p>
        </w:tc>
        <w:tc>
          <w:tcPr>
            <w:tcW w:w="3926" w:type="dxa"/>
            <w:shd w:val="clear" w:color="auto" w:fill="auto"/>
          </w:tcPr>
          <w:p w:rsidR="00965D85" w:rsidRPr="00B15DB6" w:rsidRDefault="00965D85" w:rsidP="008B46DF">
            <w:pPr>
              <w:pStyle w:val="Tabletext"/>
              <w:ind w:left="0" w:firstLine="0"/>
            </w:pPr>
            <w:r w:rsidRPr="00B15DB6">
              <w:t xml:space="preserve">Chapter 2 </w:t>
            </w:r>
            <w:r w:rsidRPr="00B15DB6">
              <w:rPr>
                <w:i/>
              </w:rPr>
              <w:t xml:space="preserve">Economic context </w:t>
            </w:r>
            <w:r w:rsidRPr="00B15DB6">
              <w:t xml:space="preserve">and Chapter 4 </w:t>
            </w:r>
            <w:r w:rsidRPr="00B15DB6">
              <w:rPr>
                <w:i/>
              </w:rPr>
              <w:t>Estimated financial statements and notes</w:t>
            </w:r>
          </w:p>
        </w:tc>
      </w:tr>
      <w:tr w:rsidR="00965D85" w:rsidRPr="00B15DB6" w:rsidTr="008B46DF">
        <w:tblPrEx>
          <w:tblCellMar>
            <w:left w:w="43" w:type="dxa"/>
            <w:right w:w="43" w:type="dxa"/>
          </w:tblCellMar>
        </w:tblPrEx>
        <w:tc>
          <w:tcPr>
            <w:tcW w:w="3928" w:type="dxa"/>
            <w:shd w:val="clear" w:color="auto" w:fill="auto"/>
          </w:tcPr>
          <w:p w:rsidR="00965D85" w:rsidRPr="00B15DB6" w:rsidRDefault="00965D85" w:rsidP="008B46DF">
            <w:pPr>
              <w:pStyle w:val="Tabletext"/>
              <w:numPr>
                <w:ilvl w:val="0"/>
                <w:numId w:val="45"/>
              </w:numPr>
              <w:rPr>
                <w:rFonts w:cs="Garamond"/>
              </w:rPr>
            </w:pPr>
            <w:r w:rsidRPr="00B15DB6">
              <w:rPr>
                <w:rFonts w:cs="Garamond"/>
              </w:rPr>
              <w:t>discusses the sensitivity of the estimated financial statements to changes in these assumptions;</w:t>
            </w:r>
          </w:p>
        </w:tc>
        <w:tc>
          <w:tcPr>
            <w:tcW w:w="3926" w:type="dxa"/>
            <w:shd w:val="clear" w:color="auto" w:fill="auto"/>
          </w:tcPr>
          <w:p w:rsidR="00965D85" w:rsidRPr="00B15DB6" w:rsidRDefault="00965D85" w:rsidP="008B46DF">
            <w:pPr>
              <w:pStyle w:val="Tabletext"/>
              <w:ind w:left="0" w:firstLine="0"/>
            </w:pPr>
            <w:r w:rsidRPr="00B15DB6">
              <w:t xml:space="preserve">Appendix D </w:t>
            </w:r>
            <w:r w:rsidRPr="00B15DB6">
              <w:rPr>
                <w:i/>
              </w:rPr>
              <w:t>Sensitivity analysis</w:t>
            </w:r>
          </w:p>
        </w:tc>
      </w:tr>
      <w:tr w:rsidR="00965D85" w:rsidRPr="00B15DB6" w:rsidTr="008B46DF">
        <w:tblPrEx>
          <w:tblCellMar>
            <w:left w:w="43" w:type="dxa"/>
            <w:right w:w="43" w:type="dxa"/>
          </w:tblCellMar>
        </w:tblPrEx>
        <w:tc>
          <w:tcPr>
            <w:tcW w:w="3928" w:type="dxa"/>
            <w:shd w:val="clear" w:color="auto" w:fill="auto"/>
          </w:tcPr>
          <w:p w:rsidR="00965D85" w:rsidRPr="00B15DB6" w:rsidRDefault="00965D85" w:rsidP="008B46DF">
            <w:pPr>
              <w:pStyle w:val="Tabletext"/>
              <w:numPr>
                <w:ilvl w:val="0"/>
                <w:numId w:val="45"/>
              </w:numPr>
              <w:rPr>
                <w:rFonts w:cs="Garamond"/>
              </w:rPr>
            </w:pPr>
            <w:r w:rsidRPr="00B15DB6">
              <w:rPr>
                <w:rFonts w:cs="Garamond"/>
              </w:rPr>
              <w:t>provides an overview of estimated tax expenditures for the financial years covered by the estimated financial statements; and</w:t>
            </w:r>
          </w:p>
        </w:tc>
        <w:tc>
          <w:tcPr>
            <w:tcW w:w="3926" w:type="dxa"/>
            <w:shd w:val="clear" w:color="auto" w:fill="auto"/>
          </w:tcPr>
          <w:p w:rsidR="00965D85" w:rsidRPr="00B15DB6" w:rsidRDefault="00965D85" w:rsidP="008B46DF">
            <w:pPr>
              <w:pStyle w:val="Tabletext"/>
              <w:ind w:left="0" w:firstLine="0"/>
            </w:pPr>
            <w:r w:rsidRPr="00B15DB6">
              <w:t xml:space="preserve">Appendix C </w:t>
            </w:r>
            <w:r w:rsidRPr="00B15DB6">
              <w:rPr>
                <w:i/>
              </w:rPr>
              <w:t>Tax expenditures and concessions</w:t>
            </w:r>
          </w:p>
        </w:tc>
      </w:tr>
      <w:tr w:rsidR="00965D85" w:rsidRPr="00AF1D3F" w:rsidTr="008B46DF">
        <w:tblPrEx>
          <w:tblCellMar>
            <w:left w:w="43" w:type="dxa"/>
            <w:right w:w="43" w:type="dxa"/>
          </w:tblCellMar>
        </w:tblPrEx>
        <w:tc>
          <w:tcPr>
            <w:tcW w:w="3928" w:type="dxa"/>
            <w:tcBorders>
              <w:bottom w:val="single" w:sz="12" w:space="0" w:color="auto"/>
            </w:tcBorders>
            <w:shd w:val="clear" w:color="auto" w:fill="auto"/>
          </w:tcPr>
          <w:p w:rsidR="00965D85" w:rsidRPr="00B15DB6" w:rsidRDefault="00965D85" w:rsidP="008B46DF">
            <w:pPr>
              <w:pStyle w:val="Tabletext"/>
              <w:numPr>
                <w:ilvl w:val="0"/>
                <w:numId w:val="45"/>
              </w:numPr>
              <w:rPr>
                <w:rFonts w:cs="Garamond"/>
              </w:rPr>
            </w:pPr>
            <w:r w:rsidRPr="00B15DB6">
              <w:rPr>
                <w:rFonts w:cs="Garamond"/>
              </w:rPr>
              <w:t>provides a statement of the risks that may have a material effect on the estimated financial statements.</w:t>
            </w:r>
          </w:p>
        </w:tc>
        <w:tc>
          <w:tcPr>
            <w:tcW w:w="3926" w:type="dxa"/>
            <w:tcBorders>
              <w:bottom w:val="single" w:sz="12" w:space="0" w:color="auto"/>
            </w:tcBorders>
            <w:shd w:val="clear" w:color="auto" w:fill="auto"/>
          </w:tcPr>
          <w:p w:rsidR="00965D85" w:rsidRPr="00AF1D3F" w:rsidRDefault="00965D85" w:rsidP="008B46DF">
            <w:pPr>
              <w:pStyle w:val="Tabletext"/>
              <w:ind w:left="0" w:firstLine="0"/>
            </w:pPr>
            <w:r w:rsidRPr="00B15DB6">
              <w:t xml:space="preserve">Chapter 2 </w:t>
            </w:r>
            <w:r w:rsidRPr="00B15DB6">
              <w:rPr>
                <w:i/>
              </w:rPr>
              <w:t>Economic context</w:t>
            </w:r>
            <w:r w:rsidRPr="00B15DB6">
              <w:t xml:space="preserve">; Chapter 3 </w:t>
            </w:r>
            <w:r w:rsidRPr="00B15DB6">
              <w:rPr>
                <w:i/>
              </w:rPr>
              <w:t>Budget position and outlook</w:t>
            </w:r>
            <w:r w:rsidRPr="00B15DB6">
              <w:t xml:space="preserve">; and Chapter 6 </w:t>
            </w:r>
            <w:r w:rsidRPr="00B15DB6">
              <w:rPr>
                <w:i/>
              </w:rPr>
              <w:t>Contingent assets and contingent liabilities</w:t>
            </w:r>
          </w:p>
        </w:tc>
      </w:tr>
    </w:tbl>
    <w:p w:rsidR="00965D85" w:rsidRDefault="00965D85" w:rsidP="008B46DF"/>
    <w:p w:rsidR="00965D85" w:rsidRPr="001F325D" w:rsidRDefault="00965D85" w:rsidP="001F325D"/>
    <w:p w:rsidR="00965D85" w:rsidRDefault="00965D85" w:rsidP="00DF54C9">
      <w:pPr>
        <w:sectPr w:rsidR="00965D85" w:rsidSect="00F302FC">
          <w:footerReference w:type="even" r:id="rId47"/>
          <w:footerReference w:type="default" r:id="rId48"/>
          <w:type w:val="oddPage"/>
          <w:pgSz w:w="9979" w:h="14181" w:code="138"/>
          <w:pgMar w:top="1138" w:right="1138" w:bottom="1138" w:left="1138" w:header="720" w:footer="432" w:gutter="0"/>
          <w:cols w:space="708"/>
          <w:docGrid w:linePitch="360"/>
        </w:sectPr>
      </w:pPr>
    </w:p>
    <w:p w:rsidR="00965D85" w:rsidRPr="00427D0E" w:rsidRDefault="00965D85" w:rsidP="00074C4D">
      <w:pPr>
        <w:pStyle w:val="ChapterHeading"/>
      </w:pPr>
      <w:bookmarkStart w:id="103" w:name="_Toc436147565"/>
      <w:r w:rsidRPr="00427D0E">
        <w:lastRenderedPageBreak/>
        <w:t>Style convention</w:t>
      </w:r>
      <w:r>
        <w:t>s</w:t>
      </w:r>
      <w:bookmarkEnd w:id="103"/>
    </w:p>
    <w:p w:rsidR="00965D85" w:rsidRPr="0009665B" w:rsidRDefault="00965D85" w:rsidP="008B46DF">
      <w:r w:rsidRPr="0009665B">
        <w:t>Figures in the tables and in the text have been rounded. Discrepancies in tables between totals and sums of components reflect rounding. Percentage changes in all tables are based on the underlying unrounded amounts.</w:t>
      </w:r>
    </w:p>
    <w:p w:rsidR="00965D85" w:rsidRPr="0009665B" w:rsidRDefault="00965D85" w:rsidP="008B46DF">
      <w:r w:rsidRPr="0009665B">
        <w:t>The notation used in the tables and charts is as follows:</w:t>
      </w:r>
    </w:p>
    <w:p w:rsidR="00965D85" w:rsidRPr="0009665B" w:rsidRDefault="00965D85" w:rsidP="008B46DF">
      <w:pPr>
        <w:ind w:left="2520" w:hanging="1800"/>
      </w:pPr>
      <w:r w:rsidRPr="0009665B">
        <w:t>n.a. or na</w:t>
      </w:r>
      <w:r w:rsidRPr="0009665B">
        <w:tab/>
        <w:t>not available or not applicable</w:t>
      </w:r>
    </w:p>
    <w:p w:rsidR="00965D85" w:rsidRPr="0009665B" w:rsidRDefault="00965D85" w:rsidP="008B46DF">
      <w:pPr>
        <w:ind w:left="2520" w:hanging="1800"/>
      </w:pPr>
      <w:r w:rsidRPr="0009665B">
        <w:t>1</w:t>
      </w:r>
      <w:r>
        <w:t> billion</w:t>
      </w:r>
      <w:r w:rsidRPr="0009665B">
        <w:tab/>
        <w:t>1 000</w:t>
      </w:r>
      <w:r>
        <w:t> million</w:t>
      </w:r>
    </w:p>
    <w:p w:rsidR="00965D85" w:rsidRPr="0009665B" w:rsidRDefault="00965D85" w:rsidP="008B46DF">
      <w:pPr>
        <w:ind w:left="2520" w:hanging="1800"/>
      </w:pPr>
      <w:r w:rsidRPr="0009665B">
        <w:t>1 basis point</w:t>
      </w:r>
      <w:r w:rsidRPr="0009665B">
        <w:tab/>
        <w:t>0.01</w:t>
      </w:r>
      <w:r>
        <w:t> per cent</w:t>
      </w:r>
    </w:p>
    <w:p w:rsidR="00965D85" w:rsidRPr="0009665B" w:rsidRDefault="00965D85" w:rsidP="008B46DF">
      <w:pPr>
        <w:ind w:left="2520" w:hanging="1800"/>
      </w:pPr>
      <w:r w:rsidRPr="0009665B">
        <w:t>..</w:t>
      </w:r>
      <w:r w:rsidRPr="0009665B">
        <w:tab/>
        <w:t>zero, or rounded to zero</w:t>
      </w:r>
    </w:p>
    <w:p w:rsidR="00965D85" w:rsidRPr="0009665B" w:rsidRDefault="00965D85" w:rsidP="008B46DF">
      <w:pPr>
        <w:ind w:left="2520" w:hanging="1800"/>
      </w:pPr>
      <w:r w:rsidRPr="0009665B">
        <w:t>tba</w:t>
      </w:r>
      <w:r w:rsidRPr="0009665B">
        <w:tab/>
        <w:t>to be advised</w:t>
      </w:r>
    </w:p>
    <w:p w:rsidR="00965D85" w:rsidRPr="0009665B" w:rsidRDefault="00965D85" w:rsidP="008B46DF">
      <w:pPr>
        <w:ind w:left="2520" w:hanging="1800"/>
      </w:pPr>
      <w:r w:rsidRPr="0009665B">
        <w:t>tbd</w:t>
      </w:r>
      <w:r w:rsidRPr="0009665B">
        <w:tab/>
        <w:t>to be determined</w:t>
      </w:r>
    </w:p>
    <w:p w:rsidR="00965D85" w:rsidRPr="0009665B" w:rsidRDefault="00965D85" w:rsidP="008B46DF">
      <w:pPr>
        <w:ind w:left="2520" w:hanging="1800"/>
      </w:pPr>
      <w:r w:rsidRPr="0009665B">
        <w:t>ongoing</w:t>
      </w:r>
      <w:r w:rsidRPr="0009665B">
        <w:tab/>
        <w:t>continuing output, program, project etc.</w:t>
      </w:r>
    </w:p>
    <w:p w:rsidR="00965D85" w:rsidRDefault="00965D85" w:rsidP="008B46DF">
      <w:pPr>
        <w:ind w:left="2520" w:hanging="1800"/>
      </w:pPr>
      <w:r w:rsidRPr="0009665B">
        <w:t>(xxx.x)</w:t>
      </w:r>
      <w:r w:rsidRPr="0009665B">
        <w:tab/>
        <w:t>negative numbers</w:t>
      </w:r>
    </w:p>
    <w:p w:rsidR="00965D85" w:rsidRDefault="00965D85" w:rsidP="008B46DF">
      <w:pPr>
        <w:ind w:left="2520" w:hanging="1800"/>
      </w:pPr>
      <w:r>
        <w:t>x xxx.0</w:t>
      </w:r>
      <w:r>
        <w:tab/>
        <w:t>rounded amount</w:t>
      </w:r>
    </w:p>
    <w:p w:rsidR="00965D85" w:rsidRPr="0009665B" w:rsidRDefault="00965D85" w:rsidP="008B46DF">
      <w:pPr>
        <w:ind w:left="2520" w:hanging="1800"/>
      </w:pPr>
    </w:p>
    <w:p w:rsidR="00965D85" w:rsidRDefault="00965D85">
      <w:pPr>
        <w:spacing w:after="0"/>
      </w:pPr>
      <w:r>
        <w:br w:type="page"/>
      </w:r>
    </w:p>
    <w:p w:rsidR="00965D85" w:rsidRDefault="00965D85" w:rsidP="00673AAD"/>
    <w:p w:rsidR="00965D85" w:rsidRPr="00673AAD" w:rsidRDefault="00965D85" w:rsidP="00673AAD"/>
    <w:p w:rsidR="00965D85" w:rsidRPr="00537D85" w:rsidRDefault="00965D85" w:rsidP="00DF54C9">
      <w:pPr>
        <w:pStyle w:val="Heading1"/>
      </w:pPr>
    </w:p>
    <w:sectPr w:rsidR="00965D85" w:rsidRPr="00537D85" w:rsidSect="00F302FC">
      <w:footerReference w:type="even" r:id="rId49"/>
      <w:footerReference w:type="default" r:id="rId50"/>
      <w:type w:val="oddPage"/>
      <w:pgSz w:w="9979" w:h="14181" w:code="138"/>
      <w:pgMar w:top="1138" w:right="1138" w:bottom="1138" w:left="1138" w:header="720" w:footer="43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F27E0">
      <w:pPr>
        <w:spacing w:after="0"/>
      </w:pPr>
      <w:r>
        <w:separator/>
      </w:r>
    </w:p>
  </w:endnote>
  <w:endnote w:type="continuationSeparator" w:id="0">
    <w:p w:rsidR="00000000" w:rsidRDefault="00DF27E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vantGarde Bk BT">
    <w:altName w:val="Arial"/>
    <w:charset w:val="00"/>
    <w:family w:val="swiss"/>
    <w:pitch w:val="variable"/>
    <w:sig w:usb0="00000001"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6DF" w:rsidRPr="000234BE" w:rsidRDefault="008B46DF" w:rsidP="000234BE">
    <w:pPr>
      <w:pStyle w:val="Footer"/>
      <w:pBdr>
        <w:top w:val="none" w:sz="0" w:space="0" w:color="auto"/>
      </w:pBdr>
      <w:rPr>
        <w:rStyle w:val="PageNumber"/>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6DF" w:rsidRDefault="008B46DF" w:rsidP="008B46DF">
    <w:pPr>
      <w:pStyle w:val="Footer"/>
      <w:tabs>
        <w:tab w:val="clear" w:pos="7085"/>
        <w:tab w:val="center" w:pos="4819"/>
        <w:tab w:val="right" w:pos="7654"/>
      </w:tabs>
      <w:spacing w:after="0"/>
      <w:rPr>
        <w:rStyle w:val="PageNumber"/>
      </w:rPr>
    </w:pPr>
    <w:r>
      <w:rPr>
        <w:rStyle w:val="PageNumber"/>
      </w:rPr>
      <w:t>2015</w:t>
    </w:r>
    <w:r>
      <w:rPr>
        <w:rStyle w:val="PageNumber"/>
      </w:rPr>
      <w:noBreakHyphen/>
      <w:t>16 Budget Update</w:t>
    </w:r>
    <w:r>
      <w:rPr>
        <w:rStyle w:val="PageNumber"/>
      </w:rPr>
      <w:tab/>
    </w:r>
    <w:r w:rsidRPr="00427D0E">
      <w:t>Chapter 3</w:t>
    </w:r>
    <w:r>
      <w:rPr>
        <w:rStyle w:val="PageNumber"/>
      </w:rPr>
      <w:tab/>
    </w:r>
    <w:r>
      <w:rPr>
        <w:rStyle w:val="PageNumber"/>
      </w:rPr>
      <w:fldChar w:fldCharType="begin"/>
    </w:r>
    <w:r>
      <w:rPr>
        <w:rStyle w:val="PageNumber"/>
      </w:rPr>
      <w:instrText xml:space="preserve"> PAGE </w:instrText>
    </w:r>
    <w:r>
      <w:rPr>
        <w:rStyle w:val="PageNumber"/>
      </w:rPr>
      <w:fldChar w:fldCharType="separate"/>
    </w:r>
    <w:r w:rsidR="00DF27E0">
      <w:rPr>
        <w:rStyle w:val="PageNumber"/>
        <w:noProof/>
      </w:rPr>
      <w:t>27</w:t>
    </w:r>
    <w:r>
      <w:rPr>
        <w:rStyle w:val="PageNumber"/>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6DF" w:rsidRDefault="008B46DF" w:rsidP="00C97E08">
    <w:pPr>
      <w:pStyle w:val="Footer"/>
      <w:tabs>
        <w:tab w:val="clear" w:pos="7085"/>
        <w:tab w:val="center" w:pos="2977"/>
        <w:tab w:val="right" w:pos="7655"/>
      </w:tabs>
      <w:spacing w:after="0"/>
      <w:rPr>
        <w:rStyle w:val="PageNumber"/>
      </w:rPr>
    </w:pPr>
    <w:r>
      <w:rPr>
        <w:rStyle w:val="PageNumber"/>
      </w:rPr>
      <w:fldChar w:fldCharType="begin"/>
    </w:r>
    <w:r>
      <w:rPr>
        <w:rStyle w:val="PageNumber"/>
      </w:rPr>
      <w:instrText xml:space="preserve"> PAGE </w:instrText>
    </w:r>
    <w:r>
      <w:rPr>
        <w:rStyle w:val="PageNumber"/>
      </w:rPr>
      <w:fldChar w:fldCharType="separate"/>
    </w:r>
    <w:r w:rsidR="00DF27E0">
      <w:rPr>
        <w:rStyle w:val="PageNumber"/>
        <w:noProof/>
      </w:rPr>
      <w:t>62</w:t>
    </w:r>
    <w:r>
      <w:rPr>
        <w:rStyle w:val="PageNumber"/>
      </w:rPr>
      <w:fldChar w:fldCharType="end"/>
    </w:r>
    <w:r>
      <w:rPr>
        <w:rStyle w:val="PageNumber"/>
      </w:rPr>
      <w:tab/>
    </w:r>
    <w:r w:rsidRPr="00427D0E">
      <w:t>Chapter 4</w:t>
    </w:r>
    <w:r>
      <w:rPr>
        <w:rStyle w:val="PageNumber"/>
      </w:rPr>
      <w:tab/>
      <w:t>2015</w:t>
    </w:r>
    <w:r>
      <w:rPr>
        <w:rStyle w:val="PageNumber"/>
      </w:rPr>
      <w:noBreakHyphen/>
      <w:t>16 Budget Update</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6DF" w:rsidRDefault="008B46DF" w:rsidP="00C97E08">
    <w:pPr>
      <w:pStyle w:val="Footer"/>
      <w:tabs>
        <w:tab w:val="clear" w:pos="7085"/>
        <w:tab w:val="center" w:pos="4820"/>
        <w:tab w:val="right" w:pos="7655"/>
      </w:tabs>
      <w:spacing w:after="0"/>
      <w:rPr>
        <w:rStyle w:val="PageNumber"/>
      </w:rPr>
    </w:pPr>
    <w:r>
      <w:rPr>
        <w:rStyle w:val="PageNumber"/>
      </w:rPr>
      <w:t>2015</w:t>
    </w:r>
    <w:r>
      <w:rPr>
        <w:rStyle w:val="PageNumber"/>
      </w:rPr>
      <w:noBreakHyphen/>
      <w:t>16 Budget Update</w:t>
    </w:r>
    <w:r>
      <w:rPr>
        <w:rStyle w:val="PageNumber"/>
      </w:rPr>
      <w:tab/>
    </w:r>
    <w:r w:rsidRPr="00427D0E">
      <w:t>Chapter 4</w:t>
    </w:r>
    <w:r>
      <w:rPr>
        <w:rStyle w:val="PageNumber"/>
      </w:rPr>
      <w:tab/>
    </w:r>
    <w:r>
      <w:rPr>
        <w:rStyle w:val="PageNumber"/>
      </w:rPr>
      <w:fldChar w:fldCharType="begin"/>
    </w:r>
    <w:r>
      <w:rPr>
        <w:rStyle w:val="PageNumber"/>
      </w:rPr>
      <w:instrText xml:space="preserve"> PAGE </w:instrText>
    </w:r>
    <w:r>
      <w:rPr>
        <w:rStyle w:val="PageNumber"/>
      </w:rPr>
      <w:fldChar w:fldCharType="separate"/>
    </w:r>
    <w:r w:rsidR="00DF27E0">
      <w:rPr>
        <w:rStyle w:val="PageNumber"/>
        <w:noProof/>
      </w:rPr>
      <w:t>61</w:t>
    </w:r>
    <w:r>
      <w:rPr>
        <w:rStyle w:val="PageNumber"/>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6DF" w:rsidRDefault="008B46DF" w:rsidP="00C97E08">
    <w:pPr>
      <w:pStyle w:val="Footer"/>
      <w:tabs>
        <w:tab w:val="clear" w:pos="7085"/>
        <w:tab w:val="center" w:pos="2977"/>
        <w:tab w:val="right" w:pos="7655"/>
      </w:tabs>
      <w:spacing w:after="0"/>
      <w:rPr>
        <w:rStyle w:val="PageNumber"/>
      </w:rPr>
    </w:pPr>
    <w:r>
      <w:rPr>
        <w:rStyle w:val="PageNumber"/>
      </w:rPr>
      <w:fldChar w:fldCharType="begin"/>
    </w:r>
    <w:r>
      <w:rPr>
        <w:rStyle w:val="PageNumber"/>
      </w:rPr>
      <w:instrText xml:space="preserve"> PAGE </w:instrText>
    </w:r>
    <w:r>
      <w:rPr>
        <w:rStyle w:val="PageNumber"/>
      </w:rPr>
      <w:fldChar w:fldCharType="separate"/>
    </w:r>
    <w:r w:rsidR="00DF27E0">
      <w:rPr>
        <w:rStyle w:val="PageNumber"/>
        <w:noProof/>
      </w:rPr>
      <w:t>98</w:t>
    </w:r>
    <w:r>
      <w:rPr>
        <w:rStyle w:val="PageNumber"/>
      </w:rPr>
      <w:fldChar w:fldCharType="end"/>
    </w:r>
    <w:r>
      <w:rPr>
        <w:rStyle w:val="PageNumber"/>
      </w:rPr>
      <w:tab/>
    </w:r>
    <w:r w:rsidRPr="00427D0E">
      <w:t>Chapter 5</w:t>
    </w:r>
    <w:r>
      <w:rPr>
        <w:rStyle w:val="PageNumber"/>
      </w:rPr>
      <w:tab/>
      <w:t>2015</w:t>
    </w:r>
    <w:r>
      <w:rPr>
        <w:rStyle w:val="PageNumber"/>
      </w:rPr>
      <w:noBreakHyphen/>
      <w:t>16 Budget Update</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6DF" w:rsidRDefault="008B46DF" w:rsidP="00C97E08">
    <w:pPr>
      <w:pStyle w:val="Footer"/>
      <w:tabs>
        <w:tab w:val="clear" w:pos="7085"/>
        <w:tab w:val="center" w:pos="4820"/>
        <w:tab w:val="right" w:pos="7655"/>
      </w:tabs>
      <w:spacing w:after="0"/>
      <w:rPr>
        <w:rStyle w:val="PageNumber"/>
      </w:rPr>
    </w:pPr>
    <w:r>
      <w:rPr>
        <w:rStyle w:val="PageNumber"/>
      </w:rPr>
      <w:t>2015</w:t>
    </w:r>
    <w:r>
      <w:rPr>
        <w:rStyle w:val="PageNumber"/>
      </w:rPr>
      <w:noBreakHyphen/>
      <w:t>16 Budget Update</w:t>
    </w:r>
    <w:r>
      <w:rPr>
        <w:rStyle w:val="PageNumber"/>
      </w:rPr>
      <w:tab/>
    </w:r>
    <w:r w:rsidRPr="00427D0E">
      <w:t>Chapter 5</w:t>
    </w:r>
    <w:r>
      <w:rPr>
        <w:rStyle w:val="PageNumber"/>
      </w:rPr>
      <w:tab/>
    </w:r>
    <w:r>
      <w:rPr>
        <w:rStyle w:val="PageNumber"/>
      </w:rPr>
      <w:fldChar w:fldCharType="begin"/>
    </w:r>
    <w:r>
      <w:rPr>
        <w:rStyle w:val="PageNumber"/>
      </w:rPr>
      <w:instrText xml:space="preserve"> PAGE </w:instrText>
    </w:r>
    <w:r>
      <w:rPr>
        <w:rStyle w:val="PageNumber"/>
      </w:rPr>
      <w:fldChar w:fldCharType="separate"/>
    </w:r>
    <w:r w:rsidR="00DF27E0">
      <w:rPr>
        <w:rStyle w:val="PageNumber"/>
        <w:noProof/>
      </w:rPr>
      <w:t>97</w:t>
    </w:r>
    <w:r>
      <w:rPr>
        <w:rStyle w:val="PageNumber"/>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6DF" w:rsidRDefault="008B46DF" w:rsidP="00C97E08">
    <w:pPr>
      <w:pStyle w:val="Footer"/>
      <w:tabs>
        <w:tab w:val="clear" w:pos="7085"/>
        <w:tab w:val="center" w:pos="2977"/>
        <w:tab w:val="right" w:pos="7655"/>
      </w:tabs>
      <w:spacing w:after="0"/>
      <w:rPr>
        <w:rStyle w:val="PageNumber"/>
      </w:rPr>
    </w:pPr>
    <w:r>
      <w:rPr>
        <w:rStyle w:val="PageNumber"/>
      </w:rPr>
      <w:fldChar w:fldCharType="begin"/>
    </w:r>
    <w:r>
      <w:rPr>
        <w:rStyle w:val="PageNumber"/>
      </w:rPr>
      <w:instrText xml:space="preserve"> PAGE </w:instrText>
    </w:r>
    <w:r>
      <w:rPr>
        <w:rStyle w:val="PageNumber"/>
      </w:rPr>
      <w:fldChar w:fldCharType="separate"/>
    </w:r>
    <w:r w:rsidR="00DF27E0">
      <w:rPr>
        <w:rStyle w:val="PageNumber"/>
        <w:noProof/>
      </w:rPr>
      <w:t>106</w:t>
    </w:r>
    <w:r>
      <w:rPr>
        <w:rStyle w:val="PageNumber"/>
      </w:rPr>
      <w:fldChar w:fldCharType="end"/>
    </w:r>
    <w:r>
      <w:rPr>
        <w:rStyle w:val="PageNumber"/>
      </w:rPr>
      <w:tab/>
    </w:r>
    <w:r w:rsidRPr="00427D0E">
      <w:t>Chapter 6</w:t>
    </w:r>
    <w:r>
      <w:rPr>
        <w:rStyle w:val="PageNumber"/>
      </w:rPr>
      <w:tab/>
      <w:t>2015</w:t>
    </w:r>
    <w:r>
      <w:rPr>
        <w:rStyle w:val="PageNumber"/>
      </w:rPr>
      <w:noBreakHyphen/>
      <w:t>16 Budget Update</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6DF" w:rsidRDefault="008B46DF" w:rsidP="00C97E08">
    <w:pPr>
      <w:pStyle w:val="Footer"/>
      <w:tabs>
        <w:tab w:val="clear" w:pos="7085"/>
        <w:tab w:val="center" w:pos="4820"/>
        <w:tab w:val="right" w:pos="7655"/>
      </w:tabs>
      <w:spacing w:after="0"/>
      <w:rPr>
        <w:rStyle w:val="PageNumber"/>
      </w:rPr>
    </w:pPr>
    <w:r>
      <w:rPr>
        <w:rStyle w:val="PageNumber"/>
      </w:rPr>
      <w:t>2015</w:t>
    </w:r>
    <w:r>
      <w:rPr>
        <w:rStyle w:val="PageNumber"/>
      </w:rPr>
      <w:noBreakHyphen/>
      <w:t>16 Budget Update</w:t>
    </w:r>
    <w:r>
      <w:rPr>
        <w:rStyle w:val="PageNumber"/>
      </w:rPr>
      <w:tab/>
    </w:r>
    <w:r w:rsidRPr="00427D0E">
      <w:t>Chapter 6</w:t>
    </w:r>
    <w:r>
      <w:rPr>
        <w:rStyle w:val="PageNumber"/>
      </w:rPr>
      <w:tab/>
    </w:r>
    <w:r>
      <w:rPr>
        <w:rStyle w:val="PageNumber"/>
      </w:rPr>
      <w:fldChar w:fldCharType="begin"/>
    </w:r>
    <w:r>
      <w:rPr>
        <w:rStyle w:val="PageNumber"/>
      </w:rPr>
      <w:instrText xml:space="preserve"> PAGE </w:instrText>
    </w:r>
    <w:r>
      <w:rPr>
        <w:rStyle w:val="PageNumber"/>
      </w:rPr>
      <w:fldChar w:fldCharType="separate"/>
    </w:r>
    <w:r w:rsidR="00DF27E0">
      <w:rPr>
        <w:rStyle w:val="PageNumber"/>
        <w:noProof/>
      </w:rPr>
      <w:t>105</w:t>
    </w:r>
    <w:r>
      <w:rPr>
        <w:rStyle w:val="PageNumber"/>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6DF" w:rsidRDefault="008B46DF" w:rsidP="008B46DF">
    <w:pPr>
      <w:pStyle w:val="Footer"/>
      <w:tabs>
        <w:tab w:val="clear" w:pos="7085"/>
        <w:tab w:val="center" w:pos="2693"/>
        <w:tab w:val="right" w:pos="7654"/>
      </w:tabs>
      <w:spacing w:after="0"/>
      <w:rPr>
        <w:rStyle w:val="PageNumber"/>
      </w:rPr>
    </w:pPr>
    <w:r>
      <w:rPr>
        <w:rStyle w:val="PageNumber"/>
      </w:rPr>
      <w:fldChar w:fldCharType="begin"/>
    </w:r>
    <w:r>
      <w:rPr>
        <w:rStyle w:val="PageNumber"/>
      </w:rPr>
      <w:instrText xml:space="preserve"> PAGE </w:instrText>
    </w:r>
    <w:r>
      <w:rPr>
        <w:rStyle w:val="PageNumber"/>
      </w:rPr>
      <w:fldChar w:fldCharType="separate"/>
    </w:r>
    <w:r w:rsidR="00DF27E0">
      <w:rPr>
        <w:rStyle w:val="PageNumber"/>
        <w:noProof/>
      </w:rPr>
      <w:t>118</w:t>
    </w:r>
    <w:r>
      <w:rPr>
        <w:rStyle w:val="PageNumber"/>
      </w:rPr>
      <w:fldChar w:fldCharType="end"/>
    </w:r>
    <w:r>
      <w:rPr>
        <w:rStyle w:val="PageNumber"/>
      </w:rPr>
      <w:tab/>
      <w:t>Appendix A</w:t>
    </w:r>
    <w:r>
      <w:rPr>
        <w:rStyle w:val="PageNumber"/>
      </w:rPr>
      <w:tab/>
      <w:t>2015</w:t>
    </w:r>
    <w:r>
      <w:rPr>
        <w:rStyle w:val="PageNumber"/>
      </w:rPr>
      <w:noBreakHyphen/>
      <w:t>16 Budget Update</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6DF" w:rsidRDefault="008B46DF" w:rsidP="008B46DF">
    <w:pPr>
      <w:pStyle w:val="Footer"/>
      <w:tabs>
        <w:tab w:val="clear" w:pos="7085"/>
        <w:tab w:val="center" w:pos="4819"/>
        <w:tab w:val="right" w:pos="7654"/>
      </w:tabs>
      <w:spacing w:after="0"/>
      <w:rPr>
        <w:rStyle w:val="PageNumber"/>
      </w:rPr>
    </w:pPr>
    <w:r>
      <w:rPr>
        <w:rStyle w:val="PageNumber"/>
      </w:rPr>
      <w:t>2015</w:t>
    </w:r>
    <w:r>
      <w:rPr>
        <w:rStyle w:val="PageNumber"/>
      </w:rPr>
      <w:noBreakHyphen/>
      <w:t>16 Budget Update</w:t>
    </w:r>
    <w:r>
      <w:rPr>
        <w:rStyle w:val="PageNumber"/>
      </w:rPr>
      <w:tab/>
      <w:t>Appendix A</w:t>
    </w:r>
    <w:r>
      <w:rPr>
        <w:rStyle w:val="PageNumber"/>
      </w:rPr>
      <w:tab/>
    </w:r>
    <w:r>
      <w:rPr>
        <w:rStyle w:val="PageNumber"/>
      </w:rPr>
      <w:fldChar w:fldCharType="begin"/>
    </w:r>
    <w:r>
      <w:rPr>
        <w:rStyle w:val="PageNumber"/>
      </w:rPr>
      <w:instrText xml:space="preserve"> PAGE </w:instrText>
    </w:r>
    <w:r>
      <w:rPr>
        <w:rStyle w:val="PageNumber"/>
      </w:rPr>
      <w:fldChar w:fldCharType="separate"/>
    </w:r>
    <w:r w:rsidR="00DF27E0">
      <w:rPr>
        <w:rStyle w:val="PageNumber"/>
        <w:noProof/>
      </w:rPr>
      <w:t>117</w:t>
    </w:r>
    <w:r>
      <w:rPr>
        <w:rStyle w:val="PageNumber"/>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6DF" w:rsidRDefault="008B46DF" w:rsidP="00C97E08">
    <w:pPr>
      <w:pStyle w:val="Footer"/>
      <w:tabs>
        <w:tab w:val="clear" w:pos="7085"/>
        <w:tab w:val="center" w:pos="2977"/>
        <w:tab w:val="right" w:pos="7655"/>
      </w:tabs>
      <w:spacing w:after="0"/>
      <w:rPr>
        <w:rStyle w:val="PageNumber"/>
      </w:rPr>
    </w:pPr>
    <w:r>
      <w:rPr>
        <w:rStyle w:val="PageNumber"/>
      </w:rPr>
      <w:fldChar w:fldCharType="begin"/>
    </w:r>
    <w:r>
      <w:rPr>
        <w:rStyle w:val="PageNumber"/>
      </w:rPr>
      <w:instrText xml:space="preserve"> PAGE </w:instrText>
    </w:r>
    <w:r>
      <w:rPr>
        <w:rStyle w:val="PageNumber"/>
      </w:rPr>
      <w:fldChar w:fldCharType="separate"/>
    </w:r>
    <w:r w:rsidR="00DF27E0">
      <w:rPr>
        <w:rStyle w:val="PageNumber"/>
        <w:noProof/>
      </w:rPr>
      <w:t>120</w:t>
    </w:r>
    <w:r>
      <w:rPr>
        <w:rStyle w:val="PageNumber"/>
      </w:rPr>
      <w:fldChar w:fldCharType="end"/>
    </w:r>
    <w:r>
      <w:rPr>
        <w:rStyle w:val="PageNumber"/>
      </w:rPr>
      <w:tab/>
    </w:r>
    <w:r w:rsidRPr="00427D0E">
      <w:t>Appendix B</w:t>
    </w:r>
    <w:r>
      <w:rPr>
        <w:rStyle w:val="PageNumber"/>
      </w:rPr>
      <w:tab/>
      <w:t>2015</w:t>
    </w:r>
    <w:r>
      <w:rPr>
        <w:rStyle w:val="PageNumber"/>
      </w:rPr>
      <w:noBreakHyphen/>
      <w:t>16 Budget Update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6DF" w:rsidRPr="000234BE" w:rsidRDefault="008B46DF" w:rsidP="000234BE">
    <w:pPr>
      <w:pStyle w:val="Footer"/>
      <w:pBdr>
        <w:top w:val="none" w:sz="0" w:space="0" w:color="auto"/>
      </w:pBdr>
      <w:rPr>
        <w:rStyle w:val="PageNumber"/>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6DF" w:rsidRDefault="008B46DF" w:rsidP="00C97E08">
    <w:pPr>
      <w:pStyle w:val="Footer"/>
      <w:tabs>
        <w:tab w:val="clear" w:pos="7085"/>
        <w:tab w:val="center" w:pos="4820"/>
        <w:tab w:val="right" w:pos="7655"/>
      </w:tabs>
      <w:spacing w:after="0"/>
      <w:rPr>
        <w:rStyle w:val="PageNumber"/>
      </w:rPr>
    </w:pPr>
    <w:r>
      <w:rPr>
        <w:rStyle w:val="PageNumber"/>
      </w:rPr>
      <w:t>2015</w:t>
    </w:r>
    <w:r>
      <w:rPr>
        <w:rStyle w:val="PageNumber"/>
      </w:rPr>
      <w:noBreakHyphen/>
      <w:t>16 Budget Update</w:t>
    </w:r>
    <w:r>
      <w:rPr>
        <w:rStyle w:val="PageNumber"/>
      </w:rPr>
      <w:tab/>
    </w:r>
    <w:r w:rsidRPr="00427D0E">
      <w:t>Appendix B</w:t>
    </w:r>
    <w:r>
      <w:rPr>
        <w:rStyle w:val="PageNumber"/>
      </w:rPr>
      <w:tab/>
    </w:r>
    <w:r>
      <w:rPr>
        <w:rStyle w:val="PageNumber"/>
      </w:rPr>
      <w:fldChar w:fldCharType="begin"/>
    </w:r>
    <w:r>
      <w:rPr>
        <w:rStyle w:val="PageNumber"/>
      </w:rPr>
      <w:instrText xml:space="preserve"> PAGE </w:instrText>
    </w:r>
    <w:r>
      <w:rPr>
        <w:rStyle w:val="PageNumber"/>
      </w:rPr>
      <w:fldChar w:fldCharType="separate"/>
    </w:r>
    <w:r w:rsidR="00DF27E0">
      <w:rPr>
        <w:rStyle w:val="PageNumber"/>
        <w:noProof/>
      </w:rPr>
      <w:t>119</w:t>
    </w:r>
    <w:r>
      <w:rPr>
        <w:rStyle w:val="PageNumber"/>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6DF" w:rsidRDefault="008B46DF" w:rsidP="00C97E08">
    <w:pPr>
      <w:pStyle w:val="Footer"/>
      <w:tabs>
        <w:tab w:val="clear" w:pos="7085"/>
        <w:tab w:val="center" w:pos="2977"/>
        <w:tab w:val="right" w:pos="7655"/>
      </w:tabs>
      <w:spacing w:after="0"/>
      <w:rPr>
        <w:rStyle w:val="PageNumber"/>
      </w:rPr>
    </w:pPr>
    <w:r>
      <w:rPr>
        <w:rStyle w:val="PageNumber"/>
      </w:rPr>
      <w:fldChar w:fldCharType="begin"/>
    </w:r>
    <w:r>
      <w:rPr>
        <w:rStyle w:val="PageNumber"/>
      </w:rPr>
      <w:instrText xml:space="preserve"> PAGE </w:instrText>
    </w:r>
    <w:r>
      <w:rPr>
        <w:rStyle w:val="PageNumber"/>
      </w:rPr>
      <w:fldChar w:fldCharType="separate"/>
    </w:r>
    <w:r w:rsidR="00DF27E0">
      <w:rPr>
        <w:rStyle w:val="PageNumber"/>
        <w:noProof/>
      </w:rPr>
      <w:t>124</w:t>
    </w:r>
    <w:r>
      <w:rPr>
        <w:rStyle w:val="PageNumber"/>
      </w:rPr>
      <w:fldChar w:fldCharType="end"/>
    </w:r>
    <w:r>
      <w:rPr>
        <w:rStyle w:val="PageNumber"/>
      </w:rPr>
      <w:tab/>
    </w:r>
    <w:r w:rsidRPr="00427D0E">
      <w:t>Appendix C</w:t>
    </w:r>
    <w:r>
      <w:rPr>
        <w:rStyle w:val="PageNumber"/>
      </w:rPr>
      <w:tab/>
      <w:t>2015</w:t>
    </w:r>
    <w:r>
      <w:rPr>
        <w:rStyle w:val="PageNumber"/>
      </w:rPr>
      <w:noBreakHyphen/>
      <w:t>16 Budget Update</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6DF" w:rsidRDefault="008B46DF" w:rsidP="00C97E08">
    <w:pPr>
      <w:pStyle w:val="Footer"/>
      <w:tabs>
        <w:tab w:val="clear" w:pos="7085"/>
        <w:tab w:val="center" w:pos="4820"/>
        <w:tab w:val="right" w:pos="7655"/>
      </w:tabs>
      <w:spacing w:after="0"/>
      <w:rPr>
        <w:rStyle w:val="PageNumber"/>
      </w:rPr>
    </w:pPr>
    <w:r>
      <w:rPr>
        <w:rStyle w:val="PageNumber"/>
      </w:rPr>
      <w:t>2015</w:t>
    </w:r>
    <w:r>
      <w:rPr>
        <w:rStyle w:val="PageNumber"/>
      </w:rPr>
      <w:noBreakHyphen/>
      <w:t>16 Budget Update</w:t>
    </w:r>
    <w:r>
      <w:rPr>
        <w:rStyle w:val="PageNumber"/>
      </w:rPr>
      <w:tab/>
    </w:r>
    <w:r w:rsidRPr="00427D0E">
      <w:t>Appendix C</w:t>
    </w:r>
    <w:r>
      <w:rPr>
        <w:rStyle w:val="PageNumber"/>
      </w:rPr>
      <w:tab/>
    </w:r>
    <w:r>
      <w:rPr>
        <w:rStyle w:val="PageNumber"/>
      </w:rPr>
      <w:fldChar w:fldCharType="begin"/>
    </w:r>
    <w:r>
      <w:rPr>
        <w:rStyle w:val="PageNumber"/>
      </w:rPr>
      <w:instrText xml:space="preserve"> PAGE </w:instrText>
    </w:r>
    <w:r>
      <w:rPr>
        <w:rStyle w:val="PageNumber"/>
      </w:rPr>
      <w:fldChar w:fldCharType="separate"/>
    </w:r>
    <w:r w:rsidR="00DF27E0">
      <w:rPr>
        <w:rStyle w:val="PageNumber"/>
        <w:noProof/>
      </w:rPr>
      <w:t>123</w:t>
    </w:r>
    <w:r>
      <w:rPr>
        <w:rStyle w:val="PageNumber"/>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6DF" w:rsidRDefault="008B46DF" w:rsidP="00C97E08">
    <w:pPr>
      <w:pStyle w:val="Footer"/>
      <w:tabs>
        <w:tab w:val="clear" w:pos="7085"/>
        <w:tab w:val="center" w:pos="2977"/>
        <w:tab w:val="right" w:pos="7655"/>
      </w:tabs>
      <w:spacing w:after="0"/>
      <w:rPr>
        <w:rStyle w:val="PageNumber"/>
      </w:rPr>
    </w:pPr>
    <w:r>
      <w:rPr>
        <w:rStyle w:val="PageNumber"/>
      </w:rPr>
      <w:fldChar w:fldCharType="begin"/>
    </w:r>
    <w:r>
      <w:rPr>
        <w:rStyle w:val="PageNumber"/>
      </w:rPr>
      <w:instrText xml:space="preserve"> PAGE </w:instrText>
    </w:r>
    <w:r>
      <w:rPr>
        <w:rStyle w:val="PageNumber"/>
      </w:rPr>
      <w:fldChar w:fldCharType="separate"/>
    </w:r>
    <w:r w:rsidR="00DF27E0">
      <w:rPr>
        <w:rStyle w:val="PageNumber"/>
        <w:noProof/>
      </w:rPr>
      <w:t>136</w:t>
    </w:r>
    <w:r>
      <w:rPr>
        <w:rStyle w:val="PageNumber"/>
      </w:rPr>
      <w:fldChar w:fldCharType="end"/>
    </w:r>
    <w:r>
      <w:rPr>
        <w:rStyle w:val="PageNumber"/>
      </w:rPr>
      <w:tab/>
    </w:r>
    <w:r w:rsidRPr="00427D0E">
      <w:t>Appendix D</w:t>
    </w:r>
    <w:r>
      <w:rPr>
        <w:rStyle w:val="PageNumber"/>
      </w:rPr>
      <w:tab/>
      <w:t>2015</w:t>
    </w:r>
    <w:r>
      <w:rPr>
        <w:rStyle w:val="PageNumber"/>
      </w:rPr>
      <w:noBreakHyphen/>
      <w:t>16 Budget Update</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6DF" w:rsidRDefault="008B46DF" w:rsidP="00C97E08">
    <w:pPr>
      <w:pStyle w:val="Footer"/>
      <w:tabs>
        <w:tab w:val="clear" w:pos="7085"/>
        <w:tab w:val="center" w:pos="4820"/>
        <w:tab w:val="right" w:pos="7655"/>
      </w:tabs>
      <w:spacing w:after="0"/>
      <w:rPr>
        <w:rStyle w:val="PageNumber"/>
      </w:rPr>
    </w:pPr>
    <w:r>
      <w:rPr>
        <w:rStyle w:val="PageNumber"/>
      </w:rPr>
      <w:t>2015</w:t>
    </w:r>
    <w:r>
      <w:rPr>
        <w:rStyle w:val="PageNumber"/>
      </w:rPr>
      <w:noBreakHyphen/>
      <w:t>16 Budget Update</w:t>
    </w:r>
    <w:r>
      <w:rPr>
        <w:rStyle w:val="PageNumber"/>
      </w:rPr>
      <w:tab/>
    </w:r>
    <w:r w:rsidRPr="00427D0E">
      <w:t>Appendix D</w:t>
    </w:r>
    <w:r>
      <w:rPr>
        <w:rStyle w:val="PageNumber"/>
      </w:rPr>
      <w:tab/>
    </w:r>
    <w:r>
      <w:rPr>
        <w:rStyle w:val="PageNumber"/>
      </w:rPr>
      <w:fldChar w:fldCharType="begin"/>
    </w:r>
    <w:r>
      <w:rPr>
        <w:rStyle w:val="PageNumber"/>
      </w:rPr>
      <w:instrText xml:space="preserve"> PAGE </w:instrText>
    </w:r>
    <w:r>
      <w:rPr>
        <w:rStyle w:val="PageNumber"/>
      </w:rPr>
      <w:fldChar w:fldCharType="separate"/>
    </w:r>
    <w:r w:rsidR="00DF27E0">
      <w:rPr>
        <w:rStyle w:val="PageNumber"/>
        <w:noProof/>
      </w:rPr>
      <w:t>135</w:t>
    </w:r>
    <w:r>
      <w:rPr>
        <w:rStyle w:val="PageNumber"/>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6DF" w:rsidRDefault="008B46DF" w:rsidP="00C97E08">
    <w:pPr>
      <w:pStyle w:val="Footer"/>
      <w:tabs>
        <w:tab w:val="clear" w:pos="7085"/>
        <w:tab w:val="center" w:pos="2977"/>
        <w:tab w:val="right" w:pos="7655"/>
      </w:tabs>
      <w:spacing w:after="0"/>
      <w:rPr>
        <w:rStyle w:val="PageNumber"/>
      </w:rPr>
    </w:pPr>
    <w:r>
      <w:rPr>
        <w:rStyle w:val="PageNumber"/>
      </w:rPr>
      <w:fldChar w:fldCharType="begin"/>
    </w:r>
    <w:r>
      <w:rPr>
        <w:rStyle w:val="PageNumber"/>
      </w:rPr>
      <w:instrText xml:space="preserve"> PAGE </w:instrText>
    </w:r>
    <w:r>
      <w:rPr>
        <w:rStyle w:val="PageNumber"/>
      </w:rPr>
      <w:fldChar w:fldCharType="separate"/>
    </w:r>
    <w:r w:rsidR="00DF27E0">
      <w:rPr>
        <w:rStyle w:val="PageNumber"/>
        <w:noProof/>
      </w:rPr>
      <w:t>138</w:t>
    </w:r>
    <w:r>
      <w:rPr>
        <w:rStyle w:val="PageNumber"/>
      </w:rPr>
      <w:fldChar w:fldCharType="end"/>
    </w:r>
    <w:r>
      <w:rPr>
        <w:rStyle w:val="PageNumber"/>
      </w:rPr>
      <w:tab/>
    </w:r>
    <w:r w:rsidRPr="00427D0E">
      <w:t>Appendix E</w:t>
    </w:r>
    <w:r>
      <w:rPr>
        <w:rStyle w:val="PageNumber"/>
      </w:rPr>
      <w:tab/>
      <w:t>2015</w:t>
    </w:r>
    <w:r>
      <w:rPr>
        <w:rStyle w:val="PageNumber"/>
      </w:rPr>
      <w:noBreakHyphen/>
      <w:t>16 Budget Update</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6DF" w:rsidRDefault="008B46DF" w:rsidP="00C97E08">
    <w:pPr>
      <w:pStyle w:val="Footer"/>
      <w:tabs>
        <w:tab w:val="clear" w:pos="7085"/>
        <w:tab w:val="center" w:pos="4820"/>
        <w:tab w:val="right" w:pos="7655"/>
      </w:tabs>
      <w:spacing w:after="0"/>
      <w:rPr>
        <w:rStyle w:val="PageNumber"/>
      </w:rPr>
    </w:pPr>
    <w:r>
      <w:rPr>
        <w:rStyle w:val="PageNumber"/>
      </w:rPr>
      <w:t>2015</w:t>
    </w:r>
    <w:r>
      <w:rPr>
        <w:rStyle w:val="PageNumber"/>
      </w:rPr>
      <w:noBreakHyphen/>
      <w:t>16 Budget Update</w:t>
    </w:r>
    <w:r>
      <w:rPr>
        <w:rStyle w:val="PageNumber"/>
      </w:rPr>
      <w:tab/>
    </w:r>
    <w:r w:rsidRPr="00427D0E">
      <w:t>Appendix E</w:t>
    </w:r>
    <w:r>
      <w:rPr>
        <w:rStyle w:val="PageNumber"/>
      </w:rPr>
      <w:tab/>
    </w:r>
    <w:r>
      <w:rPr>
        <w:rStyle w:val="PageNumber"/>
      </w:rPr>
      <w:fldChar w:fldCharType="begin"/>
    </w:r>
    <w:r>
      <w:rPr>
        <w:rStyle w:val="PageNumber"/>
      </w:rPr>
      <w:instrText xml:space="preserve"> PAGE </w:instrText>
    </w:r>
    <w:r>
      <w:rPr>
        <w:rStyle w:val="PageNumber"/>
      </w:rPr>
      <w:fldChar w:fldCharType="separate"/>
    </w:r>
    <w:r w:rsidR="00DF27E0">
      <w:rPr>
        <w:rStyle w:val="PageNumber"/>
        <w:noProof/>
      </w:rPr>
      <w:t>137</w:t>
    </w:r>
    <w:r>
      <w:rPr>
        <w:rStyle w:val="PageNumber"/>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6DF" w:rsidRDefault="008B46DF" w:rsidP="00C97E08">
    <w:pPr>
      <w:pStyle w:val="Footer"/>
      <w:tabs>
        <w:tab w:val="clear" w:pos="7085"/>
        <w:tab w:val="center" w:pos="2977"/>
        <w:tab w:val="right" w:pos="7655"/>
      </w:tabs>
      <w:spacing w:after="0"/>
      <w:rPr>
        <w:rStyle w:val="PageNumber"/>
      </w:rPr>
    </w:pPr>
    <w:r>
      <w:rPr>
        <w:rStyle w:val="PageNumber"/>
      </w:rPr>
      <w:fldChar w:fldCharType="begin"/>
    </w:r>
    <w:r>
      <w:rPr>
        <w:rStyle w:val="PageNumber"/>
      </w:rPr>
      <w:instrText xml:space="preserve"> PAGE </w:instrText>
    </w:r>
    <w:r>
      <w:rPr>
        <w:rStyle w:val="PageNumber"/>
      </w:rPr>
      <w:fldChar w:fldCharType="separate"/>
    </w:r>
    <w:r w:rsidR="00DF27E0">
      <w:rPr>
        <w:rStyle w:val="PageNumber"/>
        <w:noProof/>
      </w:rPr>
      <w:t>140</w:t>
    </w:r>
    <w:r>
      <w:rPr>
        <w:rStyle w:val="PageNumber"/>
      </w:rPr>
      <w:fldChar w:fldCharType="end"/>
    </w:r>
    <w:r>
      <w:rPr>
        <w:rStyle w:val="PageNumber"/>
      </w:rPr>
      <w:tab/>
      <w:t>Style conventions</w:t>
    </w:r>
    <w:r>
      <w:rPr>
        <w:rStyle w:val="PageNumber"/>
      </w:rPr>
      <w:tab/>
      <w:t>2015-16 Budget Update</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6DF" w:rsidRDefault="008B46DF" w:rsidP="00C97E08">
    <w:pPr>
      <w:pStyle w:val="Footer"/>
      <w:tabs>
        <w:tab w:val="clear" w:pos="7085"/>
        <w:tab w:val="center" w:pos="4820"/>
        <w:tab w:val="right" w:pos="7655"/>
      </w:tabs>
      <w:spacing w:after="0"/>
      <w:rPr>
        <w:rStyle w:val="PageNumber"/>
      </w:rPr>
    </w:pPr>
    <w:r>
      <w:rPr>
        <w:rStyle w:val="PageNumber"/>
      </w:rPr>
      <w:t>2015-16 Budget Update</w:t>
    </w:r>
    <w:r>
      <w:rPr>
        <w:rStyle w:val="PageNumber"/>
      </w:rPr>
      <w:tab/>
      <w:t>Style conventions</w:t>
    </w:r>
    <w:r>
      <w:rPr>
        <w:rStyle w:val="PageNumber"/>
      </w:rPr>
      <w:tab/>
    </w:r>
    <w:r>
      <w:rPr>
        <w:rStyle w:val="PageNumber"/>
      </w:rPr>
      <w:fldChar w:fldCharType="begin"/>
    </w:r>
    <w:r>
      <w:rPr>
        <w:rStyle w:val="PageNumber"/>
      </w:rPr>
      <w:instrText xml:space="preserve"> PAGE </w:instrText>
    </w:r>
    <w:r>
      <w:rPr>
        <w:rStyle w:val="PageNumber"/>
      </w:rPr>
      <w:fldChar w:fldCharType="separate"/>
    </w:r>
    <w:r w:rsidR="00DF27E0">
      <w:rPr>
        <w:rStyle w:val="PageNumber"/>
        <w:noProof/>
      </w:rPr>
      <w:t>139</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6DF" w:rsidRDefault="008B46DF" w:rsidP="00613F9B">
    <w:pPr>
      <w:pStyle w:val="Footer"/>
      <w:pBdr>
        <w:top w:val="none" w:sz="0" w:space="0" w:color="auto"/>
      </w:pBdr>
      <w:tabs>
        <w:tab w:val="clear" w:pos="7085"/>
        <w:tab w:val="center" w:pos="2693"/>
        <w:tab w:val="right" w:pos="7654"/>
      </w:tabs>
      <w:spacing w:after="0"/>
      <w:rPr>
        <w:rStyle w:val="PageNumber"/>
      </w:rPr>
    </w:pPr>
    <w:r>
      <w:rPr>
        <w:rStyle w:val="PageNumber"/>
      </w:rPr>
      <w:fldChar w:fldCharType="begin"/>
    </w:r>
    <w:r>
      <w:rPr>
        <w:rStyle w:val="PageNumber"/>
      </w:rPr>
      <w:instrText xml:space="preserve"> PAGE </w:instrText>
    </w:r>
    <w:r>
      <w:rPr>
        <w:rStyle w:val="PageNumber"/>
      </w:rPr>
      <w:fldChar w:fldCharType="separate"/>
    </w:r>
    <w:r w:rsidR="00DF27E0">
      <w:rPr>
        <w:rStyle w:val="PageNumber"/>
        <w:noProof/>
      </w:rPr>
      <w:t>ii</w:t>
    </w:r>
    <w:r>
      <w:rPr>
        <w:rStyle w:val="PageNumber"/>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6DF" w:rsidRDefault="008B46DF" w:rsidP="00613F9B">
    <w:pPr>
      <w:pStyle w:val="Footer"/>
      <w:pBdr>
        <w:top w:val="none" w:sz="0" w:space="0" w:color="auto"/>
      </w:pBdr>
      <w:tabs>
        <w:tab w:val="clear" w:pos="7085"/>
        <w:tab w:val="center" w:pos="4819"/>
        <w:tab w:val="right" w:pos="7654"/>
      </w:tabs>
      <w:spacing w:after="0"/>
      <w:jc w:val="right"/>
      <w:rPr>
        <w:rStyle w:val="PageNumber"/>
      </w:rPr>
    </w:pPr>
    <w:r>
      <w:rPr>
        <w:rStyle w:val="PageNumber"/>
      </w:rPr>
      <w:fldChar w:fldCharType="begin"/>
    </w:r>
    <w:r>
      <w:rPr>
        <w:rStyle w:val="PageNumber"/>
      </w:rPr>
      <w:instrText xml:space="preserve"> PAGE </w:instrText>
    </w:r>
    <w:r>
      <w:rPr>
        <w:rStyle w:val="PageNumber"/>
      </w:rPr>
      <w:fldChar w:fldCharType="separate"/>
    </w:r>
    <w:r w:rsidR="00DF27E0">
      <w:rPr>
        <w:rStyle w:val="PageNumber"/>
        <w:noProof/>
      </w:rPr>
      <w:t>i</w:t>
    </w:r>
    <w:r>
      <w:rPr>
        <w:rStyle w:val="PageNumber"/>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6DF" w:rsidRDefault="008B46DF" w:rsidP="00705A1D">
    <w:pPr>
      <w:pStyle w:val="Footer"/>
      <w:tabs>
        <w:tab w:val="clear" w:pos="7085"/>
        <w:tab w:val="center" w:pos="2693"/>
        <w:tab w:val="right" w:pos="7654"/>
      </w:tabs>
      <w:spacing w:after="0"/>
      <w:rPr>
        <w:rStyle w:val="PageNumber"/>
      </w:rPr>
    </w:pPr>
    <w:r>
      <w:rPr>
        <w:rStyle w:val="PageNumber"/>
      </w:rPr>
      <w:fldChar w:fldCharType="begin"/>
    </w:r>
    <w:r>
      <w:rPr>
        <w:rStyle w:val="PageNumber"/>
      </w:rPr>
      <w:instrText xml:space="preserve"> PAGE </w:instrText>
    </w:r>
    <w:r>
      <w:rPr>
        <w:rStyle w:val="PageNumber"/>
      </w:rPr>
      <w:fldChar w:fldCharType="separate"/>
    </w:r>
    <w:r w:rsidR="00DF27E0">
      <w:rPr>
        <w:rStyle w:val="PageNumber"/>
        <w:noProof/>
      </w:rPr>
      <w:t>2</w:t>
    </w:r>
    <w:r>
      <w:rPr>
        <w:rStyle w:val="PageNumber"/>
      </w:rPr>
      <w:fldChar w:fldCharType="end"/>
    </w:r>
    <w:r>
      <w:rPr>
        <w:rStyle w:val="PageNumber"/>
      </w:rPr>
      <w:tab/>
    </w:r>
    <w:r w:rsidRPr="00427D0E">
      <w:t>Chapter 1</w:t>
    </w:r>
    <w:r>
      <w:rPr>
        <w:rStyle w:val="PageNumber"/>
      </w:rPr>
      <w:tab/>
      <w:t>2015</w:t>
    </w:r>
    <w:r>
      <w:rPr>
        <w:rStyle w:val="PageNumber"/>
      </w:rPr>
      <w:noBreakHyphen/>
      <w:t>16 Budget Update</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6DF" w:rsidRDefault="008B46DF" w:rsidP="00705A1D">
    <w:pPr>
      <w:pStyle w:val="Footer"/>
      <w:tabs>
        <w:tab w:val="clear" w:pos="7085"/>
        <w:tab w:val="center" w:pos="4819"/>
        <w:tab w:val="right" w:pos="7654"/>
      </w:tabs>
      <w:spacing w:after="0"/>
      <w:rPr>
        <w:rStyle w:val="PageNumber"/>
      </w:rPr>
    </w:pPr>
    <w:r>
      <w:rPr>
        <w:rStyle w:val="PageNumber"/>
      </w:rPr>
      <w:t>2015</w:t>
    </w:r>
    <w:r>
      <w:rPr>
        <w:rStyle w:val="PageNumber"/>
      </w:rPr>
      <w:noBreakHyphen/>
      <w:t>16 Budget Update</w:t>
    </w:r>
    <w:r>
      <w:rPr>
        <w:rStyle w:val="PageNumber"/>
      </w:rPr>
      <w:tab/>
    </w:r>
    <w:r w:rsidRPr="00427D0E">
      <w:t>Chapter 1</w:t>
    </w:r>
    <w:r>
      <w:rPr>
        <w:rStyle w:val="PageNumber"/>
      </w:rPr>
      <w:tab/>
    </w:r>
    <w:r>
      <w:rPr>
        <w:rStyle w:val="PageNumber"/>
      </w:rPr>
      <w:fldChar w:fldCharType="begin"/>
    </w:r>
    <w:r>
      <w:rPr>
        <w:rStyle w:val="PageNumber"/>
      </w:rPr>
      <w:instrText xml:space="preserve"> PAGE </w:instrText>
    </w:r>
    <w:r>
      <w:rPr>
        <w:rStyle w:val="PageNumber"/>
      </w:rPr>
      <w:fldChar w:fldCharType="separate"/>
    </w:r>
    <w:r w:rsidR="00DF27E0">
      <w:rPr>
        <w:rStyle w:val="PageNumber"/>
        <w:noProof/>
      </w:rPr>
      <w:t>1</w:t>
    </w:r>
    <w:r>
      <w:rPr>
        <w:rStyle w:val="PageNumber"/>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6DF" w:rsidRDefault="008B46DF" w:rsidP="00C97E08">
    <w:pPr>
      <w:pStyle w:val="Footer"/>
      <w:tabs>
        <w:tab w:val="clear" w:pos="7085"/>
        <w:tab w:val="center" w:pos="2977"/>
        <w:tab w:val="right" w:pos="7655"/>
      </w:tabs>
      <w:spacing w:after="0"/>
      <w:rPr>
        <w:rStyle w:val="PageNumber"/>
      </w:rPr>
    </w:pPr>
    <w:r>
      <w:rPr>
        <w:rStyle w:val="PageNumber"/>
      </w:rPr>
      <w:fldChar w:fldCharType="begin"/>
    </w:r>
    <w:r>
      <w:rPr>
        <w:rStyle w:val="PageNumber"/>
      </w:rPr>
      <w:instrText xml:space="preserve"> PAGE </w:instrText>
    </w:r>
    <w:r>
      <w:rPr>
        <w:rStyle w:val="PageNumber"/>
      </w:rPr>
      <w:fldChar w:fldCharType="separate"/>
    </w:r>
    <w:r w:rsidR="00DF27E0">
      <w:rPr>
        <w:rStyle w:val="PageNumber"/>
        <w:noProof/>
      </w:rPr>
      <w:t>6</w:t>
    </w:r>
    <w:r>
      <w:rPr>
        <w:rStyle w:val="PageNumber"/>
      </w:rPr>
      <w:fldChar w:fldCharType="end"/>
    </w:r>
    <w:r>
      <w:rPr>
        <w:rStyle w:val="PageNumber"/>
      </w:rPr>
      <w:tab/>
    </w:r>
    <w:r w:rsidRPr="00427D0E">
      <w:t>Chapter 2</w:t>
    </w:r>
    <w:r>
      <w:rPr>
        <w:rStyle w:val="PageNumber"/>
      </w:rPr>
      <w:tab/>
      <w:t>2015</w:t>
    </w:r>
    <w:r>
      <w:rPr>
        <w:rStyle w:val="PageNumber"/>
      </w:rPr>
      <w:noBreakHyphen/>
      <w:t>16 Budget Update</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6DF" w:rsidRDefault="008B46DF" w:rsidP="00C97E08">
    <w:pPr>
      <w:pStyle w:val="Footer"/>
      <w:tabs>
        <w:tab w:val="clear" w:pos="7085"/>
        <w:tab w:val="center" w:pos="4820"/>
        <w:tab w:val="right" w:pos="7655"/>
      </w:tabs>
      <w:spacing w:after="0"/>
      <w:rPr>
        <w:rStyle w:val="PageNumber"/>
      </w:rPr>
    </w:pPr>
    <w:r>
      <w:rPr>
        <w:rStyle w:val="PageNumber"/>
      </w:rPr>
      <w:t>2015</w:t>
    </w:r>
    <w:r>
      <w:rPr>
        <w:rStyle w:val="PageNumber"/>
      </w:rPr>
      <w:noBreakHyphen/>
      <w:t>16 Budget Update</w:t>
    </w:r>
    <w:r>
      <w:rPr>
        <w:rStyle w:val="PageNumber"/>
      </w:rPr>
      <w:tab/>
    </w:r>
    <w:r w:rsidRPr="00427D0E">
      <w:t>Chapter 2</w:t>
    </w:r>
    <w:r>
      <w:rPr>
        <w:rStyle w:val="PageNumber"/>
      </w:rPr>
      <w:tab/>
    </w:r>
    <w:r>
      <w:rPr>
        <w:rStyle w:val="PageNumber"/>
      </w:rPr>
      <w:fldChar w:fldCharType="begin"/>
    </w:r>
    <w:r>
      <w:rPr>
        <w:rStyle w:val="PageNumber"/>
      </w:rPr>
      <w:instrText xml:space="preserve"> PAGE </w:instrText>
    </w:r>
    <w:r>
      <w:rPr>
        <w:rStyle w:val="PageNumber"/>
      </w:rPr>
      <w:fldChar w:fldCharType="separate"/>
    </w:r>
    <w:r w:rsidR="00DF27E0">
      <w:rPr>
        <w:rStyle w:val="PageNumber"/>
        <w:noProof/>
      </w:rPr>
      <w:t>5</w:t>
    </w:r>
    <w:r>
      <w:rPr>
        <w:rStyle w:val="PageNumber"/>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6DF" w:rsidRDefault="008B46DF" w:rsidP="008B46DF">
    <w:pPr>
      <w:pStyle w:val="Footer"/>
      <w:tabs>
        <w:tab w:val="clear" w:pos="7085"/>
        <w:tab w:val="center" w:pos="2693"/>
        <w:tab w:val="right" w:pos="7654"/>
      </w:tabs>
      <w:spacing w:after="0"/>
      <w:rPr>
        <w:rStyle w:val="PageNumber"/>
      </w:rPr>
    </w:pPr>
    <w:r>
      <w:rPr>
        <w:rStyle w:val="PageNumber"/>
      </w:rPr>
      <w:fldChar w:fldCharType="begin"/>
    </w:r>
    <w:r>
      <w:rPr>
        <w:rStyle w:val="PageNumber"/>
      </w:rPr>
      <w:instrText xml:space="preserve"> PAGE </w:instrText>
    </w:r>
    <w:r>
      <w:rPr>
        <w:rStyle w:val="PageNumber"/>
      </w:rPr>
      <w:fldChar w:fldCharType="separate"/>
    </w:r>
    <w:r w:rsidR="00DF27E0">
      <w:rPr>
        <w:rStyle w:val="PageNumber"/>
        <w:noProof/>
      </w:rPr>
      <w:t>28</w:t>
    </w:r>
    <w:r>
      <w:rPr>
        <w:rStyle w:val="PageNumber"/>
      </w:rPr>
      <w:fldChar w:fldCharType="end"/>
    </w:r>
    <w:r>
      <w:rPr>
        <w:rStyle w:val="PageNumber"/>
      </w:rPr>
      <w:tab/>
    </w:r>
    <w:r w:rsidRPr="00427D0E">
      <w:t>Chapter 3</w:t>
    </w:r>
    <w:r>
      <w:rPr>
        <w:rStyle w:val="PageNumber"/>
      </w:rPr>
      <w:tab/>
      <w:t>2015</w:t>
    </w:r>
    <w:r>
      <w:rPr>
        <w:rStyle w:val="PageNumber"/>
      </w:rPr>
      <w:noBreakHyphen/>
      <w:t>16 Budget Update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F27E0">
      <w:pPr>
        <w:spacing w:after="0"/>
      </w:pPr>
      <w:r>
        <w:separator/>
      </w:r>
    </w:p>
  </w:footnote>
  <w:footnote w:type="continuationSeparator" w:id="0">
    <w:p w:rsidR="00000000" w:rsidRDefault="00DF27E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6FAC618"/>
    <w:lvl w:ilvl="0">
      <w:start w:val="1"/>
      <w:numFmt w:val="decimal"/>
      <w:lvlText w:val="%1."/>
      <w:lvlJc w:val="left"/>
      <w:pPr>
        <w:tabs>
          <w:tab w:val="num" w:pos="1492"/>
        </w:tabs>
        <w:ind w:left="1492" w:hanging="360"/>
      </w:pPr>
    </w:lvl>
  </w:abstractNum>
  <w:abstractNum w:abstractNumId="1">
    <w:nsid w:val="FFFFFF7D"/>
    <w:multiLevelType w:val="singleLevel"/>
    <w:tmpl w:val="2C0AD1D2"/>
    <w:lvl w:ilvl="0">
      <w:start w:val="1"/>
      <w:numFmt w:val="decimal"/>
      <w:lvlText w:val="%1."/>
      <w:lvlJc w:val="left"/>
      <w:pPr>
        <w:tabs>
          <w:tab w:val="num" w:pos="1209"/>
        </w:tabs>
        <w:ind w:left="1209" w:hanging="360"/>
      </w:pPr>
    </w:lvl>
  </w:abstractNum>
  <w:abstractNum w:abstractNumId="2">
    <w:nsid w:val="FFFFFF7E"/>
    <w:multiLevelType w:val="singleLevel"/>
    <w:tmpl w:val="8692012C"/>
    <w:lvl w:ilvl="0">
      <w:start w:val="1"/>
      <w:numFmt w:val="decimal"/>
      <w:lvlText w:val="%1."/>
      <w:lvlJc w:val="left"/>
      <w:pPr>
        <w:tabs>
          <w:tab w:val="num" w:pos="926"/>
        </w:tabs>
        <w:ind w:left="926" w:hanging="360"/>
      </w:pPr>
    </w:lvl>
  </w:abstractNum>
  <w:abstractNum w:abstractNumId="3">
    <w:nsid w:val="FFFFFF7F"/>
    <w:multiLevelType w:val="singleLevel"/>
    <w:tmpl w:val="C5A041CC"/>
    <w:lvl w:ilvl="0">
      <w:start w:val="1"/>
      <w:numFmt w:val="decimal"/>
      <w:lvlText w:val="%1."/>
      <w:lvlJc w:val="left"/>
      <w:pPr>
        <w:tabs>
          <w:tab w:val="num" w:pos="643"/>
        </w:tabs>
        <w:ind w:left="643" w:hanging="360"/>
      </w:pPr>
    </w:lvl>
  </w:abstractNum>
  <w:abstractNum w:abstractNumId="4">
    <w:nsid w:val="FFFFFF80"/>
    <w:multiLevelType w:val="singleLevel"/>
    <w:tmpl w:val="AEC4499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72E30E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5CED8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7424D3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67863DE"/>
    <w:lvl w:ilvl="0">
      <w:start w:val="1"/>
      <w:numFmt w:val="decimal"/>
      <w:lvlText w:val="%1."/>
      <w:lvlJc w:val="left"/>
      <w:pPr>
        <w:tabs>
          <w:tab w:val="num" w:pos="360"/>
        </w:tabs>
        <w:ind w:left="360" w:hanging="360"/>
      </w:pPr>
    </w:lvl>
  </w:abstractNum>
  <w:abstractNum w:abstractNumId="9">
    <w:nsid w:val="FFFFFF89"/>
    <w:multiLevelType w:val="singleLevel"/>
    <w:tmpl w:val="4EA0D4FE"/>
    <w:lvl w:ilvl="0">
      <w:start w:val="1"/>
      <w:numFmt w:val="bullet"/>
      <w:lvlText w:val=""/>
      <w:lvlJc w:val="left"/>
      <w:pPr>
        <w:tabs>
          <w:tab w:val="num" w:pos="360"/>
        </w:tabs>
        <w:ind w:left="360" w:hanging="360"/>
      </w:pPr>
      <w:rPr>
        <w:rFonts w:ascii="Symbol" w:hAnsi="Symbol" w:hint="default"/>
      </w:rPr>
    </w:lvl>
  </w:abstractNum>
  <w:abstractNum w:abstractNumId="10">
    <w:nsid w:val="00CA7881"/>
    <w:multiLevelType w:val="hybridMultilevel"/>
    <w:tmpl w:val="6768A000"/>
    <w:lvl w:ilvl="0" w:tplc="CE32D9FE">
      <w:start w:val="1"/>
      <w:numFmt w:val="lowerLetter"/>
      <w:lvlText w:val="(%1)"/>
      <w:lvlJc w:val="left"/>
      <w:pPr>
        <w:ind w:left="450" w:hanging="45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nsid w:val="03CA09F2"/>
    <w:multiLevelType w:val="singleLevel"/>
    <w:tmpl w:val="3AE00BBA"/>
    <w:lvl w:ilvl="0">
      <w:start w:val="1"/>
      <w:numFmt w:val="bullet"/>
      <w:pStyle w:val="OGBullet"/>
      <w:lvlText w:val=""/>
      <w:lvlJc w:val="left"/>
      <w:pPr>
        <w:tabs>
          <w:tab w:val="num" w:pos="360"/>
        </w:tabs>
        <w:ind w:left="360" w:hanging="360"/>
      </w:pPr>
      <w:rPr>
        <w:rFonts w:ascii="Symbol" w:hAnsi="Symbol" w:hint="default"/>
        <w:sz w:val="16"/>
      </w:rPr>
    </w:lvl>
  </w:abstractNum>
  <w:abstractNum w:abstractNumId="12">
    <w:nsid w:val="0A7B4952"/>
    <w:multiLevelType w:val="multilevel"/>
    <w:tmpl w:val="CFA0AB76"/>
    <w:lvl w:ilvl="0">
      <w:start w:val="1"/>
      <w:numFmt w:val="upperLetter"/>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AB160E0"/>
    <w:multiLevelType w:val="hybridMultilevel"/>
    <w:tmpl w:val="56347B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0CE9098C"/>
    <w:multiLevelType w:val="multilevel"/>
    <w:tmpl w:val="F8FC7B56"/>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0D0C3FB2"/>
    <w:multiLevelType w:val="multilevel"/>
    <w:tmpl w:val="13A4F396"/>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0DE6689C"/>
    <w:multiLevelType w:val="multilevel"/>
    <w:tmpl w:val="22961792"/>
    <w:lvl w:ilvl="0">
      <w:start w:val="1"/>
      <w:numFmt w:val="bullet"/>
      <w:pStyle w:val="Bullet1"/>
      <w:lvlText w:val=""/>
      <w:lvlJc w:val="left"/>
      <w:pPr>
        <w:tabs>
          <w:tab w:val="num" w:pos="360"/>
        </w:tabs>
        <w:ind w:left="360" w:hanging="360"/>
      </w:pPr>
      <w:rPr>
        <w:rFonts w:ascii="Symbol" w:hAnsi="Symbol" w:hint="default"/>
        <w:sz w:val="22"/>
        <w:szCs w:val="22"/>
      </w:rPr>
    </w:lvl>
    <w:lvl w:ilvl="1">
      <w:start w:val="1"/>
      <w:numFmt w:val="bullet"/>
      <w:pStyle w:val="Bullet2"/>
      <w:lvlText w:val=""/>
      <w:lvlJc w:val="left"/>
      <w:pPr>
        <w:tabs>
          <w:tab w:val="num" w:pos="720"/>
        </w:tabs>
        <w:ind w:left="720" w:hanging="360"/>
      </w:pPr>
      <w:rPr>
        <w:rFonts w:ascii="Symbol" w:hAnsi="Symbol" w:hint="default"/>
      </w:rPr>
    </w:lvl>
    <w:lvl w:ilvl="2">
      <w:start w:val="1"/>
      <w:numFmt w:val="lowerLetter"/>
      <w:pStyle w:val="Bullet3"/>
      <w:lvlText w:val="(%3)"/>
      <w:lvlJc w:val="left"/>
      <w:pPr>
        <w:tabs>
          <w:tab w:val="num" w:pos="1080"/>
        </w:tabs>
        <w:ind w:left="1080" w:hanging="360"/>
      </w:pPr>
      <w:rPr>
        <w:rFont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nsid w:val="19267CE4"/>
    <w:multiLevelType w:val="multilevel"/>
    <w:tmpl w:val="B2A4AE0C"/>
    <w:lvl w:ilvl="0">
      <w:start w:val="1"/>
      <w:numFmt w:val="upperLetter"/>
      <w:lvlText w:val="(%1)"/>
      <w:lvlJc w:val="left"/>
      <w:pPr>
        <w:tabs>
          <w:tab w:val="num" w:pos="720"/>
        </w:tabs>
        <w:ind w:left="720" w:hanging="720"/>
      </w:pPr>
      <w:rPr>
        <w:rFonts w:ascii="Calibri" w:hAnsi="Calibri" w:hint="default"/>
        <w:sz w:val="22"/>
        <w:szCs w:val="22"/>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1D297112"/>
    <w:multiLevelType w:val="multilevel"/>
    <w:tmpl w:val="E66C4E04"/>
    <w:lvl w:ilvl="0">
      <w:start w:val="1"/>
      <w:numFmt w:val="bullet"/>
      <w:lvlText w:val=""/>
      <w:lvlJc w:val="left"/>
      <w:pPr>
        <w:tabs>
          <w:tab w:val="num" w:pos="86"/>
        </w:tabs>
        <w:ind w:left="446" w:firstLine="0"/>
      </w:pPr>
      <w:rPr>
        <w:rFonts w:ascii="Symbol" w:hAnsi="Symbol" w:hint="default"/>
        <w:sz w:val="20"/>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sz w:val="22"/>
        <w:szCs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nsid w:val="21557698"/>
    <w:multiLevelType w:val="multilevel"/>
    <w:tmpl w:val="13A4F396"/>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23494EDF"/>
    <w:multiLevelType w:val="multilevel"/>
    <w:tmpl w:val="812C00D2"/>
    <w:lvl w:ilvl="0">
      <w:start w:val="1"/>
      <w:numFmt w:val="upperLetter"/>
      <w:lvlText w:val="(%1)"/>
      <w:lvlJc w:val="left"/>
      <w:pPr>
        <w:tabs>
          <w:tab w:val="num" w:pos="86"/>
        </w:tabs>
        <w:ind w:left="720" w:hanging="720"/>
      </w:pPr>
      <w:rPr>
        <w:rFonts w:hint="default"/>
        <w:sz w:val="20"/>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nsid w:val="246A3D1C"/>
    <w:multiLevelType w:val="multilevel"/>
    <w:tmpl w:val="D4CE75F8"/>
    <w:lvl w:ilvl="0">
      <w:start w:val="1"/>
      <w:numFmt w:val="bullet"/>
      <w:lvlText w:val=""/>
      <w:lvlJc w:val="left"/>
      <w:pPr>
        <w:tabs>
          <w:tab w:val="num" w:pos="360"/>
        </w:tabs>
        <w:ind w:left="36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26A54181"/>
    <w:multiLevelType w:val="singleLevel"/>
    <w:tmpl w:val="22D246C6"/>
    <w:lvl w:ilvl="0">
      <w:start w:val="1"/>
      <w:numFmt w:val="bullet"/>
      <w:lvlText w:val=""/>
      <w:lvlJc w:val="left"/>
      <w:pPr>
        <w:tabs>
          <w:tab w:val="num" w:pos="360"/>
        </w:tabs>
        <w:ind w:left="360" w:hanging="360"/>
      </w:pPr>
      <w:rPr>
        <w:rFonts w:ascii="Symbol" w:hAnsi="Symbol" w:hint="default"/>
        <w:sz w:val="16"/>
      </w:rPr>
    </w:lvl>
  </w:abstractNum>
  <w:abstractNum w:abstractNumId="23">
    <w:nsid w:val="283B293C"/>
    <w:multiLevelType w:val="hybridMultilevel"/>
    <w:tmpl w:val="B540C8D6"/>
    <w:lvl w:ilvl="0" w:tplc="BF24713E">
      <w:start w:val="1"/>
      <w:numFmt w:val="bullet"/>
      <w:pStyle w:val="VAGOBullet"/>
      <w:lvlText w:val=""/>
      <w:lvlJc w:val="left"/>
      <w:pPr>
        <w:tabs>
          <w:tab w:val="num" w:pos="426"/>
        </w:tabs>
        <w:ind w:left="426"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285C08AE"/>
    <w:multiLevelType w:val="multilevel"/>
    <w:tmpl w:val="86BA075E"/>
    <w:lvl w:ilvl="0">
      <w:start w:val="1"/>
      <w:numFmt w:val="bullet"/>
      <w:pStyle w:val="BulletText"/>
      <w:lvlText w:val=""/>
      <w:lvlJc w:val="left"/>
      <w:pPr>
        <w:tabs>
          <w:tab w:val="num" w:pos="360"/>
        </w:tabs>
        <w:ind w:left="360" w:hanging="360"/>
      </w:pPr>
      <w:rPr>
        <w:rFonts w:ascii="Symbol" w:hAnsi="Symbol" w:hint="default"/>
        <w:sz w:val="18"/>
        <w:szCs w:val="18"/>
      </w:rPr>
    </w:lvl>
    <w:lvl w:ilvl="1">
      <w:start w:val="1"/>
      <w:numFmt w:val="bullet"/>
      <w:pStyle w:val="DashText"/>
      <w:lvlText w:val=""/>
      <w:lvlJc w:val="left"/>
      <w:pPr>
        <w:tabs>
          <w:tab w:val="num" w:pos="720"/>
        </w:tabs>
        <w:ind w:left="720" w:hanging="360"/>
      </w:pPr>
      <w:rPr>
        <w:rFonts w:ascii="Symbol" w:hAnsi="Symbol"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5">
    <w:nsid w:val="3840289F"/>
    <w:multiLevelType w:val="multilevel"/>
    <w:tmpl w:val="B2A4AE0C"/>
    <w:lvl w:ilvl="0">
      <w:start w:val="1"/>
      <w:numFmt w:val="upperLetter"/>
      <w:lvlText w:val="(%1)"/>
      <w:lvlJc w:val="left"/>
      <w:pPr>
        <w:tabs>
          <w:tab w:val="num" w:pos="720"/>
        </w:tabs>
        <w:ind w:left="720" w:hanging="720"/>
      </w:pPr>
      <w:rPr>
        <w:rFonts w:ascii="Calibri" w:hAnsi="Calibri" w:hint="default"/>
        <w:sz w:val="22"/>
        <w:szCs w:val="22"/>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nsid w:val="3CFC52E9"/>
    <w:multiLevelType w:val="hybridMultilevel"/>
    <w:tmpl w:val="29C2504A"/>
    <w:lvl w:ilvl="0" w:tplc="A546E8C2">
      <w:start w:val="1"/>
      <w:numFmt w:val="bullet"/>
      <w:pStyle w:val="NotesDash"/>
      <w:lvlText w:val="–"/>
      <w:lvlJc w:val="left"/>
      <w:pPr>
        <w:tabs>
          <w:tab w:val="num" w:pos="922"/>
        </w:tabs>
        <w:ind w:left="922" w:hanging="468"/>
      </w:pPr>
      <w:rPr>
        <w:rFonts w:ascii="Times New Roman" w:hAnsi="Times New Roman" w:hint="default"/>
        <w:color w:val="auto"/>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nsid w:val="3D720E4A"/>
    <w:multiLevelType w:val="hybridMultilevel"/>
    <w:tmpl w:val="CE40E2A0"/>
    <w:lvl w:ilvl="0" w:tplc="57EEC964">
      <w:start w:val="1"/>
      <w:numFmt w:val="bullet"/>
      <w:lvlText w:val="–"/>
      <w:lvlJc w:val="left"/>
      <w:pPr>
        <w:tabs>
          <w:tab w:val="num" w:pos="360"/>
        </w:tabs>
        <w:ind w:left="360" w:hanging="360"/>
      </w:pPr>
      <w:rPr>
        <w:rFonts w:ascii="AvantGarde Bk BT" w:hAnsi="AvantGarde Bk BT" w:hint="default"/>
        <w:color w:val="auto"/>
        <w:sz w:val="18"/>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nsid w:val="3E2D0127"/>
    <w:multiLevelType w:val="hybridMultilevel"/>
    <w:tmpl w:val="1A4E610A"/>
    <w:lvl w:ilvl="0" w:tplc="184EDB42">
      <w:start w:val="1"/>
      <w:numFmt w:val="lowerLetter"/>
      <w:lvlText w:val="(%1)"/>
      <w:lvlJc w:val="left"/>
      <w:pPr>
        <w:ind w:left="720" w:hanging="360"/>
      </w:pPr>
      <w:rPr>
        <w:rFonts w:hint="default"/>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458671A9"/>
    <w:multiLevelType w:val="multilevel"/>
    <w:tmpl w:val="13A4F396"/>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45FB6882"/>
    <w:multiLevelType w:val="hybridMultilevel"/>
    <w:tmpl w:val="C07CEE16"/>
    <w:lvl w:ilvl="0" w:tplc="19ECF3C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4A2C4E32"/>
    <w:multiLevelType w:val="multilevel"/>
    <w:tmpl w:val="5FFA8F6A"/>
    <w:lvl w:ilvl="0">
      <w:start w:val="1"/>
      <w:numFmt w:val="upperLetter"/>
      <w:lvlText w:val="(%1)"/>
      <w:lvlJc w:val="left"/>
      <w:pPr>
        <w:tabs>
          <w:tab w:val="num" w:pos="720"/>
        </w:tabs>
        <w:ind w:left="720" w:hanging="720"/>
      </w:pPr>
      <w:rPr>
        <w:rFonts w:ascii="Arial" w:hAnsi="Arial" w:hint="default"/>
        <w:sz w:val="24"/>
        <w:szCs w:val="24"/>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nsid w:val="4BB94889"/>
    <w:multiLevelType w:val="hybridMultilevel"/>
    <w:tmpl w:val="CFA0AB76"/>
    <w:lvl w:ilvl="0" w:tplc="6052C808">
      <w:start w:val="1"/>
      <w:numFmt w:val="upperLetter"/>
      <w:lvlText w:val="(%1)"/>
      <w:lvlJc w:val="left"/>
      <w:pPr>
        <w:tabs>
          <w:tab w:val="num" w:pos="720"/>
        </w:tabs>
        <w:ind w:left="72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3">
    <w:nsid w:val="56984B24"/>
    <w:multiLevelType w:val="multilevel"/>
    <w:tmpl w:val="2D149DDA"/>
    <w:lvl w:ilvl="0">
      <w:start w:val="1"/>
      <w:numFmt w:val="upperLetter"/>
      <w:lvlText w:val="(%1)"/>
      <w:lvlJc w:val="left"/>
      <w:pPr>
        <w:tabs>
          <w:tab w:val="num" w:pos="720"/>
        </w:tabs>
        <w:ind w:left="720" w:hanging="720"/>
      </w:pPr>
      <w:rPr>
        <w:rFonts w:ascii="AvantGarde Bk BT" w:hAnsi="AvantGarde Bk BT" w:hint="default"/>
        <w:sz w:val="22"/>
        <w:szCs w:val="22"/>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nsid w:val="56FB2E0B"/>
    <w:multiLevelType w:val="hybridMultilevel"/>
    <w:tmpl w:val="EDCE7868"/>
    <w:lvl w:ilvl="0" w:tplc="D2745096">
      <w:start w:val="1"/>
      <w:numFmt w:val="bullet"/>
      <w:pStyle w:val="HighlightBoxBullet"/>
      <w:lvlText w:val=""/>
      <w:lvlJc w:val="left"/>
      <w:pPr>
        <w:tabs>
          <w:tab w:val="num" w:pos="90"/>
        </w:tabs>
        <w:ind w:left="450" w:hanging="360"/>
      </w:pPr>
      <w:rPr>
        <w:rFonts w:ascii="Symbol" w:hAnsi="Symbol" w:hint="default"/>
        <w:sz w:val="20"/>
        <w:szCs w:val="20"/>
      </w:rPr>
    </w:lvl>
    <w:lvl w:ilvl="1" w:tplc="0C090003" w:tentative="1">
      <w:start w:val="1"/>
      <w:numFmt w:val="bullet"/>
      <w:lvlText w:val="o"/>
      <w:lvlJc w:val="left"/>
      <w:pPr>
        <w:tabs>
          <w:tab w:val="num" w:pos="1530"/>
        </w:tabs>
        <w:ind w:left="1530" w:hanging="360"/>
      </w:pPr>
      <w:rPr>
        <w:rFonts w:ascii="Courier New" w:hAnsi="Courier New" w:cs="Courier New" w:hint="default"/>
      </w:rPr>
    </w:lvl>
    <w:lvl w:ilvl="2" w:tplc="0C090005" w:tentative="1">
      <w:start w:val="1"/>
      <w:numFmt w:val="bullet"/>
      <w:lvlText w:val=""/>
      <w:lvlJc w:val="left"/>
      <w:pPr>
        <w:tabs>
          <w:tab w:val="num" w:pos="2250"/>
        </w:tabs>
        <w:ind w:left="2250" w:hanging="360"/>
      </w:pPr>
      <w:rPr>
        <w:rFonts w:ascii="Wingdings" w:hAnsi="Wingdings" w:hint="default"/>
      </w:rPr>
    </w:lvl>
    <w:lvl w:ilvl="3" w:tplc="0C090001" w:tentative="1">
      <w:start w:val="1"/>
      <w:numFmt w:val="bullet"/>
      <w:lvlText w:val=""/>
      <w:lvlJc w:val="left"/>
      <w:pPr>
        <w:tabs>
          <w:tab w:val="num" w:pos="2970"/>
        </w:tabs>
        <w:ind w:left="2970" w:hanging="360"/>
      </w:pPr>
      <w:rPr>
        <w:rFonts w:ascii="Symbol" w:hAnsi="Symbol" w:hint="default"/>
      </w:rPr>
    </w:lvl>
    <w:lvl w:ilvl="4" w:tplc="0C090003" w:tentative="1">
      <w:start w:val="1"/>
      <w:numFmt w:val="bullet"/>
      <w:lvlText w:val="o"/>
      <w:lvlJc w:val="left"/>
      <w:pPr>
        <w:tabs>
          <w:tab w:val="num" w:pos="3690"/>
        </w:tabs>
        <w:ind w:left="3690" w:hanging="360"/>
      </w:pPr>
      <w:rPr>
        <w:rFonts w:ascii="Courier New" w:hAnsi="Courier New" w:cs="Courier New" w:hint="default"/>
      </w:rPr>
    </w:lvl>
    <w:lvl w:ilvl="5" w:tplc="0C090005" w:tentative="1">
      <w:start w:val="1"/>
      <w:numFmt w:val="bullet"/>
      <w:lvlText w:val=""/>
      <w:lvlJc w:val="left"/>
      <w:pPr>
        <w:tabs>
          <w:tab w:val="num" w:pos="4410"/>
        </w:tabs>
        <w:ind w:left="4410" w:hanging="360"/>
      </w:pPr>
      <w:rPr>
        <w:rFonts w:ascii="Wingdings" w:hAnsi="Wingdings" w:hint="default"/>
      </w:rPr>
    </w:lvl>
    <w:lvl w:ilvl="6" w:tplc="0C090001" w:tentative="1">
      <w:start w:val="1"/>
      <w:numFmt w:val="bullet"/>
      <w:lvlText w:val=""/>
      <w:lvlJc w:val="left"/>
      <w:pPr>
        <w:tabs>
          <w:tab w:val="num" w:pos="5130"/>
        </w:tabs>
        <w:ind w:left="5130" w:hanging="360"/>
      </w:pPr>
      <w:rPr>
        <w:rFonts w:ascii="Symbol" w:hAnsi="Symbol" w:hint="default"/>
      </w:rPr>
    </w:lvl>
    <w:lvl w:ilvl="7" w:tplc="0C090003" w:tentative="1">
      <w:start w:val="1"/>
      <w:numFmt w:val="bullet"/>
      <w:lvlText w:val="o"/>
      <w:lvlJc w:val="left"/>
      <w:pPr>
        <w:tabs>
          <w:tab w:val="num" w:pos="5850"/>
        </w:tabs>
        <w:ind w:left="5850" w:hanging="360"/>
      </w:pPr>
      <w:rPr>
        <w:rFonts w:ascii="Courier New" w:hAnsi="Courier New" w:cs="Courier New" w:hint="default"/>
      </w:rPr>
    </w:lvl>
    <w:lvl w:ilvl="8" w:tplc="0C090005" w:tentative="1">
      <w:start w:val="1"/>
      <w:numFmt w:val="bullet"/>
      <w:lvlText w:val=""/>
      <w:lvlJc w:val="left"/>
      <w:pPr>
        <w:tabs>
          <w:tab w:val="num" w:pos="6570"/>
        </w:tabs>
        <w:ind w:left="6570" w:hanging="360"/>
      </w:pPr>
      <w:rPr>
        <w:rFonts w:ascii="Wingdings" w:hAnsi="Wingdings" w:hint="default"/>
      </w:rPr>
    </w:lvl>
  </w:abstractNum>
  <w:abstractNum w:abstractNumId="35">
    <w:nsid w:val="59CD4FA8"/>
    <w:multiLevelType w:val="hybridMultilevel"/>
    <w:tmpl w:val="7638C7E0"/>
    <w:lvl w:ilvl="0" w:tplc="498E1A3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608219A3"/>
    <w:multiLevelType w:val="hybridMultilevel"/>
    <w:tmpl w:val="8140DF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663B3907"/>
    <w:multiLevelType w:val="hybridMultilevel"/>
    <w:tmpl w:val="9B5A697C"/>
    <w:lvl w:ilvl="0" w:tplc="E0B6320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nsid w:val="6D6057A6"/>
    <w:multiLevelType w:val="hybridMultilevel"/>
    <w:tmpl w:val="60669392"/>
    <w:lvl w:ilvl="0" w:tplc="061847FE">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39">
    <w:nsid w:val="6E661EC9"/>
    <w:multiLevelType w:val="hybridMultilevel"/>
    <w:tmpl w:val="BC361348"/>
    <w:lvl w:ilvl="0" w:tplc="164E2324">
      <w:start w:val="1"/>
      <w:numFmt w:val="bullet"/>
      <w:lvlText w:val=""/>
      <w:lvlJc w:val="left"/>
      <w:pPr>
        <w:tabs>
          <w:tab w:val="num" w:pos="90"/>
        </w:tabs>
        <w:ind w:left="450" w:hanging="360"/>
      </w:pPr>
      <w:rPr>
        <w:rFonts w:ascii="Symbol" w:hAnsi="Symbol" w:hint="default"/>
        <w:sz w:val="20"/>
        <w:szCs w:val="20"/>
      </w:rPr>
    </w:lvl>
    <w:lvl w:ilvl="1" w:tplc="0C090003" w:tentative="1">
      <w:start w:val="1"/>
      <w:numFmt w:val="bullet"/>
      <w:lvlText w:val="o"/>
      <w:lvlJc w:val="left"/>
      <w:pPr>
        <w:tabs>
          <w:tab w:val="num" w:pos="1530"/>
        </w:tabs>
        <w:ind w:left="1530" w:hanging="360"/>
      </w:pPr>
      <w:rPr>
        <w:rFonts w:ascii="Courier New" w:hAnsi="Courier New" w:cs="Courier New" w:hint="default"/>
      </w:rPr>
    </w:lvl>
    <w:lvl w:ilvl="2" w:tplc="0C090005" w:tentative="1">
      <w:start w:val="1"/>
      <w:numFmt w:val="bullet"/>
      <w:lvlText w:val=""/>
      <w:lvlJc w:val="left"/>
      <w:pPr>
        <w:tabs>
          <w:tab w:val="num" w:pos="2250"/>
        </w:tabs>
        <w:ind w:left="2250" w:hanging="360"/>
      </w:pPr>
      <w:rPr>
        <w:rFonts w:ascii="Wingdings" w:hAnsi="Wingdings" w:hint="default"/>
      </w:rPr>
    </w:lvl>
    <w:lvl w:ilvl="3" w:tplc="0C090001" w:tentative="1">
      <w:start w:val="1"/>
      <w:numFmt w:val="bullet"/>
      <w:lvlText w:val=""/>
      <w:lvlJc w:val="left"/>
      <w:pPr>
        <w:tabs>
          <w:tab w:val="num" w:pos="2970"/>
        </w:tabs>
        <w:ind w:left="2970" w:hanging="360"/>
      </w:pPr>
      <w:rPr>
        <w:rFonts w:ascii="Symbol" w:hAnsi="Symbol" w:hint="default"/>
      </w:rPr>
    </w:lvl>
    <w:lvl w:ilvl="4" w:tplc="0C090003" w:tentative="1">
      <w:start w:val="1"/>
      <w:numFmt w:val="bullet"/>
      <w:lvlText w:val="o"/>
      <w:lvlJc w:val="left"/>
      <w:pPr>
        <w:tabs>
          <w:tab w:val="num" w:pos="3690"/>
        </w:tabs>
        <w:ind w:left="3690" w:hanging="360"/>
      </w:pPr>
      <w:rPr>
        <w:rFonts w:ascii="Courier New" w:hAnsi="Courier New" w:cs="Courier New" w:hint="default"/>
      </w:rPr>
    </w:lvl>
    <w:lvl w:ilvl="5" w:tplc="0C090005" w:tentative="1">
      <w:start w:val="1"/>
      <w:numFmt w:val="bullet"/>
      <w:lvlText w:val=""/>
      <w:lvlJc w:val="left"/>
      <w:pPr>
        <w:tabs>
          <w:tab w:val="num" w:pos="4410"/>
        </w:tabs>
        <w:ind w:left="4410" w:hanging="360"/>
      </w:pPr>
      <w:rPr>
        <w:rFonts w:ascii="Wingdings" w:hAnsi="Wingdings" w:hint="default"/>
      </w:rPr>
    </w:lvl>
    <w:lvl w:ilvl="6" w:tplc="0C090001" w:tentative="1">
      <w:start w:val="1"/>
      <w:numFmt w:val="bullet"/>
      <w:lvlText w:val=""/>
      <w:lvlJc w:val="left"/>
      <w:pPr>
        <w:tabs>
          <w:tab w:val="num" w:pos="5130"/>
        </w:tabs>
        <w:ind w:left="5130" w:hanging="360"/>
      </w:pPr>
      <w:rPr>
        <w:rFonts w:ascii="Symbol" w:hAnsi="Symbol" w:hint="default"/>
      </w:rPr>
    </w:lvl>
    <w:lvl w:ilvl="7" w:tplc="0C090003" w:tentative="1">
      <w:start w:val="1"/>
      <w:numFmt w:val="bullet"/>
      <w:lvlText w:val="o"/>
      <w:lvlJc w:val="left"/>
      <w:pPr>
        <w:tabs>
          <w:tab w:val="num" w:pos="5850"/>
        </w:tabs>
        <w:ind w:left="5850" w:hanging="360"/>
      </w:pPr>
      <w:rPr>
        <w:rFonts w:ascii="Courier New" w:hAnsi="Courier New" w:cs="Courier New" w:hint="default"/>
      </w:rPr>
    </w:lvl>
    <w:lvl w:ilvl="8" w:tplc="0C090005" w:tentative="1">
      <w:start w:val="1"/>
      <w:numFmt w:val="bullet"/>
      <w:lvlText w:val=""/>
      <w:lvlJc w:val="left"/>
      <w:pPr>
        <w:tabs>
          <w:tab w:val="num" w:pos="6570"/>
        </w:tabs>
        <w:ind w:left="6570" w:hanging="360"/>
      </w:pPr>
      <w:rPr>
        <w:rFonts w:ascii="Wingdings" w:hAnsi="Wingdings" w:hint="default"/>
      </w:rPr>
    </w:lvl>
  </w:abstractNum>
  <w:abstractNum w:abstractNumId="40">
    <w:nsid w:val="6EBA2B4C"/>
    <w:multiLevelType w:val="hybridMultilevel"/>
    <w:tmpl w:val="2D766894"/>
    <w:lvl w:ilvl="0" w:tplc="28CA591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nsid w:val="6EE34E10"/>
    <w:multiLevelType w:val="multilevel"/>
    <w:tmpl w:val="D9F407CA"/>
    <w:lvl w:ilvl="0">
      <w:start w:val="1"/>
      <w:numFmt w:val="upperLetter"/>
      <w:pStyle w:val="Heading3Numbering"/>
      <w:lvlText w:val="(%1)"/>
      <w:lvlJc w:val="left"/>
      <w:pPr>
        <w:tabs>
          <w:tab w:val="num" w:pos="720"/>
        </w:tabs>
        <w:ind w:left="720" w:hanging="720"/>
      </w:pPr>
      <w:rPr>
        <w:rFonts w:ascii="Calibri" w:hAnsi="Calibri" w:hint="default"/>
        <w:sz w:val="24"/>
        <w:szCs w:val="24"/>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nsid w:val="72806EAF"/>
    <w:multiLevelType w:val="hybridMultilevel"/>
    <w:tmpl w:val="2F58BF86"/>
    <w:lvl w:ilvl="0" w:tplc="EBB04D60">
      <w:start w:val="1"/>
      <w:numFmt w:val="bullet"/>
      <w:lvlText w:val=""/>
      <w:lvlJc w:val="left"/>
      <w:pPr>
        <w:tabs>
          <w:tab w:val="num" w:pos="360"/>
        </w:tabs>
        <w:ind w:left="360" w:hanging="360"/>
      </w:pPr>
      <w:rPr>
        <w:rFonts w:ascii="Symbol" w:hAnsi="Symbol" w:hint="default"/>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3">
    <w:nsid w:val="78441FB3"/>
    <w:multiLevelType w:val="hybridMultilevel"/>
    <w:tmpl w:val="F39674F4"/>
    <w:lvl w:ilvl="0" w:tplc="3EEC34DA">
      <w:start w:val="1"/>
      <w:numFmt w:val="bullet"/>
      <w:lvlText w:val=""/>
      <w:lvlJc w:val="left"/>
      <w:pPr>
        <w:tabs>
          <w:tab w:val="num" w:pos="360"/>
        </w:tabs>
        <w:ind w:left="360" w:hanging="360"/>
      </w:pPr>
      <w:rPr>
        <w:rFonts w:ascii="Symbol" w:hAnsi="Symbol" w:hint="default"/>
        <w:sz w:val="20"/>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4">
    <w:nsid w:val="792603EA"/>
    <w:multiLevelType w:val="singleLevel"/>
    <w:tmpl w:val="9DB0D9C8"/>
    <w:lvl w:ilvl="0">
      <w:start w:val="1"/>
      <w:numFmt w:val="bullet"/>
      <w:lvlText w:val=""/>
      <w:lvlJc w:val="left"/>
      <w:pPr>
        <w:tabs>
          <w:tab w:val="num" w:pos="360"/>
        </w:tabs>
        <w:ind w:left="360" w:hanging="360"/>
      </w:pPr>
      <w:rPr>
        <w:rFonts w:ascii="Symbol" w:hAnsi="Symbol" w:hint="default"/>
        <w:sz w:val="20"/>
      </w:rPr>
    </w:lvl>
  </w:abstractNum>
  <w:num w:numId="1">
    <w:abstractNumId w:val="11"/>
  </w:num>
  <w:num w:numId="2">
    <w:abstractNumId w:val="34"/>
  </w:num>
  <w:num w:numId="3">
    <w:abstractNumId w:val="41"/>
  </w:num>
  <w:num w:numId="4">
    <w:abstractNumId w:val="24"/>
  </w:num>
  <w:num w:numId="5">
    <w:abstractNumId w:val="26"/>
  </w:num>
  <w:num w:numId="6">
    <w:abstractNumId w:val="23"/>
  </w:num>
  <w:num w:numId="7">
    <w:abstractNumId w:val="16"/>
  </w:num>
  <w:num w:numId="8">
    <w:abstractNumId w:val="9"/>
  </w:num>
  <w:num w:numId="9">
    <w:abstractNumId w:val="44"/>
  </w:num>
  <w:num w:numId="10">
    <w:abstractNumId w:val="22"/>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39"/>
  </w:num>
  <w:num w:numId="21">
    <w:abstractNumId w:val="18"/>
  </w:num>
  <w:num w:numId="22">
    <w:abstractNumId w:val="32"/>
  </w:num>
  <w:num w:numId="23">
    <w:abstractNumId w:val="12"/>
  </w:num>
  <w:num w:numId="24">
    <w:abstractNumId w:val="20"/>
  </w:num>
  <w:num w:numId="25">
    <w:abstractNumId w:val="42"/>
  </w:num>
  <w:num w:numId="26">
    <w:abstractNumId w:val="14"/>
  </w:num>
  <w:num w:numId="27">
    <w:abstractNumId w:val="43"/>
  </w:num>
  <w:num w:numId="28">
    <w:abstractNumId w:val="21"/>
  </w:num>
  <w:num w:numId="29">
    <w:abstractNumId w:val="19"/>
  </w:num>
  <w:num w:numId="30">
    <w:abstractNumId w:val="29"/>
  </w:num>
  <w:num w:numId="31">
    <w:abstractNumId w:val="15"/>
  </w:num>
  <w:num w:numId="32">
    <w:abstractNumId w:val="31"/>
  </w:num>
  <w:num w:numId="33">
    <w:abstractNumId w:val="33"/>
  </w:num>
  <w:num w:numId="34">
    <w:abstractNumId w:val="25"/>
  </w:num>
  <w:num w:numId="35">
    <w:abstractNumId w:val="17"/>
  </w:num>
  <w:num w:numId="36">
    <w:abstractNumId w:val="13"/>
  </w:num>
  <w:num w:numId="37">
    <w:abstractNumId w:val="35"/>
  </w:num>
  <w:num w:numId="38">
    <w:abstractNumId w:val="30"/>
  </w:num>
  <w:num w:numId="39">
    <w:abstractNumId w:val="38"/>
  </w:num>
  <w:num w:numId="40">
    <w:abstractNumId w:val="36"/>
  </w:num>
  <w:num w:numId="41">
    <w:abstractNumId w:val="28"/>
  </w:num>
  <w:num w:numId="42">
    <w:abstractNumId w:val="10"/>
  </w:num>
  <w:num w:numId="43">
    <w:abstractNumId w:val="40"/>
  </w:num>
  <w:num w:numId="44">
    <w:abstractNumId w:val="37"/>
  </w:num>
  <w:num w:numId="45">
    <w:abstractNumId w:val="2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mirrorMargin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nforcement="0"/>
  <w:autoFormatOverride/>
  <w:defaultTabStop w:val="720"/>
  <w:evenAndOddHeaders/>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AAD"/>
    <w:rsid w:val="00006F06"/>
    <w:rsid w:val="00020E91"/>
    <w:rsid w:val="00021CE5"/>
    <w:rsid w:val="000221B3"/>
    <w:rsid w:val="000234BE"/>
    <w:rsid w:val="00031488"/>
    <w:rsid w:val="00035734"/>
    <w:rsid w:val="000362EA"/>
    <w:rsid w:val="000401E9"/>
    <w:rsid w:val="00041292"/>
    <w:rsid w:val="00043F9F"/>
    <w:rsid w:val="000451B1"/>
    <w:rsid w:val="00050885"/>
    <w:rsid w:val="00056F1F"/>
    <w:rsid w:val="00057A86"/>
    <w:rsid w:val="00060942"/>
    <w:rsid w:val="00061F50"/>
    <w:rsid w:val="00064FD8"/>
    <w:rsid w:val="00067DF6"/>
    <w:rsid w:val="00073EF8"/>
    <w:rsid w:val="00074C4D"/>
    <w:rsid w:val="000771C1"/>
    <w:rsid w:val="000804F8"/>
    <w:rsid w:val="000868E5"/>
    <w:rsid w:val="000925EA"/>
    <w:rsid w:val="00093898"/>
    <w:rsid w:val="000A5321"/>
    <w:rsid w:val="000B1105"/>
    <w:rsid w:val="000B12EE"/>
    <w:rsid w:val="000B1B53"/>
    <w:rsid w:val="000B2895"/>
    <w:rsid w:val="000C1027"/>
    <w:rsid w:val="000C18E1"/>
    <w:rsid w:val="000C733A"/>
    <w:rsid w:val="000D652A"/>
    <w:rsid w:val="000E725D"/>
    <w:rsid w:val="000F34DF"/>
    <w:rsid w:val="00100FCC"/>
    <w:rsid w:val="00102FB0"/>
    <w:rsid w:val="0012158C"/>
    <w:rsid w:val="00130570"/>
    <w:rsid w:val="001368DE"/>
    <w:rsid w:val="00140C5B"/>
    <w:rsid w:val="00150C34"/>
    <w:rsid w:val="00152FDB"/>
    <w:rsid w:val="00154535"/>
    <w:rsid w:val="0015668D"/>
    <w:rsid w:val="0016459F"/>
    <w:rsid w:val="00170A52"/>
    <w:rsid w:val="00176CD6"/>
    <w:rsid w:val="0017767A"/>
    <w:rsid w:val="00185277"/>
    <w:rsid w:val="001856DE"/>
    <w:rsid w:val="001B3473"/>
    <w:rsid w:val="001C0D0F"/>
    <w:rsid w:val="001C1EAD"/>
    <w:rsid w:val="001C2F60"/>
    <w:rsid w:val="001C39CE"/>
    <w:rsid w:val="001C6D0D"/>
    <w:rsid w:val="001D18E7"/>
    <w:rsid w:val="001E15F3"/>
    <w:rsid w:val="001F325D"/>
    <w:rsid w:val="001F3DDD"/>
    <w:rsid w:val="001F4F89"/>
    <w:rsid w:val="001F6AF6"/>
    <w:rsid w:val="0020013B"/>
    <w:rsid w:val="0022439A"/>
    <w:rsid w:val="00225DCD"/>
    <w:rsid w:val="0023358D"/>
    <w:rsid w:val="00240744"/>
    <w:rsid w:val="002411D9"/>
    <w:rsid w:val="00245DCF"/>
    <w:rsid w:val="0025606D"/>
    <w:rsid w:val="00265B8A"/>
    <w:rsid w:val="00266992"/>
    <w:rsid w:val="002733B3"/>
    <w:rsid w:val="00282839"/>
    <w:rsid w:val="002878DD"/>
    <w:rsid w:val="002B15CD"/>
    <w:rsid w:val="002B5189"/>
    <w:rsid w:val="002C04C2"/>
    <w:rsid w:val="002C1C0D"/>
    <w:rsid w:val="002D0C50"/>
    <w:rsid w:val="002D4189"/>
    <w:rsid w:val="002D7692"/>
    <w:rsid w:val="002E0D69"/>
    <w:rsid w:val="002E1426"/>
    <w:rsid w:val="002E31A2"/>
    <w:rsid w:val="002E3331"/>
    <w:rsid w:val="002E5C62"/>
    <w:rsid w:val="002E6E49"/>
    <w:rsid w:val="002F3CB5"/>
    <w:rsid w:val="002F4B41"/>
    <w:rsid w:val="003010A2"/>
    <w:rsid w:val="00302525"/>
    <w:rsid w:val="00322573"/>
    <w:rsid w:val="00322DD7"/>
    <w:rsid w:val="003233E0"/>
    <w:rsid w:val="003259E9"/>
    <w:rsid w:val="0032698D"/>
    <w:rsid w:val="0033005B"/>
    <w:rsid w:val="003352CE"/>
    <w:rsid w:val="00341734"/>
    <w:rsid w:val="00341E1B"/>
    <w:rsid w:val="00342ECD"/>
    <w:rsid w:val="00344B2F"/>
    <w:rsid w:val="00346956"/>
    <w:rsid w:val="00346AFE"/>
    <w:rsid w:val="003511F8"/>
    <w:rsid w:val="003553FF"/>
    <w:rsid w:val="00364AC2"/>
    <w:rsid w:val="00364C8B"/>
    <w:rsid w:val="0036725D"/>
    <w:rsid w:val="003819A4"/>
    <w:rsid w:val="00382EC5"/>
    <w:rsid w:val="003926C8"/>
    <w:rsid w:val="00392D14"/>
    <w:rsid w:val="0039472C"/>
    <w:rsid w:val="0039576F"/>
    <w:rsid w:val="00397F02"/>
    <w:rsid w:val="003B522D"/>
    <w:rsid w:val="003C0422"/>
    <w:rsid w:val="003C2F48"/>
    <w:rsid w:val="003C3AAE"/>
    <w:rsid w:val="003C4E9A"/>
    <w:rsid w:val="003E2EE8"/>
    <w:rsid w:val="003E31E5"/>
    <w:rsid w:val="003E5374"/>
    <w:rsid w:val="003E5F71"/>
    <w:rsid w:val="003F15E7"/>
    <w:rsid w:val="003F26DD"/>
    <w:rsid w:val="003F3D18"/>
    <w:rsid w:val="003F4955"/>
    <w:rsid w:val="00402B50"/>
    <w:rsid w:val="004046AE"/>
    <w:rsid w:val="00406F75"/>
    <w:rsid w:val="00411AEE"/>
    <w:rsid w:val="00412BC0"/>
    <w:rsid w:val="00417ED4"/>
    <w:rsid w:val="004274F6"/>
    <w:rsid w:val="00437861"/>
    <w:rsid w:val="00446F20"/>
    <w:rsid w:val="00455F51"/>
    <w:rsid w:val="00464BD2"/>
    <w:rsid w:val="00465985"/>
    <w:rsid w:val="0046648A"/>
    <w:rsid w:val="0046774A"/>
    <w:rsid w:val="00472150"/>
    <w:rsid w:val="0047243E"/>
    <w:rsid w:val="00480ADD"/>
    <w:rsid w:val="004828FB"/>
    <w:rsid w:val="00485CB3"/>
    <w:rsid w:val="00492D93"/>
    <w:rsid w:val="00495CAE"/>
    <w:rsid w:val="00497606"/>
    <w:rsid w:val="004C08B1"/>
    <w:rsid w:val="004C1834"/>
    <w:rsid w:val="004C3F0D"/>
    <w:rsid w:val="004C654C"/>
    <w:rsid w:val="004C767D"/>
    <w:rsid w:val="004D2300"/>
    <w:rsid w:val="004D392F"/>
    <w:rsid w:val="004D3DE7"/>
    <w:rsid w:val="004F0906"/>
    <w:rsid w:val="004F1592"/>
    <w:rsid w:val="004F6EFF"/>
    <w:rsid w:val="004F779D"/>
    <w:rsid w:val="00503983"/>
    <w:rsid w:val="00503A10"/>
    <w:rsid w:val="005040D7"/>
    <w:rsid w:val="0050472E"/>
    <w:rsid w:val="0050487A"/>
    <w:rsid w:val="0050690B"/>
    <w:rsid w:val="0051195C"/>
    <w:rsid w:val="005121CD"/>
    <w:rsid w:val="005142C4"/>
    <w:rsid w:val="00515C51"/>
    <w:rsid w:val="00516DF2"/>
    <w:rsid w:val="00522994"/>
    <w:rsid w:val="00531A3D"/>
    <w:rsid w:val="00533108"/>
    <w:rsid w:val="00537D85"/>
    <w:rsid w:val="005429ED"/>
    <w:rsid w:val="00545CA0"/>
    <w:rsid w:val="00547E3B"/>
    <w:rsid w:val="005552E0"/>
    <w:rsid w:val="005559F8"/>
    <w:rsid w:val="00561253"/>
    <w:rsid w:val="005659B1"/>
    <w:rsid w:val="00565C3C"/>
    <w:rsid w:val="00571E1E"/>
    <w:rsid w:val="00572DD3"/>
    <w:rsid w:val="00576FDF"/>
    <w:rsid w:val="0058137C"/>
    <w:rsid w:val="00595530"/>
    <w:rsid w:val="0059636A"/>
    <w:rsid w:val="00597626"/>
    <w:rsid w:val="005A0574"/>
    <w:rsid w:val="005A6362"/>
    <w:rsid w:val="005A6BE2"/>
    <w:rsid w:val="005A6FB4"/>
    <w:rsid w:val="005B081E"/>
    <w:rsid w:val="005B2863"/>
    <w:rsid w:val="005B41A8"/>
    <w:rsid w:val="005B54F2"/>
    <w:rsid w:val="005C1363"/>
    <w:rsid w:val="005C361B"/>
    <w:rsid w:val="005C7712"/>
    <w:rsid w:val="005D3416"/>
    <w:rsid w:val="005D65C9"/>
    <w:rsid w:val="005D67FF"/>
    <w:rsid w:val="005D76F8"/>
    <w:rsid w:val="005D78C9"/>
    <w:rsid w:val="005E0AA3"/>
    <w:rsid w:val="005E17AB"/>
    <w:rsid w:val="005E5FCA"/>
    <w:rsid w:val="005F67EF"/>
    <w:rsid w:val="00602BE7"/>
    <w:rsid w:val="00605F2A"/>
    <w:rsid w:val="0060685C"/>
    <w:rsid w:val="00606A43"/>
    <w:rsid w:val="00612B67"/>
    <w:rsid w:val="00613F9B"/>
    <w:rsid w:val="0062710B"/>
    <w:rsid w:val="006306E9"/>
    <w:rsid w:val="00635546"/>
    <w:rsid w:val="00641E21"/>
    <w:rsid w:val="00642BF1"/>
    <w:rsid w:val="00643DF9"/>
    <w:rsid w:val="00654E77"/>
    <w:rsid w:val="006568CD"/>
    <w:rsid w:val="00666CB7"/>
    <w:rsid w:val="00667796"/>
    <w:rsid w:val="00671769"/>
    <w:rsid w:val="00673AAD"/>
    <w:rsid w:val="00674B54"/>
    <w:rsid w:val="00677E49"/>
    <w:rsid w:val="0068185C"/>
    <w:rsid w:val="006841B2"/>
    <w:rsid w:val="00686543"/>
    <w:rsid w:val="0068681D"/>
    <w:rsid w:val="006A6CEB"/>
    <w:rsid w:val="006A7B84"/>
    <w:rsid w:val="006B4753"/>
    <w:rsid w:val="006C4793"/>
    <w:rsid w:val="006C5EC5"/>
    <w:rsid w:val="006D1E53"/>
    <w:rsid w:val="006E0320"/>
    <w:rsid w:val="006F055E"/>
    <w:rsid w:val="006F2495"/>
    <w:rsid w:val="00701445"/>
    <w:rsid w:val="00705A1D"/>
    <w:rsid w:val="00715BF1"/>
    <w:rsid w:val="007161C5"/>
    <w:rsid w:val="0071751D"/>
    <w:rsid w:val="00717D6F"/>
    <w:rsid w:val="00723CCF"/>
    <w:rsid w:val="00741EA0"/>
    <w:rsid w:val="007465D1"/>
    <w:rsid w:val="0076041D"/>
    <w:rsid w:val="00762943"/>
    <w:rsid w:val="007641DC"/>
    <w:rsid w:val="007703C5"/>
    <w:rsid w:val="00777A89"/>
    <w:rsid w:val="00784E79"/>
    <w:rsid w:val="00784F64"/>
    <w:rsid w:val="00793367"/>
    <w:rsid w:val="007A1057"/>
    <w:rsid w:val="007B4258"/>
    <w:rsid w:val="007C2DBE"/>
    <w:rsid w:val="007F39AE"/>
    <w:rsid w:val="007F4643"/>
    <w:rsid w:val="007F79E6"/>
    <w:rsid w:val="008047B2"/>
    <w:rsid w:val="0081669E"/>
    <w:rsid w:val="00817BD7"/>
    <w:rsid w:val="00825389"/>
    <w:rsid w:val="0082652B"/>
    <w:rsid w:val="00836E6A"/>
    <w:rsid w:val="0084045D"/>
    <w:rsid w:val="0084378E"/>
    <w:rsid w:val="00853954"/>
    <w:rsid w:val="00863D40"/>
    <w:rsid w:val="00863F34"/>
    <w:rsid w:val="008659CB"/>
    <w:rsid w:val="0086685D"/>
    <w:rsid w:val="00867B50"/>
    <w:rsid w:val="00880B83"/>
    <w:rsid w:val="008827CA"/>
    <w:rsid w:val="00882953"/>
    <w:rsid w:val="008858A3"/>
    <w:rsid w:val="00885B67"/>
    <w:rsid w:val="008871F8"/>
    <w:rsid w:val="00887B0B"/>
    <w:rsid w:val="00887F89"/>
    <w:rsid w:val="00891D05"/>
    <w:rsid w:val="008A0DCD"/>
    <w:rsid w:val="008A3B91"/>
    <w:rsid w:val="008A5FE9"/>
    <w:rsid w:val="008B0FFC"/>
    <w:rsid w:val="008B46DF"/>
    <w:rsid w:val="008C5612"/>
    <w:rsid w:val="008E20C7"/>
    <w:rsid w:val="008E4C65"/>
    <w:rsid w:val="008E5024"/>
    <w:rsid w:val="008F0F55"/>
    <w:rsid w:val="008F60AE"/>
    <w:rsid w:val="00902A9D"/>
    <w:rsid w:val="00904A16"/>
    <w:rsid w:val="00910D2B"/>
    <w:rsid w:val="0091115C"/>
    <w:rsid w:val="009200FD"/>
    <w:rsid w:val="009331F3"/>
    <w:rsid w:val="009332C8"/>
    <w:rsid w:val="00937B02"/>
    <w:rsid w:val="00941B05"/>
    <w:rsid w:val="00946EF0"/>
    <w:rsid w:val="00950D83"/>
    <w:rsid w:val="00957917"/>
    <w:rsid w:val="00957B59"/>
    <w:rsid w:val="0096304A"/>
    <w:rsid w:val="00965D85"/>
    <w:rsid w:val="0097206F"/>
    <w:rsid w:val="009738E6"/>
    <w:rsid w:val="00973A41"/>
    <w:rsid w:val="0097680B"/>
    <w:rsid w:val="00981FE2"/>
    <w:rsid w:val="0098552F"/>
    <w:rsid w:val="0098775F"/>
    <w:rsid w:val="00992E7A"/>
    <w:rsid w:val="00995570"/>
    <w:rsid w:val="009A2BC2"/>
    <w:rsid w:val="009A3179"/>
    <w:rsid w:val="009B0AC6"/>
    <w:rsid w:val="009B25A6"/>
    <w:rsid w:val="009B7C82"/>
    <w:rsid w:val="009C05DD"/>
    <w:rsid w:val="009C5731"/>
    <w:rsid w:val="009D183F"/>
    <w:rsid w:val="009E4089"/>
    <w:rsid w:val="009E5D93"/>
    <w:rsid w:val="009E61FE"/>
    <w:rsid w:val="009F0A3E"/>
    <w:rsid w:val="009F0F12"/>
    <w:rsid w:val="00A02FA8"/>
    <w:rsid w:val="00A1268C"/>
    <w:rsid w:val="00A14E0E"/>
    <w:rsid w:val="00A16285"/>
    <w:rsid w:val="00A16406"/>
    <w:rsid w:val="00A207E5"/>
    <w:rsid w:val="00A21AF5"/>
    <w:rsid w:val="00A2357F"/>
    <w:rsid w:val="00A251B1"/>
    <w:rsid w:val="00A3092F"/>
    <w:rsid w:val="00A47723"/>
    <w:rsid w:val="00A56CBA"/>
    <w:rsid w:val="00A576F6"/>
    <w:rsid w:val="00A57B48"/>
    <w:rsid w:val="00A70080"/>
    <w:rsid w:val="00A71163"/>
    <w:rsid w:val="00A74AB1"/>
    <w:rsid w:val="00A74D09"/>
    <w:rsid w:val="00A759FE"/>
    <w:rsid w:val="00A805CA"/>
    <w:rsid w:val="00A831CC"/>
    <w:rsid w:val="00A93F82"/>
    <w:rsid w:val="00A94C28"/>
    <w:rsid w:val="00A96824"/>
    <w:rsid w:val="00AA1AEA"/>
    <w:rsid w:val="00AA5AD3"/>
    <w:rsid w:val="00AA63AD"/>
    <w:rsid w:val="00AB125D"/>
    <w:rsid w:val="00AB2018"/>
    <w:rsid w:val="00AB2CC7"/>
    <w:rsid w:val="00AB5310"/>
    <w:rsid w:val="00AB74A8"/>
    <w:rsid w:val="00AD7110"/>
    <w:rsid w:val="00AF2215"/>
    <w:rsid w:val="00B022A5"/>
    <w:rsid w:val="00B04D20"/>
    <w:rsid w:val="00B0624D"/>
    <w:rsid w:val="00B14F51"/>
    <w:rsid w:val="00B21FEB"/>
    <w:rsid w:val="00B22C0D"/>
    <w:rsid w:val="00B27537"/>
    <w:rsid w:val="00B27782"/>
    <w:rsid w:val="00B37863"/>
    <w:rsid w:val="00B527F0"/>
    <w:rsid w:val="00B55816"/>
    <w:rsid w:val="00B56AF7"/>
    <w:rsid w:val="00B64A6A"/>
    <w:rsid w:val="00B72182"/>
    <w:rsid w:val="00B72576"/>
    <w:rsid w:val="00B73926"/>
    <w:rsid w:val="00B742AA"/>
    <w:rsid w:val="00B76343"/>
    <w:rsid w:val="00B82D32"/>
    <w:rsid w:val="00B83B9F"/>
    <w:rsid w:val="00B847DA"/>
    <w:rsid w:val="00BA2418"/>
    <w:rsid w:val="00BA434B"/>
    <w:rsid w:val="00BB534C"/>
    <w:rsid w:val="00BC1D8E"/>
    <w:rsid w:val="00BC61E2"/>
    <w:rsid w:val="00BD0A5C"/>
    <w:rsid w:val="00BD364F"/>
    <w:rsid w:val="00BD7B65"/>
    <w:rsid w:val="00BE4F6F"/>
    <w:rsid w:val="00BF2190"/>
    <w:rsid w:val="00BF3DAE"/>
    <w:rsid w:val="00BF6AF3"/>
    <w:rsid w:val="00BF7248"/>
    <w:rsid w:val="00C0011A"/>
    <w:rsid w:val="00C0318B"/>
    <w:rsid w:val="00C03620"/>
    <w:rsid w:val="00C04DD7"/>
    <w:rsid w:val="00C05D16"/>
    <w:rsid w:val="00C05DC9"/>
    <w:rsid w:val="00C14A3C"/>
    <w:rsid w:val="00C179B3"/>
    <w:rsid w:val="00C17EB8"/>
    <w:rsid w:val="00C22C4B"/>
    <w:rsid w:val="00C24EC3"/>
    <w:rsid w:val="00C25A06"/>
    <w:rsid w:val="00C278C3"/>
    <w:rsid w:val="00C30146"/>
    <w:rsid w:val="00C35791"/>
    <w:rsid w:val="00C419DE"/>
    <w:rsid w:val="00C46316"/>
    <w:rsid w:val="00C46C0C"/>
    <w:rsid w:val="00C4789A"/>
    <w:rsid w:val="00C50085"/>
    <w:rsid w:val="00C50E7D"/>
    <w:rsid w:val="00C52998"/>
    <w:rsid w:val="00C529A0"/>
    <w:rsid w:val="00C550BF"/>
    <w:rsid w:val="00C63B4E"/>
    <w:rsid w:val="00C72AF4"/>
    <w:rsid w:val="00C74271"/>
    <w:rsid w:val="00C756E9"/>
    <w:rsid w:val="00C75B91"/>
    <w:rsid w:val="00C75D0E"/>
    <w:rsid w:val="00C7678A"/>
    <w:rsid w:val="00C9591C"/>
    <w:rsid w:val="00C97E08"/>
    <w:rsid w:val="00CB3778"/>
    <w:rsid w:val="00CB3C8A"/>
    <w:rsid w:val="00CB74FE"/>
    <w:rsid w:val="00CC2049"/>
    <w:rsid w:val="00CC3A34"/>
    <w:rsid w:val="00CC69F7"/>
    <w:rsid w:val="00CC73D9"/>
    <w:rsid w:val="00CD0577"/>
    <w:rsid w:val="00CD5064"/>
    <w:rsid w:val="00CE4B0E"/>
    <w:rsid w:val="00CF0F98"/>
    <w:rsid w:val="00CF132C"/>
    <w:rsid w:val="00CF25B1"/>
    <w:rsid w:val="00CF5FE1"/>
    <w:rsid w:val="00CF6838"/>
    <w:rsid w:val="00CF6AB4"/>
    <w:rsid w:val="00D0607A"/>
    <w:rsid w:val="00D10578"/>
    <w:rsid w:val="00D12B44"/>
    <w:rsid w:val="00D12EE3"/>
    <w:rsid w:val="00D1521C"/>
    <w:rsid w:val="00D16AE4"/>
    <w:rsid w:val="00D24C1E"/>
    <w:rsid w:val="00D24E4D"/>
    <w:rsid w:val="00D2588E"/>
    <w:rsid w:val="00D26C08"/>
    <w:rsid w:val="00D30046"/>
    <w:rsid w:val="00D42484"/>
    <w:rsid w:val="00D52B3F"/>
    <w:rsid w:val="00D5615F"/>
    <w:rsid w:val="00D56B84"/>
    <w:rsid w:val="00D62A5E"/>
    <w:rsid w:val="00D646A9"/>
    <w:rsid w:val="00D67950"/>
    <w:rsid w:val="00D859B9"/>
    <w:rsid w:val="00D95D7D"/>
    <w:rsid w:val="00DA0931"/>
    <w:rsid w:val="00DA4D63"/>
    <w:rsid w:val="00DA6CAB"/>
    <w:rsid w:val="00DB33FA"/>
    <w:rsid w:val="00DB3AF6"/>
    <w:rsid w:val="00DB716A"/>
    <w:rsid w:val="00DD2E77"/>
    <w:rsid w:val="00DD79E9"/>
    <w:rsid w:val="00DE1D28"/>
    <w:rsid w:val="00DE3B1B"/>
    <w:rsid w:val="00DF27E0"/>
    <w:rsid w:val="00DF54C9"/>
    <w:rsid w:val="00E06647"/>
    <w:rsid w:val="00E1677A"/>
    <w:rsid w:val="00E232F8"/>
    <w:rsid w:val="00E24DAF"/>
    <w:rsid w:val="00E338A0"/>
    <w:rsid w:val="00E35F1A"/>
    <w:rsid w:val="00E37D79"/>
    <w:rsid w:val="00E43FB1"/>
    <w:rsid w:val="00E4642D"/>
    <w:rsid w:val="00E53139"/>
    <w:rsid w:val="00E7552F"/>
    <w:rsid w:val="00E76C60"/>
    <w:rsid w:val="00E76F2A"/>
    <w:rsid w:val="00E84842"/>
    <w:rsid w:val="00E87460"/>
    <w:rsid w:val="00E97B8E"/>
    <w:rsid w:val="00EA3A5B"/>
    <w:rsid w:val="00EB1400"/>
    <w:rsid w:val="00EB1FD8"/>
    <w:rsid w:val="00EB3D88"/>
    <w:rsid w:val="00EB6BA8"/>
    <w:rsid w:val="00EB7A3E"/>
    <w:rsid w:val="00EC2ADF"/>
    <w:rsid w:val="00EC5292"/>
    <w:rsid w:val="00EC6A9A"/>
    <w:rsid w:val="00ED0B29"/>
    <w:rsid w:val="00EF4C87"/>
    <w:rsid w:val="00EF6BFD"/>
    <w:rsid w:val="00F043B6"/>
    <w:rsid w:val="00F06BEE"/>
    <w:rsid w:val="00F135C4"/>
    <w:rsid w:val="00F13D93"/>
    <w:rsid w:val="00F14A31"/>
    <w:rsid w:val="00F17676"/>
    <w:rsid w:val="00F2013A"/>
    <w:rsid w:val="00F208A1"/>
    <w:rsid w:val="00F2160D"/>
    <w:rsid w:val="00F21979"/>
    <w:rsid w:val="00F22CBF"/>
    <w:rsid w:val="00F25DFE"/>
    <w:rsid w:val="00F302FC"/>
    <w:rsid w:val="00F312E6"/>
    <w:rsid w:val="00F35817"/>
    <w:rsid w:val="00F3640E"/>
    <w:rsid w:val="00F4248C"/>
    <w:rsid w:val="00F46717"/>
    <w:rsid w:val="00F6397C"/>
    <w:rsid w:val="00F63E44"/>
    <w:rsid w:val="00F640AC"/>
    <w:rsid w:val="00F6415B"/>
    <w:rsid w:val="00F64C6D"/>
    <w:rsid w:val="00F6691A"/>
    <w:rsid w:val="00F67E7B"/>
    <w:rsid w:val="00F773CE"/>
    <w:rsid w:val="00F80542"/>
    <w:rsid w:val="00F87345"/>
    <w:rsid w:val="00F96FDC"/>
    <w:rsid w:val="00FA3AE2"/>
    <w:rsid w:val="00FA5495"/>
    <w:rsid w:val="00FA5CC9"/>
    <w:rsid w:val="00FA6969"/>
    <w:rsid w:val="00FB5BB7"/>
    <w:rsid w:val="00FB5CEA"/>
    <w:rsid w:val="00FB6608"/>
    <w:rsid w:val="00FC2781"/>
    <w:rsid w:val="00FC62B6"/>
    <w:rsid w:val="00FC7DAC"/>
    <w:rsid w:val="00FD2818"/>
    <w:rsid w:val="00FE2B63"/>
    <w:rsid w:val="00FF010C"/>
    <w:rsid w:val="00FF01C0"/>
    <w:rsid w:val="00FF1527"/>
    <w:rsid w:val="00FF6B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6" w:locked="1"/>
    <w:lsdException w:name="index 7" w:locked="1"/>
    <w:lsdException w:name="index 8" w:locked="1"/>
    <w:lsdException w:name="index 9" w:locked="1"/>
    <w:lsdException w:name="toc 1" w:uiPriority="39"/>
    <w:lsdException w:name="toc 2" w:uiPriority="39"/>
    <w:lsdException w:name="toc 6" w:locked="1"/>
    <w:lsdException w:name="toc 7" w:locked="1"/>
    <w:lsdException w:name="toc 8" w:locked="1"/>
    <w:lsdException w:name="toc 9" w:locked="1"/>
    <w:lsdException w:name="Normal Indent" w:locked="1"/>
    <w:lsdException w:name="footnote text" w:locked="1"/>
    <w:lsdException w:name="annotation text" w:locked="1" w:uiPriority="99"/>
    <w:lsdException w:name="caption" w:locked="1" w:semiHidden="1" w:unhideWhenUsed="1" w:qFormat="1"/>
    <w:lsdException w:name="table of figures" w:qFormat="1"/>
    <w:lsdException w:name="envelope address" w:locked="1"/>
    <w:lsdException w:name="envelope return" w:locked="1"/>
    <w:lsdException w:name="footnote reference" w:locked="1"/>
    <w:lsdException w:name="annotation reference" w:locked="1" w:uiPriority="99"/>
    <w:lsdException w:name="lin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lsdException w:name="Salutation" w:locked="1"/>
    <w:lsdException w:name="Date" w:locked="1"/>
    <w:lsdException w:name="Body Text First Indent" w:locked="1"/>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locked="1"/>
    <w:lsdException w:name="Emphasis" w:locked="1"/>
    <w:lsdException w:name="Document Map" w:locked="1"/>
    <w:lsdException w:name="Plain Text" w:locked="1"/>
    <w:lsdException w:name="E-mail Signature"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No List"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074C4D"/>
    <w:pPr>
      <w:spacing w:after="120"/>
    </w:pPr>
    <w:rPr>
      <w:rFonts w:ascii="Garamond" w:hAnsi="Garamond"/>
      <w:sz w:val="22"/>
      <w:lang w:eastAsia="en-US"/>
    </w:rPr>
  </w:style>
  <w:style w:type="paragraph" w:styleId="Heading1">
    <w:name w:val="heading 1"/>
    <w:basedOn w:val="Normal"/>
    <w:next w:val="Normal"/>
    <w:link w:val="Heading1Char"/>
    <w:qFormat/>
    <w:rsid w:val="00397F02"/>
    <w:pPr>
      <w:keepNext/>
      <w:spacing w:before="360"/>
      <w:outlineLvl w:val="0"/>
    </w:pPr>
    <w:rPr>
      <w:rFonts w:ascii="Calibri" w:hAnsi="Calibri"/>
      <w:b/>
      <w:caps/>
      <w:sz w:val="26"/>
      <w:szCs w:val="22"/>
    </w:rPr>
  </w:style>
  <w:style w:type="paragraph" w:styleId="Heading2">
    <w:name w:val="heading 2"/>
    <w:basedOn w:val="Normal"/>
    <w:next w:val="Normal"/>
    <w:link w:val="Heading2Char"/>
    <w:qFormat/>
    <w:rsid w:val="00397F02"/>
    <w:pPr>
      <w:keepNext/>
      <w:spacing w:before="240"/>
      <w:outlineLvl w:val="1"/>
    </w:pPr>
    <w:rPr>
      <w:rFonts w:ascii="Calibri" w:hAnsi="Calibri"/>
      <w:b/>
      <w:kern w:val="28"/>
      <w:sz w:val="26"/>
      <w:szCs w:val="22"/>
    </w:rPr>
  </w:style>
  <w:style w:type="paragraph" w:styleId="Heading3">
    <w:name w:val="heading 3"/>
    <w:basedOn w:val="Normal"/>
    <w:next w:val="Normal"/>
    <w:link w:val="Heading3Char"/>
    <w:qFormat/>
    <w:rsid w:val="00397F02"/>
    <w:pPr>
      <w:keepNext/>
      <w:spacing w:before="240"/>
      <w:outlineLvl w:val="2"/>
    </w:pPr>
    <w:rPr>
      <w:rFonts w:ascii="Calibri" w:hAnsi="Calibri"/>
      <w:b/>
      <w:i/>
      <w:kern w:val="28"/>
      <w:sz w:val="24"/>
      <w:szCs w:val="22"/>
    </w:rPr>
  </w:style>
  <w:style w:type="paragraph" w:styleId="Heading4">
    <w:name w:val="heading 4"/>
    <w:basedOn w:val="Normal"/>
    <w:next w:val="Normal"/>
    <w:link w:val="Heading4Char"/>
    <w:qFormat/>
    <w:rsid w:val="00397F02"/>
    <w:pPr>
      <w:keepNext/>
      <w:spacing w:before="240"/>
      <w:outlineLvl w:val="3"/>
    </w:pPr>
    <w:rPr>
      <w:rFonts w:ascii="Calibri" w:hAnsi="Calibri"/>
      <w:i/>
      <w:sz w:val="24"/>
      <w:szCs w:val="22"/>
    </w:rPr>
  </w:style>
  <w:style w:type="paragraph" w:styleId="Heading5">
    <w:name w:val="heading 5"/>
    <w:basedOn w:val="Normal"/>
    <w:next w:val="Normal"/>
    <w:link w:val="Heading5Char"/>
    <w:qFormat/>
    <w:rsid w:val="00F14A31"/>
    <w:pPr>
      <w:keepNext/>
      <w:tabs>
        <w:tab w:val="left" w:pos="504"/>
      </w:tabs>
      <w:spacing w:before="120" w:after="60"/>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llion">
    <w:name w:val="$million"/>
    <w:basedOn w:val="Normal"/>
    <w:link w:val="millionChar"/>
    <w:qFormat/>
    <w:rsid w:val="00A831CC"/>
    <w:pPr>
      <w:spacing w:after="0"/>
      <w:jc w:val="center"/>
    </w:pPr>
    <w:rPr>
      <w:rFonts w:ascii="Calibri" w:hAnsi="Calibri"/>
      <w:i/>
      <w:sz w:val="18"/>
      <w:szCs w:val="18"/>
    </w:rPr>
  </w:style>
  <w:style w:type="paragraph" w:styleId="TableofFigures">
    <w:name w:val="table of figures"/>
    <w:basedOn w:val="Normal"/>
    <w:next w:val="Normal"/>
    <w:link w:val="TableofFiguresChar"/>
    <w:qFormat/>
    <w:rsid w:val="00397F02"/>
    <w:pPr>
      <w:spacing w:after="0"/>
      <w:jc w:val="right"/>
    </w:pPr>
    <w:rPr>
      <w:rFonts w:ascii="Calibri" w:hAnsi="Calibri"/>
      <w:sz w:val="20"/>
      <w:szCs w:val="18"/>
    </w:rPr>
  </w:style>
  <w:style w:type="character" w:customStyle="1" w:styleId="TableofFiguresChar">
    <w:name w:val="Table of Figures Char"/>
    <w:link w:val="TableofFigures"/>
    <w:rsid w:val="00A14E0E"/>
    <w:rPr>
      <w:rFonts w:ascii="Calibri" w:hAnsi="Calibri"/>
      <w:szCs w:val="18"/>
      <w:lang w:val="en-AU" w:eastAsia="en-US" w:bidi="ar-SA"/>
    </w:rPr>
  </w:style>
  <w:style w:type="paragraph" w:customStyle="1" w:styleId="BP4Figures">
    <w:name w:val="BP4 Figures"/>
    <w:basedOn w:val="TableofFigures"/>
    <w:rsid w:val="0059636A"/>
    <w:pPr>
      <w:spacing w:after="30"/>
    </w:pPr>
    <w:rPr>
      <w:sz w:val="18"/>
    </w:rPr>
  </w:style>
  <w:style w:type="paragraph" w:customStyle="1" w:styleId="Tabletextheading">
    <w:name w:val="Table text heading"/>
    <w:basedOn w:val="TableofFigures"/>
    <w:link w:val="TabletextheadingChar"/>
    <w:qFormat/>
    <w:rsid w:val="00A831CC"/>
    <w:rPr>
      <w:i/>
    </w:rPr>
  </w:style>
  <w:style w:type="paragraph" w:customStyle="1" w:styleId="BP4headingr">
    <w:name w:val="BP4 heading r"/>
    <w:basedOn w:val="Tabletextheading"/>
    <w:rsid w:val="00817BD7"/>
    <w:rPr>
      <w:sz w:val="18"/>
    </w:rPr>
  </w:style>
  <w:style w:type="paragraph" w:customStyle="1" w:styleId="BP4headingl">
    <w:name w:val="BP4 heading l"/>
    <w:basedOn w:val="BP4headingr"/>
    <w:rsid w:val="00817BD7"/>
    <w:pPr>
      <w:jc w:val="left"/>
    </w:pPr>
  </w:style>
  <w:style w:type="paragraph" w:customStyle="1" w:styleId="Tabletext">
    <w:name w:val="Table text"/>
    <w:basedOn w:val="TableofFigures"/>
    <w:link w:val="TabletextChar"/>
    <w:qFormat/>
    <w:rsid w:val="00A831CC"/>
    <w:pPr>
      <w:ind w:left="180" w:hanging="180"/>
      <w:jc w:val="left"/>
    </w:pPr>
  </w:style>
  <w:style w:type="paragraph" w:customStyle="1" w:styleId="BP4tabletext">
    <w:name w:val="BP4 table text"/>
    <w:basedOn w:val="Tabletext"/>
    <w:rsid w:val="00817BD7"/>
    <w:pPr>
      <w:spacing w:after="30"/>
      <w:ind w:left="72" w:hanging="72"/>
    </w:pPr>
    <w:rPr>
      <w:sz w:val="18"/>
    </w:rPr>
  </w:style>
  <w:style w:type="paragraph" w:customStyle="1" w:styleId="Tableheading">
    <w:name w:val="Table heading"/>
    <w:basedOn w:val="Normal"/>
    <w:link w:val="TableheadingChar"/>
    <w:qFormat/>
    <w:rsid w:val="009E5D93"/>
    <w:pPr>
      <w:keepNext/>
      <w:spacing w:before="240"/>
      <w:ind w:left="1152" w:hanging="1152"/>
    </w:pPr>
    <w:rPr>
      <w:rFonts w:ascii="Calibri" w:hAnsi="Calibri"/>
      <w:b/>
    </w:rPr>
  </w:style>
  <w:style w:type="table" w:styleId="TableGrid">
    <w:name w:val="Table Grid"/>
    <w:basedOn w:val="TableNormal"/>
    <w:locked/>
    <w:rsid w:val="005E17AB"/>
    <w:pPr>
      <w:spacing w:after="120"/>
      <w:jc w:val="both"/>
    </w:pPr>
    <w:rPr>
      <w:rFonts w:ascii="Calibri" w:hAnsi="Calibri"/>
    </w:rPr>
    <w:tblPr/>
  </w:style>
  <w:style w:type="paragraph" w:customStyle="1" w:styleId="BulletText">
    <w:name w:val="Bullet Text"/>
    <w:basedOn w:val="Normal"/>
    <w:link w:val="BulletTextChar"/>
    <w:qFormat/>
    <w:rsid w:val="00CB74FE"/>
    <w:pPr>
      <w:numPr>
        <w:numId w:val="4"/>
      </w:numPr>
    </w:pPr>
  </w:style>
  <w:style w:type="paragraph" w:customStyle="1" w:styleId="ChapterHeading">
    <w:name w:val="Chapter Heading"/>
    <w:basedOn w:val="Normal"/>
    <w:next w:val="Heading1"/>
    <w:qFormat/>
    <w:rsid w:val="00C75B91"/>
    <w:pPr>
      <w:keepNext/>
      <w:pBdr>
        <w:bottom w:val="single" w:sz="12" w:space="7" w:color="auto"/>
      </w:pBdr>
      <w:spacing w:before="1440" w:after="360"/>
    </w:pPr>
    <w:rPr>
      <w:rFonts w:ascii="Calibri" w:hAnsi="Calibri"/>
      <w:b/>
      <w:caps/>
      <w:sz w:val="36"/>
      <w:szCs w:val="28"/>
    </w:rPr>
  </w:style>
  <w:style w:type="paragraph" w:customStyle="1" w:styleId="Chartheading">
    <w:name w:val="Chart heading"/>
    <w:basedOn w:val="Tableheading"/>
    <w:next w:val="Normal"/>
    <w:link w:val="ChartheadingChar"/>
    <w:qFormat/>
    <w:rsid w:val="009E5D93"/>
  </w:style>
  <w:style w:type="paragraph" w:styleId="Footer">
    <w:name w:val="footer"/>
    <w:basedOn w:val="Normal"/>
    <w:link w:val="FooterChar"/>
    <w:rsid w:val="00185277"/>
    <w:pPr>
      <w:pBdr>
        <w:top w:val="single" w:sz="6" w:space="1" w:color="auto"/>
      </w:pBdr>
      <w:tabs>
        <w:tab w:val="right" w:pos="7085"/>
      </w:tabs>
    </w:pPr>
    <w:rPr>
      <w:rFonts w:ascii="Calibri" w:hAnsi="Calibri"/>
      <w:sz w:val="20"/>
      <w:szCs w:val="18"/>
    </w:rPr>
  </w:style>
  <w:style w:type="paragraph" w:styleId="Header">
    <w:name w:val="header"/>
    <w:basedOn w:val="Footer"/>
    <w:link w:val="HeaderChar"/>
    <w:rsid w:val="00561253"/>
    <w:pPr>
      <w:pBdr>
        <w:top w:val="none" w:sz="0" w:space="0" w:color="auto"/>
      </w:pBdr>
      <w:tabs>
        <w:tab w:val="clear" w:pos="7085"/>
      </w:tabs>
    </w:pPr>
  </w:style>
  <w:style w:type="paragraph" w:customStyle="1" w:styleId="Heading2Notes">
    <w:name w:val="Heading 2 Notes"/>
    <w:basedOn w:val="Heading2"/>
    <w:link w:val="Heading2NotesChar"/>
    <w:rsid w:val="003E5374"/>
    <w:pPr>
      <w:tabs>
        <w:tab w:val="left" w:pos="1152"/>
      </w:tabs>
      <w:ind w:left="1152" w:hanging="1152"/>
    </w:pPr>
  </w:style>
  <w:style w:type="paragraph" w:customStyle="1" w:styleId="Notes">
    <w:name w:val="Notes"/>
    <w:basedOn w:val="Normal"/>
    <w:link w:val="NotesChar"/>
    <w:qFormat/>
    <w:rsid w:val="00C24EC3"/>
    <w:pPr>
      <w:tabs>
        <w:tab w:val="left" w:pos="454"/>
      </w:tabs>
      <w:spacing w:after="0"/>
      <w:ind w:left="461" w:hanging="461"/>
    </w:pPr>
    <w:rPr>
      <w:rFonts w:ascii="Calibri" w:hAnsi="Calibri"/>
      <w:i/>
      <w:sz w:val="15"/>
    </w:rPr>
  </w:style>
  <w:style w:type="paragraph" w:customStyle="1" w:styleId="OGBullet">
    <w:name w:val="OGBullet"/>
    <w:basedOn w:val="Normal"/>
    <w:rsid w:val="00397F02"/>
    <w:pPr>
      <w:numPr>
        <w:numId w:val="1"/>
      </w:numPr>
    </w:pPr>
    <w:rPr>
      <w:rFonts w:ascii="Calibri" w:hAnsi="Calibri"/>
      <w:sz w:val="20"/>
      <w:szCs w:val="18"/>
    </w:rPr>
  </w:style>
  <w:style w:type="paragraph" w:customStyle="1" w:styleId="OGHeading1">
    <w:name w:val="OGHeading1"/>
    <w:basedOn w:val="Normal"/>
    <w:rsid w:val="00397F02"/>
    <w:rPr>
      <w:rFonts w:ascii="Calibri" w:hAnsi="Calibri"/>
      <w:b/>
      <w:sz w:val="32"/>
      <w:szCs w:val="28"/>
    </w:rPr>
  </w:style>
  <w:style w:type="paragraph" w:customStyle="1" w:styleId="OGHeading2">
    <w:name w:val="OGHeading2"/>
    <w:basedOn w:val="Normal"/>
    <w:link w:val="OGHeading2Char"/>
    <w:rsid w:val="00397F02"/>
    <w:pPr>
      <w:keepNext/>
      <w:spacing w:before="60"/>
    </w:pPr>
    <w:rPr>
      <w:rFonts w:ascii="Calibri" w:hAnsi="Calibri"/>
      <w:b/>
      <w:sz w:val="28"/>
      <w:szCs w:val="24"/>
    </w:rPr>
  </w:style>
  <w:style w:type="character" w:customStyle="1" w:styleId="OGHeading2Char">
    <w:name w:val="OGHeading2 Char"/>
    <w:link w:val="OGHeading2"/>
    <w:rsid w:val="00A14E0E"/>
    <w:rPr>
      <w:rFonts w:ascii="Calibri" w:hAnsi="Calibri"/>
      <w:b/>
      <w:sz w:val="28"/>
      <w:szCs w:val="24"/>
      <w:lang w:val="en-AU" w:eastAsia="en-US" w:bidi="ar-SA"/>
    </w:rPr>
  </w:style>
  <w:style w:type="paragraph" w:customStyle="1" w:styleId="OGTabHead">
    <w:name w:val="OGTabHead"/>
    <w:basedOn w:val="Normal"/>
    <w:rsid w:val="00882953"/>
    <w:pPr>
      <w:keepNext/>
      <w:keepLines/>
      <w:spacing w:before="30" w:after="30"/>
    </w:pPr>
    <w:rPr>
      <w:rFonts w:ascii="Calibri" w:hAnsi="Calibri"/>
      <w:i/>
      <w:sz w:val="20"/>
      <w:szCs w:val="18"/>
    </w:rPr>
  </w:style>
  <w:style w:type="paragraph" w:customStyle="1" w:styleId="OGTabText">
    <w:name w:val="OGTabText"/>
    <w:basedOn w:val="Normal"/>
    <w:link w:val="OGTabTextChar"/>
    <w:rsid w:val="00882953"/>
    <w:pPr>
      <w:spacing w:before="30" w:after="30"/>
      <w:ind w:left="144"/>
    </w:pPr>
    <w:rPr>
      <w:rFonts w:ascii="Calibri" w:hAnsi="Calibri"/>
      <w:sz w:val="20"/>
      <w:szCs w:val="18"/>
    </w:rPr>
  </w:style>
  <w:style w:type="character" w:customStyle="1" w:styleId="OGTabTextChar">
    <w:name w:val="OGTabText Char"/>
    <w:link w:val="OGTabText"/>
    <w:rsid w:val="00A14E0E"/>
    <w:rPr>
      <w:rFonts w:ascii="Calibri" w:hAnsi="Calibri"/>
      <w:szCs w:val="18"/>
      <w:lang w:val="en-AU" w:eastAsia="en-US" w:bidi="ar-SA"/>
    </w:rPr>
  </w:style>
  <w:style w:type="paragraph" w:customStyle="1" w:styleId="OGText">
    <w:name w:val="OGText"/>
    <w:basedOn w:val="Normal"/>
    <w:link w:val="OGTextChar"/>
    <w:rsid w:val="00882953"/>
    <w:pPr>
      <w:keepNext/>
      <w:spacing w:before="40"/>
    </w:pPr>
    <w:rPr>
      <w:rFonts w:ascii="Calibri" w:hAnsi="Calibri"/>
      <w:sz w:val="20"/>
      <w:szCs w:val="18"/>
    </w:rPr>
  </w:style>
  <w:style w:type="character" w:customStyle="1" w:styleId="OGTextChar">
    <w:name w:val="OGText Char"/>
    <w:link w:val="OGText"/>
    <w:rsid w:val="00A14E0E"/>
    <w:rPr>
      <w:rFonts w:ascii="Calibri" w:hAnsi="Calibri"/>
      <w:szCs w:val="18"/>
      <w:lang w:val="en-AU" w:eastAsia="en-US" w:bidi="ar-SA"/>
    </w:rPr>
  </w:style>
  <w:style w:type="character" w:styleId="PageNumber">
    <w:name w:val="page number"/>
    <w:rsid w:val="00185277"/>
    <w:rPr>
      <w:rFonts w:ascii="Calibri" w:hAnsi="Calibri"/>
      <w:sz w:val="20"/>
    </w:rPr>
  </w:style>
  <w:style w:type="paragraph" w:customStyle="1" w:styleId="Source">
    <w:name w:val="Source"/>
    <w:basedOn w:val="Normal"/>
    <w:next w:val="Normal"/>
    <w:link w:val="SourceChar"/>
    <w:qFormat/>
    <w:locked/>
    <w:rsid w:val="00C24EC3"/>
    <w:rPr>
      <w:rFonts w:ascii="Calibri" w:hAnsi="Calibri"/>
      <w:i/>
      <w:sz w:val="15"/>
    </w:rPr>
  </w:style>
  <w:style w:type="paragraph" w:customStyle="1" w:styleId="TableofContentsheading">
    <w:name w:val="Table of Contents heading"/>
    <w:basedOn w:val="ChapterHeading"/>
    <w:next w:val="Normal"/>
    <w:rsid w:val="00DF54C9"/>
  </w:style>
  <w:style w:type="paragraph" w:customStyle="1" w:styleId="Heading2NotesContd">
    <w:name w:val="Heading 2 Notes Cont'd"/>
    <w:basedOn w:val="Heading2Notes"/>
    <w:link w:val="Heading2NotesContdChar"/>
    <w:rsid w:val="002E5C62"/>
  </w:style>
  <w:style w:type="paragraph" w:customStyle="1" w:styleId="HighlightBoxBullet">
    <w:name w:val="Highlight Box Bullet"/>
    <w:basedOn w:val="Normal"/>
    <w:qFormat/>
    <w:rsid w:val="00100FCC"/>
    <w:pPr>
      <w:numPr>
        <w:numId w:val="2"/>
      </w:numPr>
      <w:shd w:val="pct10" w:color="auto" w:fill="FFFFFF"/>
      <w:tabs>
        <w:tab w:val="clear" w:pos="90"/>
        <w:tab w:val="num" w:pos="360"/>
      </w:tabs>
      <w:ind w:left="360" w:right="43"/>
    </w:pPr>
  </w:style>
  <w:style w:type="paragraph" w:styleId="TOC1">
    <w:name w:val="toc 1"/>
    <w:basedOn w:val="Normal"/>
    <w:next w:val="Normal"/>
    <w:uiPriority w:val="39"/>
    <w:rsid w:val="00BF2190"/>
    <w:pPr>
      <w:tabs>
        <w:tab w:val="right" w:leader="dot" w:pos="7830"/>
      </w:tabs>
      <w:spacing w:before="40" w:after="40"/>
      <w:ind w:right="422"/>
    </w:pPr>
    <w:rPr>
      <w:rFonts w:ascii="Calibri" w:hAnsi="Calibri"/>
      <w:b/>
      <w:sz w:val="24"/>
    </w:rPr>
  </w:style>
  <w:style w:type="paragraph" w:styleId="TOC2">
    <w:name w:val="toc 2"/>
    <w:basedOn w:val="Normal"/>
    <w:next w:val="Normal"/>
    <w:uiPriority w:val="39"/>
    <w:rsid w:val="00C72AF4"/>
    <w:pPr>
      <w:tabs>
        <w:tab w:val="right" w:leader="dot" w:pos="7830"/>
      </w:tabs>
      <w:spacing w:after="0"/>
      <w:ind w:left="288" w:right="422"/>
    </w:pPr>
    <w:rPr>
      <w:rFonts w:ascii="Calibri" w:hAnsi="Calibri"/>
      <w:sz w:val="20"/>
    </w:rPr>
  </w:style>
  <w:style w:type="paragraph" w:styleId="TOC3">
    <w:name w:val="toc 3"/>
    <w:basedOn w:val="Normal"/>
    <w:next w:val="Normal"/>
    <w:rsid w:val="00C72AF4"/>
    <w:pPr>
      <w:tabs>
        <w:tab w:val="right" w:leader="dot" w:pos="7830"/>
      </w:tabs>
      <w:spacing w:after="0"/>
      <w:ind w:left="432" w:right="422"/>
    </w:pPr>
    <w:rPr>
      <w:rFonts w:ascii="Calibri" w:hAnsi="Calibri"/>
      <w:i/>
      <w:sz w:val="20"/>
    </w:rPr>
  </w:style>
  <w:style w:type="paragraph" w:styleId="TOC4">
    <w:name w:val="toc 4"/>
    <w:basedOn w:val="TOC1"/>
    <w:next w:val="Normal"/>
    <w:rsid w:val="00910D2B"/>
    <w:pPr>
      <w:spacing w:after="0"/>
      <w:ind w:left="1152" w:hanging="1152"/>
    </w:pPr>
    <w:rPr>
      <w:b w:val="0"/>
      <w:noProof/>
      <w:sz w:val="20"/>
    </w:rPr>
  </w:style>
  <w:style w:type="paragraph" w:styleId="TOC5">
    <w:name w:val="toc 5"/>
    <w:basedOn w:val="TOC1"/>
    <w:next w:val="Normal"/>
    <w:rsid w:val="00910D2B"/>
    <w:rPr>
      <w:b w:val="0"/>
      <w:sz w:val="20"/>
    </w:rPr>
  </w:style>
  <w:style w:type="paragraph" w:customStyle="1" w:styleId="Tableheadingcontinued">
    <w:name w:val="Table heading continued"/>
    <w:basedOn w:val="Tableheading"/>
    <w:rsid w:val="002E5C62"/>
  </w:style>
  <w:style w:type="paragraph" w:customStyle="1" w:styleId="Tabletextcentred">
    <w:name w:val="Table text centred"/>
    <w:basedOn w:val="Tabletext"/>
    <w:rsid w:val="00784F64"/>
    <w:pPr>
      <w:ind w:left="0" w:firstLine="0"/>
      <w:jc w:val="center"/>
    </w:pPr>
  </w:style>
  <w:style w:type="paragraph" w:customStyle="1" w:styleId="Heading3Numbering">
    <w:name w:val="Heading 3 Numbering"/>
    <w:basedOn w:val="Heading3"/>
    <w:link w:val="Heading3NumberingChar"/>
    <w:rsid w:val="004C767D"/>
    <w:pPr>
      <w:numPr>
        <w:numId w:val="3"/>
      </w:numPr>
      <w:tabs>
        <w:tab w:val="clear" w:pos="720"/>
        <w:tab w:val="left" w:pos="504"/>
      </w:tabs>
      <w:ind w:left="504" w:hanging="504"/>
    </w:pPr>
  </w:style>
  <w:style w:type="paragraph" w:customStyle="1" w:styleId="Heading5a">
    <w:name w:val="Heading 5a"/>
    <w:basedOn w:val="Heading5"/>
    <w:rsid w:val="00641E21"/>
    <w:pPr>
      <w:tabs>
        <w:tab w:val="clear" w:pos="504"/>
      </w:tabs>
    </w:pPr>
    <w:rPr>
      <w:b w:val="0"/>
      <w:i/>
      <w:sz w:val="21"/>
    </w:rPr>
  </w:style>
  <w:style w:type="character" w:customStyle="1" w:styleId="OGTabBulletChar">
    <w:name w:val="OGTabBullet Char"/>
    <w:link w:val="OGTabBullet"/>
    <w:rsid w:val="00667796"/>
    <w:rPr>
      <w:rFonts w:ascii="Calibri" w:hAnsi="Calibri"/>
      <w:szCs w:val="18"/>
    </w:rPr>
  </w:style>
  <w:style w:type="paragraph" w:customStyle="1" w:styleId="OGTabBullet">
    <w:name w:val="OGTabBullet"/>
    <w:basedOn w:val="OGBullet"/>
    <w:link w:val="OGTabBulletChar"/>
    <w:rsid w:val="00667796"/>
    <w:pPr>
      <w:tabs>
        <w:tab w:val="clear" w:pos="360"/>
        <w:tab w:val="left" w:pos="604"/>
      </w:tabs>
      <w:spacing w:before="30" w:after="30"/>
      <w:ind w:left="605"/>
    </w:pPr>
    <w:rPr>
      <w:lang w:eastAsia="en-AU"/>
    </w:rPr>
  </w:style>
  <w:style w:type="paragraph" w:customStyle="1" w:styleId="Heading2NotesQtrly">
    <w:name w:val="Heading 2 Notes Qtrly"/>
    <w:basedOn w:val="Heading2Notes"/>
    <w:rsid w:val="005142C4"/>
  </w:style>
  <w:style w:type="paragraph" w:customStyle="1" w:styleId="OGUoM">
    <w:name w:val="OGUoM"/>
    <w:basedOn w:val="Tabletextcentred"/>
    <w:rsid w:val="00882953"/>
    <w:pPr>
      <w:spacing w:before="30" w:after="30"/>
    </w:pPr>
  </w:style>
  <w:style w:type="paragraph" w:customStyle="1" w:styleId="Tabletextheadingcentred">
    <w:name w:val="Table text heading centred"/>
    <w:basedOn w:val="Tabletextheading"/>
    <w:rsid w:val="000B1B53"/>
    <w:pPr>
      <w:jc w:val="center"/>
    </w:pPr>
  </w:style>
  <w:style w:type="paragraph" w:customStyle="1" w:styleId="DashText">
    <w:name w:val="Dash Text"/>
    <w:basedOn w:val="Normal"/>
    <w:link w:val="DashTextChar"/>
    <w:qFormat/>
    <w:rsid w:val="00CB74FE"/>
    <w:pPr>
      <w:numPr>
        <w:ilvl w:val="1"/>
        <w:numId w:val="4"/>
      </w:numPr>
    </w:pPr>
  </w:style>
  <w:style w:type="paragraph" w:customStyle="1" w:styleId="OGTableofFigures">
    <w:name w:val="OGTable of Figures"/>
    <w:basedOn w:val="TableofFigures"/>
    <w:rsid w:val="00882953"/>
    <w:pPr>
      <w:spacing w:before="30" w:after="30"/>
    </w:pPr>
  </w:style>
  <w:style w:type="paragraph" w:customStyle="1" w:styleId="NotesIndent">
    <w:name w:val="NotesIndent"/>
    <w:basedOn w:val="Notes"/>
    <w:rsid w:val="009331F3"/>
    <w:pPr>
      <w:ind w:left="915"/>
    </w:pPr>
  </w:style>
  <w:style w:type="paragraph" w:customStyle="1" w:styleId="NotesDash">
    <w:name w:val="NotesDash"/>
    <w:basedOn w:val="NotesIndent"/>
    <w:rsid w:val="0086685D"/>
    <w:pPr>
      <w:numPr>
        <w:numId w:val="5"/>
      </w:numPr>
      <w:tabs>
        <w:tab w:val="clear" w:pos="454"/>
      </w:tabs>
    </w:pPr>
  </w:style>
  <w:style w:type="paragraph" w:customStyle="1" w:styleId="VersionTableText">
    <w:name w:val="VersionTableText"/>
    <w:basedOn w:val="Normal"/>
    <w:rsid w:val="00BF2190"/>
    <w:pPr>
      <w:spacing w:after="0"/>
      <w:jc w:val="center"/>
    </w:pPr>
    <w:rPr>
      <w:rFonts w:ascii="Calibri" w:hAnsi="Calibri"/>
    </w:rPr>
  </w:style>
  <w:style w:type="paragraph" w:customStyle="1" w:styleId="VAGOText">
    <w:name w:val="VAGOText"/>
    <w:basedOn w:val="Normal"/>
    <w:semiHidden/>
    <w:rsid w:val="00C14A3C"/>
    <w:pPr>
      <w:spacing w:before="120"/>
    </w:pPr>
    <w:rPr>
      <w:rFonts w:ascii="Arial" w:hAnsi="Arial" w:cs="Arial"/>
      <w:sz w:val="16"/>
      <w:szCs w:val="16"/>
    </w:rPr>
  </w:style>
  <w:style w:type="paragraph" w:customStyle="1" w:styleId="VAGOHeading2">
    <w:name w:val="VAGOHeading2"/>
    <w:basedOn w:val="Normal"/>
    <w:semiHidden/>
    <w:rsid w:val="00853954"/>
    <w:rPr>
      <w:rFonts w:ascii="Arial" w:hAnsi="Arial" w:cs="Arial"/>
      <w:b/>
      <w:sz w:val="16"/>
      <w:szCs w:val="16"/>
    </w:rPr>
  </w:style>
  <w:style w:type="paragraph" w:customStyle="1" w:styleId="VAGOHeading1">
    <w:name w:val="VAGOHeading1"/>
    <w:basedOn w:val="Normal"/>
    <w:semiHidden/>
    <w:rsid w:val="00B72182"/>
    <w:pPr>
      <w:jc w:val="center"/>
    </w:pPr>
    <w:rPr>
      <w:rFonts w:ascii="Arial" w:hAnsi="Arial" w:cs="Arial"/>
      <w:b/>
      <w:sz w:val="17"/>
      <w:szCs w:val="17"/>
    </w:rPr>
  </w:style>
  <w:style w:type="paragraph" w:customStyle="1" w:styleId="VAGOHeading3">
    <w:name w:val="VAGOHeading3"/>
    <w:basedOn w:val="VAGOHeading2"/>
    <w:semiHidden/>
    <w:rsid w:val="00853954"/>
    <w:rPr>
      <w:b w:val="0"/>
      <w:i/>
    </w:rPr>
  </w:style>
  <w:style w:type="paragraph" w:customStyle="1" w:styleId="VAGOBullet">
    <w:name w:val="VAGOBullet"/>
    <w:basedOn w:val="VAGOText"/>
    <w:semiHidden/>
    <w:rsid w:val="00C14A3C"/>
    <w:pPr>
      <w:numPr>
        <w:numId w:val="6"/>
      </w:numPr>
      <w:ind w:right="-51"/>
    </w:pPr>
    <w:rPr>
      <w:iCs/>
    </w:rPr>
  </w:style>
  <w:style w:type="paragraph" w:customStyle="1" w:styleId="Tabletextheadingleft">
    <w:name w:val="Table text heading left"/>
    <w:basedOn w:val="Tabletextheading"/>
    <w:rsid w:val="00CF5FE1"/>
    <w:pPr>
      <w:jc w:val="left"/>
    </w:pPr>
  </w:style>
  <w:style w:type="paragraph" w:customStyle="1" w:styleId="VersionTableHeading">
    <w:name w:val="VersionTableHeading"/>
    <w:basedOn w:val="Normal"/>
    <w:rsid w:val="000221B3"/>
    <w:pPr>
      <w:spacing w:after="0"/>
      <w:jc w:val="center"/>
    </w:pPr>
    <w:rPr>
      <w:rFonts w:ascii="Calibri" w:hAnsi="Calibri"/>
      <w:b/>
    </w:rPr>
  </w:style>
  <w:style w:type="paragraph" w:styleId="NormalIndent">
    <w:name w:val="Normal Indent"/>
    <w:basedOn w:val="Normal"/>
    <w:semiHidden/>
    <w:locked/>
    <w:rsid w:val="00A831CC"/>
    <w:pPr>
      <w:ind w:left="360"/>
    </w:pPr>
  </w:style>
  <w:style w:type="paragraph" w:customStyle="1" w:styleId="Tabletextindent">
    <w:name w:val="Table text indent"/>
    <w:basedOn w:val="Tabletext"/>
    <w:rsid w:val="00E24DAF"/>
    <w:pPr>
      <w:ind w:left="360" w:firstLine="0"/>
    </w:pPr>
  </w:style>
  <w:style w:type="paragraph" w:customStyle="1" w:styleId="Tabletextindent2">
    <w:name w:val="Table text indent 2"/>
    <w:basedOn w:val="Tabletextindent"/>
    <w:rsid w:val="00E24DAF"/>
    <w:pPr>
      <w:ind w:left="720"/>
    </w:pPr>
  </w:style>
  <w:style w:type="paragraph" w:customStyle="1" w:styleId="Heading3NumberingBP4">
    <w:name w:val="Heading 3 Numbering BP4"/>
    <w:basedOn w:val="Heading3Numbering"/>
    <w:semiHidden/>
    <w:rsid w:val="0046648A"/>
  </w:style>
  <w:style w:type="paragraph" w:customStyle="1" w:styleId="Chartpara">
    <w:name w:val="Chart para"/>
    <w:basedOn w:val="Normal"/>
    <w:semiHidden/>
    <w:rsid w:val="00342ECD"/>
    <w:pPr>
      <w:spacing w:after="0"/>
    </w:pPr>
  </w:style>
  <w:style w:type="paragraph" w:customStyle="1" w:styleId="OGTabColCentred">
    <w:name w:val="OGTabColCentred"/>
    <w:basedOn w:val="OGUoM"/>
    <w:rsid w:val="00061F50"/>
    <w:rPr>
      <w:b/>
      <w:lang w:eastAsia="en-AU"/>
    </w:rPr>
  </w:style>
  <w:style w:type="paragraph" w:customStyle="1" w:styleId="OGTabColRight">
    <w:name w:val="OGTabColRight"/>
    <w:basedOn w:val="OGTableofFigures"/>
    <w:rsid w:val="00A14E0E"/>
    <w:rPr>
      <w:b/>
    </w:rPr>
  </w:style>
  <w:style w:type="paragraph" w:customStyle="1" w:styleId="OGTabColLeft">
    <w:name w:val="OGTabColLeft"/>
    <w:basedOn w:val="OGTabColRight"/>
    <w:rsid w:val="00A14E0E"/>
    <w:pPr>
      <w:jc w:val="left"/>
    </w:pPr>
    <w:rPr>
      <w:lang w:eastAsia="en-AU"/>
    </w:rPr>
  </w:style>
  <w:style w:type="paragraph" w:customStyle="1" w:styleId="FrontPage">
    <w:name w:val="Front Page"/>
    <w:basedOn w:val="Normal"/>
    <w:semiHidden/>
    <w:rsid w:val="00867B50"/>
    <w:pPr>
      <w:jc w:val="center"/>
    </w:pPr>
    <w:rPr>
      <w:rFonts w:ascii="Calibri" w:hAnsi="Calibri"/>
      <w:b/>
      <w:sz w:val="52"/>
      <w:szCs w:val="52"/>
    </w:rPr>
  </w:style>
  <w:style w:type="paragraph" w:customStyle="1" w:styleId="FrontPage2">
    <w:name w:val="Front Page 2"/>
    <w:basedOn w:val="FrontPage"/>
    <w:semiHidden/>
    <w:rsid w:val="00867B50"/>
    <w:pPr>
      <w:pBdr>
        <w:bottom w:val="single" w:sz="12" w:space="1" w:color="auto"/>
      </w:pBdr>
    </w:pPr>
  </w:style>
  <w:style w:type="paragraph" w:customStyle="1" w:styleId="FrontPage3">
    <w:name w:val="Front Page 3"/>
    <w:basedOn w:val="Normal"/>
    <w:semiHidden/>
    <w:rsid w:val="00867B50"/>
    <w:pPr>
      <w:jc w:val="center"/>
    </w:pPr>
    <w:rPr>
      <w:rFonts w:ascii="Calibri" w:hAnsi="Calibri"/>
      <w:sz w:val="28"/>
      <w:szCs w:val="28"/>
    </w:rPr>
  </w:style>
  <w:style w:type="paragraph" w:customStyle="1" w:styleId="FrontPageMin">
    <w:name w:val="Front Page Min"/>
    <w:basedOn w:val="Normal"/>
    <w:semiHidden/>
    <w:rsid w:val="00867B50"/>
    <w:pPr>
      <w:jc w:val="center"/>
    </w:pPr>
    <w:rPr>
      <w:rFonts w:ascii="Calibri" w:hAnsi="Calibri"/>
      <w:sz w:val="36"/>
      <w:szCs w:val="36"/>
    </w:rPr>
  </w:style>
  <w:style w:type="paragraph" w:customStyle="1" w:styleId="FrontPageHon">
    <w:name w:val="Front Page Hon"/>
    <w:basedOn w:val="Normal"/>
    <w:semiHidden/>
    <w:rsid w:val="00867B50"/>
    <w:pPr>
      <w:jc w:val="center"/>
    </w:pPr>
    <w:rPr>
      <w:rFonts w:ascii="Calibri" w:hAnsi="Calibri"/>
      <w:sz w:val="30"/>
      <w:szCs w:val="30"/>
    </w:rPr>
  </w:style>
  <w:style w:type="paragraph" w:customStyle="1" w:styleId="FrontPageBP">
    <w:name w:val="Front Page BP"/>
    <w:basedOn w:val="Normal"/>
    <w:semiHidden/>
    <w:rsid w:val="00867B50"/>
    <w:pPr>
      <w:jc w:val="center"/>
    </w:pPr>
    <w:rPr>
      <w:rFonts w:ascii="Calibri" w:hAnsi="Calibri"/>
      <w:b/>
      <w:sz w:val="32"/>
      <w:szCs w:val="32"/>
    </w:rPr>
  </w:style>
  <w:style w:type="paragraph" w:styleId="Index1">
    <w:name w:val="index 1"/>
    <w:basedOn w:val="Normal"/>
    <w:next w:val="Normal"/>
    <w:autoRedefine/>
    <w:semiHidden/>
    <w:rsid w:val="001C1EAD"/>
    <w:pPr>
      <w:spacing w:after="0"/>
      <w:ind w:left="220" w:hanging="220"/>
    </w:pPr>
    <w:rPr>
      <w:sz w:val="18"/>
      <w:szCs w:val="18"/>
    </w:rPr>
  </w:style>
  <w:style w:type="paragraph" w:customStyle="1" w:styleId="OGNotes">
    <w:name w:val="OGNotes"/>
    <w:basedOn w:val="NotesIndent"/>
    <w:link w:val="OGNotesChar"/>
    <w:rsid w:val="00C24EC3"/>
    <w:pPr>
      <w:tabs>
        <w:tab w:val="clear" w:pos="454"/>
      </w:tabs>
      <w:spacing w:after="60"/>
      <w:ind w:left="360" w:right="115" w:firstLine="0"/>
    </w:pPr>
    <w:rPr>
      <w:lang w:eastAsia="en-AU"/>
    </w:rPr>
  </w:style>
  <w:style w:type="paragraph" w:customStyle="1" w:styleId="OGNotesIndent">
    <w:name w:val="OGNotesIndent"/>
    <w:basedOn w:val="OGNotes"/>
    <w:rsid w:val="001C0D0F"/>
    <w:pPr>
      <w:ind w:left="720" w:hanging="360"/>
    </w:pPr>
  </w:style>
  <w:style w:type="paragraph" w:styleId="Index2">
    <w:name w:val="index 2"/>
    <w:basedOn w:val="Normal"/>
    <w:next w:val="Normal"/>
    <w:autoRedefine/>
    <w:semiHidden/>
    <w:rsid w:val="001C1EAD"/>
    <w:pPr>
      <w:spacing w:after="0"/>
      <w:ind w:left="440" w:hanging="220"/>
    </w:pPr>
    <w:rPr>
      <w:sz w:val="18"/>
      <w:szCs w:val="18"/>
    </w:rPr>
  </w:style>
  <w:style w:type="paragraph" w:styleId="IndexHeading">
    <w:name w:val="index heading"/>
    <w:basedOn w:val="Normal"/>
    <w:next w:val="Index1"/>
    <w:semiHidden/>
    <w:rsid w:val="001C1EAD"/>
    <w:pPr>
      <w:spacing w:before="240"/>
      <w:jc w:val="center"/>
    </w:pPr>
    <w:rPr>
      <w:b/>
      <w:bCs/>
      <w:sz w:val="26"/>
      <w:szCs w:val="26"/>
    </w:rPr>
  </w:style>
  <w:style w:type="paragraph" w:customStyle="1" w:styleId="HighlightBoxHeading">
    <w:name w:val="Highlight Box Heading"/>
    <w:basedOn w:val="HighlightBoxText"/>
    <w:qFormat/>
    <w:rsid w:val="002411D9"/>
    <w:rPr>
      <w:rFonts w:ascii="Calibri" w:hAnsi="Calibri"/>
      <w:i/>
      <w:sz w:val="21"/>
    </w:rPr>
  </w:style>
  <w:style w:type="paragraph" w:customStyle="1" w:styleId="HighlightBoxText">
    <w:name w:val="Highlight Box Text"/>
    <w:basedOn w:val="HighlightBoxBullet"/>
    <w:rsid w:val="00C24EC3"/>
    <w:pPr>
      <w:numPr>
        <w:numId w:val="0"/>
      </w:numPr>
    </w:pPr>
  </w:style>
  <w:style w:type="paragraph" w:customStyle="1" w:styleId="TableofContentscontinued">
    <w:name w:val="Table of Contents continued"/>
    <w:basedOn w:val="Normal"/>
    <w:rsid w:val="000221B3"/>
    <w:pPr>
      <w:keepNext/>
      <w:tabs>
        <w:tab w:val="left" w:pos="1152"/>
      </w:tabs>
      <w:spacing w:before="240"/>
      <w:ind w:left="1152" w:hanging="1152"/>
      <w:outlineLvl w:val="1"/>
    </w:pPr>
    <w:rPr>
      <w:rFonts w:ascii="Calibri" w:hAnsi="Calibri"/>
      <w:b/>
      <w:kern w:val="28"/>
      <w:sz w:val="26"/>
      <w:szCs w:val="22"/>
    </w:rPr>
  </w:style>
  <w:style w:type="character" w:customStyle="1" w:styleId="millionChar">
    <w:name w:val="$million Char"/>
    <w:link w:val="million"/>
    <w:rsid w:val="00571E1E"/>
    <w:rPr>
      <w:rFonts w:ascii="Calibri" w:hAnsi="Calibri"/>
      <w:i/>
      <w:sz w:val="18"/>
      <w:szCs w:val="18"/>
      <w:lang w:val="en-AU" w:eastAsia="en-US" w:bidi="ar-SA"/>
    </w:rPr>
  </w:style>
  <w:style w:type="character" w:customStyle="1" w:styleId="TabletextheadingChar">
    <w:name w:val="Table text heading Char"/>
    <w:link w:val="Tabletextheading"/>
    <w:locked/>
    <w:rsid w:val="00571E1E"/>
    <w:rPr>
      <w:rFonts w:ascii="Calibri" w:hAnsi="Calibri"/>
      <w:i/>
      <w:szCs w:val="18"/>
      <w:lang w:val="en-AU" w:eastAsia="en-US" w:bidi="ar-SA"/>
    </w:rPr>
  </w:style>
  <w:style w:type="character" w:customStyle="1" w:styleId="SourceChar">
    <w:name w:val="Source Char"/>
    <w:link w:val="Source"/>
    <w:locked/>
    <w:rsid w:val="00571E1E"/>
    <w:rPr>
      <w:rFonts w:ascii="Calibri" w:hAnsi="Calibri"/>
      <w:i/>
      <w:sz w:val="15"/>
      <w:lang w:val="en-AU" w:eastAsia="en-US" w:bidi="ar-SA"/>
    </w:rPr>
  </w:style>
  <w:style w:type="character" w:customStyle="1" w:styleId="TableheadingChar">
    <w:name w:val="Table heading Char"/>
    <w:link w:val="Tableheading"/>
    <w:locked/>
    <w:rsid w:val="00E1677A"/>
    <w:rPr>
      <w:rFonts w:ascii="Calibri" w:hAnsi="Calibri"/>
      <w:b/>
      <w:sz w:val="22"/>
      <w:lang w:eastAsia="en-US"/>
    </w:rPr>
  </w:style>
  <w:style w:type="character" w:customStyle="1" w:styleId="BulletTextChar">
    <w:name w:val="Bullet Text Char"/>
    <w:link w:val="BulletText"/>
    <w:locked/>
    <w:rsid w:val="00E1677A"/>
    <w:rPr>
      <w:rFonts w:ascii="Garamond" w:hAnsi="Garamond"/>
      <w:sz w:val="22"/>
      <w:lang w:eastAsia="en-US"/>
    </w:rPr>
  </w:style>
  <w:style w:type="character" w:customStyle="1" w:styleId="NotesChar">
    <w:name w:val="Notes Char"/>
    <w:link w:val="Notes"/>
    <w:locked/>
    <w:rsid w:val="00E1677A"/>
    <w:rPr>
      <w:rFonts w:ascii="Calibri" w:hAnsi="Calibri"/>
      <w:i/>
      <w:sz w:val="15"/>
      <w:lang w:eastAsia="en-US"/>
    </w:rPr>
  </w:style>
  <w:style w:type="paragraph" w:customStyle="1" w:styleId="Tabletextnoindent">
    <w:name w:val="Table text no indent"/>
    <w:basedOn w:val="Normal"/>
    <w:qFormat/>
    <w:rsid w:val="00E1677A"/>
    <w:pPr>
      <w:autoSpaceDE w:val="0"/>
      <w:autoSpaceDN w:val="0"/>
      <w:adjustRightInd w:val="0"/>
      <w:spacing w:after="0"/>
    </w:pPr>
    <w:rPr>
      <w:rFonts w:ascii="Calibri" w:eastAsiaTheme="minorEastAsia" w:hAnsi="Calibri" w:cs="Calibri"/>
      <w:color w:val="000000"/>
      <w:sz w:val="20"/>
      <w:lang w:eastAsia="en-AU"/>
    </w:rPr>
  </w:style>
  <w:style w:type="paragraph" w:styleId="ListParagraph">
    <w:name w:val="List Paragraph"/>
    <w:basedOn w:val="Normal"/>
    <w:uiPriority w:val="34"/>
    <w:qFormat/>
    <w:rsid w:val="00E1677A"/>
    <w:pPr>
      <w:ind w:left="720"/>
      <w:contextualSpacing/>
    </w:pPr>
  </w:style>
  <w:style w:type="paragraph" w:styleId="BalloonText">
    <w:name w:val="Balloon Text"/>
    <w:basedOn w:val="Normal"/>
    <w:link w:val="BalloonTextChar"/>
    <w:locked/>
    <w:rsid w:val="0058137C"/>
    <w:pPr>
      <w:spacing w:after="0"/>
    </w:pPr>
    <w:rPr>
      <w:rFonts w:ascii="Tahoma" w:hAnsi="Tahoma" w:cs="Tahoma"/>
      <w:sz w:val="16"/>
      <w:szCs w:val="16"/>
    </w:rPr>
  </w:style>
  <w:style w:type="character" w:customStyle="1" w:styleId="BalloonTextChar">
    <w:name w:val="Balloon Text Char"/>
    <w:basedOn w:val="DefaultParagraphFont"/>
    <w:link w:val="BalloonText"/>
    <w:rsid w:val="0058137C"/>
    <w:rPr>
      <w:rFonts w:ascii="Tahoma" w:hAnsi="Tahoma" w:cs="Tahoma"/>
      <w:sz w:val="16"/>
      <w:szCs w:val="16"/>
      <w:lang w:eastAsia="en-US"/>
    </w:rPr>
  </w:style>
  <w:style w:type="character" w:customStyle="1" w:styleId="Heading2Char">
    <w:name w:val="Heading 2 Char"/>
    <w:link w:val="Heading2"/>
    <w:rsid w:val="00DF54C9"/>
    <w:rPr>
      <w:rFonts w:ascii="Calibri" w:hAnsi="Calibri"/>
      <w:b/>
      <w:kern w:val="28"/>
      <w:sz w:val="26"/>
      <w:szCs w:val="22"/>
      <w:lang w:eastAsia="en-US"/>
    </w:rPr>
  </w:style>
  <w:style w:type="character" w:customStyle="1" w:styleId="TabletextChar">
    <w:name w:val="Table text Char"/>
    <w:link w:val="Tabletext"/>
    <w:rsid w:val="00DF54C9"/>
    <w:rPr>
      <w:rFonts w:ascii="Calibri" w:hAnsi="Calibri"/>
      <w:szCs w:val="18"/>
      <w:lang w:eastAsia="en-US"/>
    </w:rPr>
  </w:style>
  <w:style w:type="character" w:customStyle="1" w:styleId="Heading1Char">
    <w:name w:val="Heading 1 Char"/>
    <w:basedOn w:val="DefaultParagraphFont"/>
    <w:link w:val="Heading1"/>
    <w:rsid w:val="00DF54C9"/>
    <w:rPr>
      <w:rFonts w:ascii="Calibri" w:hAnsi="Calibri"/>
      <w:b/>
      <w:caps/>
      <w:sz w:val="26"/>
      <w:szCs w:val="22"/>
      <w:lang w:eastAsia="en-US"/>
    </w:rPr>
  </w:style>
  <w:style w:type="character" w:customStyle="1" w:styleId="Heading3Char">
    <w:name w:val="Heading 3 Char"/>
    <w:basedOn w:val="DefaultParagraphFont"/>
    <w:link w:val="Heading3"/>
    <w:rsid w:val="00DF54C9"/>
    <w:rPr>
      <w:rFonts w:ascii="Calibri" w:hAnsi="Calibri"/>
      <w:b/>
      <w:i/>
      <w:kern w:val="28"/>
      <w:sz w:val="24"/>
      <w:szCs w:val="22"/>
      <w:lang w:eastAsia="en-US"/>
    </w:rPr>
  </w:style>
  <w:style w:type="character" w:customStyle="1" w:styleId="Heading4Char">
    <w:name w:val="Heading 4 Char"/>
    <w:basedOn w:val="DefaultParagraphFont"/>
    <w:link w:val="Heading4"/>
    <w:rsid w:val="00DF54C9"/>
    <w:rPr>
      <w:rFonts w:ascii="Calibri" w:hAnsi="Calibri"/>
      <w:i/>
      <w:sz w:val="24"/>
      <w:szCs w:val="22"/>
      <w:lang w:eastAsia="en-US"/>
    </w:rPr>
  </w:style>
  <w:style w:type="character" w:customStyle="1" w:styleId="Heading5Char">
    <w:name w:val="Heading 5 Char"/>
    <w:link w:val="Heading5"/>
    <w:rsid w:val="00DF54C9"/>
    <w:rPr>
      <w:rFonts w:ascii="Calibri" w:hAnsi="Calibri"/>
      <w:b/>
      <w:sz w:val="22"/>
      <w:lang w:eastAsia="en-US"/>
    </w:rPr>
  </w:style>
  <w:style w:type="character" w:customStyle="1" w:styleId="FooterChar">
    <w:name w:val="Footer Char"/>
    <w:basedOn w:val="DefaultParagraphFont"/>
    <w:link w:val="Footer"/>
    <w:rsid w:val="00DF54C9"/>
    <w:rPr>
      <w:rFonts w:ascii="Calibri" w:hAnsi="Calibri"/>
      <w:szCs w:val="18"/>
      <w:lang w:eastAsia="en-US"/>
    </w:rPr>
  </w:style>
  <w:style w:type="character" w:customStyle="1" w:styleId="Heading2NotesChar">
    <w:name w:val="Heading 2 Notes Char"/>
    <w:link w:val="Heading2Notes"/>
    <w:locked/>
    <w:rsid w:val="00DF54C9"/>
    <w:rPr>
      <w:rFonts w:ascii="Calibri" w:hAnsi="Calibri"/>
      <w:b/>
      <w:kern w:val="28"/>
      <w:sz w:val="26"/>
      <w:szCs w:val="22"/>
      <w:lang w:eastAsia="en-US"/>
    </w:rPr>
  </w:style>
  <w:style w:type="character" w:customStyle="1" w:styleId="Heading2NotesContdChar">
    <w:name w:val="Heading 2 Notes Cont'd Char"/>
    <w:link w:val="Heading2NotesContd"/>
    <w:locked/>
    <w:rsid w:val="00DF54C9"/>
    <w:rPr>
      <w:rFonts w:ascii="Calibri" w:hAnsi="Calibri"/>
      <w:b/>
      <w:kern w:val="28"/>
      <w:sz w:val="26"/>
      <w:szCs w:val="22"/>
      <w:lang w:eastAsia="en-US"/>
    </w:rPr>
  </w:style>
  <w:style w:type="character" w:customStyle="1" w:styleId="Heading3NumberingChar">
    <w:name w:val="Heading 3 Numbering Char"/>
    <w:link w:val="Heading3Numbering"/>
    <w:locked/>
    <w:rsid w:val="00DF54C9"/>
    <w:rPr>
      <w:rFonts w:ascii="Calibri" w:hAnsi="Calibri"/>
      <w:b/>
      <w:i/>
      <w:kern w:val="28"/>
      <w:sz w:val="24"/>
      <w:szCs w:val="22"/>
      <w:lang w:eastAsia="en-US"/>
    </w:rPr>
  </w:style>
  <w:style w:type="character" w:customStyle="1" w:styleId="DashTextChar">
    <w:name w:val="Dash Text Char"/>
    <w:link w:val="DashText"/>
    <w:rsid w:val="00DF54C9"/>
    <w:rPr>
      <w:rFonts w:ascii="Garamond" w:hAnsi="Garamond"/>
      <w:sz w:val="22"/>
      <w:lang w:eastAsia="en-US"/>
    </w:rPr>
  </w:style>
  <w:style w:type="character" w:styleId="Hyperlink">
    <w:name w:val="Hyperlink"/>
    <w:basedOn w:val="DefaultParagraphFont"/>
    <w:uiPriority w:val="99"/>
    <w:unhideWhenUsed/>
    <w:locked/>
    <w:rsid w:val="00DF54C9"/>
    <w:rPr>
      <w:color w:val="0000FF" w:themeColor="hyperlink"/>
      <w:u w:val="single"/>
    </w:rPr>
  </w:style>
  <w:style w:type="character" w:styleId="FollowedHyperlink">
    <w:name w:val="FollowedHyperlink"/>
    <w:basedOn w:val="DefaultParagraphFont"/>
    <w:locked/>
    <w:rsid w:val="00DF54C9"/>
    <w:rPr>
      <w:color w:val="800080" w:themeColor="followedHyperlink"/>
      <w:u w:val="single"/>
    </w:rPr>
  </w:style>
  <w:style w:type="character" w:styleId="CommentReference">
    <w:name w:val="annotation reference"/>
    <w:basedOn w:val="DefaultParagraphFont"/>
    <w:uiPriority w:val="99"/>
    <w:locked/>
    <w:rsid w:val="00DF54C9"/>
    <w:rPr>
      <w:sz w:val="16"/>
      <w:szCs w:val="16"/>
    </w:rPr>
  </w:style>
  <w:style w:type="paragraph" w:styleId="CommentText">
    <w:name w:val="annotation text"/>
    <w:basedOn w:val="Normal"/>
    <w:link w:val="CommentTextChar"/>
    <w:uiPriority w:val="99"/>
    <w:locked/>
    <w:rsid w:val="00DF54C9"/>
    <w:rPr>
      <w:sz w:val="20"/>
    </w:rPr>
  </w:style>
  <w:style w:type="character" w:customStyle="1" w:styleId="CommentTextChar">
    <w:name w:val="Comment Text Char"/>
    <w:basedOn w:val="DefaultParagraphFont"/>
    <w:link w:val="CommentText"/>
    <w:uiPriority w:val="99"/>
    <w:rsid w:val="00DF54C9"/>
    <w:rPr>
      <w:rFonts w:ascii="Garamond" w:hAnsi="Garamond"/>
      <w:lang w:eastAsia="en-US"/>
    </w:rPr>
  </w:style>
  <w:style w:type="paragraph" w:styleId="CommentSubject">
    <w:name w:val="annotation subject"/>
    <w:basedOn w:val="CommentText"/>
    <w:next w:val="CommentText"/>
    <w:link w:val="CommentSubjectChar"/>
    <w:locked/>
    <w:rsid w:val="00DF54C9"/>
    <w:rPr>
      <w:b/>
      <w:bCs/>
    </w:rPr>
  </w:style>
  <w:style w:type="character" w:customStyle="1" w:styleId="CommentSubjectChar">
    <w:name w:val="Comment Subject Char"/>
    <w:basedOn w:val="CommentTextChar"/>
    <w:link w:val="CommentSubject"/>
    <w:rsid w:val="00DF54C9"/>
    <w:rPr>
      <w:rFonts w:ascii="Garamond" w:hAnsi="Garamond"/>
      <w:b/>
      <w:bCs/>
      <w:lang w:eastAsia="en-US"/>
    </w:rPr>
  </w:style>
  <w:style w:type="paragraph" w:customStyle="1" w:styleId="Default">
    <w:name w:val="Default"/>
    <w:rsid w:val="00DF54C9"/>
    <w:pPr>
      <w:autoSpaceDE w:val="0"/>
      <w:autoSpaceDN w:val="0"/>
      <w:adjustRightInd w:val="0"/>
    </w:pPr>
    <w:rPr>
      <w:rFonts w:ascii="Garamond" w:hAnsi="Garamond" w:cs="Garamond"/>
      <w:color w:val="000000"/>
      <w:sz w:val="24"/>
      <w:szCs w:val="24"/>
    </w:rPr>
  </w:style>
  <w:style w:type="table" w:styleId="TableColumns4">
    <w:name w:val="Table Columns 4"/>
    <w:basedOn w:val="TableNormal"/>
    <w:locked/>
    <w:rsid w:val="00DF54C9"/>
    <w:pPr>
      <w:spacing w:after="12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paragraph" w:styleId="FootnoteText">
    <w:name w:val="footnote text"/>
    <w:basedOn w:val="Normal"/>
    <w:link w:val="FootnoteTextChar"/>
    <w:locked/>
    <w:rsid w:val="00DF54C9"/>
    <w:rPr>
      <w:sz w:val="20"/>
    </w:rPr>
  </w:style>
  <w:style w:type="character" w:customStyle="1" w:styleId="FootnoteTextChar">
    <w:name w:val="Footnote Text Char"/>
    <w:basedOn w:val="DefaultParagraphFont"/>
    <w:link w:val="FootnoteText"/>
    <w:rsid w:val="00DF54C9"/>
    <w:rPr>
      <w:rFonts w:ascii="Garamond" w:hAnsi="Garamond"/>
      <w:lang w:eastAsia="en-US"/>
    </w:rPr>
  </w:style>
  <w:style w:type="character" w:styleId="FootnoteReference">
    <w:name w:val="footnote reference"/>
    <w:basedOn w:val="DefaultParagraphFont"/>
    <w:locked/>
    <w:rsid w:val="00DF54C9"/>
    <w:rPr>
      <w:vertAlign w:val="superscript"/>
    </w:rPr>
  </w:style>
  <w:style w:type="paragraph" w:styleId="Index3">
    <w:name w:val="index 3"/>
    <w:basedOn w:val="Normal"/>
    <w:next w:val="Normal"/>
    <w:autoRedefine/>
    <w:rsid w:val="00DF54C9"/>
    <w:pPr>
      <w:spacing w:after="0"/>
      <w:ind w:left="660" w:hanging="220"/>
    </w:pPr>
    <w:rPr>
      <w:rFonts w:asciiTheme="minorHAnsi" w:hAnsiTheme="minorHAnsi" w:cstheme="minorHAnsi"/>
      <w:sz w:val="18"/>
      <w:szCs w:val="18"/>
    </w:rPr>
  </w:style>
  <w:style w:type="paragraph" w:styleId="Index4">
    <w:name w:val="index 4"/>
    <w:basedOn w:val="Normal"/>
    <w:next w:val="Normal"/>
    <w:autoRedefine/>
    <w:rsid w:val="00DF54C9"/>
    <w:pPr>
      <w:spacing w:after="0"/>
      <w:ind w:left="880" w:hanging="220"/>
    </w:pPr>
    <w:rPr>
      <w:rFonts w:asciiTheme="minorHAnsi" w:hAnsiTheme="minorHAnsi" w:cstheme="minorHAnsi"/>
      <w:sz w:val="18"/>
      <w:szCs w:val="18"/>
    </w:rPr>
  </w:style>
  <w:style w:type="paragraph" w:styleId="Index5">
    <w:name w:val="index 5"/>
    <w:basedOn w:val="Normal"/>
    <w:next w:val="Normal"/>
    <w:autoRedefine/>
    <w:rsid w:val="00DF54C9"/>
    <w:pPr>
      <w:spacing w:after="0"/>
      <w:ind w:left="1100" w:hanging="220"/>
    </w:pPr>
    <w:rPr>
      <w:rFonts w:asciiTheme="minorHAnsi" w:hAnsiTheme="minorHAnsi" w:cstheme="minorHAnsi"/>
      <w:sz w:val="18"/>
      <w:szCs w:val="18"/>
    </w:rPr>
  </w:style>
  <w:style w:type="paragraph" w:styleId="Index6">
    <w:name w:val="index 6"/>
    <w:basedOn w:val="Normal"/>
    <w:next w:val="Normal"/>
    <w:autoRedefine/>
    <w:locked/>
    <w:rsid w:val="00DF54C9"/>
    <w:pPr>
      <w:spacing w:after="0"/>
      <w:ind w:left="1320" w:hanging="220"/>
    </w:pPr>
    <w:rPr>
      <w:rFonts w:asciiTheme="minorHAnsi" w:hAnsiTheme="minorHAnsi" w:cstheme="minorHAnsi"/>
      <w:sz w:val="18"/>
      <w:szCs w:val="18"/>
    </w:rPr>
  </w:style>
  <w:style w:type="paragraph" w:styleId="Index7">
    <w:name w:val="index 7"/>
    <w:basedOn w:val="Normal"/>
    <w:next w:val="Normal"/>
    <w:autoRedefine/>
    <w:locked/>
    <w:rsid w:val="00DF54C9"/>
    <w:pPr>
      <w:spacing w:after="0"/>
      <w:ind w:left="1540" w:hanging="220"/>
    </w:pPr>
    <w:rPr>
      <w:rFonts w:asciiTheme="minorHAnsi" w:hAnsiTheme="minorHAnsi" w:cstheme="minorHAnsi"/>
      <w:sz w:val="18"/>
      <w:szCs w:val="18"/>
    </w:rPr>
  </w:style>
  <w:style w:type="paragraph" w:styleId="Index8">
    <w:name w:val="index 8"/>
    <w:basedOn w:val="Normal"/>
    <w:next w:val="Normal"/>
    <w:autoRedefine/>
    <w:locked/>
    <w:rsid w:val="00DF54C9"/>
    <w:pPr>
      <w:spacing w:after="0"/>
      <w:ind w:left="1760" w:hanging="220"/>
    </w:pPr>
    <w:rPr>
      <w:rFonts w:asciiTheme="minorHAnsi" w:hAnsiTheme="minorHAnsi" w:cstheme="minorHAnsi"/>
      <w:sz w:val="18"/>
      <w:szCs w:val="18"/>
    </w:rPr>
  </w:style>
  <w:style w:type="paragraph" w:styleId="Index9">
    <w:name w:val="index 9"/>
    <w:basedOn w:val="Normal"/>
    <w:next w:val="Normal"/>
    <w:autoRedefine/>
    <w:locked/>
    <w:rsid w:val="00DF54C9"/>
    <w:pPr>
      <w:spacing w:after="0"/>
      <w:ind w:left="1980" w:hanging="220"/>
    </w:pPr>
    <w:rPr>
      <w:rFonts w:asciiTheme="minorHAnsi" w:hAnsiTheme="minorHAnsi" w:cstheme="minorHAnsi"/>
      <w:sz w:val="18"/>
      <w:szCs w:val="18"/>
    </w:rPr>
  </w:style>
  <w:style w:type="paragraph" w:customStyle="1" w:styleId="HighlightBoxDash">
    <w:name w:val="Highlight Box Dash"/>
    <w:basedOn w:val="HighlightBoxBullet"/>
    <w:qFormat/>
    <w:rsid w:val="00DF54C9"/>
    <w:pPr>
      <w:numPr>
        <w:numId w:val="0"/>
      </w:numPr>
      <w:tabs>
        <w:tab w:val="left" w:pos="360"/>
      </w:tabs>
      <w:ind w:left="720" w:hanging="720"/>
    </w:pPr>
  </w:style>
  <w:style w:type="character" w:customStyle="1" w:styleId="ChartheadingChar">
    <w:name w:val="Chart heading Char"/>
    <w:link w:val="Chartheading"/>
    <w:locked/>
    <w:rsid w:val="00DF54C9"/>
    <w:rPr>
      <w:rFonts w:ascii="Calibri" w:hAnsi="Calibri"/>
      <w:b/>
      <w:sz w:val="22"/>
      <w:lang w:eastAsia="en-US"/>
    </w:rPr>
  </w:style>
  <w:style w:type="character" w:customStyle="1" w:styleId="HeaderChar">
    <w:name w:val="Header Char"/>
    <w:basedOn w:val="DefaultParagraphFont"/>
    <w:link w:val="Header"/>
    <w:rsid w:val="00DF54C9"/>
    <w:rPr>
      <w:rFonts w:ascii="Calibri" w:hAnsi="Calibri"/>
      <w:szCs w:val="18"/>
      <w:lang w:eastAsia="en-US"/>
    </w:rPr>
  </w:style>
  <w:style w:type="paragraph" w:customStyle="1" w:styleId="TableTextCentred0">
    <w:name w:val="Table Text Centred"/>
    <w:basedOn w:val="Tabletext"/>
    <w:rsid w:val="00DF54C9"/>
    <w:pPr>
      <w:ind w:left="0" w:firstLine="0"/>
      <w:jc w:val="center"/>
    </w:pPr>
    <w:rPr>
      <w:sz w:val="22"/>
    </w:rPr>
  </w:style>
  <w:style w:type="paragraph" w:customStyle="1" w:styleId="TabletextheadingCentred0">
    <w:name w:val="Table text heading Centred"/>
    <w:basedOn w:val="Tabletextheading"/>
    <w:link w:val="TabletextheadingCentredChar"/>
    <w:rsid w:val="00DF54C9"/>
    <w:pPr>
      <w:jc w:val="center"/>
    </w:pPr>
    <w:rPr>
      <w:sz w:val="22"/>
    </w:rPr>
  </w:style>
  <w:style w:type="character" w:customStyle="1" w:styleId="TabletextheadingCentredChar">
    <w:name w:val="Table text heading Centred Char"/>
    <w:link w:val="TabletextheadingCentred0"/>
    <w:locked/>
    <w:rsid w:val="00DF54C9"/>
    <w:rPr>
      <w:rFonts w:ascii="Calibri" w:hAnsi="Calibri"/>
      <w:i/>
      <w:sz w:val="22"/>
      <w:szCs w:val="18"/>
      <w:lang w:eastAsia="en-US"/>
    </w:rPr>
  </w:style>
  <w:style w:type="character" w:customStyle="1" w:styleId="OGNotesChar">
    <w:name w:val="OGNotes Char"/>
    <w:link w:val="OGNotes"/>
    <w:rsid w:val="00DF54C9"/>
    <w:rPr>
      <w:rFonts w:ascii="Calibri" w:hAnsi="Calibri"/>
      <w:i/>
      <w:sz w:val="15"/>
    </w:rPr>
  </w:style>
  <w:style w:type="character" w:styleId="PlaceholderText">
    <w:name w:val="Placeholder Text"/>
    <w:basedOn w:val="DefaultParagraphFont"/>
    <w:uiPriority w:val="99"/>
    <w:semiHidden/>
    <w:rsid w:val="00DF54C9"/>
    <w:rPr>
      <w:color w:val="808080"/>
    </w:rPr>
  </w:style>
  <w:style w:type="paragraph" w:customStyle="1" w:styleId="Bullet1">
    <w:name w:val="Bullet 1"/>
    <w:basedOn w:val="Normal"/>
    <w:qFormat/>
    <w:rsid w:val="00DF54C9"/>
    <w:pPr>
      <w:numPr>
        <w:numId w:val="7"/>
      </w:numPr>
      <w:spacing w:after="90"/>
    </w:pPr>
    <w:rPr>
      <w:rFonts w:ascii="Calibri" w:hAnsi="Calibri" w:cs="Arial"/>
      <w:sz w:val="24"/>
      <w:szCs w:val="24"/>
      <w:lang w:eastAsia="en-AU"/>
    </w:rPr>
  </w:style>
  <w:style w:type="paragraph" w:customStyle="1" w:styleId="Bullet2">
    <w:name w:val="Bullet 2"/>
    <w:basedOn w:val="Normal"/>
    <w:qFormat/>
    <w:rsid w:val="00DF54C9"/>
    <w:pPr>
      <w:numPr>
        <w:ilvl w:val="1"/>
        <w:numId w:val="7"/>
      </w:numPr>
      <w:spacing w:before="60" w:after="60"/>
    </w:pPr>
    <w:rPr>
      <w:rFonts w:ascii="Calibri" w:hAnsi="Calibri"/>
      <w:sz w:val="24"/>
      <w:szCs w:val="24"/>
      <w:lang w:eastAsia="en-AU"/>
    </w:rPr>
  </w:style>
  <w:style w:type="paragraph" w:customStyle="1" w:styleId="Bullet3">
    <w:name w:val="Bullet 3"/>
    <w:basedOn w:val="Normal"/>
    <w:qFormat/>
    <w:rsid w:val="00DF54C9"/>
    <w:pPr>
      <w:numPr>
        <w:ilvl w:val="2"/>
        <w:numId w:val="7"/>
      </w:numPr>
      <w:spacing w:before="60" w:after="60"/>
    </w:pPr>
    <w:rPr>
      <w:rFonts w:ascii="Calibri" w:hAnsi="Calibri"/>
      <w:sz w:val="24"/>
      <w:szCs w:val="24"/>
      <w:lang w:eastAsia="en-AU"/>
    </w:rPr>
  </w:style>
  <w:style w:type="paragraph" w:styleId="NormalWeb">
    <w:name w:val="Normal (Web)"/>
    <w:basedOn w:val="Normal"/>
    <w:uiPriority w:val="99"/>
    <w:locked/>
    <w:rsid w:val="0012158C"/>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6" w:locked="1"/>
    <w:lsdException w:name="index 7" w:locked="1"/>
    <w:lsdException w:name="index 8" w:locked="1"/>
    <w:lsdException w:name="index 9" w:locked="1"/>
    <w:lsdException w:name="toc 1" w:uiPriority="39"/>
    <w:lsdException w:name="toc 2" w:uiPriority="39"/>
    <w:lsdException w:name="toc 6" w:locked="1"/>
    <w:lsdException w:name="toc 7" w:locked="1"/>
    <w:lsdException w:name="toc 8" w:locked="1"/>
    <w:lsdException w:name="toc 9" w:locked="1"/>
    <w:lsdException w:name="Normal Indent" w:locked="1"/>
    <w:lsdException w:name="footnote text" w:locked="1"/>
    <w:lsdException w:name="annotation text" w:locked="1" w:uiPriority="99"/>
    <w:lsdException w:name="caption" w:locked="1" w:semiHidden="1" w:unhideWhenUsed="1" w:qFormat="1"/>
    <w:lsdException w:name="table of figures" w:qFormat="1"/>
    <w:lsdException w:name="envelope address" w:locked="1"/>
    <w:lsdException w:name="envelope return" w:locked="1"/>
    <w:lsdException w:name="footnote reference" w:locked="1"/>
    <w:lsdException w:name="annotation reference" w:locked="1" w:uiPriority="99"/>
    <w:lsdException w:name="lin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lsdException w:name="Salutation" w:locked="1"/>
    <w:lsdException w:name="Date" w:locked="1"/>
    <w:lsdException w:name="Body Text First Indent" w:locked="1"/>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locked="1"/>
    <w:lsdException w:name="Emphasis" w:locked="1"/>
    <w:lsdException w:name="Document Map" w:locked="1"/>
    <w:lsdException w:name="Plain Text" w:locked="1"/>
    <w:lsdException w:name="E-mail Signature"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No List"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074C4D"/>
    <w:pPr>
      <w:spacing w:after="120"/>
    </w:pPr>
    <w:rPr>
      <w:rFonts w:ascii="Garamond" w:hAnsi="Garamond"/>
      <w:sz w:val="22"/>
      <w:lang w:eastAsia="en-US"/>
    </w:rPr>
  </w:style>
  <w:style w:type="paragraph" w:styleId="Heading1">
    <w:name w:val="heading 1"/>
    <w:basedOn w:val="Normal"/>
    <w:next w:val="Normal"/>
    <w:link w:val="Heading1Char"/>
    <w:qFormat/>
    <w:rsid w:val="00397F02"/>
    <w:pPr>
      <w:keepNext/>
      <w:spacing w:before="360"/>
      <w:outlineLvl w:val="0"/>
    </w:pPr>
    <w:rPr>
      <w:rFonts w:ascii="Calibri" w:hAnsi="Calibri"/>
      <w:b/>
      <w:caps/>
      <w:sz w:val="26"/>
      <w:szCs w:val="22"/>
    </w:rPr>
  </w:style>
  <w:style w:type="paragraph" w:styleId="Heading2">
    <w:name w:val="heading 2"/>
    <w:basedOn w:val="Normal"/>
    <w:next w:val="Normal"/>
    <w:link w:val="Heading2Char"/>
    <w:qFormat/>
    <w:rsid w:val="00397F02"/>
    <w:pPr>
      <w:keepNext/>
      <w:spacing w:before="240"/>
      <w:outlineLvl w:val="1"/>
    </w:pPr>
    <w:rPr>
      <w:rFonts w:ascii="Calibri" w:hAnsi="Calibri"/>
      <w:b/>
      <w:kern w:val="28"/>
      <w:sz w:val="26"/>
      <w:szCs w:val="22"/>
    </w:rPr>
  </w:style>
  <w:style w:type="paragraph" w:styleId="Heading3">
    <w:name w:val="heading 3"/>
    <w:basedOn w:val="Normal"/>
    <w:next w:val="Normal"/>
    <w:link w:val="Heading3Char"/>
    <w:qFormat/>
    <w:rsid w:val="00397F02"/>
    <w:pPr>
      <w:keepNext/>
      <w:spacing w:before="240"/>
      <w:outlineLvl w:val="2"/>
    </w:pPr>
    <w:rPr>
      <w:rFonts w:ascii="Calibri" w:hAnsi="Calibri"/>
      <w:b/>
      <w:i/>
      <w:kern w:val="28"/>
      <w:sz w:val="24"/>
      <w:szCs w:val="22"/>
    </w:rPr>
  </w:style>
  <w:style w:type="paragraph" w:styleId="Heading4">
    <w:name w:val="heading 4"/>
    <w:basedOn w:val="Normal"/>
    <w:next w:val="Normal"/>
    <w:link w:val="Heading4Char"/>
    <w:qFormat/>
    <w:rsid w:val="00397F02"/>
    <w:pPr>
      <w:keepNext/>
      <w:spacing w:before="240"/>
      <w:outlineLvl w:val="3"/>
    </w:pPr>
    <w:rPr>
      <w:rFonts w:ascii="Calibri" w:hAnsi="Calibri"/>
      <w:i/>
      <w:sz w:val="24"/>
      <w:szCs w:val="22"/>
    </w:rPr>
  </w:style>
  <w:style w:type="paragraph" w:styleId="Heading5">
    <w:name w:val="heading 5"/>
    <w:basedOn w:val="Normal"/>
    <w:next w:val="Normal"/>
    <w:link w:val="Heading5Char"/>
    <w:qFormat/>
    <w:rsid w:val="00F14A31"/>
    <w:pPr>
      <w:keepNext/>
      <w:tabs>
        <w:tab w:val="left" w:pos="504"/>
      </w:tabs>
      <w:spacing w:before="120" w:after="60"/>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llion">
    <w:name w:val="$million"/>
    <w:basedOn w:val="Normal"/>
    <w:link w:val="millionChar"/>
    <w:qFormat/>
    <w:rsid w:val="00A831CC"/>
    <w:pPr>
      <w:spacing w:after="0"/>
      <w:jc w:val="center"/>
    </w:pPr>
    <w:rPr>
      <w:rFonts w:ascii="Calibri" w:hAnsi="Calibri"/>
      <w:i/>
      <w:sz w:val="18"/>
      <w:szCs w:val="18"/>
    </w:rPr>
  </w:style>
  <w:style w:type="paragraph" w:styleId="TableofFigures">
    <w:name w:val="table of figures"/>
    <w:basedOn w:val="Normal"/>
    <w:next w:val="Normal"/>
    <w:link w:val="TableofFiguresChar"/>
    <w:qFormat/>
    <w:rsid w:val="00397F02"/>
    <w:pPr>
      <w:spacing w:after="0"/>
      <w:jc w:val="right"/>
    </w:pPr>
    <w:rPr>
      <w:rFonts w:ascii="Calibri" w:hAnsi="Calibri"/>
      <w:sz w:val="20"/>
      <w:szCs w:val="18"/>
    </w:rPr>
  </w:style>
  <w:style w:type="character" w:customStyle="1" w:styleId="TableofFiguresChar">
    <w:name w:val="Table of Figures Char"/>
    <w:link w:val="TableofFigures"/>
    <w:rsid w:val="00A14E0E"/>
    <w:rPr>
      <w:rFonts w:ascii="Calibri" w:hAnsi="Calibri"/>
      <w:szCs w:val="18"/>
      <w:lang w:val="en-AU" w:eastAsia="en-US" w:bidi="ar-SA"/>
    </w:rPr>
  </w:style>
  <w:style w:type="paragraph" w:customStyle="1" w:styleId="BP4Figures">
    <w:name w:val="BP4 Figures"/>
    <w:basedOn w:val="TableofFigures"/>
    <w:rsid w:val="0059636A"/>
    <w:pPr>
      <w:spacing w:after="30"/>
    </w:pPr>
    <w:rPr>
      <w:sz w:val="18"/>
    </w:rPr>
  </w:style>
  <w:style w:type="paragraph" w:customStyle="1" w:styleId="Tabletextheading">
    <w:name w:val="Table text heading"/>
    <w:basedOn w:val="TableofFigures"/>
    <w:link w:val="TabletextheadingChar"/>
    <w:qFormat/>
    <w:rsid w:val="00A831CC"/>
    <w:rPr>
      <w:i/>
    </w:rPr>
  </w:style>
  <w:style w:type="paragraph" w:customStyle="1" w:styleId="BP4headingr">
    <w:name w:val="BP4 heading r"/>
    <w:basedOn w:val="Tabletextheading"/>
    <w:rsid w:val="00817BD7"/>
    <w:rPr>
      <w:sz w:val="18"/>
    </w:rPr>
  </w:style>
  <w:style w:type="paragraph" w:customStyle="1" w:styleId="BP4headingl">
    <w:name w:val="BP4 heading l"/>
    <w:basedOn w:val="BP4headingr"/>
    <w:rsid w:val="00817BD7"/>
    <w:pPr>
      <w:jc w:val="left"/>
    </w:pPr>
  </w:style>
  <w:style w:type="paragraph" w:customStyle="1" w:styleId="Tabletext">
    <w:name w:val="Table text"/>
    <w:basedOn w:val="TableofFigures"/>
    <w:link w:val="TabletextChar"/>
    <w:qFormat/>
    <w:rsid w:val="00A831CC"/>
    <w:pPr>
      <w:ind w:left="180" w:hanging="180"/>
      <w:jc w:val="left"/>
    </w:pPr>
  </w:style>
  <w:style w:type="paragraph" w:customStyle="1" w:styleId="BP4tabletext">
    <w:name w:val="BP4 table text"/>
    <w:basedOn w:val="Tabletext"/>
    <w:rsid w:val="00817BD7"/>
    <w:pPr>
      <w:spacing w:after="30"/>
      <w:ind w:left="72" w:hanging="72"/>
    </w:pPr>
    <w:rPr>
      <w:sz w:val="18"/>
    </w:rPr>
  </w:style>
  <w:style w:type="paragraph" w:customStyle="1" w:styleId="Tableheading">
    <w:name w:val="Table heading"/>
    <w:basedOn w:val="Normal"/>
    <w:link w:val="TableheadingChar"/>
    <w:qFormat/>
    <w:rsid w:val="009E5D93"/>
    <w:pPr>
      <w:keepNext/>
      <w:spacing w:before="240"/>
      <w:ind w:left="1152" w:hanging="1152"/>
    </w:pPr>
    <w:rPr>
      <w:rFonts w:ascii="Calibri" w:hAnsi="Calibri"/>
      <w:b/>
    </w:rPr>
  </w:style>
  <w:style w:type="table" w:styleId="TableGrid">
    <w:name w:val="Table Grid"/>
    <w:basedOn w:val="TableNormal"/>
    <w:locked/>
    <w:rsid w:val="005E17AB"/>
    <w:pPr>
      <w:spacing w:after="120"/>
      <w:jc w:val="both"/>
    </w:pPr>
    <w:rPr>
      <w:rFonts w:ascii="Calibri" w:hAnsi="Calibri"/>
    </w:rPr>
    <w:tblPr/>
  </w:style>
  <w:style w:type="paragraph" w:customStyle="1" w:styleId="BulletText">
    <w:name w:val="Bullet Text"/>
    <w:basedOn w:val="Normal"/>
    <w:link w:val="BulletTextChar"/>
    <w:qFormat/>
    <w:rsid w:val="00CB74FE"/>
    <w:pPr>
      <w:numPr>
        <w:numId w:val="4"/>
      </w:numPr>
    </w:pPr>
  </w:style>
  <w:style w:type="paragraph" w:customStyle="1" w:styleId="ChapterHeading">
    <w:name w:val="Chapter Heading"/>
    <w:basedOn w:val="Normal"/>
    <w:next w:val="Heading1"/>
    <w:qFormat/>
    <w:rsid w:val="00C75B91"/>
    <w:pPr>
      <w:keepNext/>
      <w:pBdr>
        <w:bottom w:val="single" w:sz="12" w:space="7" w:color="auto"/>
      </w:pBdr>
      <w:spacing w:before="1440" w:after="360"/>
    </w:pPr>
    <w:rPr>
      <w:rFonts w:ascii="Calibri" w:hAnsi="Calibri"/>
      <w:b/>
      <w:caps/>
      <w:sz w:val="36"/>
      <w:szCs w:val="28"/>
    </w:rPr>
  </w:style>
  <w:style w:type="paragraph" w:customStyle="1" w:styleId="Chartheading">
    <w:name w:val="Chart heading"/>
    <w:basedOn w:val="Tableheading"/>
    <w:next w:val="Normal"/>
    <w:link w:val="ChartheadingChar"/>
    <w:qFormat/>
    <w:rsid w:val="009E5D93"/>
  </w:style>
  <w:style w:type="paragraph" w:styleId="Footer">
    <w:name w:val="footer"/>
    <w:basedOn w:val="Normal"/>
    <w:link w:val="FooterChar"/>
    <w:rsid w:val="00185277"/>
    <w:pPr>
      <w:pBdr>
        <w:top w:val="single" w:sz="6" w:space="1" w:color="auto"/>
      </w:pBdr>
      <w:tabs>
        <w:tab w:val="right" w:pos="7085"/>
      </w:tabs>
    </w:pPr>
    <w:rPr>
      <w:rFonts w:ascii="Calibri" w:hAnsi="Calibri"/>
      <w:sz w:val="20"/>
      <w:szCs w:val="18"/>
    </w:rPr>
  </w:style>
  <w:style w:type="paragraph" w:styleId="Header">
    <w:name w:val="header"/>
    <w:basedOn w:val="Footer"/>
    <w:link w:val="HeaderChar"/>
    <w:rsid w:val="00561253"/>
    <w:pPr>
      <w:pBdr>
        <w:top w:val="none" w:sz="0" w:space="0" w:color="auto"/>
      </w:pBdr>
      <w:tabs>
        <w:tab w:val="clear" w:pos="7085"/>
      </w:tabs>
    </w:pPr>
  </w:style>
  <w:style w:type="paragraph" w:customStyle="1" w:styleId="Heading2Notes">
    <w:name w:val="Heading 2 Notes"/>
    <w:basedOn w:val="Heading2"/>
    <w:link w:val="Heading2NotesChar"/>
    <w:rsid w:val="003E5374"/>
    <w:pPr>
      <w:tabs>
        <w:tab w:val="left" w:pos="1152"/>
      </w:tabs>
      <w:ind w:left="1152" w:hanging="1152"/>
    </w:pPr>
  </w:style>
  <w:style w:type="paragraph" w:customStyle="1" w:styleId="Notes">
    <w:name w:val="Notes"/>
    <w:basedOn w:val="Normal"/>
    <w:link w:val="NotesChar"/>
    <w:qFormat/>
    <w:rsid w:val="00C24EC3"/>
    <w:pPr>
      <w:tabs>
        <w:tab w:val="left" w:pos="454"/>
      </w:tabs>
      <w:spacing w:after="0"/>
      <w:ind w:left="461" w:hanging="461"/>
    </w:pPr>
    <w:rPr>
      <w:rFonts w:ascii="Calibri" w:hAnsi="Calibri"/>
      <w:i/>
      <w:sz w:val="15"/>
    </w:rPr>
  </w:style>
  <w:style w:type="paragraph" w:customStyle="1" w:styleId="OGBullet">
    <w:name w:val="OGBullet"/>
    <w:basedOn w:val="Normal"/>
    <w:rsid w:val="00397F02"/>
    <w:pPr>
      <w:numPr>
        <w:numId w:val="1"/>
      </w:numPr>
    </w:pPr>
    <w:rPr>
      <w:rFonts w:ascii="Calibri" w:hAnsi="Calibri"/>
      <w:sz w:val="20"/>
      <w:szCs w:val="18"/>
    </w:rPr>
  </w:style>
  <w:style w:type="paragraph" w:customStyle="1" w:styleId="OGHeading1">
    <w:name w:val="OGHeading1"/>
    <w:basedOn w:val="Normal"/>
    <w:rsid w:val="00397F02"/>
    <w:rPr>
      <w:rFonts w:ascii="Calibri" w:hAnsi="Calibri"/>
      <w:b/>
      <w:sz w:val="32"/>
      <w:szCs w:val="28"/>
    </w:rPr>
  </w:style>
  <w:style w:type="paragraph" w:customStyle="1" w:styleId="OGHeading2">
    <w:name w:val="OGHeading2"/>
    <w:basedOn w:val="Normal"/>
    <w:link w:val="OGHeading2Char"/>
    <w:rsid w:val="00397F02"/>
    <w:pPr>
      <w:keepNext/>
      <w:spacing w:before="60"/>
    </w:pPr>
    <w:rPr>
      <w:rFonts w:ascii="Calibri" w:hAnsi="Calibri"/>
      <w:b/>
      <w:sz w:val="28"/>
      <w:szCs w:val="24"/>
    </w:rPr>
  </w:style>
  <w:style w:type="character" w:customStyle="1" w:styleId="OGHeading2Char">
    <w:name w:val="OGHeading2 Char"/>
    <w:link w:val="OGHeading2"/>
    <w:rsid w:val="00A14E0E"/>
    <w:rPr>
      <w:rFonts w:ascii="Calibri" w:hAnsi="Calibri"/>
      <w:b/>
      <w:sz w:val="28"/>
      <w:szCs w:val="24"/>
      <w:lang w:val="en-AU" w:eastAsia="en-US" w:bidi="ar-SA"/>
    </w:rPr>
  </w:style>
  <w:style w:type="paragraph" w:customStyle="1" w:styleId="OGTabHead">
    <w:name w:val="OGTabHead"/>
    <w:basedOn w:val="Normal"/>
    <w:rsid w:val="00882953"/>
    <w:pPr>
      <w:keepNext/>
      <w:keepLines/>
      <w:spacing w:before="30" w:after="30"/>
    </w:pPr>
    <w:rPr>
      <w:rFonts w:ascii="Calibri" w:hAnsi="Calibri"/>
      <w:i/>
      <w:sz w:val="20"/>
      <w:szCs w:val="18"/>
    </w:rPr>
  </w:style>
  <w:style w:type="paragraph" w:customStyle="1" w:styleId="OGTabText">
    <w:name w:val="OGTabText"/>
    <w:basedOn w:val="Normal"/>
    <w:link w:val="OGTabTextChar"/>
    <w:rsid w:val="00882953"/>
    <w:pPr>
      <w:spacing w:before="30" w:after="30"/>
      <w:ind w:left="144"/>
    </w:pPr>
    <w:rPr>
      <w:rFonts w:ascii="Calibri" w:hAnsi="Calibri"/>
      <w:sz w:val="20"/>
      <w:szCs w:val="18"/>
    </w:rPr>
  </w:style>
  <w:style w:type="character" w:customStyle="1" w:styleId="OGTabTextChar">
    <w:name w:val="OGTabText Char"/>
    <w:link w:val="OGTabText"/>
    <w:rsid w:val="00A14E0E"/>
    <w:rPr>
      <w:rFonts w:ascii="Calibri" w:hAnsi="Calibri"/>
      <w:szCs w:val="18"/>
      <w:lang w:val="en-AU" w:eastAsia="en-US" w:bidi="ar-SA"/>
    </w:rPr>
  </w:style>
  <w:style w:type="paragraph" w:customStyle="1" w:styleId="OGText">
    <w:name w:val="OGText"/>
    <w:basedOn w:val="Normal"/>
    <w:link w:val="OGTextChar"/>
    <w:rsid w:val="00882953"/>
    <w:pPr>
      <w:keepNext/>
      <w:spacing w:before="40"/>
    </w:pPr>
    <w:rPr>
      <w:rFonts w:ascii="Calibri" w:hAnsi="Calibri"/>
      <w:sz w:val="20"/>
      <w:szCs w:val="18"/>
    </w:rPr>
  </w:style>
  <w:style w:type="character" w:customStyle="1" w:styleId="OGTextChar">
    <w:name w:val="OGText Char"/>
    <w:link w:val="OGText"/>
    <w:rsid w:val="00A14E0E"/>
    <w:rPr>
      <w:rFonts w:ascii="Calibri" w:hAnsi="Calibri"/>
      <w:szCs w:val="18"/>
      <w:lang w:val="en-AU" w:eastAsia="en-US" w:bidi="ar-SA"/>
    </w:rPr>
  </w:style>
  <w:style w:type="character" w:styleId="PageNumber">
    <w:name w:val="page number"/>
    <w:rsid w:val="00185277"/>
    <w:rPr>
      <w:rFonts w:ascii="Calibri" w:hAnsi="Calibri"/>
      <w:sz w:val="20"/>
    </w:rPr>
  </w:style>
  <w:style w:type="paragraph" w:customStyle="1" w:styleId="Source">
    <w:name w:val="Source"/>
    <w:basedOn w:val="Normal"/>
    <w:next w:val="Normal"/>
    <w:link w:val="SourceChar"/>
    <w:qFormat/>
    <w:locked/>
    <w:rsid w:val="00C24EC3"/>
    <w:rPr>
      <w:rFonts w:ascii="Calibri" w:hAnsi="Calibri"/>
      <w:i/>
      <w:sz w:val="15"/>
    </w:rPr>
  </w:style>
  <w:style w:type="paragraph" w:customStyle="1" w:styleId="TableofContentsheading">
    <w:name w:val="Table of Contents heading"/>
    <w:basedOn w:val="ChapterHeading"/>
    <w:next w:val="Normal"/>
    <w:rsid w:val="00DF54C9"/>
  </w:style>
  <w:style w:type="paragraph" w:customStyle="1" w:styleId="Heading2NotesContd">
    <w:name w:val="Heading 2 Notes Cont'd"/>
    <w:basedOn w:val="Heading2Notes"/>
    <w:link w:val="Heading2NotesContdChar"/>
    <w:rsid w:val="002E5C62"/>
  </w:style>
  <w:style w:type="paragraph" w:customStyle="1" w:styleId="HighlightBoxBullet">
    <w:name w:val="Highlight Box Bullet"/>
    <w:basedOn w:val="Normal"/>
    <w:qFormat/>
    <w:rsid w:val="00100FCC"/>
    <w:pPr>
      <w:numPr>
        <w:numId w:val="2"/>
      </w:numPr>
      <w:shd w:val="pct10" w:color="auto" w:fill="FFFFFF"/>
      <w:tabs>
        <w:tab w:val="clear" w:pos="90"/>
        <w:tab w:val="num" w:pos="360"/>
      </w:tabs>
      <w:ind w:left="360" w:right="43"/>
    </w:pPr>
  </w:style>
  <w:style w:type="paragraph" w:styleId="TOC1">
    <w:name w:val="toc 1"/>
    <w:basedOn w:val="Normal"/>
    <w:next w:val="Normal"/>
    <w:uiPriority w:val="39"/>
    <w:rsid w:val="00BF2190"/>
    <w:pPr>
      <w:tabs>
        <w:tab w:val="right" w:leader="dot" w:pos="7830"/>
      </w:tabs>
      <w:spacing w:before="40" w:after="40"/>
      <w:ind w:right="422"/>
    </w:pPr>
    <w:rPr>
      <w:rFonts w:ascii="Calibri" w:hAnsi="Calibri"/>
      <w:b/>
      <w:sz w:val="24"/>
    </w:rPr>
  </w:style>
  <w:style w:type="paragraph" w:styleId="TOC2">
    <w:name w:val="toc 2"/>
    <w:basedOn w:val="Normal"/>
    <w:next w:val="Normal"/>
    <w:uiPriority w:val="39"/>
    <w:rsid w:val="00C72AF4"/>
    <w:pPr>
      <w:tabs>
        <w:tab w:val="right" w:leader="dot" w:pos="7830"/>
      </w:tabs>
      <w:spacing w:after="0"/>
      <w:ind w:left="288" w:right="422"/>
    </w:pPr>
    <w:rPr>
      <w:rFonts w:ascii="Calibri" w:hAnsi="Calibri"/>
      <w:sz w:val="20"/>
    </w:rPr>
  </w:style>
  <w:style w:type="paragraph" w:styleId="TOC3">
    <w:name w:val="toc 3"/>
    <w:basedOn w:val="Normal"/>
    <w:next w:val="Normal"/>
    <w:rsid w:val="00C72AF4"/>
    <w:pPr>
      <w:tabs>
        <w:tab w:val="right" w:leader="dot" w:pos="7830"/>
      </w:tabs>
      <w:spacing w:after="0"/>
      <w:ind w:left="432" w:right="422"/>
    </w:pPr>
    <w:rPr>
      <w:rFonts w:ascii="Calibri" w:hAnsi="Calibri"/>
      <w:i/>
      <w:sz w:val="20"/>
    </w:rPr>
  </w:style>
  <w:style w:type="paragraph" w:styleId="TOC4">
    <w:name w:val="toc 4"/>
    <w:basedOn w:val="TOC1"/>
    <w:next w:val="Normal"/>
    <w:rsid w:val="00910D2B"/>
    <w:pPr>
      <w:spacing w:after="0"/>
      <w:ind w:left="1152" w:hanging="1152"/>
    </w:pPr>
    <w:rPr>
      <w:b w:val="0"/>
      <w:noProof/>
      <w:sz w:val="20"/>
    </w:rPr>
  </w:style>
  <w:style w:type="paragraph" w:styleId="TOC5">
    <w:name w:val="toc 5"/>
    <w:basedOn w:val="TOC1"/>
    <w:next w:val="Normal"/>
    <w:rsid w:val="00910D2B"/>
    <w:rPr>
      <w:b w:val="0"/>
      <w:sz w:val="20"/>
    </w:rPr>
  </w:style>
  <w:style w:type="paragraph" w:customStyle="1" w:styleId="Tableheadingcontinued">
    <w:name w:val="Table heading continued"/>
    <w:basedOn w:val="Tableheading"/>
    <w:rsid w:val="002E5C62"/>
  </w:style>
  <w:style w:type="paragraph" w:customStyle="1" w:styleId="Tabletextcentred">
    <w:name w:val="Table text centred"/>
    <w:basedOn w:val="Tabletext"/>
    <w:rsid w:val="00784F64"/>
    <w:pPr>
      <w:ind w:left="0" w:firstLine="0"/>
      <w:jc w:val="center"/>
    </w:pPr>
  </w:style>
  <w:style w:type="paragraph" w:customStyle="1" w:styleId="Heading3Numbering">
    <w:name w:val="Heading 3 Numbering"/>
    <w:basedOn w:val="Heading3"/>
    <w:link w:val="Heading3NumberingChar"/>
    <w:rsid w:val="004C767D"/>
    <w:pPr>
      <w:numPr>
        <w:numId w:val="3"/>
      </w:numPr>
      <w:tabs>
        <w:tab w:val="clear" w:pos="720"/>
        <w:tab w:val="left" w:pos="504"/>
      </w:tabs>
      <w:ind w:left="504" w:hanging="504"/>
    </w:pPr>
  </w:style>
  <w:style w:type="paragraph" w:customStyle="1" w:styleId="Heading5a">
    <w:name w:val="Heading 5a"/>
    <w:basedOn w:val="Heading5"/>
    <w:rsid w:val="00641E21"/>
    <w:pPr>
      <w:tabs>
        <w:tab w:val="clear" w:pos="504"/>
      </w:tabs>
    </w:pPr>
    <w:rPr>
      <w:b w:val="0"/>
      <w:i/>
      <w:sz w:val="21"/>
    </w:rPr>
  </w:style>
  <w:style w:type="character" w:customStyle="1" w:styleId="OGTabBulletChar">
    <w:name w:val="OGTabBullet Char"/>
    <w:link w:val="OGTabBullet"/>
    <w:rsid w:val="00667796"/>
    <w:rPr>
      <w:rFonts w:ascii="Calibri" w:hAnsi="Calibri"/>
      <w:szCs w:val="18"/>
    </w:rPr>
  </w:style>
  <w:style w:type="paragraph" w:customStyle="1" w:styleId="OGTabBullet">
    <w:name w:val="OGTabBullet"/>
    <w:basedOn w:val="OGBullet"/>
    <w:link w:val="OGTabBulletChar"/>
    <w:rsid w:val="00667796"/>
    <w:pPr>
      <w:tabs>
        <w:tab w:val="clear" w:pos="360"/>
        <w:tab w:val="left" w:pos="604"/>
      </w:tabs>
      <w:spacing w:before="30" w:after="30"/>
      <w:ind w:left="605"/>
    </w:pPr>
    <w:rPr>
      <w:lang w:eastAsia="en-AU"/>
    </w:rPr>
  </w:style>
  <w:style w:type="paragraph" w:customStyle="1" w:styleId="Heading2NotesQtrly">
    <w:name w:val="Heading 2 Notes Qtrly"/>
    <w:basedOn w:val="Heading2Notes"/>
    <w:rsid w:val="005142C4"/>
  </w:style>
  <w:style w:type="paragraph" w:customStyle="1" w:styleId="OGUoM">
    <w:name w:val="OGUoM"/>
    <w:basedOn w:val="Tabletextcentred"/>
    <w:rsid w:val="00882953"/>
    <w:pPr>
      <w:spacing w:before="30" w:after="30"/>
    </w:pPr>
  </w:style>
  <w:style w:type="paragraph" w:customStyle="1" w:styleId="Tabletextheadingcentred">
    <w:name w:val="Table text heading centred"/>
    <w:basedOn w:val="Tabletextheading"/>
    <w:rsid w:val="000B1B53"/>
    <w:pPr>
      <w:jc w:val="center"/>
    </w:pPr>
  </w:style>
  <w:style w:type="paragraph" w:customStyle="1" w:styleId="DashText">
    <w:name w:val="Dash Text"/>
    <w:basedOn w:val="Normal"/>
    <w:link w:val="DashTextChar"/>
    <w:qFormat/>
    <w:rsid w:val="00CB74FE"/>
    <w:pPr>
      <w:numPr>
        <w:ilvl w:val="1"/>
        <w:numId w:val="4"/>
      </w:numPr>
    </w:pPr>
  </w:style>
  <w:style w:type="paragraph" w:customStyle="1" w:styleId="OGTableofFigures">
    <w:name w:val="OGTable of Figures"/>
    <w:basedOn w:val="TableofFigures"/>
    <w:rsid w:val="00882953"/>
    <w:pPr>
      <w:spacing w:before="30" w:after="30"/>
    </w:pPr>
  </w:style>
  <w:style w:type="paragraph" w:customStyle="1" w:styleId="NotesIndent">
    <w:name w:val="NotesIndent"/>
    <w:basedOn w:val="Notes"/>
    <w:rsid w:val="009331F3"/>
    <w:pPr>
      <w:ind w:left="915"/>
    </w:pPr>
  </w:style>
  <w:style w:type="paragraph" w:customStyle="1" w:styleId="NotesDash">
    <w:name w:val="NotesDash"/>
    <w:basedOn w:val="NotesIndent"/>
    <w:rsid w:val="0086685D"/>
    <w:pPr>
      <w:numPr>
        <w:numId w:val="5"/>
      </w:numPr>
      <w:tabs>
        <w:tab w:val="clear" w:pos="454"/>
      </w:tabs>
    </w:pPr>
  </w:style>
  <w:style w:type="paragraph" w:customStyle="1" w:styleId="VersionTableText">
    <w:name w:val="VersionTableText"/>
    <w:basedOn w:val="Normal"/>
    <w:rsid w:val="00BF2190"/>
    <w:pPr>
      <w:spacing w:after="0"/>
      <w:jc w:val="center"/>
    </w:pPr>
    <w:rPr>
      <w:rFonts w:ascii="Calibri" w:hAnsi="Calibri"/>
    </w:rPr>
  </w:style>
  <w:style w:type="paragraph" w:customStyle="1" w:styleId="VAGOText">
    <w:name w:val="VAGOText"/>
    <w:basedOn w:val="Normal"/>
    <w:semiHidden/>
    <w:rsid w:val="00C14A3C"/>
    <w:pPr>
      <w:spacing w:before="120"/>
    </w:pPr>
    <w:rPr>
      <w:rFonts w:ascii="Arial" w:hAnsi="Arial" w:cs="Arial"/>
      <w:sz w:val="16"/>
      <w:szCs w:val="16"/>
    </w:rPr>
  </w:style>
  <w:style w:type="paragraph" w:customStyle="1" w:styleId="VAGOHeading2">
    <w:name w:val="VAGOHeading2"/>
    <w:basedOn w:val="Normal"/>
    <w:semiHidden/>
    <w:rsid w:val="00853954"/>
    <w:rPr>
      <w:rFonts w:ascii="Arial" w:hAnsi="Arial" w:cs="Arial"/>
      <w:b/>
      <w:sz w:val="16"/>
      <w:szCs w:val="16"/>
    </w:rPr>
  </w:style>
  <w:style w:type="paragraph" w:customStyle="1" w:styleId="VAGOHeading1">
    <w:name w:val="VAGOHeading1"/>
    <w:basedOn w:val="Normal"/>
    <w:semiHidden/>
    <w:rsid w:val="00B72182"/>
    <w:pPr>
      <w:jc w:val="center"/>
    </w:pPr>
    <w:rPr>
      <w:rFonts w:ascii="Arial" w:hAnsi="Arial" w:cs="Arial"/>
      <w:b/>
      <w:sz w:val="17"/>
      <w:szCs w:val="17"/>
    </w:rPr>
  </w:style>
  <w:style w:type="paragraph" w:customStyle="1" w:styleId="VAGOHeading3">
    <w:name w:val="VAGOHeading3"/>
    <w:basedOn w:val="VAGOHeading2"/>
    <w:semiHidden/>
    <w:rsid w:val="00853954"/>
    <w:rPr>
      <w:b w:val="0"/>
      <w:i/>
    </w:rPr>
  </w:style>
  <w:style w:type="paragraph" w:customStyle="1" w:styleId="VAGOBullet">
    <w:name w:val="VAGOBullet"/>
    <w:basedOn w:val="VAGOText"/>
    <w:semiHidden/>
    <w:rsid w:val="00C14A3C"/>
    <w:pPr>
      <w:numPr>
        <w:numId w:val="6"/>
      </w:numPr>
      <w:ind w:right="-51"/>
    </w:pPr>
    <w:rPr>
      <w:iCs/>
    </w:rPr>
  </w:style>
  <w:style w:type="paragraph" w:customStyle="1" w:styleId="Tabletextheadingleft">
    <w:name w:val="Table text heading left"/>
    <w:basedOn w:val="Tabletextheading"/>
    <w:rsid w:val="00CF5FE1"/>
    <w:pPr>
      <w:jc w:val="left"/>
    </w:pPr>
  </w:style>
  <w:style w:type="paragraph" w:customStyle="1" w:styleId="VersionTableHeading">
    <w:name w:val="VersionTableHeading"/>
    <w:basedOn w:val="Normal"/>
    <w:rsid w:val="000221B3"/>
    <w:pPr>
      <w:spacing w:after="0"/>
      <w:jc w:val="center"/>
    </w:pPr>
    <w:rPr>
      <w:rFonts w:ascii="Calibri" w:hAnsi="Calibri"/>
      <w:b/>
    </w:rPr>
  </w:style>
  <w:style w:type="paragraph" w:styleId="NormalIndent">
    <w:name w:val="Normal Indent"/>
    <w:basedOn w:val="Normal"/>
    <w:semiHidden/>
    <w:locked/>
    <w:rsid w:val="00A831CC"/>
    <w:pPr>
      <w:ind w:left="360"/>
    </w:pPr>
  </w:style>
  <w:style w:type="paragraph" w:customStyle="1" w:styleId="Tabletextindent">
    <w:name w:val="Table text indent"/>
    <w:basedOn w:val="Tabletext"/>
    <w:rsid w:val="00E24DAF"/>
    <w:pPr>
      <w:ind w:left="360" w:firstLine="0"/>
    </w:pPr>
  </w:style>
  <w:style w:type="paragraph" w:customStyle="1" w:styleId="Tabletextindent2">
    <w:name w:val="Table text indent 2"/>
    <w:basedOn w:val="Tabletextindent"/>
    <w:rsid w:val="00E24DAF"/>
    <w:pPr>
      <w:ind w:left="720"/>
    </w:pPr>
  </w:style>
  <w:style w:type="paragraph" w:customStyle="1" w:styleId="Heading3NumberingBP4">
    <w:name w:val="Heading 3 Numbering BP4"/>
    <w:basedOn w:val="Heading3Numbering"/>
    <w:semiHidden/>
    <w:rsid w:val="0046648A"/>
  </w:style>
  <w:style w:type="paragraph" w:customStyle="1" w:styleId="Chartpara">
    <w:name w:val="Chart para"/>
    <w:basedOn w:val="Normal"/>
    <w:semiHidden/>
    <w:rsid w:val="00342ECD"/>
    <w:pPr>
      <w:spacing w:after="0"/>
    </w:pPr>
  </w:style>
  <w:style w:type="paragraph" w:customStyle="1" w:styleId="OGTabColCentred">
    <w:name w:val="OGTabColCentred"/>
    <w:basedOn w:val="OGUoM"/>
    <w:rsid w:val="00061F50"/>
    <w:rPr>
      <w:b/>
      <w:lang w:eastAsia="en-AU"/>
    </w:rPr>
  </w:style>
  <w:style w:type="paragraph" w:customStyle="1" w:styleId="OGTabColRight">
    <w:name w:val="OGTabColRight"/>
    <w:basedOn w:val="OGTableofFigures"/>
    <w:rsid w:val="00A14E0E"/>
    <w:rPr>
      <w:b/>
    </w:rPr>
  </w:style>
  <w:style w:type="paragraph" w:customStyle="1" w:styleId="OGTabColLeft">
    <w:name w:val="OGTabColLeft"/>
    <w:basedOn w:val="OGTabColRight"/>
    <w:rsid w:val="00A14E0E"/>
    <w:pPr>
      <w:jc w:val="left"/>
    </w:pPr>
    <w:rPr>
      <w:lang w:eastAsia="en-AU"/>
    </w:rPr>
  </w:style>
  <w:style w:type="paragraph" w:customStyle="1" w:styleId="FrontPage">
    <w:name w:val="Front Page"/>
    <w:basedOn w:val="Normal"/>
    <w:semiHidden/>
    <w:rsid w:val="00867B50"/>
    <w:pPr>
      <w:jc w:val="center"/>
    </w:pPr>
    <w:rPr>
      <w:rFonts w:ascii="Calibri" w:hAnsi="Calibri"/>
      <w:b/>
      <w:sz w:val="52"/>
      <w:szCs w:val="52"/>
    </w:rPr>
  </w:style>
  <w:style w:type="paragraph" w:customStyle="1" w:styleId="FrontPage2">
    <w:name w:val="Front Page 2"/>
    <w:basedOn w:val="FrontPage"/>
    <w:semiHidden/>
    <w:rsid w:val="00867B50"/>
    <w:pPr>
      <w:pBdr>
        <w:bottom w:val="single" w:sz="12" w:space="1" w:color="auto"/>
      </w:pBdr>
    </w:pPr>
  </w:style>
  <w:style w:type="paragraph" w:customStyle="1" w:styleId="FrontPage3">
    <w:name w:val="Front Page 3"/>
    <w:basedOn w:val="Normal"/>
    <w:semiHidden/>
    <w:rsid w:val="00867B50"/>
    <w:pPr>
      <w:jc w:val="center"/>
    </w:pPr>
    <w:rPr>
      <w:rFonts w:ascii="Calibri" w:hAnsi="Calibri"/>
      <w:sz w:val="28"/>
      <w:szCs w:val="28"/>
    </w:rPr>
  </w:style>
  <w:style w:type="paragraph" w:customStyle="1" w:styleId="FrontPageMin">
    <w:name w:val="Front Page Min"/>
    <w:basedOn w:val="Normal"/>
    <w:semiHidden/>
    <w:rsid w:val="00867B50"/>
    <w:pPr>
      <w:jc w:val="center"/>
    </w:pPr>
    <w:rPr>
      <w:rFonts w:ascii="Calibri" w:hAnsi="Calibri"/>
      <w:sz w:val="36"/>
      <w:szCs w:val="36"/>
    </w:rPr>
  </w:style>
  <w:style w:type="paragraph" w:customStyle="1" w:styleId="FrontPageHon">
    <w:name w:val="Front Page Hon"/>
    <w:basedOn w:val="Normal"/>
    <w:semiHidden/>
    <w:rsid w:val="00867B50"/>
    <w:pPr>
      <w:jc w:val="center"/>
    </w:pPr>
    <w:rPr>
      <w:rFonts w:ascii="Calibri" w:hAnsi="Calibri"/>
      <w:sz w:val="30"/>
      <w:szCs w:val="30"/>
    </w:rPr>
  </w:style>
  <w:style w:type="paragraph" w:customStyle="1" w:styleId="FrontPageBP">
    <w:name w:val="Front Page BP"/>
    <w:basedOn w:val="Normal"/>
    <w:semiHidden/>
    <w:rsid w:val="00867B50"/>
    <w:pPr>
      <w:jc w:val="center"/>
    </w:pPr>
    <w:rPr>
      <w:rFonts w:ascii="Calibri" w:hAnsi="Calibri"/>
      <w:b/>
      <w:sz w:val="32"/>
      <w:szCs w:val="32"/>
    </w:rPr>
  </w:style>
  <w:style w:type="paragraph" w:styleId="Index1">
    <w:name w:val="index 1"/>
    <w:basedOn w:val="Normal"/>
    <w:next w:val="Normal"/>
    <w:autoRedefine/>
    <w:semiHidden/>
    <w:rsid w:val="001C1EAD"/>
    <w:pPr>
      <w:spacing w:after="0"/>
      <w:ind w:left="220" w:hanging="220"/>
    </w:pPr>
    <w:rPr>
      <w:sz w:val="18"/>
      <w:szCs w:val="18"/>
    </w:rPr>
  </w:style>
  <w:style w:type="paragraph" w:customStyle="1" w:styleId="OGNotes">
    <w:name w:val="OGNotes"/>
    <w:basedOn w:val="NotesIndent"/>
    <w:link w:val="OGNotesChar"/>
    <w:rsid w:val="00C24EC3"/>
    <w:pPr>
      <w:tabs>
        <w:tab w:val="clear" w:pos="454"/>
      </w:tabs>
      <w:spacing w:after="60"/>
      <w:ind w:left="360" w:right="115" w:firstLine="0"/>
    </w:pPr>
    <w:rPr>
      <w:lang w:eastAsia="en-AU"/>
    </w:rPr>
  </w:style>
  <w:style w:type="paragraph" w:customStyle="1" w:styleId="OGNotesIndent">
    <w:name w:val="OGNotesIndent"/>
    <w:basedOn w:val="OGNotes"/>
    <w:rsid w:val="001C0D0F"/>
    <w:pPr>
      <w:ind w:left="720" w:hanging="360"/>
    </w:pPr>
  </w:style>
  <w:style w:type="paragraph" w:styleId="Index2">
    <w:name w:val="index 2"/>
    <w:basedOn w:val="Normal"/>
    <w:next w:val="Normal"/>
    <w:autoRedefine/>
    <w:semiHidden/>
    <w:rsid w:val="001C1EAD"/>
    <w:pPr>
      <w:spacing w:after="0"/>
      <w:ind w:left="440" w:hanging="220"/>
    </w:pPr>
    <w:rPr>
      <w:sz w:val="18"/>
      <w:szCs w:val="18"/>
    </w:rPr>
  </w:style>
  <w:style w:type="paragraph" w:styleId="IndexHeading">
    <w:name w:val="index heading"/>
    <w:basedOn w:val="Normal"/>
    <w:next w:val="Index1"/>
    <w:semiHidden/>
    <w:rsid w:val="001C1EAD"/>
    <w:pPr>
      <w:spacing w:before="240"/>
      <w:jc w:val="center"/>
    </w:pPr>
    <w:rPr>
      <w:b/>
      <w:bCs/>
      <w:sz w:val="26"/>
      <w:szCs w:val="26"/>
    </w:rPr>
  </w:style>
  <w:style w:type="paragraph" w:customStyle="1" w:styleId="HighlightBoxHeading">
    <w:name w:val="Highlight Box Heading"/>
    <w:basedOn w:val="HighlightBoxText"/>
    <w:qFormat/>
    <w:rsid w:val="002411D9"/>
    <w:rPr>
      <w:rFonts w:ascii="Calibri" w:hAnsi="Calibri"/>
      <w:i/>
      <w:sz w:val="21"/>
    </w:rPr>
  </w:style>
  <w:style w:type="paragraph" w:customStyle="1" w:styleId="HighlightBoxText">
    <w:name w:val="Highlight Box Text"/>
    <w:basedOn w:val="HighlightBoxBullet"/>
    <w:rsid w:val="00C24EC3"/>
    <w:pPr>
      <w:numPr>
        <w:numId w:val="0"/>
      </w:numPr>
    </w:pPr>
  </w:style>
  <w:style w:type="paragraph" w:customStyle="1" w:styleId="TableofContentscontinued">
    <w:name w:val="Table of Contents continued"/>
    <w:basedOn w:val="Normal"/>
    <w:rsid w:val="000221B3"/>
    <w:pPr>
      <w:keepNext/>
      <w:tabs>
        <w:tab w:val="left" w:pos="1152"/>
      </w:tabs>
      <w:spacing w:before="240"/>
      <w:ind w:left="1152" w:hanging="1152"/>
      <w:outlineLvl w:val="1"/>
    </w:pPr>
    <w:rPr>
      <w:rFonts w:ascii="Calibri" w:hAnsi="Calibri"/>
      <w:b/>
      <w:kern w:val="28"/>
      <w:sz w:val="26"/>
      <w:szCs w:val="22"/>
    </w:rPr>
  </w:style>
  <w:style w:type="character" w:customStyle="1" w:styleId="millionChar">
    <w:name w:val="$million Char"/>
    <w:link w:val="million"/>
    <w:rsid w:val="00571E1E"/>
    <w:rPr>
      <w:rFonts w:ascii="Calibri" w:hAnsi="Calibri"/>
      <w:i/>
      <w:sz w:val="18"/>
      <w:szCs w:val="18"/>
      <w:lang w:val="en-AU" w:eastAsia="en-US" w:bidi="ar-SA"/>
    </w:rPr>
  </w:style>
  <w:style w:type="character" w:customStyle="1" w:styleId="TabletextheadingChar">
    <w:name w:val="Table text heading Char"/>
    <w:link w:val="Tabletextheading"/>
    <w:locked/>
    <w:rsid w:val="00571E1E"/>
    <w:rPr>
      <w:rFonts w:ascii="Calibri" w:hAnsi="Calibri"/>
      <w:i/>
      <w:szCs w:val="18"/>
      <w:lang w:val="en-AU" w:eastAsia="en-US" w:bidi="ar-SA"/>
    </w:rPr>
  </w:style>
  <w:style w:type="character" w:customStyle="1" w:styleId="SourceChar">
    <w:name w:val="Source Char"/>
    <w:link w:val="Source"/>
    <w:locked/>
    <w:rsid w:val="00571E1E"/>
    <w:rPr>
      <w:rFonts w:ascii="Calibri" w:hAnsi="Calibri"/>
      <w:i/>
      <w:sz w:val="15"/>
      <w:lang w:val="en-AU" w:eastAsia="en-US" w:bidi="ar-SA"/>
    </w:rPr>
  </w:style>
  <w:style w:type="character" w:customStyle="1" w:styleId="TableheadingChar">
    <w:name w:val="Table heading Char"/>
    <w:link w:val="Tableheading"/>
    <w:locked/>
    <w:rsid w:val="00E1677A"/>
    <w:rPr>
      <w:rFonts w:ascii="Calibri" w:hAnsi="Calibri"/>
      <w:b/>
      <w:sz w:val="22"/>
      <w:lang w:eastAsia="en-US"/>
    </w:rPr>
  </w:style>
  <w:style w:type="character" w:customStyle="1" w:styleId="BulletTextChar">
    <w:name w:val="Bullet Text Char"/>
    <w:link w:val="BulletText"/>
    <w:locked/>
    <w:rsid w:val="00E1677A"/>
    <w:rPr>
      <w:rFonts w:ascii="Garamond" w:hAnsi="Garamond"/>
      <w:sz w:val="22"/>
      <w:lang w:eastAsia="en-US"/>
    </w:rPr>
  </w:style>
  <w:style w:type="character" w:customStyle="1" w:styleId="NotesChar">
    <w:name w:val="Notes Char"/>
    <w:link w:val="Notes"/>
    <w:locked/>
    <w:rsid w:val="00E1677A"/>
    <w:rPr>
      <w:rFonts w:ascii="Calibri" w:hAnsi="Calibri"/>
      <w:i/>
      <w:sz w:val="15"/>
      <w:lang w:eastAsia="en-US"/>
    </w:rPr>
  </w:style>
  <w:style w:type="paragraph" w:customStyle="1" w:styleId="Tabletextnoindent">
    <w:name w:val="Table text no indent"/>
    <w:basedOn w:val="Normal"/>
    <w:qFormat/>
    <w:rsid w:val="00E1677A"/>
    <w:pPr>
      <w:autoSpaceDE w:val="0"/>
      <w:autoSpaceDN w:val="0"/>
      <w:adjustRightInd w:val="0"/>
      <w:spacing w:after="0"/>
    </w:pPr>
    <w:rPr>
      <w:rFonts w:ascii="Calibri" w:eastAsiaTheme="minorEastAsia" w:hAnsi="Calibri" w:cs="Calibri"/>
      <w:color w:val="000000"/>
      <w:sz w:val="20"/>
      <w:lang w:eastAsia="en-AU"/>
    </w:rPr>
  </w:style>
  <w:style w:type="paragraph" w:styleId="ListParagraph">
    <w:name w:val="List Paragraph"/>
    <w:basedOn w:val="Normal"/>
    <w:uiPriority w:val="34"/>
    <w:qFormat/>
    <w:rsid w:val="00E1677A"/>
    <w:pPr>
      <w:ind w:left="720"/>
      <w:contextualSpacing/>
    </w:pPr>
  </w:style>
  <w:style w:type="paragraph" w:styleId="BalloonText">
    <w:name w:val="Balloon Text"/>
    <w:basedOn w:val="Normal"/>
    <w:link w:val="BalloonTextChar"/>
    <w:locked/>
    <w:rsid w:val="0058137C"/>
    <w:pPr>
      <w:spacing w:after="0"/>
    </w:pPr>
    <w:rPr>
      <w:rFonts w:ascii="Tahoma" w:hAnsi="Tahoma" w:cs="Tahoma"/>
      <w:sz w:val="16"/>
      <w:szCs w:val="16"/>
    </w:rPr>
  </w:style>
  <w:style w:type="character" w:customStyle="1" w:styleId="BalloonTextChar">
    <w:name w:val="Balloon Text Char"/>
    <w:basedOn w:val="DefaultParagraphFont"/>
    <w:link w:val="BalloonText"/>
    <w:rsid w:val="0058137C"/>
    <w:rPr>
      <w:rFonts w:ascii="Tahoma" w:hAnsi="Tahoma" w:cs="Tahoma"/>
      <w:sz w:val="16"/>
      <w:szCs w:val="16"/>
      <w:lang w:eastAsia="en-US"/>
    </w:rPr>
  </w:style>
  <w:style w:type="character" w:customStyle="1" w:styleId="Heading2Char">
    <w:name w:val="Heading 2 Char"/>
    <w:link w:val="Heading2"/>
    <w:rsid w:val="00DF54C9"/>
    <w:rPr>
      <w:rFonts w:ascii="Calibri" w:hAnsi="Calibri"/>
      <w:b/>
      <w:kern w:val="28"/>
      <w:sz w:val="26"/>
      <w:szCs w:val="22"/>
      <w:lang w:eastAsia="en-US"/>
    </w:rPr>
  </w:style>
  <w:style w:type="character" w:customStyle="1" w:styleId="TabletextChar">
    <w:name w:val="Table text Char"/>
    <w:link w:val="Tabletext"/>
    <w:rsid w:val="00DF54C9"/>
    <w:rPr>
      <w:rFonts w:ascii="Calibri" w:hAnsi="Calibri"/>
      <w:szCs w:val="18"/>
      <w:lang w:eastAsia="en-US"/>
    </w:rPr>
  </w:style>
  <w:style w:type="character" w:customStyle="1" w:styleId="Heading1Char">
    <w:name w:val="Heading 1 Char"/>
    <w:basedOn w:val="DefaultParagraphFont"/>
    <w:link w:val="Heading1"/>
    <w:rsid w:val="00DF54C9"/>
    <w:rPr>
      <w:rFonts w:ascii="Calibri" w:hAnsi="Calibri"/>
      <w:b/>
      <w:caps/>
      <w:sz w:val="26"/>
      <w:szCs w:val="22"/>
      <w:lang w:eastAsia="en-US"/>
    </w:rPr>
  </w:style>
  <w:style w:type="character" w:customStyle="1" w:styleId="Heading3Char">
    <w:name w:val="Heading 3 Char"/>
    <w:basedOn w:val="DefaultParagraphFont"/>
    <w:link w:val="Heading3"/>
    <w:rsid w:val="00DF54C9"/>
    <w:rPr>
      <w:rFonts w:ascii="Calibri" w:hAnsi="Calibri"/>
      <w:b/>
      <w:i/>
      <w:kern w:val="28"/>
      <w:sz w:val="24"/>
      <w:szCs w:val="22"/>
      <w:lang w:eastAsia="en-US"/>
    </w:rPr>
  </w:style>
  <w:style w:type="character" w:customStyle="1" w:styleId="Heading4Char">
    <w:name w:val="Heading 4 Char"/>
    <w:basedOn w:val="DefaultParagraphFont"/>
    <w:link w:val="Heading4"/>
    <w:rsid w:val="00DF54C9"/>
    <w:rPr>
      <w:rFonts w:ascii="Calibri" w:hAnsi="Calibri"/>
      <w:i/>
      <w:sz w:val="24"/>
      <w:szCs w:val="22"/>
      <w:lang w:eastAsia="en-US"/>
    </w:rPr>
  </w:style>
  <w:style w:type="character" w:customStyle="1" w:styleId="Heading5Char">
    <w:name w:val="Heading 5 Char"/>
    <w:link w:val="Heading5"/>
    <w:rsid w:val="00DF54C9"/>
    <w:rPr>
      <w:rFonts w:ascii="Calibri" w:hAnsi="Calibri"/>
      <w:b/>
      <w:sz w:val="22"/>
      <w:lang w:eastAsia="en-US"/>
    </w:rPr>
  </w:style>
  <w:style w:type="character" w:customStyle="1" w:styleId="FooterChar">
    <w:name w:val="Footer Char"/>
    <w:basedOn w:val="DefaultParagraphFont"/>
    <w:link w:val="Footer"/>
    <w:rsid w:val="00DF54C9"/>
    <w:rPr>
      <w:rFonts w:ascii="Calibri" w:hAnsi="Calibri"/>
      <w:szCs w:val="18"/>
      <w:lang w:eastAsia="en-US"/>
    </w:rPr>
  </w:style>
  <w:style w:type="character" w:customStyle="1" w:styleId="Heading2NotesChar">
    <w:name w:val="Heading 2 Notes Char"/>
    <w:link w:val="Heading2Notes"/>
    <w:locked/>
    <w:rsid w:val="00DF54C9"/>
    <w:rPr>
      <w:rFonts w:ascii="Calibri" w:hAnsi="Calibri"/>
      <w:b/>
      <w:kern w:val="28"/>
      <w:sz w:val="26"/>
      <w:szCs w:val="22"/>
      <w:lang w:eastAsia="en-US"/>
    </w:rPr>
  </w:style>
  <w:style w:type="character" w:customStyle="1" w:styleId="Heading2NotesContdChar">
    <w:name w:val="Heading 2 Notes Cont'd Char"/>
    <w:link w:val="Heading2NotesContd"/>
    <w:locked/>
    <w:rsid w:val="00DF54C9"/>
    <w:rPr>
      <w:rFonts w:ascii="Calibri" w:hAnsi="Calibri"/>
      <w:b/>
      <w:kern w:val="28"/>
      <w:sz w:val="26"/>
      <w:szCs w:val="22"/>
      <w:lang w:eastAsia="en-US"/>
    </w:rPr>
  </w:style>
  <w:style w:type="character" w:customStyle="1" w:styleId="Heading3NumberingChar">
    <w:name w:val="Heading 3 Numbering Char"/>
    <w:link w:val="Heading3Numbering"/>
    <w:locked/>
    <w:rsid w:val="00DF54C9"/>
    <w:rPr>
      <w:rFonts w:ascii="Calibri" w:hAnsi="Calibri"/>
      <w:b/>
      <w:i/>
      <w:kern w:val="28"/>
      <w:sz w:val="24"/>
      <w:szCs w:val="22"/>
      <w:lang w:eastAsia="en-US"/>
    </w:rPr>
  </w:style>
  <w:style w:type="character" w:customStyle="1" w:styleId="DashTextChar">
    <w:name w:val="Dash Text Char"/>
    <w:link w:val="DashText"/>
    <w:rsid w:val="00DF54C9"/>
    <w:rPr>
      <w:rFonts w:ascii="Garamond" w:hAnsi="Garamond"/>
      <w:sz w:val="22"/>
      <w:lang w:eastAsia="en-US"/>
    </w:rPr>
  </w:style>
  <w:style w:type="character" w:styleId="Hyperlink">
    <w:name w:val="Hyperlink"/>
    <w:basedOn w:val="DefaultParagraphFont"/>
    <w:uiPriority w:val="99"/>
    <w:unhideWhenUsed/>
    <w:locked/>
    <w:rsid w:val="00DF54C9"/>
    <w:rPr>
      <w:color w:val="0000FF" w:themeColor="hyperlink"/>
      <w:u w:val="single"/>
    </w:rPr>
  </w:style>
  <w:style w:type="character" w:styleId="FollowedHyperlink">
    <w:name w:val="FollowedHyperlink"/>
    <w:basedOn w:val="DefaultParagraphFont"/>
    <w:locked/>
    <w:rsid w:val="00DF54C9"/>
    <w:rPr>
      <w:color w:val="800080" w:themeColor="followedHyperlink"/>
      <w:u w:val="single"/>
    </w:rPr>
  </w:style>
  <w:style w:type="character" w:styleId="CommentReference">
    <w:name w:val="annotation reference"/>
    <w:basedOn w:val="DefaultParagraphFont"/>
    <w:uiPriority w:val="99"/>
    <w:locked/>
    <w:rsid w:val="00DF54C9"/>
    <w:rPr>
      <w:sz w:val="16"/>
      <w:szCs w:val="16"/>
    </w:rPr>
  </w:style>
  <w:style w:type="paragraph" w:styleId="CommentText">
    <w:name w:val="annotation text"/>
    <w:basedOn w:val="Normal"/>
    <w:link w:val="CommentTextChar"/>
    <w:uiPriority w:val="99"/>
    <w:locked/>
    <w:rsid w:val="00DF54C9"/>
    <w:rPr>
      <w:sz w:val="20"/>
    </w:rPr>
  </w:style>
  <w:style w:type="character" w:customStyle="1" w:styleId="CommentTextChar">
    <w:name w:val="Comment Text Char"/>
    <w:basedOn w:val="DefaultParagraphFont"/>
    <w:link w:val="CommentText"/>
    <w:uiPriority w:val="99"/>
    <w:rsid w:val="00DF54C9"/>
    <w:rPr>
      <w:rFonts w:ascii="Garamond" w:hAnsi="Garamond"/>
      <w:lang w:eastAsia="en-US"/>
    </w:rPr>
  </w:style>
  <w:style w:type="paragraph" w:styleId="CommentSubject">
    <w:name w:val="annotation subject"/>
    <w:basedOn w:val="CommentText"/>
    <w:next w:val="CommentText"/>
    <w:link w:val="CommentSubjectChar"/>
    <w:locked/>
    <w:rsid w:val="00DF54C9"/>
    <w:rPr>
      <w:b/>
      <w:bCs/>
    </w:rPr>
  </w:style>
  <w:style w:type="character" w:customStyle="1" w:styleId="CommentSubjectChar">
    <w:name w:val="Comment Subject Char"/>
    <w:basedOn w:val="CommentTextChar"/>
    <w:link w:val="CommentSubject"/>
    <w:rsid w:val="00DF54C9"/>
    <w:rPr>
      <w:rFonts w:ascii="Garamond" w:hAnsi="Garamond"/>
      <w:b/>
      <w:bCs/>
      <w:lang w:eastAsia="en-US"/>
    </w:rPr>
  </w:style>
  <w:style w:type="paragraph" w:customStyle="1" w:styleId="Default">
    <w:name w:val="Default"/>
    <w:rsid w:val="00DF54C9"/>
    <w:pPr>
      <w:autoSpaceDE w:val="0"/>
      <w:autoSpaceDN w:val="0"/>
      <w:adjustRightInd w:val="0"/>
    </w:pPr>
    <w:rPr>
      <w:rFonts w:ascii="Garamond" w:hAnsi="Garamond" w:cs="Garamond"/>
      <w:color w:val="000000"/>
      <w:sz w:val="24"/>
      <w:szCs w:val="24"/>
    </w:rPr>
  </w:style>
  <w:style w:type="table" w:styleId="TableColumns4">
    <w:name w:val="Table Columns 4"/>
    <w:basedOn w:val="TableNormal"/>
    <w:locked/>
    <w:rsid w:val="00DF54C9"/>
    <w:pPr>
      <w:spacing w:after="12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paragraph" w:styleId="FootnoteText">
    <w:name w:val="footnote text"/>
    <w:basedOn w:val="Normal"/>
    <w:link w:val="FootnoteTextChar"/>
    <w:locked/>
    <w:rsid w:val="00DF54C9"/>
    <w:rPr>
      <w:sz w:val="20"/>
    </w:rPr>
  </w:style>
  <w:style w:type="character" w:customStyle="1" w:styleId="FootnoteTextChar">
    <w:name w:val="Footnote Text Char"/>
    <w:basedOn w:val="DefaultParagraphFont"/>
    <w:link w:val="FootnoteText"/>
    <w:rsid w:val="00DF54C9"/>
    <w:rPr>
      <w:rFonts w:ascii="Garamond" w:hAnsi="Garamond"/>
      <w:lang w:eastAsia="en-US"/>
    </w:rPr>
  </w:style>
  <w:style w:type="character" w:styleId="FootnoteReference">
    <w:name w:val="footnote reference"/>
    <w:basedOn w:val="DefaultParagraphFont"/>
    <w:locked/>
    <w:rsid w:val="00DF54C9"/>
    <w:rPr>
      <w:vertAlign w:val="superscript"/>
    </w:rPr>
  </w:style>
  <w:style w:type="paragraph" w:styleId="Index3">
    <w:name w:val="index 3"/>
    <w:basedOn w:val="Normal"/>
    <w:next w:val="Normal"/>
    <w:autoRedefine/>
    <w:rsid w:val="00DF54C9"/>
    <w:pPr>
      <w:spacing w:after="0"/>
      <w:ind w:left="660" w:hanging="220"/>
    </w:pPr>
    <w:rPr>
      <w:rFonts w:asciiTheme="minorHAnsi" w:hAnsiTheme="minorHAnsi" w:cstheme="minorHAnsi"/>
      <w:sz w:val="18"/>
      <w:szCs w:val="18"/>
    </w:rPr>
  </w:style>
  <w:style w:type="paragraph" w:styleId="Index4">
    <w:name w:val="index 4"/>
    <w:basedOn w:val="Normal"/>
    <w:next w:val="Normal"/>
    <w:autoRedefine/>
    <w:rsid w:val="00DF54C9"/>
    <w:pPr>
      <w:spacing w:after="0"/>
      <w:ind w:left="880" w:hanging="220"/>
    </w:pPr>
    <w:rPr>
      <w:rFonts w:asciiTheme="minorHAnsi" w:hAnsiTheme="minorHAnsi" w:cstheme="minorHAnsi"/>
      <w:sz w:val="18"/>
      <w:szCs w:val="18"/>
    </w:rPr>
  </w:style>
  <w:style w:type="paragraph" w:styleId="Index5">
    <w:name w:val="index 5"/>
    <w:basedOn w:val="Normal"/>
    <w:next w:val="Normal"/>
    <w:autoRedefine/>
    <w:rsid w:val="00DF54C9"/>
    <w:pPr>
      <w:spacing w:after="0"/>
      <w:ind w:left="1100" w:hanging="220"/>
    </w:pPr>
    <w:rPr>
      <w:rFonts w:asciiTheme="minorHAnsi" w:hAnsiTheme="minorHAnsi" w:cstheme="minorHAnsi"/>
      <w:sz w:val="18"/>
      <w:szCs w:val="18"/>
    </w:rPr>
  </w:style>
  <w:style w:type="paragraph" w:styleId="Index6">
    <w:name w:val="index 6"/>
    <w:basedOn w:val="Normal"/>
    <w:next w:val="Normal"/>
    <w:autoRedefine/>
    <w:locked/>
    <w:rsid w:val="00DF54C9"/>
    <w:pPr>
      <w:spacing w:after="0"/>
      <w:ind w:left="1320" w:hanging="220"/>
    </w:pPr>
    <w:rPr>
      <w:rFonts w:asciiTheme="minorHAnsi" w:hAnsiTheme="minorHAnsi" w:cstheme="minorHAnsi"/>
      <w:sz w:val="18"/>
      <w:szCs w:val="18"/>
    </w:rPr>
  </w:style>
  <w:style w:type="paragraph" w:styleId="Index7">
    <w:name w:val="index 7"/>
    <w:basedOn w:val="Normal"/>
    <w:next w:val="Normal"/>
    <w:autoRedefine/>
    <w:locked/>
    <w:rsid w:val="00DF54C9"/>
    <w:pPr>
      <w:spacing w:after="0"/>
      <w:ind w:left="1540" w:hanging="220"/>
    </w:pPr>
    <w:rPr>
      <w:rFonts w:asciiTheme="minorHAnsi" w:hAnsiTheme="minorHAnsi" w:cstheme="minorHAnsi"/>
      <w:sz w:val="18"/>
      <w:szCs w:val="18"/>
    </w:rPr>
  </w:style>
  <w:style w:type="paragraph" w:styleId="Index8">
    <w:name w:val="index 8"/>
    <w:basedOn w:val="Normal"/>
    <w:next w:val="Normal"/>
    <w:autoRedefine/>
    <w:locked/>
    <w:rsid w:val="00DF54C9"/>
    <w:pPr>
      <w:spacing w:after="0"/>
      <w:ind w:left="1760" w:hanging="220"/>
    </w:pPr>
    <w:rPr>
      <w:rFonts w:asciiTheme="minorHAnsi" w:hAnsiTheme="minorHAnsi" w:cstheme="minorHAnsi"/>
      <w:sz w:val="18"/>
      <w:szCs w:val="18"/>
    </w:rPr>
  </w:style>
  <w:style w:type="paragraph" w:styleId="Index9">
    <w:name w:val="index 9"/>
    <w:basedOn w:val="Normal"/>
    <w:next w:val="Normal"/>
    <w:autoRedefine/>
    <w:locked/>
    <w:rsid w:val="00DF54C9"/>
    <w:pPr>
      <w:spacing w:after="0"/>
      <w:ind w:left="1980" w:hanging="220"/>
    </w:pPr>
    <w:rPr>
      <w:rFonts w:asciiTheme="minorHAnsi" w:hAnsiTheme="minorHAnsi" w:cstheme="minorHAnsi"/>
      <w:sz w:val="18"/>
      <w:szCs w:val="18"/>
    </w:rPr>
  </w:style>
  <w:style w:type="paragraph" w:customStyle="1" w:styleId="HighlightBoxDash">
    <w:name w:val="Highlight Box Dash"/>
    <w:basedOn w:val="HighlightBoxBullet"/>
    <w:qFormat/>
    <w:rsid w:val="00DF54C9"/>
    <w:pPr>
      <w:numPr>
        <w:numId w:val="0"/>
      </w:numPr>
      <w:tabs>
        <w:tab w:val="left" w:pos="360"/>
      </w:tabs>
      <w:ind w:left="720" w:hanging="720"/>
    </w:pPr>
  </w:style>
  <w:style w:type="character" w:customStyle="1" w:styleId="ChartheadingChar">
    <w:name w:val="Chart heading Char"/>
    <w:link w:val="Chartheading"/>
    <w:locked/>
    <w:rsid w:val="00DF54C9"/>
    <w:rPr>
      <w:rFonts w:ascii="Calibri" w:hAnsi="Calibri"/>
      <w:b/>
      <w:sz w:val="22"/>
      <w:lang w:eastAsia="en-US"/>
    </w:rPr>
  </w:style>
  <w:style w:type="character" w:customStyle="1" w:styleId="HeaderChar">
    <w:name w:val="Header Char"/>
    <w:basedOn w:val="DefaultParagraphFont"/>
    <w:link w:val="Header"/>
    <w:rsid w:val="00DF54C9"/>
    <w:rPr>
      <w:rFonts w:ascii="Calibri" w:hAnsi="Calibri"/>
      <w:szCs w:val="18"/>
      <w:lang w:eastAsia="en-US"/>
    </w:rPr>
  </w:style>
  <w:style w:type="paragraph" w:customStyle="1" w:styleId="TableTextCentred0">
    <w:name w:val="Table Text Centred"/>
    <w:basedOn w:val="Tabletext"/>
    <w:rsid w:val="00DF54C9"/>
    <w:pPr>
      <w:ind w:left="0" w:firstLine="0"/>
      <w:jc w:val="center"/>
    </w:pPr>
    <w:rPr>
      <w:sz w:val="22"/>
    </w:rPr>
  </w:style>
  <w:style w:type="paragraph" w:customStyle="1" w:styleId="TabletextheadingCentred0">
    <w:name w:val="Table text heading Centred"/>
    <w:basedOn w:val="Tabletextheading"/>
    <w:link w:val="TabletextheadingCentredChar"/>
    <w:rsid w:val="00DF54C9"/>
    <w:pPr>
      <w:jc w:val="center"/>
    </w:pPr>
    <w:rPr>
      <w:sz w:val="22"/>
    </w:rPr>
  </w:style>
  <w:style w:type="character" w:customStyle="1" w:styleId="TabletextheadingCentredChar">
    <w:name w:val="Table text heading Centred Char"/>
    <w:link w:val="TabletextheadingCentred0"/>
    <w:locked/>
    <w:rsid w:val="00DF54C9"/>
    <w:rPr>
      <w:rFonts w:ascii="Calibri" w:hAnsi="Calibri"/>
      <w:i/>
      <w:sz w:val="22"/>
      <w:szCs w:val="18"/>
      <w:lang w:eastAsia="en-US"/>
    </w:rPr>
  </w:style>
  <w:style w:type="character" w:customStyle="1" w:styleId="OGNotesChar">
    <w:name w:val="OGNotes Char"/>
    <w:link w:val="OGNotes"/>
    <w:rsid w:val="00DF54C9"/>
    <w:rPr>
      <w:rFonts w:ascii="Calibri" w:hAnsi="Calibri"/>
      <w:i/>
      <w:sz w:val="15"/>
    </w:rPr>
  </w:style>
  <w:style w:type="character" w:styleId="PlaceholderText">
    <w:name w:val="Placeholder Text"/>
    <w:basedOn w:val="DefaultParagraphFont"/>
    <w:uiPriority w:val="99"/>
    <w:semiHidden/>
    <w:rsid w:val="00DF54C9"/>
    <w:rPr>
      <w:color w:val="808080"/>
    </w:rPr>
  </w:style>
  <w:style w:type="paragraph" w:customStyle="1" w:styleId="Bullet1">
    <w:name w:val="Bullet 1"/>
    <w:basedOn w:val="Normal"/>
    <w:qFormat/>
    <w:rsid w:val="00DF54C9"/>
    <w:pPr>
      <w:numPr>
        <w:numId w:val="7"/>
      </w:numPr>
      <w:spacing w:after="90"/>
    </w:pPr>
    <w:rPr>
      <w:rFonts w:ascii="Calibri" w:hAnsi="Calibri" w:cs="Arial"/>
      <w:sz w:val="24"/>
      <w:szCs w:val="24"/>
      <w:lang w:eastAsia="en-AU"/>
    </w:rPr>
  </w:style>
  <w:style w:type="paragraph" w:customStyle="1" w:styleId="Bullet2">
    <w:name w:val="Bullet 2"/>
    <w:basedOn w:val="Normal"/>
    <w:qFormat/>
    <w:rsid w:val="00DF54C9"/>
    <w:pPr>
      <w:numPr>
        <w:ilvl w:val="1"/>
        <w:numId w:val="7"/>
      </w:numPr>
      <w:spacing w:before="60" w:after="60"/>
    </w:pPr>
    <w:rPr>
      <w:rFonts w:ascii="Calibri" w:hAnsi="Calibri"/>
      <w:sz w:val="24"/>
      <w:szCs w:val="24"/>
      <w:lang w:eastAsia="en-AU"/>
    </w:rPr>
  </w:style>
  <w:style w:type="paragraph" w:customStyle="1" w:styleId="Bullet3">
    <w:name w:val="Bullet 3"/>
    <w:basedOn w:val="Normal"/>
    <w:qFormat/>
    <w:rsid w:val="00DF54C9"/>
    <w:pPr>
      <w:numPr>
        <w:ilvl w:val="2"/>
        <w:numId w:val="7"/>
      </w:numPr>
      <w:spacing w:before="60" w:after="60"/>
    </w:pPr>
    <w:rPr>
      <w:rFonts w:ascii="Calibri" w:hAnsi="Calibri"/>
      <w:sz w:val="24"/>
      <w:szCs w:val="24"/>
      <w:lang w:eastAsia="en-AU"/>
    </w:rPr>
  </w:style>
  <w:style w:type="paragraph" w:styleId="NormalWeb">
    <w:name w:val="Normal (Web)"/>
    <w:basedOn w:val="Normal"/>
    <w:uiPriority w:val="99"/>
    <w:locked/>
    <w:rsid w:val="0012158C"/>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footer" Target="footer7.xml"/><Relationship Id="rId26" Type="http://schemas.openxmlformats.org/officeDocument/2006/relationships/footer" Target="footer14.xml"/><Relationship Id="rId39" Type="http://schemas.openxmlformats.org/officeDocument/2006/relationships/image" Target="media/image5.emf"/><Relationship Id="rId3" Type="http://schemas.openxmlformats.org/officeDocument/2006/relationships/styles" Target="styles.xml"/><Relationship Id="rId21" Type="http://schemas.openxmlformats.org/officeDocument/2006/relationships/footer" Target="footer9.xml"/><Relationship Id="rId34" Type="http://schemas.openxmlformats.org/officeDocument/2006/relationships/footer" Target="footer22.xml"/><Relationship Id="rId42" Type="http://schemas.openxmlformats.org/officeDocument/2006/relationships/oleObject" Target="file:///\\PDCPTPRDFIL01\DTFDATA02$\SECURED\Budget\BudgetUpdate\AppendixD\2015-16BudUpd_AppD.xlsx!Chart_EmployShock!%5b2015-16BudUpd_AppD.xlsx%5dChart_EmployShock%20Chart%201" TargetMode="External"/><Relationship Id="rId47" Type="http://schemas.openxmlformats.org/officeDocument/2006/relationships/footer" Target="footer25.xml"/><Relationship Id="rId50" Type="http://schemas.openxmlformats.org/officeDocument/2006/relationships/footer" Target="footer28.xml"/><Relationship Id="rId7" Type="http://schemas.openxmlformats.org/officeDocument/2006/relationships/footnotes" Target="footnotes.xml"/><Relationship Id="rId12" Type="http://schemas.openxmlformats.org/officeDocument/2006/relationships/hyperlink" Target="http://creativecommons.org/licenses/by/3.0/au/" TargetMode="External"/><Relationship Id="rId17" Type="http://schemas.openxmlformats.org/officeDocument/2006/relationships/footer" Target="footer6.xml"/><Relationship Id="rId25" Type="http://schemas.openxmlformats.org/officeDocument/2006/relationships/footer" Target="footer13.xml"/><Relationship Id="rId33" Type="http://schemas.openxmlformats.org/officeDocument/2006/relationships/footer" Target="footer21.xml"/><Relationship Id="rId38" Type="http://schemas.openxmlformats.org/officeDocument/2006/relationships/oleObject" Target="file:///\\PDCPTPRDFIL01\DTFDATA02$\SECURED\Budget\BudgetUpdate\AppendixD\2015-16BudUpd_AppD.xlsx!Chart_IR%20Shock!%5b2015-16BudUpd_AppD.xlsx%5dChart_IR%20Shock%20Chart%201" TargetMode="External"/><Relationship Id="rId46" Type="http://schemas.openxmlformats.org/officeDocument/2006/relationships/footer" Target="footer24.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chart" Target="charts/chart1.xml"/><Relationship Id="rId29" Type="http://schemas.openxmlformats.org/officeDocument/2006/relationships/footer" Target="footer17.xml"/><Relationship Id="rId41"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oter" Target="footer12.xml"/><Relationship Id="rId32" Type="http://schemas.openxmlformats.org/officeDocument/2006/relationships/footer" Target="footer20.xml"/><Relationship Id="rId37" Type="http://schemas.openxmlformats.org/officeDocument/2006/relationships/image" Target="media/image4.emf"/><Relationship Id="rId40" Type="http://schemas.openxmlformats.org/officeDocument/2006/relationships/oleObject" Target="file:///\\PDCPTPRDFIL01\DTFDATA02$\SECURED\Budget\BudgetUpdate\AppendixD\2015-16BudUpd_AppD.xlsx!Chart_%20CPI%20Shock!%5b2015-16BudUpd_AppD.xlsx%5dChart_%20CPI%20Shock%20Chart%201" TargetMode="External"/><Relationship Id="rId45" Type="http://schemas.openxmlformats.org/officeDocument/2006/relationships/footer" Target="footer23.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oter" Target="footer11.xml"/><Relationship Id="rId28" Type="http://schemas.openxmlformats.org/officeDocument/2006/relationships/footer" Target="footer16.xml"/><Relationship Id="rId36" Type="http://schemas.openxmlformats.org/officeDocument/2006/relationships/oleObject" Target="file:///\\PDCPTPRDFIL01\DTFDATA02$\SECURED\Budget\BudgetUpdate\AppendixD\2015-16BudUpd_AppD.xlsx!Chart_GSP%20Shock!%5b2015-16BudUpd_AppD.xlsx%5dChart_GSP%20Shock%20Chart%201" TargetMode="External"/><Relationship Id="rId49" Type="http://schemas.openxmlformats.org/officeDocument/2006/relationships/footer" Target="footer27.xml"/><Relationship Id="rId10" Type="http://schemas.openxmlformats.org/officeDocument/2006/relationships/footer" Target="footer1.xml"/><Relationship Id="rId19" Type="http://schemas.openxmlformats.org/officeDocument/2006/relationships/footer" Target="footer8.xml"/><Relationship Id="rId31" Type="http://schemas.openxmlformats.org/officeDocument/2006/relationships/footer" Target="footer19.xml"/><Relationship Id="rId44" Type="http://schemas.openxmlformats.org/officeDocument/2006/relationships/oleObject" Target="file:///\\PDCPTPRDFIL01\DTFDATA02$\SECURED\Budget\BudgetUpdate\AppendixD\2015-16BudUpd_AppD.xlsx!Chart_AWE%20shock!%5b2015-16BudUpd_AppD.xlsx%5dChart_AWE%20shock%20Chart%201" TargetMode="Externa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3.xml"/><Relationship Id="rId22" Type="http://schemas.openxmlformats.org/officeDocument/2006/relationships/footer" Target="footer10.xml"/><Relationship Id="rId27" Type="http://schemas.openxmlformats.org/officeDocument/2006/relationships/footer" Target="footer15.xml"/><Relationship Id="rId30" Type="http://schemas.openxmlformats.org/officeDocument/2006/relationships/footer" Target="footer18.xml"/><Relationship Id="rId35" Type="http://schemas.openxmlformats.org/officeDocument/2006/relationships/image" Target="media/image3.emf"/><Relationship Id="rId43" Type="http://schemas.openxmlformats.org/officeDocument/2006/relationships/image" Target="media/image7.emf"/><Relationship Id="rId48" Type="http://schemas.openxmlformats.org/officeDocument/2006/relationships/footer" Target="footer26.xml"/><Relationship Id="rId8" Type="http://schemas.openxmlformats.org/officeDocument/2006/relationships/endnotes" Target="endnotes.xml"/><Relationship Id="rId5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VFDTF001\DTF_APPS01$\DTF\ZEN\Template\Budget_B5.dotm"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PDCPTPRDFIL01\DTFDATA02$\SECURED\Budget\BudgetUpdate\Chapter3\BU_Fiscal_Chp3_additiona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379475148807667"/>
          <c:y val="3.2896354622338878E-2"/>
          <c:w val="0.80086268931122118"/>
          <c:h val="0.66522717993584135"/>
        </c:manualLayout>
      </c:layout>
      <c:barChart>
        <c:barDir val="col"/>
        <c:grouping val="stacked"/>
        <c:varyColors val="0"/>
        <c:ser>
          <c:idx val="2"/>
          <c:order val="0"/>
          <c:tx>
            <c:strRef>
              <c:f>Netdebt_NFL_historical!$B$24</c:f>
              <c:strCache>
                <c:ptCount val="1"/>
                <c:pt idx="0">
                  <c:v>General government sector net debt (LHS)</c:v>
                </c:pt>
              </c:strCache>
            </c:strRef>
          </c:tx>
          <c:spPr>
            <a:solidFill>
              <a:srgbClr val="C0C0C0"/>
            </a:solidFill>
          </c:spPr>
          <c:invertIfNegative val="0"/>
          <c:cat>
            <c:strRef>
              <c:f>Netdebt_NFL_historical!$G$5:$AA$5</c:f>
              <c:strCache>
                <c:ptCount val="21"/>
                <c:pt idx="0">
                  <c:v>1999</c:v>
                </c:pt>
                <c:pt idx="1">
                  <c:v>2000</c:v>
                </c:pt>
                <c:pt idx="2">
                  <c:v>2001</c:v>
                </c:pt>
                <c:pt idx="3">
                  <c:v>2002</c:v>
                </c:pt>
                <c:pt idx="4">
                  <c:v>2003</c:v>
                </c:pt>
                <c:pt idx="5">
                  <c:v>2004</c:v>
                </c:pt>
                <c:pt idx="6">
                  <c:v>2005</c:v>
                </c:pt>
                <c:pt idx="7">
                  <c:v>2006</c:v>
                </c:pt>
                <c:pt idx="8">
                  <c:v>2007</c:v>
                </c:pt>
                <c:pt idx="9">
                  <c:v>2008</c:v>
                </c:pt>
                <c:pt idx="10">
                  <c:v>2009</c:v>
                </c:pt>
                <c:pt idx="11">
                  <c:v>2010</c:v>
                </c:pt>
                <c:pt idx="12">
                  <c:v>2011</c:v>
                </c:pt>
                <c:pt idx="13">
                  <c:v>2012</c:v>
                </c:pt>
                <c:pt idx="14">
                  <c:v>2013</c:v>
                </c:pt>
                <c:pt idx="15">
                  <c:v>2014</c:v>
                </c:pt>
                <c:pt idx="16">
                  <c:v>2015</c:v>
                </c:pt>
                <c:pt idx="17">
                  <c:v>2016</c:v>
                </c:pt>
                <c:pt idx="18">
                  <c:v>2017</c:v>
                </c:pt>
                <c:pt idx="19">
                  <c:v>2018</c:v>
                </c:pt>
                <c:pt idx="20">
                  <c:v>2019</c:v>
                </c:pt>
              </c:strCache>
            </c:strRef>
          </c:cat>
          <c:val>
            <c:numRef>
              <c:f>Netdebt_NFL_historical!$G$24:$AA$24</c:f>
              <c:numCache>
                <c:formatCode>0.0</c:formatCode>
                <c:ptCount val="21"/>
                <c:pt idx="0">
                  <c:v>4.7891000000000004</c:v>
                </c:pt>
                <c:pt idx="1">
                  <c:v>2.992</c:v>
                </c:pt>
                <c:pt idx="2">
                  <c:v>2.1709999999999998</c:v>
                </c:pt>
                <c:pt idx="3">
                  <c:v>1.0699999999999998</c:v>
                </c:pt>
                <c:pt idx="4">
                  <c:v>1.2999999999999998</c:v>
                </c:pt>
                <c:pt idx="5">
                  <c:v>1.4039999999999999</c:v>
                </c:pt>
                <c:pt idx="6">
                  <c:v>1.9340000000000002</c:v>
                </c:pt>
                <c:pt idx="7">
                  <c:v>1.1816</c:v>
                </c:pt>
                <c:pt idx="8">
                  <c:v>2.6130000000000004</c:v>
                </c:pt>
                <c:pt idx="9">
                  <c:v>2.7762000000000002</c:v>
                </c:pt>
                <c:pt idx="10">
                  <c:v>5.2915999999999999</c:v>
                </c:pt>
                <c:pt idx="11">
                  <c:v>7.9636000000000013</c:v>
                </c:pt>
                <c:pt idx="12">
                  <c:v>11.836820749419996</c:v>
                </c:pt>
                <c:pt idx="13">
                  <c:v>15.236941688490004</c:v>
                </c:pt>
                <c:pt idx="14">
                  <c:v>19.873109464119906</c:v>
                </c:pt>
                <c:pt idx="15">
                  <c:v>21.07552731453</c:v>
                </c:pt>
                <c:pt idx="16">
                  <c:v>22.327400000000004</c:v>
                </c:pt>
                <c:pt idx="17">
                  <c:v>16.894592995249997</c:v>
                </c:pt>
                <c:pt idx="18">
                  <c:v>18.752382670260001</c:v>
                </c:pt>
                <c:pt idx="19">
                  <c:v>18.86110811444</c:v>
                </c:pt>
                <c:pt idx="20">
                  <c:v>19.566954646699998</c:v>
                </c:pt>
              </c:numCache>
            </c:numRef>
          </c:val>
        </c:ser>
        <c:ser>
          <c:idx val="0"/>
          <c:order val="1"/>
          <c:tx>
            <c:strRef>
              <c:f>Netdebt_NFL_historical!$B$17</c:f>
              <c:strCache>
                <c:ptCount val="1"/>
                <c:pt idx="0">
                  <c:v>Superannuation liability (LHS)</c:v>
                </c:pt>
              </c:strCache>
            </c:strRef>
          </c:tx>
          <c:spPr>
            <a:solidFill>
              <a:srgbClr val="808080"/>
            </a:solidFill>
          </c:spPr>
          <c:invertIfNegative val="0"/>
          <c:cat>
            <c:strRef>
              <c:f>Netdebt_NFL_historical!$G$5:$AA$5</c:f>
              <c:strCache>
                <c:ptCount val="21"/>
                <c:pt idx="0">
                  <c:v>1999</c:v>
                </c:pt>
                <c:pt idx="1">
                  <c:v>2000</c:v>
                </c:pt>
                <c:pt idx="2">
                  <c:v>2001</c:v>
                </c:pt>
                <c:pt idx="3">
                  <c:v>2002</c:v>
                </c:pt>
                <c:pt idx="4">
                  <c:v>2003</c:v>
                </c:pt>
                <c:pt idx="5">
                  <c:v>2004</c:v>
                </c:pt>
                <c:pt idx="6">
                  <c:v>2005</c:v>
                </c:pt>
                <c:pt idx="7">
                  <c:v>2006</c:v>
                </c:pt>
                <c:pt idx="8">
                  <c:v>2007</c:v>
                </c:pt>
                <c:pt idx="9">
                  <c:v>2008</c:v>
                </c:pt>
                <c:pt idx="10">
                  <c:v>2009</c:v>
                </c:pt>
                <c:pt idx="11">
                  <c:v>2010</c:v>
                </c:pt>
                <c:pt idx="12">
                  <c:v>2011</c:v>
                </c:pt>
                <c:pt idx="13">
                  <c:v>2012</c:v>
                </c:pt>
                <c:pt idx="14">
                  <c:v>2013</c:v>
                </c:pt>
                <c:pt idx="15">
                  <c:v>2014</c:v>
                </c:pt>
                <c:pt idx="16">
                  <c:v>2015</c:v>
                </c:pt>
                <c:pt idx="17">
                  <c:v>2016</c:v>
                </c:pt>
                <c:pt idx="18">
                  <c:v>2017</c:v>
                </c:pt>
                <c:pt idx="19">
                  <c:v>2018</c:v>
                </c:pt>
                <c:pt idx="20">
                  <c:v>2019</c:v>
                </c:pt>
              </c:strCache>
            </c:strRef>
          </c:cat>
          <c:val>
            <c:numRef>
              <c:f>Netdebt_NFL_historical!$G$17:$AA$17</c:f>
              <c:numCache>
                <c:formatCode>0.0</c:formatCode>
                <c:ptCount val="21"/>
                <c:pt idx="0">
                  <c:v>11.432365000000001</c:v>
                </c:pt>
                <c:pt idx="1">
                  <c:v>12.278093</c:v>
                </c:pt>
                <c:pt idx="2">
                  <c:v>11.817646999999999</c:v>
                </c:pt>
                <c:pt idx="3">
                  <c:v>13.382999999999999</c:v>
                </c:pt>
                <c:pt idx="4">
                  <c:v>13.437208164479999</c:v>
                </c:pt>
                <c:pt idx="5">
                  <c:v>11.71062540656</c:v>
                </c:pt>
                <c:pt idx="6">
                  <c:v>15.289263475729999</c:v>
                </c:pt>
                <c:pt idx="7">
                  <c:v>12.896499376700001</c:v>
                </c:pt>
                <c:pt idx="8">
                  <c:v>9.8997244869899994</c:v>
                </c:pt>
                <c:pt idx="9">
                  <c:v>12.92679473407</c:v>
                </c:pt>
                <c:pt idx="10">
                  <c:v>20.6723</c:v>
                </c:pt>
                <c:pt idx="11">
                  <c:v>22.534099999999999</c:v>
                </c:pt>
                <c:pt idx="12">
                  <c:v>22.780323541439998</c:v>
                </c:pt>
                <c:pt idx="13">
                  <c:v>32.597487692999998</c:v>
                </c:pt>
                <c:pt idx="14">
                  <c:v>25.7</c:v>
                </c:pt>
                <c:pt idx="15">
                  <c:v>26.3</c:v>
                </c:pt>
                <c:pt idx="16">
                  <c:v>25.9466</c:v>
                </c:pt>
                <c:pt idx="17">
                  <c:v>27.482556418910001</c:v>
                </c:pt>
                <c:pt idx="18">
                  <c:v>26.707989294760001</c:v>
                </c:pt>
                <c:pt idx="19">
                  <c:v>25.903871670920001</c:v>
                </c:pt>
                <c:pt idx="20">
                  <c:v>25.069302000650001</c:v>
                </c:pt>
              </c:numCache>
            </c:numRef>
          </c:val>
        </c:ser>
        <c:ser>
          <c:idx val="1"/>
          <c:order val="2"/>
          <c:tx>
            <c:strRef>
              <c:f>Netdebt_NFL_historical!$B$22</c:f>
              <c:strCache>
                <c:ptCount val="1"/>
                <c:pt idx="0">
                  <c:v>Other liabilities - net (LHS)</c:v>
                </c:pt>
              </c:strCache>
            </c:strRef>
          </c:tx>
          <c:spPr>
            <a:solidFill>
              <a:srgbClr val="DDDDDD"/>
            </a:solidFill>
          </c:spPr>
          <c:invertIfNegative val="0"/>
          <c:cat>
            <c:strRef>
              <c:f>Netdebt_NFL_historical!$G$5:$AA$5</c:f>
              <c:strCache>
                <c:ptCount val="21"/>
                <c:pt idx="0">
                  <c:v>1999</c:v>
                </c:pt>
                <c:pt idx="1">
                  <c:v>2000</c:v>
                </c:pt>
                <c:pt idx="2">
                  <c:v>2001</c:v>
                </c:pt>
                <c:pt idx="3">
                  <c:v>2002</c:v>
                </c:pt>
                <c:pt idx="4">
                  <c:v>2003</c:v>
                </c:pt>
                <c:pt idx="5">
                  <c:v>2004</c:v>
                </c:pt>
                <c:pt idx="6">
                  <c:v>2005</c:v>
                </c:pt>
                <c:pt idx="7">
                  <c:v>2006</c:v>
                </c:pt>
                <c:pt idx="8">
                  <c:v>2007</c:v>
                </c:pt>
                <c:pt idx="9">
                  <c:v>2008</c:v>
                </c:pt>
                <c:pt idx="10">
                  <c:v>2009</c:v>
                </c:pt>
                <c:pt idx="11">
                  <c:v>2010</c:v>
                </c:pt>
                <c:pt idx="12">
                  <c:v>2011</c:v>
                </c:pt>
                <c:pt idx="13">
                  <c:v>2012</c:v>
                </c:pt>
                <c:pt idx="14">
                  <c:v>2013</c:v>
                </c:pt>
                <c:pt idx="15">
                  <c:v>2014</c:v>
                </c:pt>
                <c:pt idx="16">
                  <c:v>2015</c:v>
                </c:pt>
                <c:pt idx="17">
                  <c:v>2016</c:v>
                </c:pt>
                <c:pt idx="18">
                  <c:v>2017</c:v>
                </c:pt>
                <c:pt idx="19">
                  <c:v>2018</c:v>
                </c:pt>
                <c:pt idx="20">
                  <c:v>2019</c:v>
                </c:pt>
              </c:strCache>
            </c:strRef>
          </c:cat>
          <c:val>
            <c:numRef>
              <c:f>Netdebt_NFL_historical!$G$22:$AA$22</c:f>
              <c:numCache>
                <c:formatCode>0.0</c:formatCode>
                <c:ptCount val="21"/>
                <c:pt idx="0">
                  <c:v>2.535533</c:v>
                </c:pt>
                <c:pt idx="1">
                  <c:v>2.9936789453400001</c:v>
                </c:pt>
                <c:pt idx="2">
                  <c:v>3.4413801023199997</c:v>
                </c:pt>
                <c:pt idx="3">
                  <c:v>3.6326594255699995</c:v>
                </c:pt>
                <c:pt idx="4">
                  <c:v>3.9367406130399969</c:v>
                </c:pt>
                <c:pt idx="5">
                  <c:v>5.3472697137699985</c:v>
                </c:pt>
                <c:pt idx="6">
                  <c:v>5.106340694790001</c:v>
                </c:pt>
                <c:pt idx="7">
                  <c:v>5.0450319728400039</c:v>
                </c:pt>
                <c:pt idx="8">
                  <c:v>4.4564279741199968</c:v>
                </c:pt>
                <c:pt idx="9">
                  <c:v>5.4</c:v>
                </c:pt>
                <c:pt idx="10">
                  <c:v>6.4360999999999988</c:v>
                </c:pt>
                <c:pt idx="11">
                  <c:v>7.1023000000000032</c:v>
                </c:pt>
                <c:pt idx="12">
                  <c:v>6.4828557091400079</c:v>
                </c:pt>
                <c:pt idx="13">
                  <c:v>6.8655706185099952</c:v>
                </c:pt>
                <c:pt idx="14">
                  <c:v>6.4268905358800854</c:v>
                </c:pt>
                <c:pt idx="15">
                  <c:v>6.5244726854699913</c:v>
                </c:pt>
                <c:pt idx="16">
                  <c:v>6.4761999999999986</c:v>
                </c:pt>
                <c:pt idx="17">
                  <c:v>6.3891219856200001</c:v>
                </c:pt>
                <c:pt idx="18">
                  <c:v>6.5646279089100004</c:v>
                </c:pt>
                <c:pt idx="19">
                  <c:v>6.6909959178299996</c:v>
                </c:pt>
                <c:pt idx="20">
                  <c:v>6.6461083303099997</c:v>
                </c:pt>
              </c:numCache>
            </c:numRef>
          </c:val>
        </c:ser>
        <c:dLbls>
          <c:showLegendKey val="0"/>
          <c:showVal val="0"/>
          <c:showCatName val="0"/>
          <c:showSerName val="0"/>
          <c:showPercent val="0"/>
          <c:showBubbleSize val="0"/>
        </c:dLbls>
        <c:gapWidth val="105"/>
        <c:overlap val="100"/>
        <c:axId val="35268096"/>
        <c:axId val="35269632"/>
      </c:barChart>
      <c:lineChart>
        <c:grouping val="standard"/>
        <c:varyColors val="0"/>
        <c:ser>
          <c:idx val="3"/>
          <c:order val="3"/>
          <c:tx>
            <c:strRef>
              <c:f>Netdebt_NFL_historical!$B$28</c:f>
              <c:strCache>
                <c:ptCount val="1"/>
                <c:pt idx="0">
                  <c:v>General government sector net financial liabilities to GSP (RHS)</c:v>
                </c:pt>
              </c:strCache>
            </c:strRef>
          </c:tx>
          <c:spPr>
            <a:ln w="25400">
              <a:solidFill>
                <a:srgbClr val="333333"/>
              </a:solidFill>
            </a:ln>
          </c:spPr>
          <c:marker>
            <c:symbol val="none"/>
          </c:marker>
          <c:val>
            <c:numRef>
              <c:f>Netdebt_NFL_historical!$G$28:$AA$28</c:f>
              <c:numCache>
                <c:formatCode>0.0</c:formatCode>
                <c:ptCount val="21"/>
                <c:pt idx="0">
                  <c:v>12.14170917376557</c:v>
                </c:pt>
                <c:pt idx="1">
                  <c:v>11.104419537151994</c:v>
                </c:pt>
                <c:pt idx="2">
                  <c:v>9.9727235862384642</c:v>
                </c:pt>
                <c:pt idx="3">
                  <c:v>9.6330464700020233</c:v>
                </c:pt>
                <c:pt idx="4">
                  <c:v>9.3022768959381477</c:v>
                </c:pt>
                <c:pt idx="5">
                  <c:v>8.6850896741449866</c:v>
                </c:pt>
                <c:pt idx="6">
                  <c:v>9.8832420842015818</c:v>
                </c:pt>
                <c:pt idx="7">
                  <c:v>8.1010994634917157</c:v>
                </c:pt>
                <c:pt idx="8">
                  <c:v>6.6954248122307085</c:v>
                </c:pt>
                <c:pt idx="9">
                  <c:v>7.4285547819500684</c:v>
                </c:pt>
                <c:pt idx="10">
                  <c:v>11.501679103153023</c:v>
                </c:pt>
                <c:pt idx="11">
                  <c:v>12.713612356549204</c:v>
                </c:pt>
                <c:pt idx="12">
                  <c:v>13.18300643112601</c:v>
                </c:pt>
                <c:pt idx="13">
                  <c:v>16.754164037661646</c:v>
                </c:pt>
                <c:pt idx="14">
                  <c:v>15.376972392420333</c:v>
                </c:pt>
                <c:pt idx="15">
                  <c:v>15.538469965204207</c:v>
                </c:pt>
                <c:pt idx="16">
                  <c:v>15.185189294133961</c:v>
                </c:pt>
                <c:pt idx="17">
                  <c:v>13.403105197095828</c:v>
                </c:pt>
                <c:pt idx="18">
                  <c:v>13.011324384992651</c:v>
                </c:pt>
                <c:pt idx="19">
                  <c:v>12.190585957504926</c:v>
                </c:pt>
                <c:pt idx="20">
                  <c:v>11.508945498333661</c:v>
                </c:pt>
              </c:numCache>
            </c:numRef>
          </c:val>
          <c:smooth val="0"/>
        </c:ser>
        <c:dLbls>
          <c:showLegendKey val="0"/>
          <c:showVal val="0"/>
          <c:showCatName val="0"/>
          <c:showSerName val="0"/>
          <c:showPercent val="0"/>
          <c:showBubbleSize val="0"/>
        </c:dLbls>
        <c:marker val="1"/>
        <c:smooth val="0"/>
        <c:axId val="35273728"/>
        <c:axId val="35271808"/>
      </c:lineChart>
      <c:catAx>
        <c:axId val="35268096"/>
        <c:scaling>
          <c:orientation val="minMax"/>
        </c:scaling>
        <c:delete val="0"/>
        <c:axPos val="b"/>
        <c:majorTickMark val="out"/>
        <c:minorTickMark val="none"/>
        <c:tickLblPos val="nextTo"/>
        <c:txPr>
          <a:bodyPr rot="0"/>
          <a:lstStyle/>
          <a:p>
            <a:pPr>
              <a:defRPr/>
            </a:pPr>
            <a:endParaRPr lang="en-US"/>
          </a:p>
        </c:txPr>
        <c:crossAx val="35269632"/>
        <c:crosses val="autoZero"/>
        <c:auto val="1"/>
        <c:lblAlgn val="ctr"/>
        <c:lblOffset val="100"/>
        <c:tickMarkSkip val="1"/>
        <c:noMultiLvlLbl val="0"/>
      </c:catAx>
      <c:valAx>
        <c:axId val="35269632"/>
        <c:scaling>
          <c:orientation val="minMax"/>
          <c:max val="70"/>
        </c:scaling>
        <c:delete val="0"/>
        <c:axPos val="l"/>
        <c:majorGridlines>
          <c:spPr>
            <a:ln>
              <a:prstDash val="dash"/>
            </a:ln>
          </c:spPr>
        </c:majorGridlines>
        <c:title>
          <c:tx>
            <c:rich>
              <a:bodyPr rot="-5400000" vert="horz"/>
              <a:lstStyle/>
              <a:p>
                <a:pPr>
                  <a:defRPr sz="800" b="0" i="1"/>
                </a:pPr>
                <a:r>
                  <a:rPr lang="en-AU" sz="800" b="0" i="1"/>
                  <a:t>$ billion</a:t>
                </a:r>
              </a:p>
            </c:rich>
          </c:tx>
          <c:overlay val="0"/>
        </c:title>
        <c:numFmt formatCode="0" sourceLinked="0"/>
        <c:majorTickMark val="out"/>
        <c:minorTickMark val="none"/>
        <c:tickLblPos val="nextTo"/>
        <c:crossAx val="35268096"/>
        <c:crosses val="autoZero"/>
        <c:crossBetween val="between"/>
      </c:valAx>
      <c:valAx>
        <c:axId val="35271808"/>
        <c:scaling>
          <c:orientation val="minMax"/>
          <c:max val="21"/>
          <c:min val="0"/>
        </c:scaling>
        <c:delete val="0"/>
        <c:axPos val="r"/>
        <c:title>
          <c:tx>
            <c:rich>
              <a:bodyPr rot="-5400000" vert="horz"/>
              <a:lstStyle/>
              <a:p>
                <a:pPr>
                  <a:defRPr sz="800" b="0" i="1" baseline="0"/>
                </a:pPr>
                <a:r>
                  <a:rPr lang="en-AU" sz="800" b="0" i="1" baseline="0"/>
                  <a:t>per cent of GSP</a:t>
                </a:r>
              </a:p>
            </c:rich>
          </c:tx>
          <c:overlay val="0"/>
        </c:title>
        <c:numFmt formatCode="0" sourceLinked="0"/>
        <c:majorTickMark val="out"/>
        <c:minorTickMark val="none"/>
        <c:tickLblPos val="nextTo"/>
        <c:crossAx val="35273728"/>
        <c:crosses val="max"/>
        <c:crossBetween val="between"/>
        <c:majorUnit val="3"/>
      </c:valAx>
      <c:catAx>
        <c:axId val="35273728"/>
        <c:scaling>
          <c:orientation val="minMax"/>
        </c:scaling>
        <c:delete val="1"/>
        <c:axPos val="b"/>
        <c:majorTickMark val="out"/>
        <c:minorTickMark val="none"/>
        <c:tickLblPos val="nextTo"/>
        <c:crossAx val="35271808"/>
        <c:crosses val="autoZero"/>
        <c:auto val="1"/>
        <c:lblAlgn val="ctr"/>
        <c:lblOffset val="100"/>
        <c:noMultiLvlLbl val="0"/>
      </c:catAx>
    </c:plotArea>
    <c:legend>
      <c:legendPos val="b"/>
      <c:layout>
        <c:manualLayout>
          <c:xMode val="edge"/>
          <c:yMode val="edge"/>
          <c:x val="0.15247251822204064"/>
          <c:y val="0.82350174272115273"/>
          <c:w val="0.69904926382343457"/>
          <c:h val="0.17625603251206504"/>
        </c:manualLayout>
      </c:layout>
      <c:overlay val="0"/>
      <c:txPr>
        <a:bodyPr/>
        <a:lstStyle/>
        <a:p>
          <a:pPr>
            <a:defRPr sz="800"/>
          </a:pPr>
          <a:endParaRPr lang="en-US"/>
        </a:p>
      </c:txPr>
    </c:legend>
    <c:plotVisOnly val="1"/>
    <c:dispBlanksAs val="gap"/>
    <c:showDLblsOverMax val="0"/>
  </c:chart>
  <c:spPr>
    <a:ln>
      <a:noFill/>
    </a:ln>
  </c:spPr>
  <c:txPr>
    <a:bodyPr/>
    <a:lstStyle/>
    <a:p>
      <a:pPr>
        <a:defRPr sz="900"/>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2F7443-A37B-4639-AA9E-F46764D88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Budget_B5.dotm</Template>
  <TotalTime>1</TotalTime>
  <Pages>144</Pages>
  <Words>38066</Words>
  <Characters>216977</Characters>
  <Application>Microsoft Office Word</Application>
  <DocSecurity>0</DocSecurity>
  <Lines>1808</Lines>
  <Paragraphs>509</Paragraphs>
  <ScaleCrop>false</ScaleCrop>
  <HeadingPairs>
    <vt:vector size="2" baseType="variant">
      <vt:variant>
        <vt:lpstr>Title</vt:lpstr>
      </vt:variant>
      <vt:variant>
        <vt:i4>1</vt:i4>
      </vt:variant>
    </vt:vector>
  </HeadingPairs>
  <TitlesOfParts>
    <vt:vector size="1" baseType="lpstr">
      <vt:lpstr>Draft No</vt:lpstr>
    </vt:vector>
  </TitlesOfParts>
  <Company>DTF</Company>
  <LinksUpToDate>false</LinksUpToDate>
  <CharactersWithSpaces>254534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No</dc:title>
  <dc:creator>Deidre Steain</dc:creator>
  <cp:lastModifiedBy>Deidre Steain</cp:lastModifiedBy>
  <cp:revision>3</cp:revision>
  <cp:lastPrinted>2015-11-23T05:05:00Z</cp:lastPrinted>
  <dcterms:created xsi:type="dcterms:W3CDTF">2015-11-26T04:35:00Z</dcterms:created>
  <dcterms:modified xsi:type="dcterms:W3CDTF">2015-11-26T04:55:00Z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998e73b9-c251-402e-b72c-bf34f6ce27da</vt:lpwstr>
  </property>
  <property fmtid="{D5CDD505-2E9C-101B-9397-08002B2CF9AE}" pid="3" name="PSPFClassification">
    <vt:lpwstr>Do Not Mark</vt:lpwstr>
  </property>
</Properties>
</file>