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9A" w:rsidRPr="007B2462" w:rsidRDefault="00566E9A" w:rsidP="00B47029">
      <w:pPr>
        <w:pBdr>
          <w:bottom w:val="single" w:sz="12" w:space="0" w:color="auto"/>
        </w:pBdr>
        <w:spacing w:before="1560"/>
        <w:jc w:val="center"/>
        <w:rPr>
          <w:rFonts w:ascii="Calibri" w:hAnsi="Calibri"/>
          <w:b/>
          <w:sz w:val="52"/>
          <w:szCs w:val="52"/>
        </w:rPr>
      </w:pPr>
      <w:r w:rsidRPr="007B2462">
        <w:rPr>
          <w:rFonts w:ascii="Calibri" w:hAnsi="Calibri"/>
          <w:b/>
          <w:sz w:val="52"/>
          <w:szCs w:val="52"/>
        </w:rPr>
        <w:t>201</w:t>
      </w:r>
      <w:r>
        <w:rPr>
          <w:rFonts w:ascii="Calibri" w:hAnsi="Calibri"/>
          <w:b/>
          <w:sz w:val="52"/>
          <w:szCs w:val="52"/>
        </w:rPr>
        <w:t>6</w:t>
      </w:r>
      <w:r>
        <w:rPr>
          <w:rFonts w:ascii="Calibri" w:hAnsi="Calibri"/>
          <w:b/>
          <w:sz w:val="52"/>
          <w:szCs w:val="52"/>
        </w:rPr>
        <w:noBreakHyphen/>
        <w:t>17</w:t>
      </w:r>
    </w:p>
    <w:p w:rsidR="00566E9A" w:rsidRDefault="00566E9A" w:rsidP="00B47029">
      <w:pPr>
        <w:jc w:val="center"/>
        <w:rPr>
          <w:rFonts w:ascii="Calibri" w:hAnsi="Calibri"/>
          <w:sz w:val="30"/>
          <w:szCs w:val="30"/>
        </w:rPr>
      </w:pPr>
      <w:r>
        <w:rPr>
          <w:rFonts w:ascii="Calibri" w:hAnsi="Calibri"/>
          <w:b/>
          <w:sz w:val="52"/>
          <w:szCs w:val="52"/>
        </w:rPr>
        <w:t>Budget Update</w:t>
      </w:r>
    </w:p>
    <w:p w:rsidR="00566E9A" w:rsidRPr="007B2462" w:rsidRDefault="00566E9A" w:rsidP="00B47029">
      <w:pPr>
        <w:jc w:val="center"/>
        <w:rPr>
          <w:rFonts w:ascii="Calibri" w:hAnsi="Calibri"/>
          <w:sz w:val="30"/>
          <w:szCs w:val="30"/>
        </w:rPr>
      </w:pPr>
    </w:p>
    <w:p w:rsidR="00566E9A" w:rsidRPr="007B2462" w:rsidRDefault="00566E9A" w:rsidP="00B47029">
      <w:pPr>
        <w:jc w:val="center"/>
      </w:pPr>
      <w:r w:rsidRPr="00D26163">
        <w:rPr>
          <w:rFonts w:ascii="Calibri" w:hAnsi="Calibri" w:cs="Calibri"/>
          <w:noProof/>
        </w:rPr>
        <w:drawing>
          <wp:inline distT="0" distB="0" distL="0" distR="0" wp14:anchorId="6003F250" wp14:editId="1273D9DB">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566E9A" w:rsidRPr="007B2462" w:rsidRDefault="00566E9A" w:rsidP="00B47029">
      <w:pPr>
        <w:jc w:val="center"/>
        <w:rPr>
          <w:sz w:val="36"/>
          <w:szCs w:val="36"/>
        </w:rPr>
      </w:pPr>
    </w:p>
    <w:p w:rsidR="00566E9A" w:rsidRPr="007B2462" w:rsidRDefault="00566E9A" w:rsidP="00B47029">
      <w:pPr>
        <w:jc w:val="center"/>
        <w:rPr>
          <w:sz w:val="36"/>
          <w:szCs w:val="36"/>
        </w:rPr>
      </w:pPr>
    </w:p>
    <w:p w:rsidR="00566E9A" w:rsidRPr="007B2462" w:rsidRDefault="00566E9A" w:rsidP="00B47029">
      <w:pPr>
        <w:jc w:val="center"/>
        <w:rPr>
          <w:sz w:val="36"/>
          <w:szCs w:val="36"/>
        </w:rPr>
      </w:pPr>
    </w:p>
    <w:p w:rsidR="00566E9A" w:rsidRPr="007B2462" w:rsidRDefault="00566E9A" w:rsidP="00B47029">
      <w:pPr>
        <w:jc w:val="center"/>
        <w:rPr>
          <w:rFonts w:ascii="Calibri" w:hAnsi="Calibri"/>
          <w:sz w:val="28"/>
          <w:szCs w:val="28"/>
        </w:rPr>
      </w:pPr>
      <w:r w:rsidRPr="007B2462">
        <w:rPr>
          <w:rFonts w:ascii="Calibri" w:hAnsi="Calibri"/>
          <w:sz w:val="28"/>
          <w:szCs w:val="28"/>
        </w:rPr>
        <w:t>Presented by</w:t>
      </w:r>
    </w:p>
    <w:p w:rsidR="00566E9A" w:rsidRPr="00D26163" w:rsidRDefault="00566E9A" w:rsidP="00B47029">
      <w:pPr>
        <w:jc w:val="center"/>
        <w:rPr>
          <w:rFonts w:ascii="Calibri" w:hAnsi="Calibri" w:cs="Calibri"/>
          <w:b/>
          <w:sz w:val="36"/>
          <w:szCs w:val="36"/>
        </w:rPr>
      </w:pPr>
      <w:r w:rsidRPr="00D26163">
        <w:rPr>
          <w:rFonts w:ascii="Calibri" w:hAnsi="Calibri" w:cs="Calibri"/>
          <w:b/>
          <w:sz w:val="36"/>
          <w:szCs w:val="36"/>
        </w:rPr>
        <w:t>Tim Pallas MP</w:t>
      </w:r>
    </w:p>
    <w:p w:rsidR="00566E9A" w:rsidRPr="00D26163" w:rsidRDefault="00566E9A" w:rsidP="00B47029">
      <w:pPr>
        <w:jc w:val="center"/>
        <w:rPr>
          <w:rFonts w:ascii="Calibri" w:hAnsi="Calibri" w:cs="Calibri"/>
          <w:sz w:val="28"/>
          <w:szCs w:val="28"/>
        </w:rPr>
      </w:pPr>
      <w:r w:rsidRPr="00D26163">
        <w:rPr>
          <w:rFonts w:ascii="Calibri" w:hAnsi="Calibri" w:cs="Calibri"/>
          <w:sz w:val="28"/>
          <w:szCs w:val="28"/>
        </w:rPr>
        <w:t>Treasurer of the State of Victoria</w:t>
      </w:r>
    </w:p>
    <w:p w:rsidR="00566E9A" w:rsidRPr="007B2462" w:rsidRDefault="00566E9A" w:rsidP="00B47029">
      <w:pPr>
        <w:jc w:val="center"/>
        <w:rPr>
          <w:rFonts w:ascii="Calibri" w:hAnsi="Calibri"/>
          <w:sz w:val="30"/>
          <w:szCs w:val="30"/>
        </w:rPr>
      </w:pPr>
      <w:r w:rsidRPr="007B2462">
        <w:rPr>
          <w:rFonts w:ascii="Calibri" w:hAnsi="Calibri"/>
          <w:sz w:val="30"/>
          <w:szCs w:val="30"/>
        </w:rPr>
        <w:t>for the information of Honourable Members</w:t>
      </w:r>
    </w:p>
    <w:p w:rsidR="00566E9A" w:rsidRDefault="00566E9A" w:rsidP="00E8253B">
      <w:pPr>
        <w:rPr>
          <w:rFonts w:eastAsiaTheme="minorHAnsi"/>
        </w:rPr>
      </w:pPr>
    </w:p>
    <w:p w:rsidR="009E1D64" w:rsidRDefault="009E1D64">
      <w:pPr>
        <w:rPr>
          <w:rFonts w:eastAsiaTheme="minorHAnsi"/>
        </w:rPr>
      </w:pPr>
      <w:r>
        <w:rPr>
          <w:rFonts w:eastAsiaTheme="minorHAnsi"/>
        </w:rPr>
        <w:br w:type="page"/>
      </w:r>
    </w:p>
    <w:p w:rsidR="00B3028D" w:rsidRDefault="00B3028D" w:rsidP="009E1D64">
      <w:pPr>
        <w:spacing w:before="2800"/>
        <w:rPr>
          <w:rFonts w:eastAsiaTheme="minorHAnsi"/>
        </w:rPr>
      </w:pPr>
    </w:p>
    <w:p w:rsidR="009E1D64" w:rsidRDefault="009E1D64" w:rsidP="00B3028D">
      <w:pPr>
        <w:spacing w:before="3400"/>
        <w:rPr>
          <w:rFonts w:eastAsiaTheme="minorHAnsi"/>
        </w:rPr>
      </w:pPr>
      <w:r w:rsidRPr="009E1D64">
        <w:rPr>
          <w:rFonts w:eastAsiaTheme="minorHAnsi"/>
        </w:rPr>
        <w:drawing>
          <wp:inline distT="0" distB="0" distL="0" distR="0">
            <wp:extent cx="3028950" cy="490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4905375"/>
                    </a:xfrm>
                    <a:prstGeom prst="rect">
                      <a:avLst/>
                    </a:prstGeom>
                    <a:noFill/>
                    <a:ln>
                      <a:noFill/>
                    </a:ln>
                  </pic:spPr>
                </pic:pic>
              </a:graphicData>
            </a:graphic>
          </wp:inline>
        </w:drawing>
      </w:r>
    </w:p>
    <w:p w:rsidR="009E1D64" w:rsidRDefault="009E1D64" w:rsidP="00E8253B">
      <w:pPr>
        <w:rPr>
          <w:rFonts w:eastAsiaTheme="minorHAnsi"/>
        </w:rPr>
      </w:pPr>
    </w:p>
    <w:p w:rsidR="009E1D64" w:rsidRDefault="009E1D64" w:rsidP="00E8253B">
      <w:pPr>
        <w:rPr>
          <w:rFonts w:eastAsiaTheme="minorHAnsi"/>
        </w:rPr>
        <w:sectPr w:rsidR="009E1D64" w:rsidSect="00F302FC">
          <w:footerReference w:type="even" r:id="rId11"/>
          <w:type w:val="oddPage"/>
          <w:pgSz w:w="9979" w:h="14181" w:code="138"/>
          <w:pgMar w:top="1138" w:right="1138" w:bottom="1138" w:left="1138" w:header="720" w:footer="432" w:gutter="0"/>
          <w:cols w:space="708"/>
          <w:docGrid w:linePitch="360"/>
        </w:sectPr>
      </w:pPr>
    </w:p>
    <w:p w:rsidR="00566E9A" w:rsidRDefault="00566E9A" w:rsidP="00FA720C">
      <w:pPr>
        <w:pStyle w:val="TableofContentsheading"/>
        <w:spacing w:before="1200"/>
        <w:rPr>
          <w:rFonts w:eastAsiaTheme="minorHAnsi"/>
        </w:rPr>
      </w:pPr>
      <w:r w:rsidRPr="00B47029">
        <w:rPr>
          <w:rFonts w:eastAsiaTheme="minorHAnsi"/>
        </w:rPr>
        <w:lastRenderedPageBreak/>
        <w:t>Table of contents</w:t>
      </w:r>
    </w:p>
    <w:p w:rsidR="009B70F1" w:rsidRDefault="00566E9A">
      <w:pPr>
        <w:pStyle w:val="TOC1"/>
        <w:rPr>
          <w:rFonts w:asciiTheme="minorHAnsi" w:eastAsiaTheme="minorEastAsia" w:hAnsiTheme="minorHAnsi" w:cstheme="minorBidi"/>
          <w:b w:val="0"/>
          <w:noProof/>
          <w:sz w:val="22"/>
        </w:rPr>
      </w:pPr>
      <w:r>
        <w:rPr>
          <w:rFonts w:ascii="Calibri" w:hAnsi="Calibri"/>
        </w:rPr>
        <w:fldChar w:fldCharType="begin"/>
      </w:r>
      <w:r>
        <w:instrText xml:space="preserve"> TOC \h \z \t "Heading 1,2,Chapter Heading,1" </w:instrText>
      </w:r>
      <w:r>
        <w:rPr>
          <w:rFonts w:ascii="Calibri" w:hAnsi="Calibri"/>
        </w:rPr>
        <w:fldChar w:fldCharType="separate"/>
      </w:r>
      <w:hyperlink w:anchor="_Toc468983273" w:history="1">
        <w:r w:rsidR="009B70F1" w:rsidRPr="00E81744">
          <w:rPr>
            <w:rStyle w:val="Hyperlink"/>
            <w:rFonts w:eastAsiaTheme="minorHAnsi"/>
            <w:noProof/>
          </w:rPr>
          <w:t>Chapter 1 – Economic and fiscal overview</w:t>
        </w:r>
        <w:r w:rsidR="009B70F1">
          <w:rPr>
            <w:noProof/>
            <w:webHidden/>
          </w:rPr>
          <w:tab/>
        </w:r>
        <w:r w:rsidR="009B70F1">
          <w:rPr>
            <w:noProof/>
            <w:webHidden/>
          </w:rPr>
          <w:fldChar w:fldCharType="begin"/>
        </w:r>
        <w:r w:rsidR="009B70F1">
          <w:rPr>
            <w:noProof/>
            <w:webHidden/>
          </w:rPr>
          <w:instrText xml:space="preserve"> PAGEREF _Toc468983273 \h </w:instrText>
        </w:r>
        <w:r w:rsidR="009B70F1">
          <w:rPr>
            <w:noProof/>
            <w:webHidden/>
          </w:rPr>
        </w:r>
        <w:r w:rsidR="009B70F1">
          <w:rPr>
            <w:noProof/>
            <w:webHidden/>
          </w:rPr>
          <w:fldChar w:fldCharType="separate"/>
        </w:r>
        <w:r w:rsidR="00287C3E">
          <w:rPr>
            <w:noProof/>
            <w:webHidden/>
          </w:rPr>
          <w:t>1</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74" w:history="1">
        <w:r w:rsidR="009B70F1" w:rsidRPr="00E81744">
          <w:rPr>
            <w:rStyle w:val="Hyperlink"/>
            <w:rFonts w:eastAsiaTheme="minorHAnsi"/>
            <w:noProof/>
          </w:rPr>
          <w:t>Chapter 2 – Economic context</w:t>
        </w:r>
        <w:r w:rsidR="009B70F1">
          <w:rPr>
            <w:noProof/>
            <w:webHidden/>
          </w:rPr>
          <w:tab/>
        </w:r>
        <w:r w:rsidR="009B70F1">
          <w:rPr>
            <w:noProof/>
            <w:webHidden/>
          </w:rPr>
          <w:fldChar w:fldCharType="begin"/>
        </w:r>
        <w:r w:rsidR="009B70F1">
          <w:rPr>
            <w:noProof/>
            <w:webHidden/>
          </w:rPr>
          <w:instrText xml:space="preserve"> PAGEREF _Toc468983274 \h </w:instrText>
        </w:r>
        <w:r w:rsidR="009B70F1">
          <w:rPr>
            <w:noProof/>
            <w:webHidden/>
          </w:rPr>
        </w:r>
        <w:r w:rsidR="009B70F1">
          <w:rPr>
            <w:noProof/>
            <w:webHidden/>
          </w:rPr>
          <w:fldChar w:fldCharType="separate"/>
        </w:r>
        <w:r w:rsidR="00287C3E">
          <w:rPr>
            <w:noProof/>
            <w:webHidden/>
          </w:rPr>
          <w:t>5</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75" w:history="1">
        <w:r w:rsidR="009B70F1" w:rsidRPr="00E81744">
          <w:rPr>
            <w:rStyle w:val="Hyperlink"/>
            <w:noProof/>
          </w:rPr>
          <w:t>Economic overview</w:t>
        </w:r>
        <w:r w:rsidR="009B70F1">
          <w:rPr>
            <w:noProof/>
            <w:webHidden/>
          </w:rPr>
          <w:tab/>
        </w:r>
        <w:r w:rsidR="009B70F1">
          <w:rPr>
            <w:noProof/>
            <w:webHidden/>
          </w:rPr>
          <w:fldChar w:fldCharType="begin"/>
        </w:r>
        <w:r w:rsidR="009B70F1">
          <w:rPr>
            <w:noProof/>
            <w:webHidden/>
          </w:rPr>
          <w:instrText xml:space="preserve"> PAGEREF _Toc468983275 \h </w:instrText>
        </w:r>
        <w:r w:rsidR="009B70F1">
          <w:rPr>
            <w:noProof/>
            <w:webHidden/>
          </w:rPr>
        </w:r>
        <w:r w:rsidR="009B70F1">
          <w:rPr>
            <w:noProof/>
            <w:webHidden/>
          </w:rPr>
          <w:fldChar w:fldCharType="separate"/>
        </w:r>
        <w:r w:rsidR="00287C3E">
          <w:rPr>
            <w:noProof/>
            <w:webHidden/>
          </w:rPr>
          <w:t>5</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76" w:history="1">
        <w:r w:rsidR="009B70F1" w:rsidRPr="00E81744">
          <w:rPr>
            <w:rStyle w:val="Hyperlink"/>
            <w:rFonts w:eastAsiaTheme="minorHAnsi"/>
            <w:noProof/>
          </w:rPr>
          <w:t>Chapter 3 – Budget position and outlook</w:t>
        </w:r>
        <w:r w:rsidR="009B70F1">
          <w:rPr>
            <w:noProof/>
            <w:webHidden/>
          </w:rPr>
          <w:tab/>
        </w:r>
        <w:r w:rsidR="009B70F1">
          <w:rPr>
            <w:noProof/>
            <w:webHidden/>
          </w:rPr>
          <w:fldChar w:fldCharType="begin"/>
        </w:r>
        <w:r w:rsidR="009B70F1">
          <w:rPr>
            <w:noProof/>
            <w:webHidden/>
          </w:rPr>
          <w:instrText xml:space="preserve"> PAGEREF _Toc468983276 \h </w:instrText>
        </w:r>
        <w:r w:rsidR="009B70F1">
          <w:rPr>
            <w:noProof/>
            <w:webHidden/>
          </w:rPr>
        </w:r>
        <w:r w:rsidR="009B70F1">
          <w:rPr>
            <w:noProof/>
            <w:webHidden/>
          </w:rPr>
          <w:fldChar w:fldCharType="separate"/>
        </w:r>
        <w:r w:rsidR="00287C3E">
          <w:rPr>
            <w:noProof/>
            <w:webHidden/>
          </w:rPr>
          <w:t>11</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77" w:history="1">
        <w:r w:rsidR="009B70F1" w:rsidRPr="00E81744">
          <w:rPr>
            <w:rStyle w:val="Hyperlink"/>
            <w:noProof/>
          </w:rPr>
          <w:t>General government sector</w:t>
        </w:r>
        <w:r w:rsidR="009B70F1">
          <w:rPr>
            <w:noProof/>
            <w:webHidden/>
          </w:rPr>
          <w:tab/>
        </w:r>
        <w:r w:rsidR="009B70F1">
          <w:rPr>
            <w:noProof/>
            <w:webHidden/>
          </w:rPr>
          <w:fldChar w:fldCharType="begin"/>
        </w:r>
        <w:r w:rsidR="009B70F1">
          <w:rPr>
            <w:noProof/>
            <w:webHidden/>
          </w:rPr>
          <w:instrText xml:space="preserve"> PAGEREF _Toc468983277 \h </w:instrText>
        </w:r>
        <w:r w:rsidR="009B70F1">
          <w:rPr>
            <w:noProof/>
            <w:webHidden/>
          </w:rPr>
        </w:r>
        <w:r w:rsidR="009B70F1">
          <w:rPr>
            <w:noProof/>
            <w:webHidden/>
          </w:rPr>
          <w:fldChar w:fldCharType="separate"/>
        </w:r>
        <w:r w:rsidR="00287C3E">
          <w:rPr>
            <w:noProof/>
            <w:webHidden/>
          </w:rPr>
          <w:t>12</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78" w:history="1">
        <w:r w:rsidR="009B70F1" w:rsidRPr="00E81744">
          <w:rPr>
            <w:rStyle w:val="Hyperlink"/>
            <w:noProof/>
          </w:rPr>
          <w:t>Budget and forward estimates outlook</w:t>
        </w:r>
        <w:r w:rsidR="009B70F1">
          <w:rPr>
            <w:noProof/>
            <w:webHidden/>
          </w:rPr>
          <w:tab/>
        </w:r>
        <w:r w:rsidR="009B70F1">
          <w:rPr>
            <w:noProof/>
            <w:webHidden/>
          </w:rPr>
          <w:fldChar w:fldCharType="begin"/>
        </w:r>
        <w:r w:rsidR="009B70F1">
          <w:rPr>
            <w:noProof/>
            <w:webHidden/>
          </w:rPr>
          <w:instrText xml:space="preserve"> PAGEREF _Toc468983278 \h </w:instrText>
        </w:r>
        <w:r w:rsidR="009B70F1">
          <w:rPr>
            <w:noProof/>
            <w:webHidden/>
          </w:rPr>
        </w:r>
        <w:r w:rsidR="009B70F1">
          <w:rPr>
            <w:noProof/>
            <w:webHidden/>
          </w:rPr>
          <w:fldChar w:fldCharType="separate"/>
        </w:r>
        <w:r w:rsidR="00287C3E">
          <w:rPr>
            <w:noProof/>
            <w:webHidden/>
          </w:rPr>
          <w:t>13</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79" w:history="1">
        <w:r w:rsidR="009B70F1" w:rsidRPr="00E81744">
          <w:rPr>
            <w:rStyle w:val="Hyperlink"/>
            <w:noProof/>
          </w:rPr>
          <w:t>Fiscal risks</w:t>
        </w:r>
        <w:r w:rsidR="009B70F1">
          <w:rPr>
            <w:noProof/>
            <w:webHidden/>
          </w:rPr>
          <w:tab/>
        </w:r>
        <w:r w:rsidR="009B70F1">
          <w:rPr>
            <w:noProof/>
            <w:webHidden/>
          </w:rPr>
          <w:fldChar w:fldCharType="begin"/>
        </w:r>
        <w:r w:rsidR="009B70F1">
          <w:rPr>
            <w:noProof/>
            <w:webHidden/>
          </w:rPr>
          <w:instrText xml:space="preserve"> PAGEREF _Toc468983279 \h </w:instrText>
        </w:r>
        <w:r w:rsidR="009B70F1">
          <w:rPr>
            <w:noProof/>
            <w:webHidden/>
          </w:rPr>
        </w:r>
        <w:r w:rsidR="009B70F1">
          <w:rPr>
            <w:noProof/>
            <w:webHidden/>
          </w:rPr>
          <w:fldChar w:fldCharType="separate"/>
        </w:r>
        <w:r w:rsidR="00287C3E">
          <w:rPr>
            <w:noProof/>
            <w:webHidden/>
          </w:rPr>
          <w:t>23</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0" w:history="1">
        <w:r w:rsidR="009B70F1" w:rsidRPr="00E81744">
          <w:rPr>
            <w:rStyle w:val="Hyperlink"/>
            <w:rFonts w:eastAsiaTheme="minorHAnsi"/>
            <w:noProof/>
          </w:rPr>
          <w:t>Non</w:t>
        </w:r>
        <w:r w:rsidR="009B70F1" w:rsidRPr="00E81744">
          <w:rPr>
            <w:rStyle w:val="Hyperlink"/>
            <w:rFonts w:eastAsiaTheme="minorHAnsi"/>
            <w:noProof/>
          </w:rPr>
          <w:noBreakHyphen/>
          <w:t>financial public sector</w:t>
        </w:r>
        <w:r w:rsidR="009B70F1">
          <w:rPr>
            <w:noProof/>
            <w:webHidden/>
          </w:rPr>
          <w:tab/>
        </w:r>
        <w:r w:rsidR="009B70F1">
          <w:rPr>
            <w:noProof/>
            <w:webHidden/>
          </w:rPr>
          <w:fldChar w:fldCharType="begin"/>
        </w:r>
        <w:r w:rsidR="009B70F1">
          <w:rPr>
            <w:noProof/>
            <w:webHidden/>
          </w:rPr>
          <w:instrText xml:space="preserve"> PAGEREF _Toc468983280 \h </w:instrText>
        </w:r>
        <w:r w:rsidR="009B70F1">
          <w:rPr>
            <w:noProof/>
            <w:webHidden/>
          </w:rPr>
        </w:r>
        <w:r w:rsidR="009B70F1">
          <w:rPr>
            <w:noProof/>
            <w:webHidden/>
          </w:rPr>
          <w:fldChar w:fldCharType="separate"/>
        </w:r>
        <w:r w:rsidR="00287C3E">
          <w:rPr>
            <w:noProof/>
            <w:webHidden/>
          </w:rPr>
          <w:t>26</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1" w:history="1">
        <w:r w:rsidR="009B70F1" w:rsidRPr="00E81744">
          <w:rPr>
            <w:rStyle w:val="Hyperlink"/>
            <w:rFonts w:eastAsiaTheme="minorHAnsi"/>
            <w:noProof/>
          </w:rPr>
          <w:t>Non</w:t>
        </w:r>
        <w:r w:rsidR="009B70F1" w:rsidRPr="00E81744">
          <w:rPr>
            <w:rStyle w:val="Hyperlink"/>
            <w:rFonts w:eastAsiaTheme="minorHAnsi"/>
            <w:noProof/>
          </w:rPr>
          <w:noBreakHyphen/>
          <w:t>financial public sector net debt and net financial liabilities</w:t>
        </w:r>
        <w:r w:rsidR="009B70F1">
          <w:rPr>
            <w:noProof/>
            <w:webHidden/>
          </w:rPr>
          <w:tab/>
        </w:r>
        <w:r w:rsidR="009B70F1">
          <w:rPr>
            <w:noProof/>
            <w:webHidden/>
          </w:rPr>
          <w:fldChar w:fldCharType="begin"/>
        </w:r>
        <w:r w:rsidR="009B70F1">
          <w:rPr>
            <w:noProof/>
            <w:webHidden/>
          </w:rPr>
          <w:instrText xml:space="preserve"> PAGEREF _Toc468983281 \h </w:instrText>
        </w:r>
        <w:r w:rsidR="009B70F1">
          <w:rPr>
            <w:noProof/>
            <w:webHidden/>
          </w:rPr>
        </w:r>
        <w:r w:rsidR="009B70F1">
          <w:rPr>
            <w:noProof/>
            <w:webHidden/>
          </w:rPr>
          <w:fldChar w:fldCharType="separate"/>
        </w:r>
        <w:r w:rsidR="00287C3E">
          <w:rPr>
            <w:noProof/>
            <w:webHidden/>
          </w:rPr>
          <w:t>29</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2" w:history="1">
        <w:r w:rsidR="009B70F1" w:rsidRPr="00E81744">
          <w:rPr>
            <w:rStyle w:val="Hyperlink"/>
            <w:rFonts w:eastAsiaTheme="minorHAnsi"/>
            <w:noProof/>
          </w:rPr>
          <w:t>State of Victoria</w:t>
        </w:r>
        <w:r w:rsidR="009B70F1">
          <w:rPr>
            <w:noProof/>
            <w:webHidden/>
          </w:rPr>
          <w:tab/>
        </w:r>
        <w:r w:rsidR="009B70F1">
          <w:rPr>
            <w:noProof/>
            <w:webHidden/>
          </w:rPr>
          <w:fldChar w:fldCharType="begin"/>
        </w:r>
        <w:r w:rsidR="009B70F1">
          <w:rPr>
            <w:noProof/>
            <w:webHidden/>
          </w:rPr>
          <w:instrText xml:space="preserve"> PAGEREF _Toc468983282 \h </w:instrText>
        </w:r>
        <w:r w:rsidR="009B70F1">
          <w:rPr>
            <w:noProof/>
            <w:webHidden/>
          </w:rPr>
        </w:r>
        <w:r w:rsidR="009B70F1">
          <w:rPr>
            <w:noProof/>
            <w:webHidden/>
          </w:rPr>
          <w:fldChar w:fldCharType="separate"/>
        </w:r>
        <w:r w:rsidR="00287C3E">
          <w:rPr>
            <w:noProof/>
            <w:webHidden/>
          </w:rPr>
          <w:t>31</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83" w:history="1">
        <w:r w:rsidR="009B70F1" w:rsidRPr="00E81744">
          <w:rPr>
            <w:rStyle w:val="Hyperlink"/>
            <w:rFonts w:eastAsiaTheme="minorHAnsi"/>
            <w:noProof/>
          </w:rPr>
          <w:t>Chapter 4 – Estimated financial statements and notes</w:t>
        </w:r>
        <w:r w:rsidR="009B70F1">
          <w:rPr>
            <w:noProof/>
            <w:webHidden/>
          </w:rPr>
          <w:tab/>
        </w:r>
        <w:r w:rsidR="009B70F1">
          <w:rPr>
            <w:noProof/>
            <w:webHidden/>
          </w:rPr>
          <w:fldChar w:fldCharType="begin"/>
        </w:r>
        <w:r w:rsidR="009B70F1">
          <w:rPr>
            <w:noProof/>
            <w:webHidden/>
          </w:rPr>
          <w:instrText xml:space="preserve"> PAGEREF _Toc468983283 \h </w:instrText>
        </w:r>
        <w:r w:rsidR="009B70F1">
          <w:rPr>
            <w:noProof/>
            <w:webHidden/>
          </w:rPr>
        </w:r>
        <w:r w:rsidR="009B70F1">
          <w:rPr>
            <w:noProof/>
            <w:webHidden/>
          </w:rPr>
          <w:fldChar w:fldCharType="separate"/>
        </w:r>
        <w:r w:rsidR="00287C3E">
          <w:rPr>
            <w:noProof/>
            <w:webHidden/>
          </w:rPr>
          <w:t>33</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84" w:history="1">
        <w:r w:rsidR="009B70F1" w:rsidRPr="00E81744">
          <w:rPr>
            <w:rStyle w:val="Hyperlink"/>
            <w:rFonts w:eastAsiaTheme="minorHAnsi"/>
            <w:noProof/>
          </w:rPr>
          <w:t>Chapter 5 – Supplementary uniform presentation framework tables</w:t>
        </w:r>
        <w:r w:rsidR="009B70F1">
          <w:rPr>
            <w:noProof/>
            <w:webHidden/>
          </w:rPr>
          <w:tab/>
        </w:r>
        <w:r w:rsidR="009B70F1">
          <w:rPr>
            <w:noProof/>
            <w:webHidden/>
          </w:rPr>
          <w:fldChar w:fldCharType="begin"/>
        </w:r>
        <w:r w:rsidR="009B70F1">
          <w:rPr>
            <w:noProof/>
            <w:webHidden/>
          </w:rPr>
          <w:instrText xml:space="preserve"> PAGEREF _Toc468983284 \h </w:instrText>
        </w:r>
        <w:r w:rsidR="009B70F1">
          <w:rPr>
            <w:noProof/>
            <w:webHidden/>
          </w:rPr>
        </w:r>
        <w:r w:rsidR="009B70F1">
          <w:rPr>
            <w:noProof/>
            <w:webHidden/>
          </w:rPr>
          <w:fldChar w:fldCharType="separate"/>
        </w:r>
        <w:r w:rsidR="00287C3E">
          <w:rPr>
            <w:noProof/>
            <w:webHidden/>
          </w:rPr>
          <w:t>67</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5" w:history="1">
        <w:r w:rsidR="009B70F1" w:rsidRPr="00E81744">
          <w:rPr>
            <w:rStyle w:val="Hyperlink"/>
            <w:rFonts w:eastAsiaTheme="minorHAnsi"/>
            <w:noProof/>
          </w:rPr>
          <w:t>Victoria’s loan council allocation</w:t>
        </w:r>
        <w:r w:rsidR="009B70F1">
          <w:rPr>
            <w:noProof/>
            <w:webHidden/>
          </w:rPr>
          <w:tab/>
        </w:r>
        <w:r w:rsidR="009B70F1">
          <w:rPr>
            <w:noProof/>
            <w:webHidden/>
          </w:rPr>
          <w:fldChar w:fldCharType="begin"/>
        </w:r>
        <w:r w:rsidR="009B70F1">
          <w:rPr>
            <w:noProof/>
            <w:webHidden/>
          </w:rPr>
          <w:instrText xml:space="preserve"> PAGEREF _Toc468983285 \h </w:instrText>
        </w:r>
        <w:r w:rsidR="009B70F1">
          <w:rPr>
            <w:noProof/>
            <w:webHidden/>
          </w:rPr>
        </w:r>
        <w:r w:rsidR="009B70F1">
          <w:rPr>
            <w:noProof/>
            <w:webHidden/>
          </w:rPr>
          <w:fldChar w:fldCharType="separate"/>
        </w:r>
        <w:r w:rsidR="00287C3E">
          <w:rPr>
            <w:noProof/>
            <w:webHidden/>
          </w:rPr>
          <w:t>97</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6" w:history="1">
        <w:r w:rsidR="009B70F1" w:rsidRPr="00E81744">
          <w:rPr>
            <w:rStyle w:val="Hyperlink"/>
            <w:rFonts w:eastAsiaTheme="minorHAnsi"/>
            <w:noProof/>
          </w:rPr>
          <w:t>New infrastructure projects with private sector involvement</w:t>
        </w:r>
        <w:r w:rsidR="009B70F1">
          <w:rPr>
            <w:noProof/>
            <w:webHidden/>
          </w:rPr>
          <w:tab/>
        </w:r>
        <w:r w:rsidR="009B70F1">
          <w:rPr>
            <w:noProof/>
            <w:webHidden/>
          </w:rPr>
          <w:fldChar w:fldCharType="begin"/>
        </w:r>
        <w:r w:rsidR="009B70F1">
          <w:rPr>
            <w:noProof/>
            <w:webHidden/>
          </w:rPr>
          <w:instrText xml:space="preserve"> PAGEREF _Toc468983286 \h </w:instrText>
        </w:r>
        <w:r w:rsidR="009B70F1">
          <w:rPr>
            <w:noProof/>
            <w:webHidden/>
          </w:rPr>
        </w:r>
        <w:r w:rsidR="009B70F1">
          <w:rPr>
            <w:noProof/>
            <w:webHidden/>
          </w:rPr>
          <w:fldChar w:fldCharType="separate"/>
        </w:r>
        <w:r w:rsidR="00287C3E">
          <w:rPr>
            <w:noProof/>
            <w:webHidden/>
          </w:rPr>
          <w:t>98</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87" w:history="1">
        <w:r w:rsidR="009B70F1" w:rsidRPr="00E81744">
          <w:rPr>
            <w:rStyle w:val="Hyperlink"/>
            <w:rFonts w:eastAsiaTheme="minorHAnsi"/>
            <w:noProof/>
          </w:rPr>
          <w:t>Chapter 6 – Contingent assets and contingent liabilities</w:t>
        </w:r>
        <w:r w:rsidR="009B70F1">
          <w:rPr>
            <w:noProof/>
            <w:webHidden/>
          </w:rPr>
          <w:tab/>
        </w:r>
        <w:r w:rsidR="009B70F1">
          <w:rPr>
            <w:noProof/>
            <w:webHidden/>
          </w:rPr>
          <w:fldChar w:fldCharType="begin"/>
        </w:r>
        <w:r w:rsidR="009B70F1">
          <w:rPr>
            <w:noProof/>
            <w:webHidden/>
          </w:rPr>
          <w:instrText xml:space="preserve"> PAGEREF _Toc468983287 \h </w:instrText>
        </w:r>
        <w:r w:rsidR="009B70F1">
          <w:rPr>
            <w:noProof/>
            <w:webHidden/>
          </w:rPr>
        </w:r>
        <w:r w:rsidR="009B70F1">
          <w:rPr>
            <w:noProof/>
            <w:webHidden/>
          </w:rPr>
          <w:fldChar w:fldCharType="separate"/>
        </w:r>
        <w:r w:rsidR="00287C3E">
          <w:rPr>
            <w:noProof/>
            <w:webHidden/>
          </w:rPr>
          <w:t>99</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8" w:history="1">
        <w:r w:rsidR="009B70F1" w:rsidRPr="00E81744">
          <w:rPr>
            <w:rStyle w:val="Hyperlink"/>
            <w:noProof/>
          </w:rPr>
          <w:t>Contingent assets</w:t>
        </w:r>
        <w:r w:rsidR="009B70F1">
          <w:rPr>
            <w:noProof/>
            <w:webHidden/>
          </w:rPr>
          <w:tab/>
        </w:r>
        <w:r w:rsidR="009B70F1">
          <w:rPr>
            <w:noProof/>
            <w:webHidden/>
          </w:rPr>
          <w:fldChar w:fldCharType="begin"/>
        </w:r>
        <w:r w:rsidR="009B70F1">
          <w:rPr>
            <w:noProof/>
            <w:webHidden/>
          </w:rPr>
          <w:instrText xml:space="preserve"> PAGEREF _Toc468983288 \h </w:instrText>
        </w:r>
        <w:r w:rsidR="009B70F1">
          <w:rPr>
            <w:noProof/>
            <w:webHidden/>
          </w:rPr>
        </w:r>
        <w:r w:rsidR="009B70F1">
          <w:rPr>
            <w:noProof/>
            <w:webHidden/>
          </w:rPr>
          <w:fldChar w:fldCharType="separate"/>
        </w:r>
        <w:r w:rsidR="00287C3E">
          <w:rPr>
            <w:noProof/>
            <w:webHidden/>
          </w:rPr>
          <w:t>99</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89" w:history="1">
        <w:r w:rsidR="009B70F1" w:rsidRPr="00E81744">
          <w:rPr>
            <w:rStyle w:val="Hyperlink"/>
            <w:rFonts w:eastAsiaTheme="minorHAnsi"/>
            <w:noProof/>
          </w:rPr>
          <w:t>Contingent liabilities</w:t>
        </w:r>
        <w:r w:rsidR="009B70F1">
          <w:rPr>
            <w:noProof/>
            <w:webHidden/>
          </w:rPr>
          <w:tab/>
        </w:r>
        <w:r w:rsidR="009B70F1">
          <w:rPr>
            <w:noProof/>
            <w:webHidden/>
          </w:rPr>
          <w:fldChar w:fldCharType="begin"/>
        </w:r>
        <w:r w:rsidR="009B70F1">
          <w:rPr>
            <w:noProof/>
            <w:webHidden/>
          </w:rPr>
          <w:instrText xml:space="preserve"> PAGEREF _Toc468983289 \h </w:instrText>
        </w:r>
        <w:r w:rsidR="009B70F1">
          <w:rPr>
            <w:noProof/>
            <w:webHidden/>
          </w:rPr>
        </w:r>
        <w:r w:rsidR="009B70F1">
          <w:rPr>
            <w:noProof/>
            <w:webHidden/>
          </w:rPr>
          <w:fldChar w:fldCharType="separate"/>
        </w:r>
        <w:r w:rsidR="00287C3E">
          <w:rPr>
            <w:noProof/>
            <w:webHidden/>
          </w:rPr>
          <w:t>100</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90" w:history="1">
        <w:r w:rsidR="009B70F1" w:rsidRPr="00E81744">
          <w:rPr>
            <w:rStyle w:val="Hyperlink"/>
            <w:rFonts w:eastAsiaTheme="minorHAnsi"/>
            <w:noProof/>
          </w:rPr>
          <w:t>Appendix A – Specific policy initiatives affecting the budget position</w:t>
        </w:r>
        <w:r w:rsidR="009B70F1">
          <w:rPr>
            <w:noProof/>
            <w:webHidden/>
          </w:rPr>
          <w:tab/>
        </w:r>
        <w:r w:rsidR="009B70F1">
          <w:rPr>
            <w:noProof/>
            <w:webHidden/>
          </w:rPr>
          <w:fldChar w:fldCharType="begin"/>
        </w:r>
        <w:r w:rsidR="009B70F1">
          <w:rPr>
            <w:noProof/>
            <w:webHidden/>
          </w:rPr>
          <w:instrText xml:space="preserve"> PAGEREF _Toc468983290 \h </w:instrText>
        </w:r>
        <w:r w:rsidR="009B70F1">
          <w:rPr>
            <w:noProof/>
            <w:webHidden/>
          </w:rPr>
        </w:r>
        <w:r w:rsidR="009B70F1">
          <w:rPr>
            <w:noProof/>
            <w:webHidden/>
          </w:rPr>
          <w:fldChar w:fldCharType="separate"/>
        </w:r>
        <w:r w:rsidR="00287C3E">
          <w:rPr>
            <w:noProof/>
            <w:webHidden/>
          </w:rPr>
          <w:t>107</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1" w:history="1">
        <w:r w:rsidR="009B70F1" w:rsidRPr="00E81744">
          <w:rPr>
            <w:rStyle w:val="Hyperlink"/>
            <w:rFonts w:eastAsiaTheme="minorHAnsi"/>
            <w:noProof/>
          </w:rPr>
          <w:t>Revenue initiatives</w:t>
        </w:r>
        <w:r w:rsidR="009B70F1">
          <w:rPr>
            <w:noProof/>
            <w:webHidden/>
          </w:rPr>
          <w:tab/>
        </w:r>
        <w:r w:rsidR="009B70F1">
          <w:rPr>
            <w:noProof/>
            <w:webHidden/>
          </w:rPr>
          <w:fldChar w:fldCharType="begin"/>
        </w:r>
        <w:r w:rsidR="009B70F1">
          <w:rPr>
            <w:noProof/>
            <w:webHidden/>
          </w:rPr>
          <w:instrText xml:space="preserve"> PAGEREF _Toc468983291 \h </w:instrText>
        </w:r>
        <w:r w:rsidR="009B70F1">
          <w:rPr>
            <w:noProof/>
            <w:webHidden/>
          </w:rPr>
        </w:r>
        <w:r w:rsidR="009B70F1">
          <w:rPr>
            <w:noProof/>
            <w:webHidden/>
          </w:rPr>
          <w:fldChar w:fldCharType="separate"/>
        </w:r>
        <w:r w:rsidR="00287C3E">
          <w:rPr>
            <w:noProof/>
            <w:webHidden/>
          </w:rPr>
          <w:t>108</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2" w:history="1">
        <w:r w:rsidR="009B70F1" w:rsidRPr="00E81744">
          <w:rPr>
            <w:rStyle w:val="Hyperlink"/>
            <w:rFonts w:eastAsiaTheme="minorHAnsi"/>
            <w:noProof/>
          </w:rPr>
          <w:t xml:space="preserve">Whole of government </w:t>
        </w:r>
        <w:r w:rsidR="009B70F1" w:rsidRPr="00E81744">
          <w:rPr>
            <w:rStyle w:val="Hyperlink"/>
            <w:noProof/>
          </w:rPr>
          <w:t>– Latrobe Valley Assistance Package</w:t>
        </w:r>
        <w:r w:rsidR="009B70F1">
          <w:rPr>
            <w:noProof/>
            <w:webHidden/>
          </w:rPr>
          <w:tab/>
        </w:r>
        <w:r w:rsidR="009B70F1">
          <w:rPr>
            <w:noProof/>
            <w:webHidden/>
          </w:rPr>
          <w:fldChar w:fldCharType="begin"/>
        </w:r>
        <w:r w:rsidR="009B70F1">
          <w:rPr>
            <w:noProof/>
            <w:webHidden/>
          </w:rPr>
          <w:instrText xml:space="preserve"> PAGEREF _Toc468983292 \h </w:instrText>
        </w:r>
        <w:r w:rsidR="009B70F1">
          <w:rPr>
            <w:noProof/>
            <w:webHidden/>
          </w:rPr>
        </w:r>
        <w:r w:rsidR="009B70F1">
          <w:rPr>
            <w:noProof/>
            <w:webHidden/>
          </w:rPr>
          <w:fldChar w:fldCharType="separate"/>
        </w:r>
        <w:r w:rsidR="00287C3E">
          <w:rPr>
            <w:noProof/>
            <w:webHidden/>
          </w:rPr>
          <w:t>109</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3" w:history="1">
        <w:r w:rsidR="009B70F1" w:rsidRPr="00E81744">
          <w:rPr>
            <w:rStyle w:val="Hyperlink"/>
            <w:rFonts w:eastAsiaTheme="minorHAnsi"/>
            <w:noProof/>
          </w:rPr>
          <w:t>Department of Economic Development, Jobs, Transport and Resources</w:t>
        </w:r>
        <w:r w:rsidR="009B70F1">
          <w:rPr>
            <w:noProof/>
            <w:webHidden/>
          </w:rPr>
          <w:tab/>
        </w:r>
        <w:r w:rsidR="009B70F1">
          <w:rPr>
            <w:noProof/>
            <w:webHidden/>
          </w:rPr>
          <w:fldChar w:fldCharType="begin"/>
        </w:r>
        <w:r w:rsidR="009B70F1">
          <w:rPr>
            <w:noProof/>
            <w:webHidden/>
          </w:rPr>
          <w:instrText xml:space="preserve"> PAGEREF _Toc468983293 \h </w:instrText>
        </w:r>
        <w:r w:rsidR="009B70F1">
          <w:rPr>
            <w:noProof/>
            <w:webHidden/>
          </w:rPr>
        </w:r>
        <w:r w:rsidR="009B70F1">
          <w:rPr>
            <w:noProof/>
            <w:webHidden/>
          </w:rPr>
          <w:fldChar w:fldCharType="separate"/>
        </w:r>
        <w:r w:rsidR="00287C3E">
          <w:rPr>
            <w:noProof/>
            <w:webHidden/>
          </w:rPr>
          <w:t>111</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4" w:history="1">
        <w:r w:rsidR="009B70F1" w:rsidRPr="00E81744">
          <w:rPr>
            <w:rStyle w:val="Hyperlink"/>
            <w:rFonts w:eastAsiaTheme="minorHAnsi"/>
            <w:noProof/>
          </w:rPr>
          <w:t>Department of Environment, Land, Water and Planning</w:t>
        </w:r>
        <w:r w:rsidR="009B70F1">
          <w:rPr>
            <w:noProof/>
            <w:webHidden/>
          </w:rPr>
          <w:tab/>
        </w:r>
        <w:r w:rsidR="009B70F1">
          <w:rPr>
            <w:noProof/>
            <w:webHidden/>
          </w:rPr>
          <w:fldChar w:fldCharType="begin"/>
        </w:r>
        <w:r w:rsidR="009B70F1">
          <w:rPr>
            <w:noProof/>
            <w:webHidden/>
          </w:rPr>
          <w:instrText xml:space="preserve"> PAGEREF _Toc468983294 \h </w:instrText>
        </w:r>
        <w:r w:rsidR="009B70F1">
          <w:rPr>
            <w:noProof/>
            <w:webHidden/>
          </w:rPr>
        </w:r>
        <w:r w:rsidR="009B70F1">
          <w:rPr>
            <w:noProof/>
            <w:webHidden/>
          </w:rPr>
          <w:fldChar w:fldCharType="separate"/>
        </w:r>
        <w:r w:rsidR="00287C3E">
          <w:rPr>
            <w:noProof/>
            <w:webHidden/>
          </w:rPr>
          <w:t>115</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5" w:history="1">
        <w:r w:rsidR="009B70F1" w:rsidRPr="00E81744">
          <w:rPr>
            <w:rStyle w:val="Hyperlink"/>
            <w:rFonts w:eastAsiaTheme="minorHAnsi"/>
            <w:noProof/>
          </w:rPr>
          <w:t>Department of Health and Human Services</w:t>
        </w:r>
        <w:r w:rsidR="009B70F1">
          <w:rPr>
            <w:noProof/>
            <w:webHidden/>
          </w:rPr>
          <w:tab/>
        </w:r>
        <w:r w:rsidR="009B70F1">
          <w:rPr>
            <w:noProof/>
            <w:webHidden/>
          </w:rPr>
          <w:fldChar w:fldCharType="begin"/>
        </w:r>
        <w:r w:rsidR="009B70F1">
          <w:rPr>
            <w:noProof/>
            <w:webHidden/>
          </w:rPr>
          <w:instrText xml:space="preserve"> PAGEREF _Toc468983295 \h </w:instrText>
        </w:r>
        <w:r w:rsidR="009B70F1">
          <w:rPr>
            <w:noProof/>
            <w:webHidden/>
          </w:rPr>
        </w:r>
        <w:r w:rsidR="009B70F1">
          <w:rPr>
            <w:noProof/>
            <w:webHidden/>
          </w:rPr>
          <w:fldChar w:fldCharType="separate"/>
        </w:r>
        <w:r w:rsidR="00287C3E">
          <w:rPr>
            <w:noProof/>
            <w:webHidden/>
          </w:rPr>
          <w:t>117</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6" w:history="1">
        <w:r w:rsidR="009B70F1" w:rsidRPr="00E81744">
          <w:rPr>
            <w:rStyle w:val="Hyperlink"/>
            <w:rFonts w:eastAsiaTheme="minorHAnsi"/>
            <w:noProof/>
          </w:rPr>
          <w:t>Department of Justice and Regulation</w:t>
        </w:r>
        <w:r w:rsidR="009B70F1">
          <w:rPr>
            <w:noProof/>
            <w:webHidden/>
          </w:rPr>
          <w:tab/>
        </w:r>
        <w:r w:rsidR="009B70F1">
          <w:rPr>
            <w:noProof/>
            <w:webHidden/>
          </w:rPr>
          <w:fldChar w:fldCharType="begin"/>
        </w:r>
        <w:r w:rsidR="009B70F1">
          <w:rPr>
            <w:noProof/>
            <w:webHidden/>
          </w:rPr>
          <w:instrText xml:space="preserve"> PAGEREF _Toc468983296 \h </w:instrText>
        </w:r>
        <w:r w:rsidR="009B70F1">
          <w:rPr>
            <w:noProof/>
            <w:webHidden/>
          </w:rPr>
        </w:r>
        <w:r w:rsidR="009B70F1">
          <w:rPr>
            <w:noProof/>
            <w:webHidden/>
          </w:rPr>
          <w:fldChar w:fldCharType="separate"/>
        </w:r>
        <w:r w:rsidR="00287C3E">
          <w:rPr>
            <w:noProof/>
            <w:webHidden/>
          </w:rPr>
          <w:t>120</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297" w:history="1">
        <w:r w:rsidR="009B70F1" w:rsidRPr="00E81744">
          <w:rPr>
            <w:rStyle w:val="Hyperlink"/>
            <w:rFonts w:eastAsiaTheme="minorHAnsi"/>
            <w:noProof/>
          </w:rPr>
          <w:t>Department of Treasury and Finance</w:t>
        </w:r>
        <w:r w:rsidR="009B70F1">
          <w:rPr>
            <w:noProof/>
            <w:webHidden/>
          </w:rPr>
          <w:tab/>
        </w:r>
        <w:r w:rsidR="009B70F1">
          <w:rPr>
            <w:noProof/>
            <w:webHidden/>
          </w:rPr>
          <w:fldChar w:fldCharType="begin"/>
        </w:r>
        <w:r w:rsidR="009B70F1">
          <w:rPr>
            <w:noProof/>
            <w:webHidden/>
          </w:rPr>
          <w:instrText xml:space="preserve"> PAGEREF _Toc468983297 \h </w:instrText>
        </w:r>
        <w:r w:rsidR="009B70F1">
          <w:rPr>
            <w:noProof/>
            <w:webHidden/>
          </w:rPr>
        </w:r>
        <w:r w:rsidR="009B70F1">
          <w:rPr>
            <w:noProof/>
            <w:webHidden/>
          </w:rPr>
          <w:fldChar w:fldCharType="separate"/>
        </w:r>
        <w:r w:rsidR="00287C3E">
          <w:rPr>
            <w:noProof/>
            <w:webHidden/>
          </w:rPr>
          <w:t>122</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98" w:history="1">
        <w:r w:rsidR="009B70F1" w:rsidRPr="00E81744">
          <w:rPr>
            <w:rStyle w:val="Hyperlink"/>
            <w:rFonts w:eastAsiaTheme="minorHAnsi"/>
            <w:noProof/>
          </w:rPr>
          <w:t>Appendix B – Amendments to the 2016-17 output performance measures</w:t>
        </w:r>
        <w:r w:rsidR="009B70F1">
          <w:rPr>
            <w:noProof/>
            <w:webHidden/>
          </w:rPr>
          <w:tab/>
        </w:r>
        <w:r w:rsidR="009B70F1">
          <w:rPr>
            <w:noProof/>
            <w:webHidden/>
          </w:rPr>
          <w:fldChar w:fldCharType="begin"/>
        </w:r>
        <w:r w:rsidR="009B70F1">
          <w:rPr>
            <w:noProof/>
            <w:webHidden/>
          </w:rPr>
          <w:instrText xml:space="preserve"> PAGEREF _Toc468983298 \h </w:instrText>
        </w:r>
        <w:r w:rsidR="009B70F1">
          <w:rPr>
            <w:noProof/>
            <w:webHidden/>
          </w:rPr>
        </w:r>
        <w:r w:rsidR="009B70F1">
          <w:rPr>
            <w:noProof/>
            <w:webHidden/>
          </w:rPr>
          <w:fldChar w:fldCharType="separate"/>
        </w:r>
        <w:r w:rsidR="00287C3E">
          <w:rPr>
            <w:noProof/>
            <w:webHidden/>
          </w:rPr>
          <w:t>123</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299" w:history="1">
        <w:r w:rsidR="009B70F1" w:rsidRPr="00E81744">
          <w:rPr>
            <w:rStyle w:val="Hyperlink"/>
            <w:rFonts w:eastAsiaTheme="minorHAnsi"/>
            <w:noProof/>
          </w:rPr>
          <w:t>Appendix C – Tax expenditures and concessions</w:t>
        </w:r>
        <w:r w:rsidR="009B70F1">
          <w:rPr>
            <w:noProof/>
            <w:webHidden/>
          </w:rPr>
          <w:tab/>
        </w:r>
        <w:r w:rsidR="009B70F1">
          <w:rPr>
            <w:noProof/>
            <w:webHidden/>
          </w:rPr>
          <w:fldChar w:fldCharType="begin"/>
        </w:r>
        <w:r w:rsidR="009B70F1">
          <w:rPr>
            <w:noProof/>
            <w:webHidden/>
          </w:rPr>
          <w:instrText xml:space="preserve"> PAGEREF _Toc468983299 \h </w:instrText>
        </w:r>
        <w:r w:rsidR="009B70F1">
          <w:rPr>
            <w:noProof/>
            <w:webHidden/>
          </w:rPr>
        </w:r>
        <w:r w:rsidR="009B70F1">
          <w:rPr>
            <w:noProof/>
            <w:webHidden/>
          </w:rPr>
          <w:fldChar w:fldCharType="separate"/>
        </w:r>
        <w:r w:rsidR="00287C3E">
          <w:rPr>
            <w:noProof/>
            <w:webHidden/>
          </w:rPr>
          <w:t>125</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300" w:history="1">
        <w:r w:rsidR="009B70F1" w:rsidRPr="00E81744">
          <w:rPr>
            <w:rStyle w:val="Hyperlink"/>
            <w:rFonts w:eastAsiaTheme="minorHAnsi"/>
            <w:noProof/>
          </w:rPr>
          <w:t>Tax expenditures</w:t>
        </w:r>
        <w:r w:rsidR="009B70F1">
          <w:rPr>
            <w:noProof/>
            <w:webHidden/>
          </w:rPr>
          <w:tab/>
        </w:r>
        <w:r w:rsidR="009B70F1">
          <w:rPr>
            <w:noProof/>
            <w:webHidden/>
          </w:rPr>
          <w:fldChar w:fldCharType="begin"/>
        </w:r>
        <w:r w:rsidR="009B70F1">
          <w:rPr>
            <w:noProof/>
            <w:webHidden/>
          </w:rPr>
          <w:instrText xml:space="preserve"> PAGEREF _Toc468983300 \h </w:instrText>
        </w:r>
        <w:r w:rsidR="009B70F1">
          <w:rPr>
            <w:noProof/>
            <w:webHidden/>
          </w:rPr>
        </w:r>
        <w:r w:rsidR="009B70F1">
          <w:rPr>
            <w:noProof/>
            <w:webHidden/>
          </w:rPr>
          <w:fldChar w:fldCharType="separate"/>
        </w:r>
        <w:r w:rsidR="00287C3E">
          <w:rPr>
            <w:noProof/>
            <w:webHidden/>
          </w:rPr>
          <w:t>125</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301" w:history="1">
        <w:r w:rsidR="009B70F1" w:rsidRPr="00E81744">
          <w:rPr>
            <w:rStyle w:val="Hyperlink"/>
            <w:rFonts w:eastAsiaTheme="minorHAnsi"/>
            <w:noProof/>
          </w:rPr>
          <w:t>Concessions</w:t>
        </w:r>
        <w:r w:rsidR="009B70F1">
          <w:rPr>
            <w:noProof/>
            <w:webHidden/>
          </w:rPr>
          <w:tab/>
        </w:r>
        <w:r w:rsidR="009B70F1">
          <w:rPr>
            <w:noProof/>
            <w:webHidden/>
          </w:rPr>
          <w:fldChar w:fldCharType="begin"/>
        </w:r>
        <w:r w:rsidR="009B70F1">
          <w:rPr>
            <w:noProof/>
            <w:webHidden/>
          </w:rPr>
          <w:instrText xml:space="preserve"> PAGEREF _Toc468983301 \h </w:instrText>
        </w:r>
        <w:r w:rsidR="009B70F1">
          <w:rPr>
            <w:noProof/>
            <w:webHidden/>
          </w:rPr>
        </w:r>
        <w:r w:rsidR="009B70F1">
          <w:rPr>
            <w:noProof/>
            <w:webHidden/>
          </w:rPr>
          <w:fldChar w:fldCharType="separate"/>
        </w:r>
        <w:r w:rsidR="00287C3E">
          <w:rPr>
            <w:noProof/>
            <w:webHidden/>
          </w:rPr>
          <w:t>126</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302" w:history="1">
        <w:r w:rsidR="009B70F1" w:rsidRPr="00E81744">
          <w:rPr>
            <w:rStyle w:val="Hyperlink"/>
            <w:rFonts w:eastAsiaTheme="minorHAnsi"/>
            <w:noProof/>
          </w:rPr>
          <w:t>Appendix D – Sensitivity analysis</w:t>
        </w:r>
        <w:r w:rsidR="009B70F1">
          <w:rPr>
            <w:noProof/>
            <w:webHidden/>
          </w:rPr>
          <w:tab/>
        </w:r>
        <w:r w:rsidR="009B70F1">
          <w:rPr>
            <w:noProof/>
            <w:webHidden/>
          </w:rPr>
          <w:fldChar w:fldCharType="begin"/>
        </w:r>
        <w:r w:rsidR="009B70F1">
          <w:rPr>
            <w:noProof/>
            <w:webHidden/>
          </w:rPr>
          <w:instrText xml:space="preserve"> PAGEREF _Toc468983302 \h </w:instrText>
        </w:r>
        <w:r w:rsidR="009B70F1">
          <w:rPr>
            <w:noProof/>
            <w:webHidden/>
          </w:rPr>
        </w:r>
        <w:r w:rsidR="009B70F1">
          <w:rPr>
            <w:noProof/>
            <w:webHidden/>
          </w:rPr>
          <w:fldChar w:fldCharType="separate"/>
        </w:r>
        <w:r w:rsidR="00287C3E">
          <w:rPr>
            <w:noProof/>
            <w:webHidden/>
          </w:rPr>
          <w:t>129</w:t>
        </w:r>
        <w:r w:rsidR="009B70F1">
          <w:rPr>
            <w:noProof/>
            <w:webHidden/>
          </w:rPr>
          <w:fldChar w:fldCharType="end"/>
        </w:r>
      </w:hyperlink>
    </w:p>
    <w:p w:rsidR="009B70F1" w:rsidRDefault="009E1D64">
      <w:pPr>
        <w:pStyle w:val="TOC2"/>
        <w:rPr>
          <w:rFonts w:asciiTheme="minorHAnsi" w:eastAsiaTheme="minorEastAsia" w:hAnsiTheme="minorHAnsi" w:cstheme="minorBidi"/>
          <w:noProof/>
          <w:sz w:val="22"/>
        </w:rPr>
      </w:pPr>
      <w:hyperlink w:anchor="_Toc468983303" w:history="1">
        <w:r w:rsidR="009B70F1" w:rsidRPr="00E81744">
          <w:rPr>
            <w:rStyle w:val="Hyperlink"/>
            <w:noProof/>
          </w:rPr>
          <w:t>Sensitivity to variations in the economic outlook</w:t>
        </w:r>
        <w:r w:rsidR="009B70F1">
          <w:rPr>
            <w:noProof/>
            <w:webHidden/>
          </w:rPr>
          <w:tab/>
        </w:r>
        <w:r w:rsidR="009B70F1">
          <w:rPr>
            <w:noProof/>
            <w:webHidden/>
          </w:rPr>
          <w:fldChar w:fldCharType="begin"/>
        </w:r>
        <w:r w:rsidR="009B70F1">
          <w:rPr>
            <w:noProof/>
            <w:webHidden/>
          </w:rPr>
          <w:instrText xml:space="preserve"> PAGEREF _Toc468983303 \h </w:instrText>
        </w:r>
        <w:r w:rsidR="009B70F1">
          <w:rPr>
            <w:noProof/>
            <w:webHidden/>
          </w:rPr>
        </w:r>
        <w:r w:rsidR="009B70F1">
          <w:rPr>
            <w:noProof/>
            <w:webHidden/>
          </w:rPr>
          <w:fldChar w:fldCharType="separate"/>
        </w:r>
        <w:r w:rsidR="00287C3E">
          <w:rPr>
            <w:noProof/>
            <w:webHidden/>
          </w:rPr>
          <w:t>138</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304" w:history="1">
        <w:r w:rsidR="009B70F1" w:rsidRPr="00E81744">
          <w:rPr>
            <w:rStyle w:val="Hyperlink"/>
            <w:rFonts w:eastAsiaTheme="minorHAnsi"/>
            <w:noProof/>
          </w:rPr>
          <w:t xml:space="preserve">Appendix E – Requirements of the </w:t>
        </w:r>
        <w:r w:rsidR="009B70F1" w:rsidRPr="00E81744">
          <w:rPr>
            <w:rStyle w:val="Hyperlink"/>
            <w:rFonts w:eastAsiaTheme="minorHAnsi"/>
            <w:i/>
            <w:noProof/>
          </w:rPr>
          <w:t>Financial Management Act 1994</w:t>
        </w:r>
        <w:r w:rsidR="009B70F1">
          <w:rPr>
            <w:noProof/>
            <w:webHidden/>
          </w:rPr>
          <w:tab/>
        </w:r>
        <w:r w:rsidR="009B70F1">
          <w:rPr>
            <w:noProof/>
            <w:webHidden/>
          </w:rPr>
          <w:fldChar w:fldCharType="begin"/>
        </w:r>
        <w:r w:rsidR="009B70F1">
          <w:rPr>
            <w:noProof/>
            <w:webHidden/>
          </w:rPr>
          <w:instrText xml:space="preserve"> PAGEREF _Toc468983304 \h </w:instrText>
        </w:r>
        <w:r w:rsidR="009B70F1">
          <w:rPr>
            <w:noProof/>
            <w:webHidden/>
          </w:rPr>
        </w:r>
        <w:r w:rsidR="009B70F1">
          <w:rPr>
            <w:noProof/>
            <w:webHidden/>
          </w:rPr>
          <w:fldChar w:fldCharType="separate"/>
        </w:r>
        <w:r w:rsidR="00287C3E">
          <w:rPr>
            <w:noProof/>
            <w:webHidden/>
          </w:rPr>
          <w:t>143</w:t>
        </w:r>
        <w:r w:rsidR="009B70F1">
          <w:rPr>
            <w:noProof/>
            <w:webHidden/>
          </w:rPr>
          <w:fldChar w:fldCharType="end"/>
        </w:r>
      </w:hyperlink>
    </w:p>
    <w:p w:rsidR="009B70F1" w:rsidRDefault="009E1D64">
      <w:pPr>
        <w:pStyle w:val="TOC1"/>
        <w:rPr>
          <w:rFonts w:asciiTheme="minorHAnsi" w:eastAsiaTheme="minorEastAsia" w:hAnsiTheme="minorHAnsi" w:cstheme="minorBidi"/>
          <w:b w:val="0"/>
          <w:noProof/>
          <w:sz w:val="22"/>
        </w:rPr>
      </w:pPr>
      <w:hyperlink w:anchor="_Toc468983305" w:history="1">
        <w:r w:rsidR="009B70F1" w:rsidRPr="00E81744">
          <w:rPr>
            <w:rStyle w:val="Hyperlink"/>
            <w:rFonts w:eastAsiaTheme="minorHAnsi"/>
            <w:noProof/>
          </w:rPr>
          <w:t>Style conventions</w:t>
        </w:r>
        <w:r w:rsidR="009B70F1">
          <w:rPr>
            <w:noProof/>
            <w:webHidden/>
          </w:rPr>
          <w:tab/>
        </w:r>
        <w:r w:rsidR="009B70F1">
          <w:rPr>
            <w:noProof/>
            <w:webHidden/>
          </w:rPr>
          <w:fldChar w:fldCharType="begin"/>
        </w:r>
        <w:r w:rsidR="009B70F1">
          <w:rPr>
            <w:noProof/>
            <w:webHidden/>
          </w:rPr>
          <w:instrText xml:space="preserve"> PAGEREF _Toc468983305 \h </w:instrText>
        </w:r>
        <w:r w:rsidR="009B70F1">
          <w:rPr>
            <w:noProof/>
            <w:webHidden/>
          </w:rPr>
        </w:r>
        <w:r w:rsidR="009B70F1">
          <w:rPr>
            <w:noProof/>
            <w:webHidden/>
          </w:rPr>
          <w:fldChar w:fldCharType="separate"/>
        </w:r>
        <w:r w:rsidR="00287C3E">
          <w:rPr>
            <w:noProof/>
            <w:webHidden/>
          </w:rPr>
          <w:t>145</w:t>
        </w:r>
        <w:r w:rsidR="009B70F1">
          <w:rPr>
            <w:noProof/>
            <w:webHidden/>
          </w:rPr>
          <w:fldChar w:fldCharType="end"/>
        </w:r>
      </w:hyperlink>
    </w:p>
    <w:p w:rsidR="00566E9A" w:rsidRDefault="00566E9A" w:rsidP="00C14B16">
      <w:pPr>
        <w:pStyle w:val="TOC1"/>
      </w:pPr>
      <w:r>
        <w:lastRenderedPageBreak/>
        <w:fldChar w:fldCharType="end"/>
      </w:r>
    </w:p>
    <w:p w:rsidR="00C14B16" w:rsidRPr="00C14B16" w:rsidRDefault="00C14B16" w:rsidP="00C14B16">
      <w:pPr>
        <w:rPr>
          <w:rFonts w:eastAsiaTheme="minorHAnsi"/>
        </w:rPr>
        <w:sectPr w:rsidR="00C14B16" w:rsidRPr="00C14B16" w:rsidSect="009E1D64">
          <w:footerReference w:type="even" r:id="rId12"/>
          <w:footerReference w:type="default" r:id="rId13"/>
          <w:pgSz w:w="9979" w:h="14181" w:code="34"/>
          <w:pgMar w:top="1140" w:right="1140" w:bottom="1140" w:left="1140" w:header="720" w:footer="431" w:gutter="0"/>
          <w:pgNumType w:start="1"/>
          <w:cols w:space="708"/>
          <w:docGrid w:linePitch="360"/>
        </w:sectPr>
      </w:pPr>
      <w:bookmarkStart w:id="0" w:name="_GoBack"/>
      <w:bookmarkEnd w:id="0"/>
    </w:p>
    <w:p w:rsidR="00566E9A" w:rsidRDefault="00566E9A" w:rsidP="00AE5760">
      <w:pPr>
        <w:pStyle w:val="ChapterHeading"/>
        <w:rPr>
          <w:rFonts w:eastAsiaTheme="minorHAnsi"/>
        </w:rPr>
      </w:pPr>
      <w:bookmarkStart w:id="1" w:name="_Toc468983273"/>
      <w:r>
        <w:rPr>
          <w:rFonts w:eastAsiaTheme="minorHAnsi"/>
        </w:rPr>
        <w:lastRenderedPageBreak/>
        <w:t>Chapter 1 – Economic and fiscal overview</w:t>
      </w:r>
      <w:bookmarkEnd w:id="1"/>
    </w:p>
    <w:p w:rsidR="00566E9A" w:rsidRDefault="00566E9A" w:rsidP="00AE5760">
      <w:pPr>
        <w:ind w:right="-94"/>
      </w:pPr>
      <w:r>
        <w:t xml:space="preserve">The Victorian economy grew strongly in 2015-16. Real gross state product (GSP) increased by 3.3 per cent, exceeding the 3.0 per cent forecast in the </w:t>
      </w:r>
      <w:r>
        <w:rPr>
          <w:i/>
        </w:rPr>
        <w:t>2016-17 Budget.</w:t>
      </w:r>
      <w:r>
        <w:t xml:space="preserve"> The strong performance of the economy was primarily driven by a significant increase in dwelling investment and solid household consumption. </w:t>
      </w:r>
      <w:r w:rsidR="00B96160">
        <w:t>The Victorian economy</w:t>
      </w:r>
      <w:r>
        <w:t xml:space="preserve"> is expected to continue growing </w:t>
      </w:r>
      <w:r w:rsidR="00BD3AD5">
        <w:t>above trend in 2016-17</w:t>
      </w:r>
      <w:r>
        <w:t>, with a forecast increase of 3.</w:t>
      </w:r>
      <w:r w:rsidR="00B96160">
        <w:t>0</w:t>
      </w:r>
      <w:r>
        <w:t xml:space="preserve"> per cent. </w:t>
      </w:r>
    </w:p>
    <w:p w:rsidR="00566E9A" w:rsidRDefault="00566E9A" w:rsidP="00AE5760">
      <w:r>
        <w:t>Real GSP per capita</w:t>
      </w:r>
      <w:r w:rsidRPr="0032373A">
        <w:t>, a key measure of the average standard of living,</w:t>
      </w:r>
      <w:r>
        <w:t xml:space="preserve"> grew by 1.4 per cent in 2015-16. This is the largest increase since 2008 and reflects improvements in Victoria’s employment and productivity. </w:t>
      </w:r>
    </w:p>
    <w:p w:rsidR="00566E9A" w:rsidRDefault="00566E9A" w:rsidP="00AE5760">
      <w:r>
        <w:t xml:space="preserve">Since the Government was elected, more than 184 000 new jobs have been added to the Victorian economy, including 93 000 full-time jobs. </w:t>
      </w:r>
      <w:r w:rsidRPr="000D3986">
        <w:t>Employment grew by 2.4 per cent</w:t>
      </w:r>
      <w:r>
        <w:t xml:space="preserve"> in 2015-16</w:t>
      </w:r>
      <w:r w:rsidRPr="000D3986">
        <w:t>, the best result since 2010-11</w:t>
      </w:r>
      <w:r>
        <w:t>. Unemployment is forecast to continue to drop over the forward estimates.</w:t>
      </w:r>
    </w:p>
    <w:p w:rsidR="00566E9A" w:rsidRDefault="00566E9A" w:rsidP="00AE5760">
      <w:r>
        <w:t xml:space="preserve">Building on initiatives in the </w:t>
      </w:r>
      <w:r>
        <w:rPr>
          <w:i/>
        </w:rPr>
        <w:t>2016-</w:t>
      </w:r>
      <w:r w:rsidRPr="00816174">
        <w:rPr>
          <w:i/>
        </w:rPr>
        <w:t>17 Budget</w:t>
      </w:r>
      <w:r>
        <w:rPr>
          <w:i/>
        </w:rPr>
        <w:t xml:space="preserve">, </w:t>
      </w:r>
      <w:r>
        <w:t>the Government has announced</w:t>
      </w:r>
      <w:r w:rsidRPr="00816174">
        <w:t xml:space="preserve"> a range of initia</w:t>
      </w:r>
      <w:r>
        <w:t xml:space="preserve">tives to improve vital services, </w:t>
      </w:r>
      <w:r w:rsidRPr="00816174">
        <w:t>invest in productivity</w:t>
      </w:r>
      <w:r>
        <w:t xml:space="preserve"> </w:t>
      </w:r>
      <w:r w:rsidRPr="00816174">
        <w:t xml:space="preserve">enhancing infrastructure </w:t>
      </w:r>
      <w:r>
        <w:t>and address</w:t>
      </w:r>
      <w:r w:rsidRPr="00816174">
        <w:t xml:space="preserve"> Victoria’s growing population.</w:t>
      </w:r>
    </w:p>
    <w:p w:rsidR="00566E9A" w:rsidRDefault="00566E9A" w:rsidP="00AE5760">
      <w:r w:rsidRPr="00F4422B">
        <w:t>The O</w:t>
      </w:r>
      <w:r>
        <w:t xml:space="preserve">uter </w:t>
      </w:r>
      <w:r w:rsidRPr="00F4422B">
        <w:t>S</w:t>
      </w:r>
      <w:r>
        <w:t xml:space="preserve">uburban </w:t>
      </w:r>
      <w:r w:rsidRPr="00F4422B">
        <w:t>A</w:t>
      </w:r>
      <w:r>
        <w:t xml:space="preserve">rterial </w:t>
      </w:r>
      <w:r w:rsidRPr="00F4422B">
        <w:t>R</w:t>
      </w:r>
      <w:r>
        <w:t xml:space="preserve">oads (OSARs) </w:t>
      </w:r>
      <w:r w:rsidRPr="00F4422B">
        <w:t>Program will transform th</w:t>
      </w:r>
      <w:r>
        <w:t xml:space="preserve">e outer-western road network and boost capacity. The program will </w:t>
      </w:r>
      <w:r w:rsidRPr="00F4422B">
        <w:t xml:space="preserve">combine eight high-priority road upgrades with maintenance on more than 700 kilometres of road </w:t>
      </w:r>
      <w:r>
        <w:t>to ensure</w:t>
      </w:r>
      <w:r w:rsidRPr="00F4422B">
        <w:t xml:space="preserve"> motorists benefit from new roads</w:t>
      </w:r>
      <w:r>
        <w:t>,</w:t>
      </w:r>
      <w:r w:rsidRPr="00F4422B">
        <w:t xml:space="preserve"> while </w:t>
      </w:r>
      <w:r>
        <w:t>maintaining existing roads to a high standard</w:t>
      </w:r>
      <w:r w:rsidRPr="00F4422B">
        <w:t xml:space="preserve">. </w:t>
      </w:r>
    </w:p>
    <w:p w:rsidR="00566E9A" w:rsidRDefault="00566E9A" w:rsidP="00AE5760">
      <w:r>
        <w:t>The Government has also allocated funding to progress the business case development of the northern package of the OSARs Program for future consideration.</w:t>
      </w:r>
    </w:p>
    <w:p w:rsidR="00566E9A" w:rsidRDefault="00566E9A" w:rsidP="00AE5760">
      <w:r>
        <w:t>Continuing the</w:t>
      </w:r>
      <w:r w:rsidRPr="00530A5F">
        <w:t xml:space="preserve"> Government’s recent investment in </w:t>
      </w:r>
      <w:proofErr w:type="spellStart"/>
      <w:r w:rsidRPr="00530A5F">
        <w:t>X’Trapolis</w:t>
      </w:r>
      <w:proofErr w:type="spellEnd"/>
      <w:r w:rsidRPr="00530A5F">
        <w:t xml:space="preserve"> and high capacity metro trains</w:t>
      </w:r>
      <w:r>
        <w:t>, th</w:t>
      </w:r>
      <w:r w:rsidRPr="00530A5F">
        <w:t>e Government will purchase nine addit</w:t>
      </w:r>
      <w:r>
        <w:t xml:space="preserve">ional six-car </w:t>
      </w:r>
      <w:proofErr w:type="spellStart"/>
      <w:r>
        <w:t>X’Trapolis</w:t>
      </w:r>
      <w:proofErr w:type="spellEnd"/>
      <w:r>
        <w:t xml:space="preserve"> trains to </w:t>
      </w:r>
      <w:r w:rsidRPr="00530A5F">
        <w:t>allow for improved train reliability and</w:t>
      </w:r>
      <w:r>
        <w:t xml:space="preserve"> growing demand across the network. </w:t>
      </w:r>
    </w:p>
    <w:p w:rsidR="00566E9A" w:rsidRDefault="00566E9A" w:rsidP="00AE5760">
      <w:r>
        <w:t>The Government will</w:t>
      </w:r>
      <w:r w:rsidRPr="00A04309">
        <w:t xml:space="preserve"> employ 450 more paramedics, put more new ambulances on the road and build 15 new and up</w:t>
      </w:r>
      <w:r>
        <w:t>graded stations across Victoria as part of a $500 million</w:t>
      </w:r>
      <w:r w:rsidRPr="00A04309">
        <w:t xml:space="preserve"> plan to </w:t>
      </w:r>
      <w:r>
        <w:t xml:space="preserve">improve ambulance response times. This includes the </w:t>
      </w:r>
      <w:r w:rsidRPr="00A04309">
        <w:t xml:space="preserve">establishment of six new </w:t>
      </w:r>
      <w:r>
        <w:t>‘</w:t>
      </w:r>
      <w:r w:rsidRPr="00A04309">
        <w:t>super response</w:t>
      </w:r>
      <w:r>
        <w:t>’</w:t>
      </w:r>
      <w:r w:rsidRPr="00A04309">
        <w:t xml:space="preserve"> centres</w:t>
      </w:r>
      <w:r>
        <w:t xml:space="preserve"> that will support </w:t>
      </w:r>
      <w:r w:rsidRPr="00A04309">
        <w:t xml:space="preserve">more than 200 paramedics </w:t>
      </w:r>
      <w:r>
        <w:t xml:space="preserve">and help </w:t>
      </w:r>
      <w:r w:rsidRPr="00A04309">
        <w:t>meet growing demand in Melbourne’s outer suburbs.</w:t>
      </w:r>
    </w:p>
    <w:p w:rsidR="00566E9A" w:rsidRDefault="00566E9A" w:rsidP="00AE5760">
      <w:r w:rsidRPr="00A04309">
        <w:t>To better meet the challenges of providing emergency care in regional and rural communities, additional paramedic and vehicle resources</w:t>
      </w:r>
      <w:r>
        <w:t xml:space="preserve"> will also be delivered</w:t>
      </w:r>
      <w:r w:rsidRPr="00A04309">
        <w:t xml:space="preserve"> in 12 new rural locations</w:t>
      </w:r>
      <w:r>
        <w:t>.</w:t>
      </w:r>
    </w:p>
    <w:p w:rsidR="00566E9A" w:rsidRDefault="00566E9A">
      <w:r>
        <w:br w:type="page"/>
      </w:r>
    </w:p>
    <w:p w:rsidR="00566E9A" w:rsidRDefault="00566E9A">
      <w:r>
        <w:lastRenderedPageBreak/>
        <w:t xml:space="preserve">As Victoria experiences growth, it is important people are not left behind. The Government is providing $109 million for homelessness services, </w:t>
      </w:r>
      <w:r w:rsidRPr="00816174">
        <w:t>to intervene early and</w:t>
      </w:r>
      <w:r>
        <w:t> </w:t>
      </w:r>
      <w:r w:rsidRPr="00816174">
        <w:t>provide tar</w:t>
      </w:r>
      <w:r>
        <w:t xml:space="preserve">geted services that will help 19 </w:t>
      </w:r>
      <w:r w:rsidRPr="00816174">
        <w:t xml:space="preserve">000 people at risk of or experiencing homelessness over the next </w:t>
      </w:r>
      <w:r>
        <w:t xml:space="preserve">five years, including those leaving out-of-home care. </w:t>
      </w:r>
    </w:p>
    <w:p w:rsidR="00566E9A" w:rsidRDefault="00566E9A" w:rsidP="00AE5760">
      <w:r>
        <w:t>The Government has also committed a package of $266 million to provide assistance to the Latrobe Valley following the</w:t>
      </w:r>
      <w:r w:rsidRPr="0063135D">
        <w:t xml:space="preserve"> </w:t>
      </w:r>
      <w:r>
        <w:t xml:space="preserve">closure of Hazelwood power station. This includes funding to assist businesses, workers and their families through the economic impacts of the closure, as well as support new and expanding businesses. </w:t>
      </w:r>
    </w:p>
    <w:p w:rsidR="00566E9A" w:rsidRDefault="00566E9A" w:rsidP="00AE5760">
      <w:r>
        <w:t>Victoria’s general government sector surplus is forecast to be $1.7 billion in 2016</w:t>
      </w:r>
      <w:r>
        <w:noBreakHyphen/>
        <w:t xml:space="preserve">17 and the Government is on track to deliver strong operating surpluses averaging $1.9 billion across the forward estimates. The surplus is lower than forecast in the </w:t>
      </w:r>
      <w:r w:rsidRPr="00A04309">
        <w:rPr>
          <w:i/>
        </w:rPr>
        <w:t>2016-17 Budget</w:t>
      </w:r>
      <w:r>
        <w:t xml:space="preserve">, largely due to the funding of new government initiatives such as assistance to the Latrobe Valley, improving ambulance response times and responding to homelessness. </w:t>
      </w:r>
    </w:p>
    <w:p w:rsidR="00566E9A" w:rsidRDefault="00566E9A" w:rsidP="00AE5760">
      <w:r>
        <w:t xml:space="preserve">Net debt for 2016-17 has been revised down from the </w:t>
      </w:r>
      <w:r w:rsidRPr="00CE0AF7">
        <w:rPr>
          <w:i/>
        </w:rPr>
        <w:t>2016-17 Budget</w:t>
      </w:r>
      <w:r>
        <w:t xml:space="preserve"> forecast to $17.6 billion, representing 4.5 per cent of GSP.</w:t>
      </w:r>
    </w:p>
    <w:p w:rsidR="00566E9A" w:rsidRPr="007E5391" w:rsidRDefault="00566E9A" w:rsidP="00AE5760">
      <w:r w:rsidRPr="007E5391">
        <w:t xml:space="preserve">The Government </w:t>
      </w:r>
      <w:r>
        <w:t>continues to fund</w:t>
      </w:r>
      <w:r w:rsidRPr="007E5391">
        <w:t xml:space="preserve"> </w:t>
      </w:r>
      <w:r>
        <w:t xml:space="preserve">its productivity enhancing </w:t>
      </w:r>
      <w:r w:rsidRPr="007E5391">
        <w:t>infrastructure</w:t>
      </w:r>
      <w:r>
        <w:t xml:space="preserve"> program </w:t>
      </w:r>
      <w:r w:rsidRPr="007E5391">
        <w:t xml:space="preserve">while maintaining a strong balance sheet. As outlined in the </w:t>
      </w:r>
      <w:r>
        <w:rPr>
          <w:i/>
        </w:rPr>
        <w:t>2016</w:t>
      </w:r>
      <w:r>
        <w:rPr>
          <w:i/>
        </w:rPr>
        <w:noBreakHyphen/>
      </w:r>
      <w:r w:rsidRPr="00557A81">
        <w:rPr>
          <w:i/>
        </w:rPr>
        <w:t>17 Budget</w:t>
      </w:r>
      <w:r w:rsidRPr="007E5391">
        <w:t>, there is capacity for additional investment through prudent borrowing and</w:t>
      </w:r>
      <w:r>
        <w:t xml:space="preserve"> a</w:t>
      </w:r>
      <w:r w:rsidRPr="007E5391">
        <w:t xml:space="preserve"> fair</w:t>
      </w:r>
      <w:r>
        <w:t>er Commonwealth contribution</w:t>
      </w:r>
      <w:r w:rsidRPr="007E5391">
        <w:t xml:space="preserve"> to Victorian infrastructure. </w:t>
      </w:r>
    </w:p>
    <w:p w:rsidR="00566E9A" w:rsidRDefault="00566E9A" w:rsidP="00AE5760">
      <w:r w:rsidRPr="007E5391">
        <w:t>The Government will consider opportunities to leverage its strong balance sheet and take advantag</w:t>
      </w:r>
      <w:r>
        <w:t>e of current low interest rates,</w:t>
      </w:r>
      <w:r w:rsidRPr="007E5391">
        <w:t xml:space="preserve"> with prudent increases in debt </w:t>
      </w:r>
      <w:r>
        <w:t xml:space="preserve">that are </w:t>
      </w:r>
      <w:r w:rsidRPr="007E5391">
        <w:t>con</w:t>
      </w:r>
      <w:r>
        <w:t>sistent with maintaining the State’s triple-</w:t>
      </w:r>
      <w:r w:rsidRPr="007E5391">
        <w:t xml:space="preserve">A credit rating. </w:t>
      </w:r>
    </w:p>
    <w:p w:rsidR="00566E9A" w:rsidRDefault="00566E9A" w:rsidP="00AE5760">
      <w:r>
        <w:t>The Victorian and Commonwealth Governments have agreed on how the $1.5 billion previously allocated for the former East West Link project will be used by the State to further its infrastructure agenda. However, this step alone will not address the Commonwealth under-investment in Victorian infrastructure. Victoria is currently expecting to receive less than 10 per cent of the Commonwealth’s infrastructure grants between 2015-16 and 2019-20, relative to a population share of around 25 per cent.</w:t>
      </w:r>
    </w:p>
    <w:p w:rsidR="00566E9A" w:rsidRDefault="00566E9A" w:rsidP="00AE5760">
      <w:pPr>
        <w:pStyle w:val="Tableheading"/>
        <w:spacing w:before="100" w:after="100"/>
        <w:ind w:left="1151" w:hanging="1151"/>
      </w:pPr>
    </w:p>
    <w:p w:rsidR="00566E9A" w:rsidRPr="00BF4F50" w:rsidRDefault="00566E9A" w:rsidP="00AE5760">
      <w:pPr>
        <w:pStyle w:val="Tableheading"/>
        <w:spacing w:before="100" w:after="100"/>
        <w:ind w:left="1151" w:hanging="1151"/>
      </w:pPr>
      <w:r>
        <w:t>Table 1.1</w:t>
      </w:r>
      <w:r w:rsidRPr="00A178EE">
        <w:t>:</w:t>
      </w:r>
      <w:r w:rsidRPr="00A178EE">
        <w:tab/>
        <w:t>Long</w:t>
      </w:r>
      <w:r>
        <w:noBreakHyphen/>
      </w:r>
      <w:r w:rsidRPr="00A178EE">
        <w:t>term financial management objectives</w:t>
      </w:r>
      <w:r w:rsidRPr="00BF4F50">
        <w:t xml:space="preserve"> </w:t>
      </w:r>
    </w:p>
    <w:tbl>
      <w:tblPr>
        <w:tblW w:w="7767" w:type="dxa"/>
        <w:tblInd w:w="43" w:type="dxa"/>
        <w:tblLayout w:type="fixed"/>
        <w:tblCellMar>
          <w:left w:w="43" w:type="dxa"/>
          <w:right w:w="43" w:type="dxa"/>
        </w:tblCellMar>
        <w:tblLook w:val="0000" w:firstRow="0" w:lastRow="0" w:firstColumn="0" w:lastColumn="0" w:noHBand="0" w:noVBand="0"/>
      </w:tblPr>
      <w:tblGrid>
        <w:gridCol w:w="3060"/>
        <w:gridCol w:w="4707"/>
      </w:tblGrid>
      <w:tr w:rsidR="00566E9A" w:rsidRPr="00692D40" w:rsidTr="00AE5760">
        <w:trPr>
          <w:cantSplit/>
          <w:tblHeader/>
        </w:trPr>
        <w:tc>
          <w:tcPr>
            <w:tcW w:w="3060" w:type="dxa"/>
            <w:tcBorders>
              <w:bottom w:val="single" w:sz="6" w:space="0" w:color="auto"/>
            </w:tcBorders>
            <w:shd w:val="solid" w:color="000000" w:fill="auto"/>
            <w:vAlign w:val="bottom"/>
          </w:tcPr>
          <w:p w:rsidR="00566E9A" w:rsidRPr="00692D40" w:rsidRDefault="00566E9A" w:rsidP="00AE5760">
            <w:pPr>
              <w:pStyle w:val="Tabletextheadingleft"/>
              <w:rPr>
                <w:rFonts w:eastAsiaTheme="minorEastAsia"/>
                <w:color w:val="FFFFFF"/>
                <w:sz w:val="19"/>
              </w:rPr>
            </w:pPr>
            <w:r w:rsidRPr="00692D40">
              <w:rPr>
                <w:rFonts w:eastAsiaTheme="minorEastAsia"/>
                <w:color w:val="FFFFFF"/>
                <w:sz w:val="19"/>
              </w:rPr>
              <w:t>Priority</w:t>
            </w:r>
          </w:p>
        </w:tc>
        <w:tc>
          <w:tcPr>
            <w:tcW w:w="4707" w:type="dxa"/>
            <w:tcBorders>
              <w:bottom w:val="single" w:sz="6" w:space="0" w:color="auto"/>
            </w:tcBorders>
            <w:shd w:val="solid" w:color="000000" w:fill="auto"/>
            <w:vAlign w:val="bottom"/>
          </w:tcPr>
          <w:p w:rsidR="00566E9A" w:rsidRPr="00692D40" w:rsidRDefault="00566E9A" w:rsidP="00AE5760">
            <w:pPr>
              <w:pStyle w:val="Tabletextheadingleft"/>
              <w:rPr>
                <w:rFonts w:eastAsiaTheme="minorEastAsia"/>
                <w:color w:val="FFFFFF"/>
                <w:sz w:val="19"/>
              </w:rPr>
            </w:pPr>
            <w:r w:rsidRPr="00692D40">
              <w:rPr>
                <w:rFonts w:eastAsiaTheme="minorEastAsia"/>
                <w:color w:val="FFFFFF"/>
                <w:sz w:val="19"/>
              </w:rPr>
              <w:t>Objective</w:t>
            </w:r>
          </w:p>
        </w:tc>
      </w:tr>
      <w:tr w:rsidR="00566E9A" w:rsidRPr="00692D40" w:rsidTr="00AE5760">
        <w:trPr>
          <w:cantSplit/>
        </w:trPr>
        <w:tc>
          <w:tcPr>
            <w:tcW w:w="3060" w:type="dxa"/>
            <w:tcBorders>
              <w:top w:val="single" w:sz="6" w:space="0" w:color="auto"/>
              <w:left w:val="nil"/>
              <w:right w:val="nil"/>
            </w:tcBorders>
            <w:shd w:val="solid" w:color="FFFFFF" w:fill="FFFFFF"/>
          </w:tcPr>
          <w:p w:rsidR="00566E9A" w:rsidRPr="00692D40" w:rsidRDefault="00566E9A" w:rsidP="00AE5760">
            <w:pPr>
              <w:pStyle w:val="Tabletextnoindent"/>
              <w:ind w:left="227" w:hanging="227"/>
              <w:rPr>
                <w:b/>
                <w:sz w:val="19"/>
              </w:rPr>
            </w:pPr>
            <w:r w:rsidRPr="00692D40">
              <w:rPr>
                <w:b/>
                <w:sz w:val="19"/>
              </w:rPr>
              <w:t>Sound financial management</w:t>
            </w:r>
          </w:p>
        </w:tc>
        <w:tc>
          <w:tcPr>
            <w:tcW w:w="4707" w:type="dxa"/>
            <w:tcBorders>
              <w:top w:val="single" w:sz="6" w:space="0" w:color="auto"/>
              <w:left w:val="nil"/>
              <w:right w:val="nil"/>
            </w:tcBorders>
            <w:shd w:val="solid" w:color="FFFFFF" w:fill="FFFFFF"/>
          </w:tcPr>
          <w:p w:rsidR="00566E9A" w:rsidRPr="00692D40" w:rsidRDefault="00566E9A" w:rsidP="00AE5760">
            <w:pPr>
              <w:pStyle w:val="Tabletextnoindent"/>
              <w:rPr>
                <w:sz w:val="19"/>
              </w:rPr>
            </w:pPr>
            <w:r w:rsidRPr="00692D40">
              <w:rPr>
                <w:sz w:val="19"/>
              </w:rPr>
              <w:t>Victoria</w:t>
            </w:r>
            <w:r>
              <w:rPr>
                <w:sz w:val="19"/>
              </w:rPr>
              <w:t>’</w:t>
            </w:r>
            <w:r w:rsidRPr="00692D40">
              <w:rPr>
                <w:sz w:val="19"/>
              </w:rPr>
              <w:t>s finances will be managed in a responsible manner to provide capacity to fund services and infrastructure at levels consistent with maintaining a triple</w:t>
            </w:r>
            <w:r>
              <w:rPr>
                <w:sz w:val="19"/>
              </w:rPr>
              <w:noBreakHyphen/>
            </w:r>
            <w:r w:rsidRPr="00692D40">
              <w:rPr>
                <w:sz w:val="19"/>
              </w:rPr>
              <w:t>A credit rating</w:t>
            </w:r>
            <w:r>
              <w:rPr>
                <w:sz w:val="19"/>
              </w:rPr>
              <w:t>.</w:t>
            </w:r>
          </w:p>
        </w:tc>
      </w:tr>
      <w:tr w:rsidR="00566E9A" w:rsidRPr="00692D40" w:rsidTr="00AE5760">
        <w:trPr>
          <w:cantSplit/>
        </w:trPr>
        <w:tc>
          <w:tcPr>
            <w:tcW w:w="3060" w:type="dxa"/>
            <w:tcBorders>
              <w:top w:val="nil"/>
              <w:left w:val="nil"/>
              <w:right w:val="nil"/>
            </w:tcBorders>
            <w:shd w:val="solid" w:color="FFFFFF" w:fill="FFFFFF"/>
          </w:tcPr>
          <w:p w:rsidR="00566E9A" w:rsidRPr="00692D40" w:rsidRDefault="00566E9A" w:rsidP="00AE5760">
            <w:pPr>
              <w:pStyle w:val="Tabletextnoindent"/>
              <w:ind w:left="227" w:hanging="227"/>
              <w:rPr>
                <w:b/>
                <w:sz w:val="19"/>
              </w:rPr>
            </w:pPr>
            <w:r w:rsidRPr="00692D40">
              <w:rPr>
                <w:b/>
                <w:sz w:val="19"/>
              </w:rPr>
              <w:t>Improving services</w:t>
            </w:r>
          </w:p>
        </w:tc>
        <w:tc>
          <w:tcPr>
            <w:tcW w:w="4707" w:type="dxa"/>
            <w:tcBorders>
              <w:top w:val="nil"/>
              <w:left w:val="nil"/>
              <w:right w:val="nil"/>
            </w:tcBorders>
            <w:shd w:val="solid" w:color="FFFFFF" w:fill="FFFFFF"/>
          </w:tcPr>
          <w:p w:rsidR="00566E9A" w:rsidRPr="00692D40" w:rsidRDefault="00566E9A" w:rsidP="00AE5760">
            <w:pPr>
              <w:pStyle w:val="Tabletextnoindent"/>
              <w:rPr>
                <w:sz w:val="19"/>
              </w:rPr>
            </w:pPr>
            <w:r>
              <w:rPr>
                <w:sz w:val="19"/>
              </w:rPr>
              <w:t>Public services will improve over time.</w:t>
            </w:r>
          </w:p>
        </w:tc>
      </w:tr>
      <w:tr w:rsidR="00566E9A" w:rsidRPr="00692D40" w:rsidTr="00AE5760">
        <w:trPr>
          <w:cantSplit/>
        </w:trPr>
        <w:tc>
          <w:tcPr>
            <w:tcW w:w="3060" w:type="dxa"/>
            <w:tcBorders>
              <w:top w:val="nil"/>
              <w:left w:val="nil"/>
              <w:right w:val="nil"/>
            </w:tcBorders>
            <w:shd w:val="solid" w:color="FFFFFF" w:fill="FFFFFF"/>
          </w:tcPr>
          <w:p w:rsidR="00566E9A" w:rsidRPr="00692D40" w:rsidRDefault="00566E9A" w:rsidP="00AE5760">
            <w:pPr>
              <w:pStyle w:val="Tabletextnoindent"/>
              <w:ind w:left="227" w:hanging="227"/>
              <w:rPr>
                <w:b/>
                <w:sz w:val="19"/>
              </w:rPr>
            </w:pPr>
            <w:r w:rsidRPr="00692D40">
              <w:rPr>
                <w:b/>
                <w:sz w:val="19"/>
              </w:rPr>
              <w:t>Building infrastructure</w:t>
            </w:r>
          </w:p>
        </w:tc>
        <w:tc>
          <w:tcPr>
            <w:tcW w:w="4707" w:type="dxa"/>
            <w:tcBorders>
              <w:top w:val="nil"/>
              <w:left w:val="nil"/>
              <w:right w:val="nil"/>
            </w:tcBorders>
            <w:shd w:val="solid" w:color="FFFFFF" w:fill="FFFFFF"/>
          </w:tcPr>
          <w:p w:rsidR="00566E9A" w:rsidRPr="00692D40" w:rsidRDefault="00566E9A" w:rsidP="00AE5760">
            <w:pPr>
              <w:pStyle w:val="Tabletextnoindent"/>
              <w:rPr>
                <w:sz w:val="19"/>
              </w:rPr>
            </w:pPr>
            <w:r>
              <w:rPr>
                <w:sz w:val="19"/>
              </w:rPr>
              <w:t>Public infrastructure will grow steadily over time to meet the needs of a growing population.</w:t>
            </w:r>
          </w:p>
        </w:tc>
      </w:tr>
      <w:tr w:rsidR="00566E9A" w:rsidRPr="00692D40" w:rsidTr="00AE5760">
        <w:trPr>
          <w:cantSplit/>
        </w:trPr>
        <w:tc>
          <w:tcPr>
            <w:tcW w:w="3060" w:type="dxa"/>
            <w:tcBorders>
              <w:top w:val="nil"/>
              <w:left w:val="nil"/>
              <w:bottom w:val="single" w:sz="12" w:space="0" w:color="auto"/>
              <w:right w:val="nil"/>
            </w:tcBorders>
            <w:shd w:val="solid" w:color="FFFFFF" w:fill="FFFFFF"/>
          </w:tcPr>
          <w:p w:rsidR="00566E9A" w:rsidRPr="00692D40" w:rsidRDefault="00566E9A" w:rsidP="00AE5760">
            <w:pPr>
              <w:pStyle w:val="Tabletextnoindent"/>
              <w:ind w:left="227" w:hanging="227"/>
              <w:rPr>
                <w:b/>
                <w:sz w:val="19"/>
              </w:rPr>
            </w:pPr>
            <w:r w:rsidRPr="00692D40">
              <w:rPr>
                <w:b/>
                <w:sz w:val="19"/>
              </w:rPr>
              <w:t>Efficient use of public resources</w:t>
            </w:r>
          </w:p>
        </w:tc>
        <w:tc>
          <w:tcPr>
            <w:tcW w:w="4707" w:type="dxa"/>
            <w:tcBorders>
              <w:top w:val="nil"/>
              <w:left w:val="nil"/>
              <w:bottom w:val="single" w:sz="12" w:space="0" w:color="auto"/>
              <w:right w:val="nil"/>
            </w:tcBorders>
            <w:shd w:val="solid" w:color="FFFFFF" w:fill="FFFFFF"/>
          </w:tcPr>
          <w:p w:rsidR="00566E9A" w:rsidRPr="00692D40" w:rsidRDefault="00566E9A" w:rsidP="00AE5760">
            <w:pPr>
              <w:pStyle w:val="Tabletextnoindent"/>
              <w:rPr>
                <w:sz w:val="19"/>
              </w:rPr>
            </w:pPr>
            <w:r w:rsidRPr="00692D40">
              <w:rPr>
                <w:sz w:val="19"/>
              </w:rPr>
              <w:t>Public sector resources will be invested in services and infrastructure to maximise the economic, social and environmental benefits.</w:t>
            </w:r>
          </w:p>
        </w:tc>
      </w:tr>
    </w:tbl>
    <w:p w:rsidR="00566E9A" w:rsidRDefault="00566E9A" w:rsidP="00AE5760"/>
    <w:p w:rsidR="00566E9A" w:rsidRDefault="00566E9A">
      <w:r>
        <w:br w:type="page"/>
      </w:r>
    </w:p>
    <w:p w:rsidR="00566E9A" w:rsidRDefault="00566E9A" w:rsidP="003064E1">
      <w:pPr>
        <w:spacing w:after="100"/>
      </w:pPr>
      <w:r>
        <w:lastRenderedPageBreak/>
        <w:t>The targets in Table 1.2 measure progress towards these long</w:t>
      </w:r>
      <w:r>
        <w:noBreakHyphen/>
        <w:t>term financial management objectives.</w:t>
      </w:r>
    </w:p>
    <w:p w:rsidR="00566E9A" w:rsidRPr="00BF4F50" w:rsidRDefault="00566E9A" w:rsidP="00AE5760">
      <w:pPr>
        <w:pStyle w:val="Tableheading"/>
        <w:spacing w:before="100" w:after="100"/>
        <w:ind w:left="1151" w:hanging="1151"/>
      </w:pPr>
      <w:r w:rsidRPr="00A178EE">
        <w:t>Table 1.</w:t>
      </w:r>
      <w:r>
        <w:t>2</w:t>
      </w:r>
      <w:r w:rsidRPr="00A178EE">
        <w:t>:</w:t>
      </w:r>
      <w:r w:rsidRPr="00A178EE">
        <w:tab/>
      </w:r>
      <w:r>
        <w:t xml:space="preserve">Financial measures and targets </w:t>
      </w:r>
    </w:p>
    <w:tbl>
      <w:tblPr>
        <w:tblW w:w="0" w:type="auto"/>
        <w:tblInd w:w="29" w:type="dxa"/>
        <w:tblBorders>
          <w:bottom w:val="single" w:sz="12" w:space="0" w:color="auto"/>
        </w:tblBorders>
        <w:tblLayout w:type="fixed"/>
        <w:tblCellMar>
          <w:left w:w="43" w:type="dxa"/>
          <w:right w:w="43" w:type="dxa"/>
        </w:tblCellMar>
        <w:tblLook w:val="0000" w:firstRow="0" w:lastRow="0" w:firstColumn="0" w:lastColumn="0" w:noHBand="0" w:noVBand="0"/>
      </w:tblPr>
      <w:tblGrid>
        <w:gridCol w:w="2477"/>
        <w:gridCol w:w="5241"/>
      </w:tblGrid>
      <w:tr w:rsidR="00566E9A" w:rsidRPr="00BF4F50" w:rsidTr="00AE5760">
        <w:trPr>
          <w:trHeight w:val="262"/>
        </w:trPr>
        <w:tc>
          <w:tcPr>
            <w:tcW w:w="2477" w:type="dxa"/>
            <w:tcBorders>
              <w:top w:val="single" w:sz="6" w:space="0" w:color="000000"/>
              <w:left w:val="single" w:sz="6" w:space="0" w:color="000000"/>
              <w:bottom w:val="single" w:sz="6" w:space="0" w:color="000000"/>
            </w:tcBorders>
            <w:shd w:val="solid" w:color="000000" w:fill="auto"/>
          </w:tcPr>
          <w:p w:rsidR="00566E9A" w:rsidRPr="00BF4F50" w:rsidRDefault="00566E9A" w:rsidP="00AE5760">
            <w:pPr>
              <w:pStyle w:val="Tabletextheadingleft"/>
              <w:rPr>
                <w:rFonts w:eastAsiaTheme="minorEastAsia"/>
              </w:rPr>
            </w:pPr>
            <w:r w:rsidRPr="00BF4F50">
              <w:rPr>
                <w:rFonts w:eastAsiaTheme="minorEastAsia"/>
              </w:rPr>
              <w:t>Financial measures</w:t>
            </w:r>
          </w:p>
        </w:tc>
        <w:tc>
          <w:tcPr>
            <w:tcW w:w="5241" w:type="dxa"/>
            <w:tcBorders>
              <w:top w:val="single" w:sz="6" w:space="0" w:color="000000"/>
              <w:bottom w:val="single" w:sz="6" w:space="0" w:color="000000"/>
              <w:right w:val="single" w:sz="6" w:space="0" w:color="000000"/>
            </w:tcBorders>
            <w:shd w:val="solid" w:color="000000" w:fill="auto"/>
          </w:tcPr>
          <w:p w:rsidR="00566E9A" w:rsidRPr="00BF4F50" w:rsidRDefault="00566E9A" w:rsidP="00AE5760">
            <w:pPr>
              <w:pStyle w:val="Tabletextheadingleft"/>
              <w:rPr>
                <w:rFonts w:eastAsiaTheme="minorEastAsia"/>
              </w:rPr>
            </w:pPr>
            <w:r>
              <w:rPr>
                <w:rFonts w:eastAsiaTheme="minorEastAsia"/>
              </w:rPr>
              <w:t>Target</w:t>
            </w:r>
          </w:p>
        </w:tc>
      </w:tr>
      <w:tr w:rsidR="00566E9A" w:rsidRPr="00BF4F50" w:rsidTr="00AE5760">
        <w:trPr>
          <w:trHeight w:val="523"/>
        </w:trPr>
        <w:tc>
          <w:tcPr>
            <w:tcW w:w="2477" w:type="dxa"/>
            <w:tcBorders>
              <w:top w:val="single" w:sz="6" w:space="0" w:color="000000"/>
            </w:tcBorders>
            <w:shd w:val="solid" w:color="FFFFFF" w:fill="auto"/>
          </w:tcPr>
          <w:p w:rsidR="00566E9A" w:rsidRPr="00A178EE" w:rsidRDefault="00566E9A" w:rsidP="00AE5760">
            <w:pPr>
              <w:pStyle w:val="Tabletextnoindent"/>
              <w:rPr>
                <w:b/>
              </w:rPr>
            </w:pPr>
            <w:r w:rsidRPr="00A178EE">
              <w:rPr>
                <w:b/>
              </w:rPr>
              <w:t>Net debt</w:t>
            </w:r>
          </w:p>
        </w:tc>
        <w:tc>
          <w:tcPr>
            <w:tcW w:w="5241" w:type="dxa"/>
            <w:tcBorders>
              <w:top w:val="single" w:sz="6" w:space="0" w:color="000000"/>
            </w:tcBorders>
          </w:tcPr>
          <w:p w:rsidR="00566E9A" w:rsidRPr="00BF4F50" w:rsidRDefault="00566E9A" w:rsidP="00AE5760">
            <w:pPr>
              <w:pStyle w:val="Tabletextnoindent"/>
            </w:pPr>
            <w:r w:rsidRPr="00A178EE">
              <w:t>General government net debt as a percentage of GSP to be maintained at a sustainable level over the medium</w:t>
            </w:r>
            <w:r>
              <w:t xml:space="preserve"> </w:t>
            </w:r>
            <w:r w:rsidRPr="00A178EE">
              <w:t>term.</w:t>
            </w:r>
            <w:r>
              <w:t xml:space="preserve"> </w:t>
            </w:r>
          </w:p>
        </w:tc>
      </w:tr>
      <w:tr w:rsidR="00566E9A" w:rsidRPr="00BF4F50" w:rsidTr="00AE5760">
        <w:trPr>
          <w:trHeight w:val="243"/>
        </w:trPr>
        <w:tc>
          <w:tcPr>
            <w:tcW w:w="2477" w:type="dxa"/>
            <w:shd w:val="solid" w:color="FFFFFF" w:fill="auto"/>
          </w:tcPr>
          <w:p w:rsidR="00566E9A" w:rsidRPr="00BF4F50" w:rsidRDefault="00566E9A" w:rsidP="00AE5760">
            <w:pPr>
              <w:pStyle w:val="Tabletextnoindent"/>
              <w:rPr>
                <w:b/>
              </w:rPr>
            </w:pPr>
            <w:r w:rsidRPr="00BF4F50">
              <w:rPr>
                <w:b/>
              </w:rPr>
              <w:t>Superannuation liabilities</w:t>
            </w:r>
          </w:p>
        </w:tc>
        <w:tc>
          <w:tcPr>
            <w:tcW w:w="5241" w:type="dxa"/>
          </w:tcPr>
          <w:p w:rsidR="00566E9A" w:rsidRPr="00BF4F50" w:rsidRDefault="00566E9A" w:rsidP="00AE5760">
            <w:pPr>
              <w:pStyle w:val="Tabletextnoindent"/>
            </w:pPr>
            <w:r w:rsidRPr="00BF4F50">
              <w:t>Fully fund the unfunded superannuation liability by 2035.</w:t>
            </w:r>
          </w:p>
        </w:tc>
      </w:tr>
      <w:tr w:rsidR="00566E9A" w:rsidRPr="00BF4F50" w:rsidTr="00AE5760">
        <w:trPr>
          <w:trHeight w:val="538"/>
        </w:trPr>
        <w:tc>
          <w:tcPr>
            <w:tcW w:w="2477" w:type="dxa"/>
            <w:shd w:val="solid" w:color="FFFFFF" w:fill="auto"/>
          </w:tcPr>
          <w:p w:rsidR="00566E9A" w:rsidRPr="00BF4F50" w:rsidRDefault="00566E9A" w:rsidP="00AE5760">
            <w:pPr>
              <w:pStyle w:val="Tabletextnoindent"/>
              <w:rPr>
                <w:b/>
              </w:rPr>
            </w:pPr>
            <w:r w:rsidRPr="00BF4F50">
              <w:rPr>
                <w:b/>
              </w:rPr>
              <w:t>Operating surplus</w:t>
            </w:r>
          </w:p>
        </w:tc>
        <w:tc>
          <w:tcPr>
            <w:tcW w:w="5241" w:type="dxa"/>
          </w:tcPr>
          <w:p w:rsidR="00566E9A" w:rsidRPr="00BF4F50" w:rsidRDefault="00566E9A" w:rsidP="00AE5760">
            <w:pPr>
              <w:pStyle w:val="Tabletextnoindent"/>
            </w:pPr>
            <w:r w:rsidRPr="00BF4F50">
              <w:t xml:space="preserve">A net operating surplus consistent with </w:t>
            </w:r>
            <w:r>
              <w:t xml:space="preserve">maintaining general government net </w:t>
            </w:r>
            <w:r w:rsidRPr="00BF4F50">
              <w:t xml:space="preserve">debt </w:t>
            </w:r>
            <w:r>
              <w:t>at a sustainable level over the medium term</w:t>
            </w:r>
            <w:r w:rsidRPr="00BF4F50">
              <w:t>.</w:t>
            </w:r>
          </w:p>
        </w:tc>
      </w:tr>
    </w:tbl>
    <w:p w:rsidR="00566E9A" w:rsidRDefault="00566E9A" w:rsidP="00AE5760"/>
    <w:p w:rsidR="00566E9A" w:rsidRDefault="00566E9A" w:rsidP="00AE5760">
      <w:r w:rsidRPr="00B866B5">
        <w:t xml:space="preserve">This Budget Update confirms the objectives and targets set out in the </w:t>
      </w:r>
      <w:r w:rsidRPr="00B866B5">
        <w:rPr>
          <w:i/>
        </w:rPr>
        <w:t>2016-17 Budget</w:t>
      </w:r>
      <w:r w:rsidRPr="00B866B5">
        <w:t>.</w:t>
      </w:r>
    </w:p>
    <w:p w:rsidR="00566E9A" w:rsidRDefault="00566E9A" w:rsidP="00B47029">
      <w:pPr>
        <w:rPr>
          <w:rFonts w:eastAsiaTheme="minorHAnsi"/>
        </w:rPr>
      </w:pPr>
    </w:p>
    <w:p w:rsidR="00566E9A" w:rsidRDefault="00566E9A">
      <w:pPr>
        <w:rPr>
          <w:rFonts w:eastAsiaTheme="minorHAnsi"/>
        </w:rPr>
      </w:pPr>
      <w:r>
        <w:rPr>
          <w:rFonts w:eastAsiaTheme="minorHAnsi"/>
        </w:rPr>
        <w:br w:type="page"/>
      </w:r>
    </w:p>
    <w:p w:rsidR="00566E9A" w:rsidRDefault="00566E9A">
      <w:pPr>
        <w:rPr>
          <w:rFonts w:eastAsiaTheme="minorHAnsi"/>
        </w:rPr>
      </w:pPr>
    </w:p>
    <w:p w:rsidR="00566E9A" w:rsidRDefault="00566E9A" w:rsidP="009F1202">
      <w:pPr>
        <w:rPr>
          <w:rFonts w:eastAsiaTheme="minorHAnsi"/>
        </w:rPr>
        <w:sectPr w:rsidR="00566E9A" w:rsidSect="009B70F1">
          <w:footerReference w:type="even" r:id="rId14"/>
          <w:footerReference w:type="default" r:id="rId15"/>
          <w:pgSz w:w="9979" w:h="14181" w:code="138"/>
          <w:pgMar w:top="1140" w:right="1140" w:bottom="1140" w:left="1140" w:header="720" w:footer="431" w:gutter="0"/>
          <w:pgNumType w:start="1"/>
          <w:cols w:space="708"/>
          <w:docGrid w:linePitch="360"/>
        </w:sectPr>
      </w:pPr>
    </w:p>
    <w:p w:rsidR="00566E9A" w:rsidRDefault="00566E9A" w:rsidP="00AE5760">
      <w:pPr>
        <w:pStyle w:val="ChapterHeading"/>
        <w:rPr>
          <w:rFonts w:eastAsiaTheme="minorHAnsi"/>
        </w:rPr>
      </w:pPr>
      <w:bookmarkStart w:id="2" w:name="_Toc468983274"/>
      <w:r>
        <w:rPr>
          <w:rFonts w:eastAsiaTheme="minorHAnsi"/>
        </w:rPr>
        <w:lastRenderedPageBreak/>
        <w:t>Chapter 2 – Economic context</w:t>
      </w:r>
      <w:bookmarkEnd w:id="2"/>
    </w:p>
    <w:p w:rsidR="00566E9A" w:rsidRPr="00427D0E" w:rsidRDefault="00566E9A" w:rsidP="00AE5760">
      <w:pPr>
        <w:pStyle w:val="Heading1"/>
      </w:pPr>
      <w:bookmarkStart w:id="3" w:name="_Toc436147529"/>
      <w:bookmarkStart w:id="4" w:name="_Toc468983275"/>
      <w:r w:rsidRPr="00427D0E">
        <w:t>Economic overview</w:t>
      </w:r>
      <w:bookmarkEnd w:id="3"/>
      <w:bookmarkEnd w:id="4"/>
    </w:p>
    <w:p w:rsidR="00566E9A" w:rsidRDefault="00566E9A" w:rsidP="00AE5760">
      <w:pPr>
        <w:pStyle w:val="HighlightBoxBullet"/>
      </w:pPr>
      <w:r>
        <w:t xml:space="preserve">The Victorian economy is expected to grow above trend in 2016-17, supported by strong population growth that will boost household consumption and </w:t>
      </w:r>
      <w:r w:rsidR="00537CDE">
        <w:t xml:space="preserve">sustain </w:t>
      </w:r>
      <w:r>
        <w:t xml:space="preserve">dwelling investment. Growth is </w:t>
      </w:r>
      <w:r w:rsidR="00537CDE">
        <w:t xml:space="preserve">forecast </w:t>
      </w:r>
      <w:r>
        <w:t xml:space="preserve">to moderate to trend </w:t>
      </w:r>
      <w:r w:rsidR="00537CDE">
        <w:t>in 2017-18</w:t>
      </w:r>
      <w:r>
        <w:t>.</w:t>
      </w:r>
    </w:p>
    <w:p w:rsidR="00566E9A" w:rsidRDefault="00566E9A" w:rsidP="00AE5760">
      <w:pPr>
        <w:pStyle w:val="HighlightBoxBullet"/>
      </w:pPr>
      <w:r>
        <w:t>The near-term outlook for the labour market remains solid, following strong employment growth and a decline in the unemployment rate in 2015-16. Normalisation of interest rates in the United States (US) and a weaker Australian dollar are good for Victoria’s economy.</w:t>
      </w:r>
    </w:p>
    <w:p w:rsidR="00566E9A" w:rsidRDefault="00566E9A" w:rsidP="00AE5760">
      <w:pPr>
        <w:pStyle w:val="HighlightBoxBullet"/>
      </w:pPr>
      <w:r>
        <w:t>The impact of the US presidential election result and uncertainty surrounding the United Kingdom’s (UK) impending withdrawal from the European Union (EU) are key global challenges to Victoria’s economic outlook.</w:t>
      </w:r>
    </w:p>
    <w:p w:rsidR="00566E9A" w:rsidRPr="004A5918" w:rsidRDefault="00566E9A" w:rsidP="00AE5760">
      <w:pPr>
        <w:pStyle w:val="Heading2"/>
        <w:rPr>
          <w:rFonts w:eastAsiaTheme="minorHAnsi"/>
        </w:rPr>
      </w:pPr>
      <w:r w:rsidRPr="004A5918">
        <w:rPr>
          <w:rFonts w:eastAsiaTheme="minorHAnsi"/>
        </w:rPr>
        <w:t>Victorian economic conditions and outlook</w:t>
      </w:r>
    </w:p>
    <w:p w:rsidR="00566E9A" w:rsidRDefault="00566E9A" w:rsidP="00AE5760">
      <w:r>
        <w:t xml:space="preserve">Victoria is currently experiencing above trend economic and employment growth along with the fastest-growing population in the country. The Australian economy continues to rebalance towards non-mining sectors, helped by a weaker Australian dollar. This is favouring Victoria, as the State’s broad-based economy, skilled workforce and reputation for liveability is seeing its economic activity improve ahead of the mining states. </w:t>
      </w:r>
    </w:p>
    <w:p w:rsidR="00566E9A" w:rsidRPr="00A20BA0" w:rsidRDefault="00566E9A" w:rsidP="00AE5760">
      <w:r>
        <w:t>T</w:t>
      </w:r>
      <w:r w:rsidRPr="00A20BA0">
        <w:t>he Victorian economy strengthen</w:t>
      </w:r>
      <w:r>
        <w:t>ed</w:t>
      </w:r>
      <w:r w:rsidRPr="00A20BA0">
        <w:t xml:space="preserve"> in 2015-16</w:t>
      </w:r>
      <w:r>
        <w:t xml:space="preserve">, </w:t>
      </w:r>
      <w:r w:rsidRPr="00A20BA0">
        <w:t>growing by 3.</w:t>
      </w:r>
      <w:r>
        <w:t>3 per cent</w:t>
      </w:r>
      <w:r w:rsidRPr="00A20BA0">
        <w:t xml:space="preserve"> compared with 2.5</w:t>
      </w:r>
      <w:r>
        <w:t> per cent</w:t>
      </w:r>
      <w:r w:rsidRPr="00A20BA0">
        <w:t xml:space="preserve"> in 2014-15. Contributors </w:t>
      </w:r>
      <w:r>
        <w:t>were broad</w:t>
      </w:r>
      <w:r>
        <w:noBreakHyphen/>
      </w:r>
      <w:r w:rsidRPr="00A20BA0">
        <w:t>based. Household consumption consolidate</w:t>
      </w:r>
      <w:r>
        <w:t>d</w:t>
      </w:r>
      <w:r w:rsidRPr="00A20BA0">
        <w:t xml:space="preserve">. Dwelling investment </w:t>
      </w:r>
      <w:r>
        <w:t>rose strongly</w:t>
      </w:r>
      <w:r w:rsidRPr="00A20BA0">
        <w:t xml:space="preserve">, buoyed by an active property market and record low borrowing costs. </w:t>
      </w:r>
      <w:r>
        <w:t>Underlying public demand and business investment growth was also solid in 2015-16.</w:t>
      </w:r>
    </w:p>
    <w:p w:rsidR="00566E9A" w:rsidRDefault="00566E9A" w:rsidP="00AE5760">
      <w:pPr>
        <w:ind w:right="-98"/>
        <w:rPr>
          <w:b/>
        </w:rPr>
      </w:pPr>
      <w:r w:rsidRPr="00A20BA0">
        <w:t xml:space="preserve">Growth in the Victorian economy is expected to </w:t>
      </w:r>
      <w:r w:rsidR="000B52FE">
        <w:t>be</w:t>
      </w:r>
      <w:r w:rsidRPr="00A20BA0">
        <w:t xml:space="preserve"> </w:t>
      </w:r>
      <w:r w:rsidR="00537CDE">
        <w:t>3.0</w:t>
      </w:r>
      <w:r>
        <w:t> per cent</w:t>
      </w:r>
      <w:r w:rsidRPr="00A20BA0">
        <w:t xml:space="preserve"> in 2016</w:t>
      </w:r>
      <w:r>
        <w:noBreakHyphen/>
      </w:r>
      <w:r w:rsidRPr="00A20BA0">
        <w:t xml:space="preserve">17, </w:t>
      </w:r>
      <w:r>
        <w:t xml:space="preserve">above trend and </w:t>
      </w:r>
      <w:r w:rsidR="00537CDE">
        <w:t>in line with</w:t>
      </w:r>
      <w:r w:rsidRPr="00A20BA0">
        <w:t xml:space="preserve"> the </w:t>
      </w:r>
      <w:r w:rsidRPr="00FC0077">
        <w:rPr>
          <w:i/>
        </w:rPr>
        <w:t>2016-17 Budget</w:t>
      </w:r>
      <w:r w:rsidR="00537CDE">
        <w:rPr>
          <w:i/>
        </w:rPr>
        <w:t xml:space="preserve"> </w:t>
      </w:r>
      <w:r w:rsidR="00537CDE">
        <w:t>forecast</w:t>
      </w:r>
      <w:r w:rsidRPr="00A20BA0">
        <w:t xml:space="preserve">. </w:t>
      </w:r>
      <w:r w:rsidRPr="00164402">
        <w:t>Household co</w:t>
      </w:r>
      <w:r>
        <w:t>nsumption and public demand are forecast to pick up slightly in 2016-17, before reverting to trend growth by 2018-19</w:t>
      </w:r>
      <w:r w:rsidRPr="00164402">
        <w:t xml:space="preserve">. </w:t>
      </w:r>
      <w:r w:rsidRPr="00A20BA0">
        <w:t xml:space="preserve">Momentum in dwelling investment is </w:t>
      </w:r>
      <w:r>
        <w:t xml:space="preserve">expected </w:t>
      </w:r>
      <w:r w:rsidRPr="00A20BA0">
        <w:t>to ease</w:t>
      </w:r>
      <w:r>
        <w:t xml:space="preserve"> to trend in 2016-17</w:t>
      </w:r>
      <w:r w:rsidRPr="00164402">
        <w:t>. A</w:t>
      </w:r>
      <w:r>
        <w:t xml:space="preserve"> </w:t>
      </w:r>
      <w:r w:rsidRPr="00164402">
        <w:t>lower</w:t>
      </w:r>
      <w:r>
        <w:t xml:space="preserve"> Australian dollar, </w:t>
      </w:r>
      <w:r w:rsidRPr="00A20BA0">
        <w:t xml:space="preserve">historically low interest rates </w:t>
      </w:r>
      <w:r>
        <w:t>and the Government’s substantial infrastructure spending will improve</w:t>
      </w:r>
      <w:r w:rsidRPr="00A20BA0">
        <w:t xml:space="preserve"> conditions for businesses and consumers.</w:t>
      </w:r>
    </w:p>
    <w:p w:rsidR="00566E9A" w:rsidRPr="006D76F3" w:rsidRDefault="00566E9A" w:rsidP="00AE5760">
      <w:r>
        <w:br w:type="page"/>
      </w:r>
      <w:r w:rsidRPr="00164402">
        <w:lastRenderedPageBreak/>
        <w:t xml:space="preserve">Labour market conditions in 2015-16 were generally stronger than forecast, consistent with </w:t>
      </w:r>
      <w:r>
        <w:t>Victoria’s strong economic growth.</w:t>
      </w:r>
      <w:r w:rsidRPr="00164402">
        <w:t xml:space="preserve"> Employment </w:t>
      </w:r>
      <w:r>
        <w:t xml:space="preserve">grew by </w:t>
      </w:r>
      <w:r w:rsidRPr="00164402">
        <w:t>2.4</w:t>
      </w:r>
      <w:r>
        <w:t> per cent</w:t>
      </w:r>
      <w:r w:rsidRPr="00164402">
        <w:t>, the best result since 2010-11, which</w:t>
      </w:r>
      <w:r>
        <w:t xml:space="preserve"> contributed to the </w:t>
      </w:r>
      <w:r w:rsidRPr="00164402">
        <w:t xml:space="preserve">unemployment rate </w:t>
      </w:r>
      <w:r>
        <w:t xml:space="preserve">falling </w:t>
      </w:r>
      <w:r w:rsidRPr="00164402">
        <w:t>to 5.9</w:t>
      </w:r>
      <w:r>
        <w:t> per cent</w:t>
      </w:r>
      <w:r w:rsidRPr="00164402">
        <w:t xml:space="preserve"> in 2015-16</w:t>
      </w:r>
      <w:r>
        <w:t xml:space="preserve"> </w:t>
      </w:r>
      <w:r w:rsidRPr="00164402">
        <w:t>from 6.4</w:t>
      </w:r>
      <w:r>
        <w:t> per cent in the previous year</w:t>
      </w:r>
      <w:r w:rsidRPr="00164402">
        <w:t xml:space="preserve">. This strength is </w:t>
      </w:r>
      <w:r>
        <w:t>repeated</w:t>
      </w:r>
      <w:r w:rsidRPr="00164402">
        <w:t xml:space="preserve"> in the near-term outlook, with employment growth </w:t>
      </w:r>
      <w:r>
        <w:t>again expected to be above trend in 2016</w:t>
      </w:r>
      <w:r>
        <w:noBreakHyphen/>
      </w:r>
      <w:r w:rsidRPr="00164402">
        <w:t xml:space="preserve">17 and </w:t>
      </w:r>
      <w:r>
        <w:br/>
      </w:r>
      <w:r w:rsidRPr="00164402">
        <w:t>2017-18. Likewise, the unemployment rate is projected to fall to 5.50</w:t>
      </w:r>
      <w:r>
        <w:t> per cent</w:t>
      </w:r>
      <w:r w:rsidRPr="00164402">
        <w:t xml:space="preserve"> in 2017-18, one year earlier than forecast at Budget.</w:t>
      </w:r>
      <w:r>
        <w:t xml:space="preserve"> Victoria’s strong employment market has encouraged more people to look for work, increasing the participation rate. This is in contrast to all other states that experienced declines over the year.</w:t>
      </w:r>
    </w:p>
    <w:p w:rsidR="00566E9A" w:rsidRPr="00A20BA0" w:rsidRDefault="00566E9A" w:rsidP="00AE5760">
      <w:r w:rsidRPr="00A20BA0">
        <w:t>Victoria’s population growth remains the highest among the states, with recent data suggesting a higher pace of growth than</w:t>
      </w:r>
      <w:r>
        <w:t xml:space="preserve"> assumed in the </w:t>
      </w:r>
      <w:r w:rsidRPr="0082621E">
        <w:rPr>
          <w:i/>
        </w:rPr>
        <w:t>2016-17 Budget</w:t>
      </w:r>
      <w:r w:rsidRPr="00A20BA0">
        <w:t>. Victoria’s liveability and strong economic standing has attracted record levels of interstate migration and a high share of net overseas migration. The latter account</w:t>
      </w:r>
      <w:r>
        <w:t>ed for over half of the S</w:t>
      </w:r>
      <w:r w:rsidRPr="00A20BA0">
        <w:t>tate’s population increase and a third of the national total in the year to March 2016.</w:t>
      </w:r>
      <w:r>
        <w:t xml:space="preserve"> </w:t>
      </w:r>
      <w:r>
        <w:br/>
        <w:t>The State’s population is currently growing by more than 110 000 people every year.</w:t>
      </w:r>
    </w:p>
    <w:p w:rsidR="00566E9A" w:rsidRPr="00A20BA0" w:rsidRDefault="00566E9A" w:rsidP="00AE5760">
      <w:r w:rsidRPr="00A20BA0">
        <w:t>Inflationary pressures were subdued in 2015-16 as consumer prices in Melbourne rose by 1.6</w:t>
      </w:r>
      <w:r>
        <w:t> per cent</w:t>
      </w:r>
      <w:r w:rsidRPr="00A20BA0">
        <w:t xml:space="preserve"> over the year, less than expected in the </w:t>
      </w:r>
      <w:r w:rsidRPr="00FC0077">
        <w:rPr>
          <w:i/>
        </w:rPr>
        <w:t>2016-17 Budget</w:t>
      </w:r>
      <w:r w:rsidRPr="00A20BA0">
        <w:t>. Global and domestic forces combined to dampen price growth. Competition intensified</w:t>
      </w:r>
      <w:r>
        <w:t>,</w:t>
      </w:r>
      <w:r w:rsidRPr="00A20BA0">
        <w:t xml:space="preserve"> restricting businesses from passing on the full extent of increased costs, while spare capacity in the do</w:t>
      </w:r>
      <w:r>
        <w:t xml:space="preserve">mestic economy has limited wage growth. These </w:t>
      </w:r>
      <w:r w:rsidRPr="00A20BA0">
        <w:t>factors are expected to persist. Consequently, inflation forecasts have been downgr</w:t>
      </w:r>
      <w:r>
        <w:t>aded to reflect the weaker near</w:t>
      </w:r>
      <w:r>
        <w:noBreakHyphen/>
      </w:r>
      <w:r w:rsidRPr="00A20BA0">
        <w:t>term outlook, before returning to trend more gradually.</w:t>
      </w:r>
    </w:p>
    <w:p w:rsidR="00566E9A" w:rsidRDefault="00566E9A" w:rsidP="00AE5760">
      <w:r w:rsidRPr="00A20BA0">
        <w:t>Wages grew by 2.3</w:t>
      </w:r>
      <w:r>
        <w:t> per cent</w:t>
      </w:r>
      <w:r w:rsidRPr="00A20BA0">
        <w:t xml:space="preserve"> in 2015-16, the </w:t>
      </w:r>
      <w:r>
        <w:t>slowest growth</w:t>
      </w:r>
      <w:r w:rsidRPr="00A20BA0">
        <w:t xml:space="preserve"> since the series commenced</w:t>
      </w:r>
      <w:r>
        <w:t xml:space="preserve"> </w:t>
      </w:r>
      <w:r>
        <w:br/>
        <w:t>in 1997</w:t>
      </w:r>
      <w:r w:rsidRPr="00A20BA0">
        <w:t xml:space="preserve">. This reflected elevated spare capacity in the labour market, despite strong employment outcomes and a falling unemployment rate. The pace of wages growth is now expected to increase more slowly across the outlook compared </w:t>
      </w:r>
      <w:r>
        <w:t>with</w:t>
      </w:r>
      <w:r w:rsidRPr="00A20BA0">
        <w:t xml:space="preserve"> </w:t>
      </w:r>
      <w:r>
        <w:t xml:space="preserve">the </w:t>
      </w:r>
      <w:r>
        <w:br/>
      </w:r>
      <w:r w:rsidRPr="0082621E">
        <w:rPr>
          <w:i/>
        </w:rPr>
        <w:t>2016-17 Budget</w:t>
      </w:r>
      <w:r w:rsidRPr="00A20BA0">
        <w:t>.</w:t>
      </w:r>
    </w:p>
    <w:p w:rsidR="00566E9A" w:rsidRDefault="00566E9A">
      <w:pPr>
        <w:rPr>
          <w:rFonts w:asciiTheme="majorHAnsi" w:hAnsiTheme="majorHAnsi"/>
          <w:b/>
          <w:kern w:val="28"/>
          <w:sz w:val="26"/>
        </w:rPr>
      </w:pPr>
      <w:r>
        <w:br w:type="page"/>
      </w:r>
    </w:p>
    <w:p w:rsidR="00566E9A" w:rsidRDefault="00566E9A" w:rsidP="00AE5760">
      <w:pPr>
        <w:pStyle w:val="Heading2"/>
      </w:pPr>
      <w:r w:rsidRPr="00873680">
        <w:lastRenderedPageBreak/>
        <w:t>Economic forecasts</w:t>
      </w:r>
    </w:p>
    <w:p w:rsidR="00566E9A" w:rsidRPr="00873680" w:rsidRDefault="00566E9A" w:rsidP="00AE5760">
      <w:r>
        <w:t>Table 2.1 sets out the economic forecasts</w:t>
      </w:r>
      <w:r w:rsidRPr="00873680">
        <w:t xml:space="preserve">, with the </w:t>
      </w:r>
      <w:r w:rsidRPr="00873680">
        <w:rPr>
          <w:i/>
        </w:rPr>
        <w:t>201</w:t>
      </w:r>
      <w:r>
        <w:rPr>
          <w:i/>
        </w:rPr>
        <w:t>6</w:t>
      </w:r>
      <w:r>
        <w:rPr>
          <w:i/>
        </w:rPr>
        <w:noBreakHyphen/>
        <w:t>17 </w:t>
      </w:r>
      <w:r w:rsidRPr="00873680">
        <w:rPr>
          <w:i/>
        </w:rPr>
        <w:t xml:space="preserve">Budget </w:t>
      </w:r>
      <w:r w:rsidRPr="00873680">
        <w:t>forecasts in parentheses where different.</w:t>
      </w:r>
      <w:r>
        <w:t xml:space="preserve"> </w:t>
      </w:r>
    </w:p>
    <w:p w:rsidR="00566E9A" w:rsidRPr="00873680" w:rsidRDefault="00566E9A" w:rsidP="00AE5760">
      <w:pPr>
        <w:pStyle w:val="Tableheading"/>
        <w:spacing w:before="180" w:after="40"/>
        <w:rPr>
          <w:vertAlign w:val="superscript"/>
        </w:rPr>
      </w:pPr>
      <w:r>
        <w:t>Table 2.1:</w:t>
      </w:r>
      <w:r w:rsidRPr="00873680">
        <w:tab/>
        <w:t>Victorian economic forecasts</w:t>
      </w:r>
      <w:r>
        <w:t xml:space="preserve"> </w:t>
      </w:r>
      <w:r w:rsidRPr="00873680">
        <w:rPr>
          <w:vertAlign w:val="superscript"/>
        </w:rPr>
        <w:t>(a)</w:t>
      </w:r>
    </w:p>
    <w:p w:rsidR="00566E9A" w:rsidRPr="00873680" w:rsidRDefault="00566E9A" w:rsidP="00AE5760">
      <w:pPr>
        <w:pStyle w:val="million"/>
      </w:pPr>
      <w:r w:rsidRPr="00873680">
        <w:t>(per cent)</w:t>
      </w:r>
    </w:p>
    <w:tbl>
      <w:tblPr>
        <w:tblStyle w:val="DTFFinancialTable"/>
        <w:tblW w:w="7776" w:type="dxa"/>
        <w:tblLayout w:type="fixed"/>
        <w:tblLook w:val="06A0" w:firstRow="1" w:lastRow="0" w:firstColumn="1" w:lastColumn="0" w:noHBand="1" w:noVBand="1"/>
      </w:tblPr>
      <w:tblGrid>
        <w:gridCol w:w="2810"/>
        <w:gridCol w:w="994"/>
        <w:gridCol w:w="993"/>
        <w:gridCol w:w="993"/>
        <w:gridCol w:w="993"/>
        <w:gridCol w:w="993"/>
      </w:tblGrid>
      <w:tr w:rsidR="00566E9A" w:rsidRPr="00813313" w:rsidTr="00AE5760">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2810" w:type="dxa"/>
          </w:tcPr>
          <w:p w:rsidR="00566E9A" w:rsidRPr="00813313" w:rsidRDefault="00566E9A" w:rsidP="00AE5760">
            <w:pPr>
              <w:ind w:left="0" w:firstLine="0"/>
            </w:pPr>
            <w:r w:rsidRPr="00813313">
              <w:t xml:space="preserve"> </w:t>
            </w:r>
          </w:p>
        </w:tc>
        <w:tc>
          <w:tcPr>
            <w:tcW w:w="994" w:type="dxa"/>
          </w:tcPr>
          <w:p w:rsidR="00566E9A" w:rsidRPr="00813313" w:rsidRDefault="00566E9A" w:rsidP="00AE5760">
            <w:pPr>
              <w:cnfStyle w:val="100000000000" w:firstRow="1" w:lastRow="0" w:firstColumn="0" w:lastColumn="0" w:oddVBand="0" w:evenVBand="0" w:oddHBand="0" w:evenHBand="0" w:firstRowFirstColumn="0" w:firstRowLastColumn="0" w:lastRowFirstColumn="0" w:lastRowLastColumn="0"/>
            </w:pPr>
            <w:r w:rsidRPr="00813313">
              <w:t>2015</w:t>
            </w:r>
            <w:r w:rsidRPr="00813313">
              <w:noBreakHyphen/>
              <w:t>16</w:t>
            </w:r>
            <w:r w:rsidR="00AE5760">
              <w:br/>
            </w:r>
            <w:r w:rsidR="00AE5760" w:rsidRPr="00813313">
              <w:t>actual</w:t>
            </w:r>
          </w:p>
        </w:tc>
        <w:tc>
          <w:tcPr>
            <w:tcW w:w="993" w:type="dxa"/>
          </w:tcPr>
          <w:p w:rsidR="00566E9A" w:rsidRPr="00813313" w:rsidRDefault="00566E9A" w:rsidP="00AE5760">
            <w:pPr>
              <w:cnfStyle w:val="100000000000" w:firstRow="1" w:lastRow="0" w:firstColumn="0" w:lastColumn="0" w:oddVBand="0" w:evenVBand="0" w:oddHBand="0" w:evenHBand="0" w:firstRowFirstColumn="0" w:firstRowLastColumn="0" w:lastRowFirstColumn="0" w:lastRowLastColumn="0"/>
            </w:pPr>
            <w:r w:rsidRPr="00813313">
              <w:t>2016</w:t>
            </w:r>
            <w:r w:rsidRPr="00813313">
              <w:noBreakHyphen/>
              <w:t>17</w:t>
            </w:r>
            <w:r w:rsidR="00AE5760">
              <w:br/>
            </w:r>
            <w:r w:rsidRPr="00813313">
              <w:t>forecast</w:t>
            </w:r>
          </w:p>
        </w:tc>
        <w:tc>
          <w:tcPr>
            <w:tcW w:w="993" w:type="dxa"/>
          </w:tcPr>
          <w:p w:rsidR="00566E9A" w:rsidRPr="00813313" w:rsidRDefault="00566E9A" w:rsidP="00AE5760">
            <w:pPr>
              <w:cnfStyle w:val="100000000000" w:firstRow="1" w:lastRow="0" w:firstColumn="0" w:lastColumn="0" w:oddVBand="0" w:evenVBand="0" w:oddHBand="0" w:evenHBand="0" w:firstRowFirstColumn="0" w:firstRowLastColumn="0" w:lastRowFirstColumn="0" w:lastRowLastColumn="0"/>
            </w:pPr>
            <w:r w:rsidRPr="00813313">
              <w:t>2017</w:t>
            </w:r>
            <w:r w:rsidRPr="00813313">
              <w:noBreakHyphen/>
              <w:t>18</w:t>
            </w:r>
            <w:r w:rsidR="00AE5760">
              <w:br/>
            </w:r>
            <w:r w:rsidRPr="00813313">
              <w:t>forecast</w:t>
            </w:r>
          </w:p>
        </w:tc>
        <w:tc>
          <w:tcPr>
            <w:tcW w:w="993" w:type="dxa"/>
          </w:tcPr>
          <w:p w:rsidR="00566E9A" w:rsidRPr="00813313" w:rsidRDefault="00566E9A" w:rsidP="00AE5760">
            <w:pPr>
              <w:cnfStyle w:val="100000000000" w:firstRow="1" w:lastRow="0" w:firstColumn="0" w:lastColumn="0" w:oddVBand="0" w:evenVBand="0" w:oddHBand="0" w:evenHBand="0" w:firstRowFirstColumn="0" w:firstRowLastColumn="0" w:lastRowFirstColumn="0" w:lastRowLastColumn="0"/>
            </w:pPr>
            <w:r w:rsidRPr="00813313">
              <w:t>2018</w:t>
            </w:r>
            <w:r w:rsidRPr="00813313">
              <w:noBreakHyphen/>
              <w:t>19</w:t>
            </w:r>
            <w:r w:rsidR="00AE5760">
              <w:br/>
            </w:r>
            <w:r w:rsidRPr="00813313">
              <w:t>projection</w:t>
            </w:r>
          </w:p>
        </w:tc>
        <w:tc>
          <w:tcPr>
            <w:tcW w:w="993" w:type="dxa"/>
          </w:tcPr>
          <w:p w:rsidR="00566E9A" w:rsidRPr="00813313" w:rsidRDefault="00566E9A" w:rsidP="00AE5760">
            <w:pPr>
              <w:cnfStyle w:val="100000000000" w:firstRow="1" w:lastRow="0" w:firstColumn="0" w:lastColumn="0" w:oddVBand="0" w:evenVBand="0" w:oddHBand="0" w:evenHBand="0" w:firstRowFirstColumn="0" w:firstRowLastColumn="0" w:lastRowFirstColumn="0" w:lastRowLastColumn="0"/>
            </w:pPr>
            <w:r w:rsidRPr="00813313">
              <w:t>2019</w:t>
            </w:r>
            <w:r w:rsidRPr="00813313">
              <w:noBreakHyphen/>
              <w:t>20</w:t>
            </w:r>
            <w:r w:rsidR="00AE5760">
              <w:br/>
            </w:r>
            <w:r w:rsidRPr="00813313">
              <w:t>projection</w:t>
            </w:r>
          </w:p>
        </w:tc>
      </w:tr>
      <w:tr w:rsidR="00566E9A" w:rsidRPr="00813313" w:rsidTr="00AE5760">
        <w:trPr>
          <w:trHeight w:val="55"/>
        </w:trPr>
        <w:tc>
          <w:tcPr>
            <w:cnfStyle w:val="001000000000" w:firstRow="0" w:lastRow="0" w:firstColumn="1" w:lastColumn="0" w:oddVBand="0" w:evenVBand="0" w:oddHBand="0" w:evenHBand="0" w:firstRowFirstColumn="0" w:firstRowLastColumn="0" w:lastRowFirstColumn="0" w:lastRowLastColumn="0"/>
            <w:tcW w:w="2810" w:type="dxa"/>
          </w:tcPr>
          <w:p w:rsidR="00566E9A" w:rsidRPr="00813313" w:rsidRDefault="00566E9A" w:rsidP="00AE5760">
            <w:pPr>
              <w:ind w:left="0" w:firstLine="0"/>
            </w:pPr>
            <w:r w:rsidRPr="00813313">
              <w:t>Real gross state product</w:t>
            </w:r>
          </w:p>
        </w:tc>
        <w:tc>
          <w:tcPr>
            <w:tcW w:w="994"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t>3.3</w:t>
            </w:r>
          </w:p>
        </w:tc>
        <w:tc>
          <w:tcPr>
            <w:tcW w:w="993" w:type="dxa"/>
          </w:tcPr>
          <w:p w:rsidR="00566E9A" w:rsidRPr="00813313" w:rsidRDefault="00537CDE" w:rsidP="00AE5760">
            <w:pPr>
              <w:cnfStyle w:val="000000000000" w:firstRow="0" w:lastRow="0" w:firstColumn="0" w:lastColumn="0" w:oddVBand="0" w:evenVBand="0" w:oddHBand="0" w:evenHBand="0" w:firstRowFirstColumn="0" w:firstRowLastColumn="0" w:lastRowFirstColumn="0" w:lastRowLastColumn="0"/>
            </w:pPr>
            <w:r>
              <w:t>3.00</w:t>
            </w:r>
          </w:p>
        </w:tc>
        <w:tc>
          <w:tcPr>
            <w:tcW w:w="993" w:type="dxa"/>
          </w:tcPr>
          <w:p w:rsidR="00566E9A" w:rsidRPr="00813313" w:rsidRDefault="00537CDE" w:rsidP="00AE5760">
            <w:pPr>
              <w:cnfStyle w:val="000000000000" w:firstRow="0" w:lastRow="0" w:firstColumn="0" w:lastColumn="0" w:oddVBand="0" w:evenVBand="0" w:oddHBand="0" w:evenHBand="0" w:firstRowFirstColumn="0" w:firstRowLastColumn="0" w:lastRowFirstColumn="0" w:lastRowLastColumn="0"/>
            </w:pPr>
            <w:r>
              <w:t>2.75</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2.75</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2.75</w:t>
            </w: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813313" w:rsidRDefault="00566E9A" w:rsidP="00AE5760">
            <w:pPr>
              <w:ind w:left="0" w:firstLine="0"/>
              <w:rPr>
                <w:i/>
              </w:rPr>
            </w:pPr>
          </w:p>
        </w:tc>
        <w:tc>
          <w:tcPr>
            <w:tcW w:w="994"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r>
      <w:tr w:rsidR="00566E9A" w:rsidRPr="006C356C"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pPr>
            <w:r w:rsidRPr="00172F26">
              <w:t>Employment</w:t>
            </w: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2.4</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t>2.75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t>2.00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1.50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1.50</w:t>
            </w:r>
          </w:p>
        </w:tc>
      </w:tr>
      <w:tr w:rsidR="00566E9A" w:rsidRPr="006C356C"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rPr>
                <w:i/>
              </w:rPr>
            </w:pP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(1.75)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(1.50)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pPr>
            <w:r>
              <w:t xml:space="preserve">Unemployment </w:t>
            </w:r>
            <w:r w:rsidRPr="00172F26">
              <w:t>rate</w:t>
            </w:r>
            <w:r w:rsidRPr="00172F26">
              <w:rPr>
                <w:vertAlign w:val="superscript"/>
              </w:rPr>
              <w:t xml:space="preserve"> (b)</w:t>
            </w: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5.9</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5.75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5.50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5.50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5.50</w:t>
            </w: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rPr>
                <w:i/>
              </w:rPr>
            </w:pP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(5.75)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pPr>
            <w:r w:rsidRPr="00172F26">
              <w:t xml:space="preserve">Consumer price index </w:t>
            </w:r>
            <w:r w:rsidRPr="00172F26">
              <w:rPr>
                <w:vertAlign w:val="superscript"/>
              </w:rPr>
              <w:t>(c)</w:t>
            </w: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1.6</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1.75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2.00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2.25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2.50</w:t>
            </w: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rPr>
                <w:i/>
              </w:rPr>
            </w:pP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(2.25)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(2.50)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(2.50)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pPr>
            <w:r w:rsidRPr="00172F26">
              <w:t>Wage price index</w:t>
            </w:r>
            <w:r w:rsidRPr="00172F26">
              <w:rPr>
                <w:vertAlign w:val="superscript"/>
              </w:rPr>
              <w:t xml:space="preserve"> (d)</w:t>
            </w: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2.3</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2.</w:t>
            </w:r>
            <w:r>
              <w:t>25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t>2.50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t>3.00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pPr>
            <w:r w:rsidRPr="00172F26">
              <w:t>3.50</w:t>
            </w: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172F26" w:rsidRDefault="00566E9A" w:rsidP="00AE5760">
            <w:pPr>
              <w:ind w:left="0" w:firstLine="0"/>
              <w:rPr>
                <w:i/>
              </w:rPr>
            </w:pPr>
          </w:p>
        </w:tc>
        <w:tc>
          <w:tcPr>
            <w:tcW w:w="994"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(2.75)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sidRPr="00172F26">
              <w:rPr>
                <w:i/>
              </w:rPr>
              <w:t>(3.00)</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r>
              <w:rPr>
                <w:i/>
              </w:rPr>
              <w:t>(3.25)</w:t>
            </w:r>
          </w:p>
        </w:tc>
        <w:tc>
          <w:tcPr>
            <w:tcW w:w="993" w:type="dxa"/>
          </w:tcPr>
          <w:p w:rsidR="00566E9A" w:rsidRPr="00172F26" w:rsidRDefault="00566E9A" w:rsidP="00AE5760">
            <w:pPr>
              <w:cnfStyle w:val="000000000000" w:firstRow="0" w:lastRow="0" w:firstColumn="0" w:lastColumn="0" w:oddVBand="0" w:evenVBand="0" w:oddHBand="0" w:evenHBand="0" w:firstRowFirstColumn="0" w:firstRowLastColumn="0" w:lastRowFirstColumn="0" w:lastRowLastColumn="0"/>
              <w:rPr>
                <w:i/>
              </w:rPr>
            </w:pP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813313" w:rsidRDefault="00566E9A" w:rsidP="00AE5760">
            <w:pPr>
              <w:ind w:left="0" w:firstLine="0"/>
            </w:pPr>
            <w:r w:rsidRPr="00813313">
              <w:t xml:space="preserve">Population </w:t>
            </w:r>
            <w:r w:rsidRPr="00813313">
              <w:rPr>
                <w:vertAlign w:val="superscript"/>
              </w:rPr>
              <w:t>(e)</w:t>
            </w:r>
          </w:p>
        </w:tc>
        <w:tc>
          <w:tcPr>
            <w:tcW w:w="994"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2.0</w:t>
            </w:r>
            <w:r w:rsidR="00DD2118">
              <w:t xml:space="preserve"> </w:t>
            </w:r>
            <w:r w:rsidRPr="004A4B03">
              <w:rPr>
                <w:vertAlign w:val="superscript"/>
              </w:rPr>
              <w:t>(f)</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1.9</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1.9</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1.8</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pPr>
            <w:r w:rsidRPr="00813313">
              <w:t>1.8</w:t>
            </w:r>
          </w:p>
        </w:tc>
      </w:tr>
      <w:tr w:rsidR="00566E9A" w:rsidRPr="00813313" w:rsidTr="00AE5760">
        <w:tc>
          <w:tcPr>
            <w:cnfStyle w:val="001000000000" w:firstRow="0" w:lastRow="0" w:firstColumn="1" w:lastColumn="0" w:oddVBand="0" w:evenVBand="0" w:oddHBand="0" w:evenHBand="0" w:firstRowFirstColumn="0" w:firstRowLastColumn="0" w:lastRowFirstColumn="0" w:lastRowLastColumn="0"/>
            <w:tcW w:w="2810" w:type="dxa"/>
          </w:tcPr>
          <w:p w:rsidR="00566E9A" w:rsidRPr="00813313" w:rsidRDefault="00566E9A" w:rsidP="00AE5760">
            <w:pPr>
              <w:ind w:left="0" w:firstLine="0"/>
              <w:rPr>
                <w:i/>
              </w:rPr>
            </w:pPr>
          </w:p>
        </w:tc>
        <w:tc>
          <w:tcPr>
            <w:tcW w:w="994"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r w:rsidRPr="00813313">
              <w:rPr>
                <w:i/>
              </w:rPr>
              <w:t>(1.8)</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r w:rsidRPr="00813313">
              <w:rPr>
                <w:i/>
              </w:rPr>
              <w:t>(1.8)</w:t>
            </w: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c>
          <w:tcPr>
            <w:tcW w:w="993" w:type="dxa"/>
          </w:tcPr>
          <w:p w:rsidR="00566E9A" w:rsidRPr="00813313" w:rsidRDefault="00566E9A" w:rsidP="00AE5760">
            <w:pPr>
              <w:cnfStyle w:val="000000000000" w:firstRow="0" w:lastRow="0" w:firstColumn="0" w:lastColumn="0" w:oddVBand="0" w:evenVBand="0" w:oddHBand="0" w:evenHBand="0" w:firstRowFirstColumn="0" w:firstRowLastColumn="0" w:lastRowFirstColumn="0" w:lastRowLastColumn="0"/>
              <w:rPr>
                <w:i/>
              </w:rPr>
            </w:pPr>
          </w:p>
        </w:tc>
      </w:tr>
    </w:tbl>
    <w:p w:rsidR="00566E9A" w:rsidRPr="00873680" w:rsidRDefault="00566E9A" w:rsidP="00AE5760">
      <w:pPr>
        <w:pStyle w:val="Source"/>
        <w:spacing w:after="60"/>
      </w:pPr>
      <w:r w:rsidRPr="00873680">
        <w:t>Sources: Australian Bureau of Statistics; Department of Treasury and Finance</w:t>
      </w:r>
    </w:p>
    <w:p w:rsidR="00566E9A" w:rsidRPr="00873680" w:rsidRDefault="00566E9A" w:rsidP="00AE5760">
      <w:pPr>
        <w:pStyle w:val="Notes"/>
      </w:pPr>
      <w:r w:rsidRPr="00873680">
        <w:t>Notes:</w:t>
      </w:r>
    </w:p>
    <w:p w:rsidR="00566E9A" w:rsidRPr="00873680" w:rsidRDefault="00566E9A" w:rsidP="00AE5760">
      <w:pPr>
        <w:pStyle w:val="Notes"/>
      </w:pPr>
      <w:r>
        <w:t>(a)</w:t>
      </w:r>
      <w:r>
        <w:tab/>
        <w:t>Percentage</w:t>
      </w:r>
      <w:r w:rsidRPr="00873680">
        <w:t xml:space="preserve"> change in year average compared with previous year, except for unemployment rate (see note (</w:t>
      </w:r>
      <w:r>
        <w:t>b</w:t>
      </w:r>
      <w:r w:rsidRPr="00873680">
        <w:t>)) and population (see note (</w:t>
      </w:r>
      <w:r>
        <w:t>e</w:t>
      </w:r>
      <w:r w:rsidRPr="00873680">
        <w:t xml:space="preserve">)). Forecasts are rounded to the nearest 0.25 percentage points, except for population </w:t>
      </w:r>
      <w:r>
        <w:br/>
      </w:r>
      <w:r w:rsidRPr="00873680">
        <w:t>(see</w:t>
      </w:r>
      <w:r>
        <w:t xml:space="preserve"> </w:t>
      </w:r>
      <w:r w:rsidRPr="00873680">
        <w:t>note</w:t>
      </w:r>
      <w:r>
        <w:t xml:space="preserve"> </w:t>
      </w:r>
      <w:r w:rsidRPr="00873680">
        <w:t>(</w:t>
      </w:r>
      <w:r>
        <w:t>e</w:t>
      </w:r>
      <w:r w:rsidRPr="00873680">
        <w:t>)).</w:t>
      </w:r>
    </w:p>
    <w:p w:rsidR="00566E9A" w:rsidRDefault="00566E9A" w:rsidP="00AE5760">
      <w:pPr>
        <w:pStyle w:val="Notes"/>
      </w:pPr>
      <w:r w:rsidRPr="00873680">
        <w:tab/>
        <w:t>The key assumptions underlying the economic forecasts include: interest rates that follow movements in market expectations in the short term, and stabilise thereafter; a trade</w:t>
      </w:r>
      <w:r>
        <w:noBreakHyphen/>
      </w:r>
      <w:r w:rsidRPr="00873680">
        <w:t xml:space="preserve">weighted index of </w:t>
      </w:r>
      <w:r w:rsidRPr="00D12863">
        <w:t>64.0</w:t>
      </w:r>
      <w:r w:rsidRPr="00873680">
        <w:t>; and oil prices that follow the path suggested by oil futures.</w:t>
      </w:r>
    </w:p>
    <w:p w:rsidR="00566E9A" w:rsidRPr="00873680" w:rsidRDefault="00566E9A" w:rsidP="00AE5760">
      <w:pPr>
        <w:pStyle w:val="Notes"/>
      </w:pPr>
      <w:r w:rsidRPr="00873680">
        <w:t>(</w:t>
      </w:r>
      <w:r>
        <w:t>b)</w:t>
      </w:r>
      <w:r>
        <w:tab/>
        <w:t>Year average, per cent.</w:t>
      </w:r>
    </w:p>
    <w:p w:rsidR="00566E9A" w:rsidRPr="00873680" w:rsidRDefault="00566E9A" w:rsidP="00AE5760">
      <w:pPr>
        <w:pStyle w:val="Notes"/>
      </w:pPr>
      <w:r w:rsidRPr="00873680">
        <w:t>(</w:t>
      </w:r>
      <w:r>
        <w:t>c</w:t>
      </w:r>
      <w:r w:rsidRPr="00873680">
        <w:t>)</w:t>
      </w:r>
      <w:r w:rsidRPr="00873680">
        <w:tab/>
        <w:t>Melbourne consumer price index.</w:t>
      </w:r>
    </w:p>
    <w:p w:rsidR="00566E9A" w:rsidRPr="00873680" w:rsidRDefault="00566E9A" w:rsidP="00AE5760">
      <w:pPr>
        <w:pStyle w:val="Notes"/>
      </w:pPr>
      <w:r w:rsidRPr="00873680">
        <w:t>(</w:t>
      </w:r>
      <w:r>
        <w:t>d</w:t>
      </w:r>
      <w:r w:rsidRPr="00873680">
        <w:t>)</w:t>
      </w:r>
      <w:r w:rsidRPr="00873680">
        <w:tab/>
        <w:t>Total hourly rate excluding bonuses.</w:t>
      </w:r>
    </w:p>
    <w:p w:rsidR="00566E9A" w:rsidRDefault="00566E9A" w:rsidP="00AE5760">
      <w:pPr>
        <w:pStyle w:val="Notes"/>
      </w:pPr>
      <w:r w:rsidRPr="00873680">
        <w:t>(</w:t>
      </w:r>
      <w:r>
        <w:t>e</w:t>
      </w:r>
      <w:r w:rsidRPr="00873680">
        <w:t>)</w:t>
      </w:r>
      <w:r w:rsidRPr="00873680">
        <w:tab/>
        <w:t>P</w:t>
      </w:r>
      <w:r>
        <w:t>ercentage</w:t>
      </w:r>
      <w:r w:rsidRPr="00873680">
        <w:t xml:space="preserve"> change over the year to 30 June. Forecasts are rounded to the nearest 0.1 percentage point.</w:t>
      </w:r>
    </w:p>
    <w:p w:rsidR="00566E9A" w:rsidRPr="00873680" w:rsidRDefault="00566E9A" w:rsidP="00AE5760">
      <w:pPr>
        <w:pStyle w:val="Notes"/>
      </w:pPr>
      <w:r w:rsidRPr="00330E5E">
        <w:t>(f)</w:t>
      </w:r>
      <w:r w:rsidRPr="00330E5E">
        <w:tab/>
        <w:t>Forecast.</w:t>
      </w:r>
    </w:p>
    <w:p w:rsidR="00566E9A" w:rsidRPr="00873680" w:rsidRDefault="00566E9A" w:rsidP="00AE5760">
      <w:pPr>
        <w:pStyle w:val="Heading2"/>
      </w:pPr>
      <w:r w:rsidRPr="00873680">
        <w:t>Australian economic conditions and outlook</w:t>
      </w:r>
    </w:p>
    <w:p w:rsidR="00566E9A" w:rsidRDefault="00566E9A" w:rsidP="00AE5760">
      <w:r>
        <w:t xml:space="preserve">The national economy grew at a solid pace in the first half of 2016, as rebalancing from mining investment continues. Real gross domestic product (GDP) expanded by </w:t>
      </w:r>
      <w:r w:rsidRPr="008465C6">
        <w:t>2.</w:t>
      </w:r>
      <w:r w:rsidR="006B6500">
        <w:t>7 </w:t>
      </w:r>
      <w:r>
        <w:t xml:space="preserve">per cent in 2015-16, </w:t>
      </w:r>
      <w:r w:rsidRPr="0018072A">
        <w:t>the</w:t>
      </w:r>
      <w:r>
        <w:t xml:space="preserve"> highest</w:t>
      </w:r>
      <w:r w:rsidRPr="0018072A">
        <w:t xml:space="preserve"> </w:t>
      </w:r>
      <w:r>
        <w:t>growth rate in four years.</w:t>
      </w:r>
    </w:p>
    <w:p w:rsidR="00566E9A" w:rsidRDefault="00566E9A" w:rsidP="00AE5760">
      <w:r>
        <w:t xml:space="preserve">Historically low interest rates and the lower Australian dollar boost economic activity in non-mining sectors. The pick-up in services activity has underpinned employment growth, with the relatively more diverse eastern states’ economies outperforming the rest of the country. </w:t>
      </w:r>
    </w:p>
    <w:p w:rsidR="00C14B16" w:rsidRDefault="00566E9A" w:rsidP="00C14B16">
      <w:r>
        <w:t xml:space="preserve">The </w:t>
      </w:r>
      <w:r w:rsidR="000B52FE">
        <w:t xml:space="preserve">recent </w:t>
      </w:r>
      <w:r>
        <w:t xml:space="preserve">moderation in household consumption was unexpected, but with house price growth still exhibiting momentum and weak wage increases showing tentative signs of improvement, consumption is expected to support </w:t>
      </w:r>
      <w:r w:rsidRPr="0082621E">
        <w:t>overall growth across</w:t>
      </w:r>
      <w:r>
        <w:t xml:space="preserve"> the forecast period. The household savings ratio continues to trend downwards.</w:t>
      </w:r>
    </w:p>
    <w:p w:rsidR="00566E9A" w:rsidRDefault="00566E9A" w:rsidP="00AE5760">
      <w:r>
        <w:t>Public sector investment in a number of large infrastructure projects has provided a boost to growth, offsetting the sharp decline in mining investment over recent years.</w:t>
      </w:r>
    </w:p>
    <w:p w:rsidR="00566E9A" w:rsidRDefault="00566E9A" w:rsidP="00AE5760">
      <w:r>
        <w:lastRenderedPageBreak/>
        <w:t xml:space="preserve">Dwelling investment is also growing strongly, increasing by </w:t>
      </w:r>
      <w:r w:rsidR="00537CDE">
        <w:t>7</w:t>
      </w:r>
      <w:r w:rsidR="00B42E96">
        <w:t>.2</w:t>
      </w:r>
      <w:r>
        <w:t xml:space="preserve"> per cent on an annual basis in the </w:t>
      </w:r>
      <w:r w:rsidR="00B42E96">
        <w:t xml:space="preserve">September </w:t>
      </w:r>
      <w:r>
        <w:t>quarter 2016. This momentum is expected to carry through in the year ahead given the pipeline of construction work and high level of building approvals during the middle of the year.</w:t>
      </w:r>
    </w:p>
    <w:p w:rsidR="00566E9A" w:rsidRDefault="00566E9A" w:rsidP="00AE5760">
      <w:r>
        <w:t xml:space="preserve">The deterioration of the terms of trade, which has been a major headwind for economic growth, is now improving in response to sharp price increases in many of Australia’s key commodities. A sustained period of higher prices should provide a further boost to resource exports, which are expected to be a key driver of growth over the next few years. </w:t>
      </w:r>
    </w:p>
    <w:p w:rsidR="00566E9A" w:rsidRPr="00B46757" w:rsidRDefault="00566E9A" w:rsidP="00AE5760">
      <w:pPr>
        <w:pStyle w:val="Heading2"/>
        <w:rPr>
          <w:sz w:val="22"/>
        </w:rPr>
      </w:pPr>
      <w:r w:rsidRPr="00873680">
        <w:t>International economic conditions and outlook</w:t>
      </w:r>
    </w:p>
    <w:p w:rsidR="00566E9A" w:rsidRDefault="00566E9A" w:rsidP="00AE5760">
      <w:bookmarkStart w:id="5" w:name="_Toc401056867"/>
      <w:bookmarkStart w:id="6" w:name="_Toc401147489"/>
      <w:bookmarkStart w:id="7" w:name="_Toc403386685"/>
      <w:bookmarkStart w:id="8" w:name="_Toc406162085"/>
      <w:bookmarkStart w:id="9" w:name="_Toc406751092"/>
      <w:bookmarkStart w:id="10" w:name="_Toc436147530"/>
      <w:r w:rsidRPr="00164402">
        <w:t xml:space="preserve">Global economic growth remains below trend, but has shown resilience despite </w:t>
      </w:r>
      <w:r>
        <w:t xml:space="preserve">political uncertainty surrounding </w:t>
      </w:r>
      <w:r w:rsidRPr="00164402">
        <w:t xml:space="preserve">the </w:t>
      </w:r>
      <w:proofErr w:type="spellStart"/>
      <w:r w:rsidRPr="00164402">
        <w:t>Brexit</w:t>
      </w:r>
      <w:proofErr w:type="spellEnd"/>
      <w:r w:rsidRPr="00164402">
        <w:t xml:space="preserve"> vote and the</w:t>
      </w:r>
      <w:r>
        <w:t xml:space="preserve"> recent US presidential election.</w:t>
      </w:r>
      <w:r w:rsidRPr="00164402">
        <w:t xml:space="preserve"> The latest forecasts by </w:t>
      </w:r>
      <w:r>
        <w:t xml:space="preserve">the </w:t>
      </w:r>
      <w:r w:rsidRPr="00164402">
        <w:t>International Monetary Fund (IMF) project global economic growth of 3.1</w:t>
      </w:r>
      <w:r>
        <w:t> per cent</w:t>
      </w:r>
      <w:r w:rsidRPr="00164402">
        <w:t xml:space="preserve"> in 2016, strengthening to 3.4</w:t>
      </w:r>
      <w:r>
        <w:t> per cent</w:t>
      </w:r>
      <w:r w:rsidRPr="00D975A5">
        <w:t xml:space="preserve"> </w:t>
      </w:r>
      <w:r w:rsidRPr="00164402">
        <w:t xml:space="preserve">in 2017. Growth is expected to be strongest in emerging and developing economies, </w:t>
      </w:r>
      <w:r>
        <w:t>including</w:t>
      </w:r>
      <w:r w:rsidRPr="00164402">
        <w:t xml:space="preserve"> China and other major trading</w:t>
      </w:r>
      <w:r>
        <w:t xml:space="preserve"> partners.</w:t>
      </w:r>
    </w:p>
    <w:p w:rsidR="00566E9A" w:rsidRDefault="00566E9A" w:rsidP="00AE5760">
      <w:r w:rsidRPr="00164402">
        <w:t xml:space="preserve">US GDP growth eased over the year but continues to grow at a moderate pace. Solid consumer spending, </w:t>
      </w:r>
      <w:r>
        <w:t>and</w:t>
      </w:r>
      <w:r w:rsidRPr="00164402">
        <w:t xml:space="preserve"> an improving labour market, is helping to offset soft business investment and external demand. The IMF ha</w:t>
      </w:r>
      <w:r>
        <w:t>s</w:t>
      </w:r>
      <w:r w:rsidRPr="00164402">
        <w:t xml:space="preserve"> revised down </w:t>
      </w:r>
      <w:r>
        <w:t>forecasts for real GDP growth in the US</w:t>
      </w:r>
      <w:r w:rsidRPr="00164402">
        <w:t xml:space="preserve"> to 1.6</w:t>
      </w:r>
      <w:r>
        <w:t> per cent</w:t>
      </w:r>
      <w:r w:rsidRPr="00164402">
        <w:t xml:space="preserve"> for 2016, before picking up to 2.2</w:t>
      </w:r>
      <w:r>
        <w:t> per cent</w:t>
      </w:r>
      <w:r w:rsidRPr="00164402">
        <w:t xml:space="preserve"> in 2017 as the effects of a higher exchange rate and lower energy prices dissipate.</w:t>
      </w:r>
      <w:r>
        <w:t xml:space="preserve"> </w:t>
      </w:r>
    </w:p>
    <w:p w:rsidR="00566E9A" w:rsidRPr="00A66C06" w:rsidRDefault="00566E9A" w:rsidP="00AE5760">
      <w:r w:rsidRPr="00470E5E">
        <w:t xml:space="preserve">Meanwhile, economic activity in the euro area appears to be relatively unaffected by </w:t>
      </w:r>
      <w:r>
        <w:t xml:space="preserve">the </w:t>
      </w:r>
      <w:proofErr w:type="spellStart"/>
      <w:r w:rsidRPr="00470E5E">
        <w:t>Brexit</w:t>
      </w:r>
      <w:proofErr w:type="spellEnd"/>
      <w:r>
        <w:t xml:space="preserve"> vote</w:t>
      </w:r>
      <w:r w:rsidRPr="00470E5E">
        <w:t>, although growth remai</w:t>
      </w:r>
      <w:r>
        <w:t>ns sluggish since the global financial crisis</w:t>
      </w:r>
      <w:r w:rsidRPr="00470E5E">
        <w:t xml:space="preserve">. The European Central Bank has </w:t>
      </w:r>
      <w:r>
        <w:t xml:space="preserve">attempted to augment economic growth by conducting </w:t>
      </w:r>
      <w:r w:rsidRPr="00470E5E">
        <w:t>exp</w:t>
      </w:r>
      <w:r>
        <w:t>ansionary monetary policy through its large bond buying program.</w:t>
      </w:r>
      <w:r w:rsidRPr="00470E5E">
        <w:t xml:space="preserve"> The outlook for </w:t>
      </w:r>
      <w:r>
        <w:t>the euro area is still one of subdued growth –</w:t>
      </w:r>
      <w:r w:rsidRPr="00470E5E">
        <w:t xml:space="preserve"> </w:t>
      </w:r>
      <w:r>
        <w:t xml:space="preserve">the IMF forecasts </w:t>
      </w:r>
      <w:r w:rsidRPr="00470E5E">
        <w:t>1.5</w:t>
      </w:r>
      <w:r>
        <w:t> per cent</w:t>
      </w:r>
      <w:r w:rsidRPr="00470E5E">
        <w:t xml:space="preserve"> growth in 2017 </w:t>
      </w:r>
      <w:r>
        <w:t>–</w:t>
      </w:r>
      <w:r w:rsidRPr="00470E5E">
        <w:t xml:space="preserve"> weighed down by investor uncertainty over the UK’s impending withdrawal</w:t>
      </w:r>
      <w:r>
        <w:t xml:space="preserve"> from the EU</w:t>
      </w:r>
      <w:r w:rsidRPr="00470E5E">
        <w:t>.</w:t>
      </w:r>
    </w:p>
    <w:p w:rsidR="00566E9A" w:rsidRPr="00B7787F" w:rsidRDefault="00566E9A" w:rsidP="00AE5760">
      <w:r w:rsidRPr="00470E5E">
        <w:t xml:space="preserve">In the emerging market economies, growth is expected to strengthen in 2017, noting that there is significant variation across countries. </w:t>
      </w:r>
      <w:r>
        <w:t xml:space="preserve">The slowdown in Chinese economic growth appears to have stabilised and it remains one of the fastest growing world economies. </w:t>
      </w:r>
      <w:r w:rsidRPr="00470E5E">
        <w:t xml:space="preserve">Accommodative fiscal and monetary policy is providing support to </w:t>
      </w:r>
      <w:r>
        <w:t xml:space="preserve">aiding </w:t>
      </w:r>
      <w:r w:rsidRPr="00470E5E">
        <w:t xml:space="preserve">domestic demand, as rebalancing </w:t>
      </w:r>
      <w:r>
        <w:t xml:space="preserve">from </w:t>
      </w:r>
      <w:r w:rsidRPr="00470E5E">
        <w:t xml:space="preserve">growth </w:t>
      </w:r>
      <w:r>
        <w:t>based on investment and exports to service industries and household spending continues.</w:t>
      </w:r>
      <w:bookmarkEnd w:id="5"/>
      <w:bookmarkEnd w:id="6"/>
      <w:bookmarkEnd w:id="7"/>
      <w:bookmarkEnd w:id="8"/>
      <w:bookmarkEnd w:id="9"/>
      <w:bookmarkEnd w:id="10"/>
      <w:r>
        <w:t xml:space="preserve"> </w:t>
      </w:r>
    </w:p>
    <w:p w:rsidR="00566E9A" w:rsidRDefault="00566E9A">
      <w:pPr>
        <w:rPr>
          <w:rFonts w:asciiTheme="majorHAnsi" w:hAnsiTheme="majorHAnsi"/>
          <w:b/>
          <w:kern w:val="28"/>
          <w:sz w:val="26"/>
        </w:rPr>
      </w:pPr>
      <w:r>
        <w:br w:type="page"/>
      </w:r>
    </w:p>
    <w:p w:rsidR="00566E9A" w:rsidRDefault="00566E9A" w:rsidP="00AE5760">
      <w:pPr>
        <w:pStyle w:val="Heading2"/>
      </w:pPr>
      <w:r w:rsidRPr="00B46757">
        <w:lastRenderedPageBreak/>
        <w:t>Risks to the outlook</w:t>
      </w:r>
    </w:p>
    <w:p w:rsidR="00566E9A" w:rsidRDefault="00566E9A" w:rsidP="00AE5760">
      <w:r>
        <w:t xml:space="preserve">The </w:t>
      </w:r>
      <w:r w:rsidRPr="00D17C8C">
        <w:t xml:space="preserve">risk outlook for Victoria has changed since the </w:t>
      </w:r>
      <w:r w:rsidRPr="00D17C8C">
        <w:rPr>
          <w:i/>
        </w:rPr>
        <w:t>2016-17 Budget</w:t>
      </w:r>
      <w:r w:rsidRPr="00D17C8C">
        <w:t xml:space="preserve">. </w:t>
      </w:r>
      <w:r>
        <w:t>T</w:t>
      </w:r>
      <w:r w:rsidRPr="00462539">
        <w:t xml:space="preserve">he impact of US fiscal and trade policies </w:t>
      </w:r>
      <w:r>
        <w:t xml:space="preserve">following the US presidential election </w:t>
      </w:r>
      <w:r w:rsidRPr="00462539">
        <w:t>will only emerge over time.</w:t>
      </w:r>
      <w:r>
        <w:t xml:space="preserve"> </w:t>
      </w:r>
      <w:r w:rsidRPr="00D17C8C">
        <w:t>A major</w:t>
      </w:r>
      <w:r>
        <w:t xml:space="preserve"> slowdown in China’s economic growth remains an ever present risk for Australia’s economic performance. A fall in Chinese demand would lower prices for our key commodities and in turn, national income. For Victoria, a slowdown may lead to lower receipts in the two major export sectors – higher education and tourism.</w:t>
      </w:r>
    </w:p>
    <w:p w:rsidR="00566E9A" w:rsidRDefault="00566E9A" w:rsidP="00AE5760">
      <w:r>
        <w:t xml:space="preserve">Despite the fairly subdued impact of the </w:t>
      </w:r>
      <w:proofErr w:type="spellStart"/>
      <w:r>
        <w:t>Brexit</w:t>
      </w:r>
      <w:proofErr w:type="spellEnd"/>
      <w:r>
        <w:t xml:space="preserve"> vote to date, there is still considerable uncertainty about the final withdrawal agreement. Until the ramifications of the withdrawal become clearer, this will continue to weigh on confidence and growth in Europe and the global economy.</w:t>
      </w:r>
    </w:p>
    <w:p w:rsidR="00566E9A" w:rsidRPr="00553327" w:rsidRDefault="00566E9A" w:rsidP="00AE5760">
      <w:pPr>
        <w:rPr>
          <w:rFonts w:eastAsiaTheme="minorHAnsi"/>
        </w:rPr>
      </w:pPr>
      <w:r>
        <w:t>A more subdued outlook for inflation and wages also creates uncertainties for economic growth. Inflation expectations influence wage growth outcomes. In recent years, households have responded to the low wages growth environment by drawing down savings to maintain consumption levels. However, should low wages growth persist, households may respond by reducing their spending.</w:t>
      </w:r>
      <w:r w:rsidRPr="00553327">
        <w:rPr>
          <w:rFonts w:eastAsiaTheme="minorHAnsi"/>
        </w:rPr>
        <w:t xml:space="preserve"> </w:t>
      </w:r>
    </w:p>
    <w:p w:rsidR="00155A4D" w:rsidRDefault="00155A4D">
      <w:pPr>
        <w:rPr>
          <w:rFonts w:eastAsiaTheme="minorHAnsi"/>
        </w:rPr>
      </w:pPr>
      <w:r>
        <w:rPr>
          <w:rFonts w:eastAsiaTheme="minorHAnsi"/>
        </w:rPr>
        <w:br w:type="page"/>
      </w:r>
    </w:p>
    <w:p w:rsidR="00C14B16" w:rsidRDefault="00C14B16">
      <w:pPr>
        <w:rPr>
          <w:rFonts w:eastAsiaTheme="minorHAnsi"/>
        </w:rPr>
      </w:pPr>
    </w:p>
    <w:p w:rsidR="00C14B16" w:rsidRDefault="00C14B16" w:rsidP="00C14B16">
      <w:pPr>
        <w:pStyle w:val="ChapterHeading"/>
        <w:rPr>
          <w:rFonts w:eastAsiaTheme="minorHAnsi"/>
        </w:rPr>
        <w:sectPr w:rsidR="00C14B16" w:rsidSect="00C14B16">
          <w:footerReference w:type="even" r:id="rId16"/>
          <w:footerReference w:type="default" r:id="rId17"/>
          <w:pgSz w:w="9979" w:h="14181" w:code="34"/>
          <w:pgMar w:top="1140" w:right="1140" w:bottom="1140" w:left="1140" w:header="720" w:footer="431" w:gutter="0"/>
          <w:cols w:space="708"/>
          <w:docGrid w:linePitch="360"/>
        </w:sectPr>
      </w:pPr>
      <w:bookmarkStart w:id="11" w:name="_Toc467766486"/>
    </w:p>
    <w:p w:rsidR="00566E9A" w:rsidRDefault="00566E9A" w:rsidP="00C14B16">
      <w:pPr>
        <w:pStyle w:val="ChapterHeading"/>
        <w:rPr>
          <w:rFonts w:eastAsiaTheme="minorHAnsi"/>
        </w:rPr>
      </w:pPr>
      <w:bookmarkStart w:id="12" w:name="_Toc468983276"/>
      <w:r>
        <w:rPr>
          <w:rFonts w:eastAsiaTheme="minorHAnsi"/>
        </w:rPr>
        <w:lastRenderedPageBreak/>
        <w:t>Chapter 3 – Budget position and outlook</w:t>
      </w:r>
      <w:bookmarkEnd w:id="11"/>
      <w:bookmarkEnd w:id="12"/>
    </w:p>
    <w:p w:rsidR="00566E9A" w:rsidRPr="001B3FC5" w:rsidRDefault="00566E9A" w:rsidP="00AE5760">
      <w:pPr>
        <w:pStyle w:val="HighlightBoxBullet"/>
        <w:tabs>
          <w:tab w:val="clear" w:pos="360"/>
          <w:tab w:val="num" w:pos="90"/>
        </w:tabs>
        <w:ind w:left="450"/>
      </w:pPr>
      <w:r w:rsidRPr="002E2383">
        <w:t>The general government sector operating surplus is estimated to be $</w:t>
      </w:r>
      <w:r>
        <w:t>1.7 billion</w:t>
      </w:r>
      <w:r w:rsidRPr="002E2383">
        <w:t xml:space="preserve"> in 201</w:t>
      </w:r>
      <w:r>
        <w:t>6</w:t>
      </w:r>
      <w:r>
        <w:noBreakHyphen/>
        <w:t>17, with strong operating surpluses averaging $1.9 billion across the forward estimates.</w:t>
      </w:r>
    </w:p>
    <w:p w:rsidR="00566E9A" w:rsidRPr="00400E6B" w:rsidRDefault="00566E9A" w:rsidP="00AE5760">
      <w:pPr>
        <w:pStyle w:val="HighlightBoxBullet"/>
        <w:tabs>
          <w:tab w:val="clear" w:pos="360"/>
          <w:tab w:val="num" w:pos="90"/>
        </w:tabs>
        <w:ind w:left="450"/>
      </w:pPr>
      <w:r w:rsidRPr="00CB171D">
        <w:t xml:space="preserve">Net debt is </w:t>
      </w:r>
      <w:r>
        <w:t>expected to be</w:t>
      </w:r>
      <w:r w:rsidRPr="00CB171D">
        <w:t xml:space="preserve"> </w:t>
      </w:r>
      <w:r>
        <w:t>$24.5</w:t>
      </w:r>
      <w:r w:rsidRPr="00CB171D">
        <w:t> billi</w:t>
      </w:r>
      <w:r>
        <w:t>on by June 2020</w:t>
      </w:r>
      <w:r w:rsidRPr="00CB171D">
        <w:t xml:space="preserve">. </w:t>
      </w:r>
      <w:r w:rsidRPr="004513AF">
        <w:rPr>
          <w:rFonts w:eastAsiaTheme="minorHAnsi"/>
        </w:rPr>
        <w:t xml:space="preserve">Net debt </w:t>
      </w:r>
      <w:r>
        <w:rPr>
          <w:rFonts w:eastAsiaTheme="minorHAnsi"/>
        </w:rPr>
        <w:t>as a proportion of</w:t>
      </w:r>
      <w:r w:rsidRPr="004513AF">
        <w:rPr>
          <w:rFonts w:eastAsiaTheme="minorHAnsi"/>
        </w:rPr>
        <w:t xml:space="preserve"> gross state product (GSP) is projected to decrease</w:t>
      </w:r>
      <w:r>
        <w:rPr>
          <w:rFonts w:eastAsiaTheme="minorHAnsi"/>
        </w:rPr>
        <w:t xml:space="preserve"> from its June 2016 level of 6.0 per cent</w:t>
      </w:r>
      <w:r w:rsidRPr="004513AF">
        <w:rPr>
          <w:rFonts w:eastAsiaTheme="minorHAnsi"/>
        </w:rPr>
        <w:t xml:space="preserve"> to </w:t>
      </w:r>
      <w:r>
        <w:rPr>
          <w:rFonts w:eastAsiaTheme="minorHAnsi"/>
        </w:rPr>
        <w:t>5.4 per cent</w:t>
      </w:r>
      <w:r w:rsidRPr="004513AF">
        <w:rPr>
          <w:rFonts w:eastAsiaTheme="minorHAnsi"/>
        </w:rPr>
        <w:t xml:space="preserve"> by June 2020.</w:t>
      </w:r>
    </w:p>
    <w:p w:rsidR="00566E9A" w:rsidRPr="00257C39" w:rsidRDefault="00566E9A" w:rsidP="00AE5760">
      <w:pPr>
        <w:pStyle w:val="HighlightBoxBullet"/>
        <w:tabs>
          <w:tab w:val="clear" w:pos="360"/>
          <w:tab w:val="num" w:pos="90"/>
        </w:tabs>
        <w:ind w:left="450"/>
      </w:pPr>
      <w:r w:rsidRPr="004513AF">
        <w:rPr>
          <w:rFonts w:eastAsiaTheme="minorHAnsi"/>
        </w:rPr>
        <w:t xml:space="preserve">Estimated government infrastructure investment (GII) </w:t>
      </w:r>
      <w:r>
        <w:rPr>
          <w:rFonts w:eastAsiaTheme="minorHAnsi"/>
        </w:rPr>
        <w:t>averages</w:t>
      </w:r>
      <w:r w:rsidRPr="004513AF">
        <w:rPr>
          <w:rFonts w:eastAsiaTheme="minorHAnsi"/>
        </w:rPr>
        <w:t xml:space="preserve"> </w:t>
      </w:r>
      <w:r>
        <w:rPr>
          <w:rFonts w:eastAsiaTheme="minorHAnsi"/>
        </w:rPr>
        <w:t>$8.4 billion</w:t>
      </w:r>
      <w:r w:rsidRPr="004513AF">
        <w:rPr>
          <w:rFonts w:eastAsiaTheme="minorHAnsi"/>
        </w:rPr>
        <w:t xml:space="preserve"> a year over the budget and</w:t>
      </w:r>
      <w:r>
        <w:rPr>
          <w:rFonts w:eastAsiaTheme="minorHAnsi"/>
        </w:rPr>
        <w:t xml:space="preserve"> forward estimates </w:t>
      </w:r>
      <w:r w:rsidRPr="004513AF">
        <w:rPr>
          <w:rFonts w:eastAsiaTheme="minorHAnsi"/>
        </w:rPr>
        <w:t>compared wit</w:t>
      </w:r>
      <w:r>
        <w:rPr>
          <w:rFonts w:eastAsiaTheme="minorHAnsi"/>
        </w:rPr>
        <w:t>h the historical average of $4.9 billion</w:t>
      </w:r>
      <w:r w:rsidRPr="004513AF">
        <w:rPr>
          <w:rFonts w:eastAsiaTheme="minorHAnsi"/>
        </w:rPr>
        <w:t xml:space="preserve"> </w:t>
      </w:r>
      <w:r>
        <w:rPr>
          <w:rFonts w:eastAsiaTheme="minorHAnsi"/>
        </w:rPr>
        <w:t>a year from</w:t>
      </w:r>
      <w:r w:rsidRPr="004513AF">
        <w:rPr>
          <w:rFonts w:eastAsiaTheme="minorHAnsi"/>
        </w:rPr>
        <w:t xml:space="preserve"> </w:t>
      </w:r>
      <w:r>
        <w:rPr>
          <w:rFonts w:eastAsiaTheme="minorHAnsi"/>
        </w:rPr>
        <w:t>2005</w:t>
      </w:r>
      <w:r>
        <w:rPr>
          <w:rFonts w:eastAsiaTheme="minorHAnsi"/>
        </w:rPr>
        <w:noBreakHyphen/>
        <w:t xml:space="preserve">06 to </w:t>
      </w:r>
      <w:r w:rsidRPr="004513AF">
        <w:rPr>
          <w:rFonts w:eastAsiaTheme="minorHAnsi"/>
        </w:rPr>
        <w:t>2015</w:t>
      </w:r>
      <w:r>
        <w:rPr>
          <w:rFonts w:eastAsiaTheme="minorHAnsi"/>
        </w:rPr>
        <w:noBreakHyphen/>
      </w:r>
      <w:r w:rsidRPr="004513AF">
        <w:rPr>
          <w:rFonts w:eastAsiaTheme="minorHAnsi"/>
        </w:rPr>
        <w:t>16</w:t>
      </w:r>
      <w:r>
        <w:rPr>
          <w:rFonts w:eastAsiaTheme="minorHAnsi"/>
        </w:rPr>
        <w:t>.</w:t>
      </w:r>
    </w:p>
    <w:p w:rsidR="00566E9A" w:rsidRDefault="00566E9A" w:rsidP="00AE5760">
      <w:pPr>
        <w:pStyle w:val="HighlightBoxBullet"/>
        <w:tabs>
          <w:tab w:val="clear" w:pos="360"/>
          <w:tab w:val="num" w:pos="90"/>
        </w:tabs>
        <w:ind w:left="450"/>
      </w:pPr>
      <w:r>
        <w:t xml:space="preserve">The non-financial public sector operating surplus is estimated to be $771 million in </w:t>
      </w:r>
      <w:r w:rsidRPr="002E2383">
        <w:t>201</w:t>
      </w:r>
      <w:r>
        <w:t>6</w:t>
      </w:r>
      <w:r>
        <w:noBreakHyphen/>
        <w:t>17, and averages $1.1 billion across the forward estimates.</w:t>
      </w:r>
    </w:p>
    <w:p w:rsidR="00566E9A" w:rsidRPr="002E2383" w:rsidRDefault="00566E9A" w:rsidP="00AE5760"/>
    <w:p w:rsidR="00566E9A" w:rsidRDefault="00566E9A" w:rsidP="00AE5760">
      <w:r w:rsidRPr="002E2383">
        <w:t xml:space="preserve">This chapter presents the </w:t>
      </w:r>
      <w:r>
        <w:t>revised budget</w:t>
      </w:r>
      <w:r w:rsidRPr="002E2383">
        <w:t xml:space="preserve"> position</w:t>
      </w:r>
      <w:r>
        <w:t xml:space="preserve"> </w:t>
      </w:r>
      <w:r w:rsidRPr="002E2383">
        <w:t xml:space="preserve">of the </w:t>
      </w:r>
      <w:r>
        <w:t>public</w:t>
      </w:r>
      <w:r w:rsidRPr="002E2383">
        <w:t xml:space="preserve"> sector</w:t>
      </w:r>
      <w:r>
        <w:t>, incorporating the general government sector, the public non</w:t>
      </w:r>
      <w:r>
        <w:noBreakHyphen/>
        <w:t>financial corporations (PNFC) sector and the public financial corporations (PFC) sector for the budget year and forward estimates.</w:t>
      </w:r>
    </w:p>
    <w:p w:rsidR="00566E9A" w:rsidRDefault="00566E9A" w:rsidP="00AE5760">
      <w:r>
        <w:t xml:space="preserve">This chapter also presents a reconciliation and explanation of the movements since the </w:t>
      </w:r>
      <w:r>
        <w:rPr>
          <w:i/>
        </w:rPr>
        <w:t xml:space="preserve">2016-17 Budget </w:t>
      </w:r>
      <w:r>
        <w:t>that affect the estimated net result from transactions, including the impact of new policy initiatives of the Government.</w:t>
      </w:r>
    </w:p>
    <w:p w:rsidR="00566E9A" w:rsidRDefault="00566E9A" w:rsidP="00AE5760">
      <w:pPr>
        <w:spacing w:after="0"/>
        <w:rPr>
          <w:rFonts w:ascii="Calibri" w:hAnsi="Calibri"/>
          <w:b/>
          <w:caps/>
          <w:sz w:val="26"/>
        </w:rPr>
      </w:pPr>
      <w:bookmarkStart w:id="13" w:name="_Toc401056869"/>
      <w:bookmarkStart w:id="14" w:name="_Toc401147491"/>
      <w:r>
        <w:rPr>
          <w:rFonts w:ascii="Calibri" w:hAnsi="Calibri"/>
          <w:b/>
          <w:caps/>
          <w:sz w:val="26"/>
        </w:rPr>
        <w:br w:type="page"/>
      </w:r>
    </w:p>
    <w:p w:rsidR="00566E9A" w:rsidRPr="00742FAA" w:rsidRDefault="00566E9A" w:rsidP="00AE5760">
      <w:pPr>
        <w:pStyle w:val="Heading1"/>
      </w:pPr>
      <w:bookmarkStart w:id="15" w:name="_Toc406162087"/>
      <w:bookmarkStart w:id="16" w:name="_Toc406670370"/>
      <w:bookmarkStart w:id="17" w:name="_Toc467766487"/>
      <w:bookmarkStart w:id="18" w:name="_Toc468983277"/>
      <w:r>
        <w:lastRenderedPageBreak/>
        <w:t>General government sector</w:t>
      </w:r>
      <w:bookmarkEnd w:id="15"/>
      <w:bookmarkEnd w:id="16"/>
      <w:bookmarkEnd w:id="17"/>
      <w:bookmarkEnd w:id="18"/>
    </w:p>
    <w:p w:rsidR="00566E9A" w:rsidRDefault="00566E9A" w:rsidP="00AE5760">
      <w:pPr>
        <w:pStyle w:val="Heading2"/>
      </w:pPr>
      <w:r w:rsidRPr="002E2383">
        <w:t>Fiscal aggregates</w:t>
      </w:r>
      <w:bookmarkEnd w:id="13"/>
      <w:bookmarkEnd w:id="14"/>
    </w:p>
    <w:p w:rsidR="00566E9A" w:rsidRDefault="00566E9A" w:rsidP="00AE5760">
      <w:r>
        <w:t xml:space="preserve">The </w:t>
      </w:r>
      <w:r w:rsidRPr="00F37EF2">
        <w:rPr>
          <w:i/>
        </w:rPr>
        <w:t>201</w:t>
      </w:r>
      <w:r>
        <w:rPr>
          <w:i/>
        </w:rPr>
        <w:t>6</w:t>
      </w:r>
      <w:r>
        <w:rPr>
          <w:i/>
        </w:rPr>
        <w:noBreakHyphen/>
      </w:r>
      <w:r w:rsidRPr="00F37EF2">
        <w:rPr>
          <w:i/>
        </w:rPr>
        <w:t>1</w:t>
      </w:r>
      <w:r>
        <w:rPr>
          <w:i/>
        </w:rPr>
        <w:t>7</w:t>
      </w:r>
      <w:r w:rsidRPr="00F37EF2">
        <w:rPr>
          <w:i/>
        </w:rPr>
        <w:t xml:space="preserve"> Budget Update</w:t>
      </w:r>
      <w:r>
        <w:t xml:space="preserve"> continues the Government’s policy of delivering operating surpluses that generate sufficient capacity to invest in </w:t>
      </w:r>
      <w:r w:rsidRPr="002F6BC4">
        <w:t>productivity enhancing</w:t>
      </w:r>
      <w:r>
        <w:t xml:space="preserve"> infrastructure and improved services, while maintaining general government net </w:t>
      </w:r>
      <w:r w:rsidRPr="00BF4F50">
        <w:t xml:space="preserve">debt </w:t>
      </w:r>
      <w:r>
        <w:br/>
        <w:t>at a sustainable level over the medium term.</w:t>
      </w:r>
    </w:p>
    <w:p w:rsidR="00566E9A" w:rsidRDefault="00566E9A" w:rsidP="00AE5760">
      <w:r w:rsidRPr="002E2383">
        <w:t xml:space="preserve">The operating result (net result from transactions) for the general government sector is forecast to be </w:t>
      </w:r>
      <w:r w:rsidRPr="00C35A17">
        <w:t>a surplus of</w:t>
      </w:r>
      <w:r w:rsidRPr="002E2383">
        <w:t xml:space="preserve"> $</w:t>
      </w:r>
      <w:r>
        <w:t>1.7 billion</w:t>
      </w:r>
      <w:r w:rsidRPr="002E2383">
        <w:t xml:space="preserve"> in 201</w:t>
      </w:r>
      <w:r>
        <w:t>6</w:t>
      </w:r>
      <w:r>
        <w:noBreakHyphen/>
      </w:r>
      <w:r w:rsidRPr="002E2383">
        <w:t>1</w:t>
      </w:r>
      <w:r>
        <w:t>7,</w:t>
      </w:r>
      <w:r w:rsidRPr="00400E6B">
        <w:t xml:space="preserve"> </w:t>
      </w:r>
      <w:r>
        <w:t xml:space="preserve">and averages $1.9 billion over the </w:t>
      </w:r>
      <w:r w:rsidRPr="00D56416">
        <w:t>forward estimates</w:t>
      </w:r>
      <w:r>
        <w:t xml:space="preserve">. </w:t>
      </w:r>
      <w:r w:rsidRPr="004513AF">
        <w:rPr>
          <w:rFonts w:eastAsiaTheme="minorHAnsi"/>
        </w:rPr>
        <w:t xml:space="preserve">Operating surpluses of this size are designed to insulate the State against revenue shocks and </w:t>
      </w:r>
      <w:r>
        <w:rPr>
          <w:rFonts w:eastAsiaTheme="minorHAnsi"/>
        </w:rPr>
        <w:t xml:space="preserve">fund </w:t>
      </w:r>
      <w:r w:rsidRPr="004513AF">
        <w:rPr>
          <w:rFonts w:eastAsiaTheme="minorHAnsi"/>
        </w:rPr>
        <w:t>infrastructure investment</w:t>
      </w:r>
      <w:r>
        <w:rPr>
          <w:rFonts w:eastAsiaTheme="minorHAnsi"/>
        </w:rPr>
        <w:t>,</w:t>
      </w:r>
      <w:r w:rsidRPr="004513AF">
        <w:rPr>
          <w:rFonts w:eastAsiaTheme="minorHAnsi"/>
        </w:rPr>
        <w:t xml:space="preserve"> while maintaining </w:t>
      </w:r>
      <w:r>
        <w:rPr>
          <w:rFonts w:eastAsiaTheme="minorHAnsi"/>
        </w:rPr>
        <w:t xml:space="preserve">net </w:t>
      </w:r>
      <w:r w:rsidRPr="004513AF">
        <w:rPr>
          <w:rFonts w:eastAsiaTheme="minorHAnsi"/>
        </w:rPr>
        <w:t xml:space="preserve">debt </w:t>
      </w:r>
      <w:r>
        <w:rPr>
          <w:rFonts w:eastAsiaTheme="minorHAnsi"/>
        </w:rPr>
        <w:br/>
      </w:r>
      <w:r w:rsidRPr="004513AF">
        <w:rPr>
          <w:rFonts w:eastAsiaTheme="minorHAnsi"/>
        </w:rPr>
        <w:t>at prudent levels</w:t>
      </w:r>
      <w:r>
        <w:rPr>
          <w:rFonts w:eastAsiaTheme="minorHAnsi"/>
        </w:rPr>
        <w:t>.</w:t>
      </w:r>
    </w:p>
    <w:p w:rsidR="00566E9A" w:rsidRPr="00E97901" w:rsidRDefault="00566E9A" w:rsidP="00AE5760">
      <w:r>
        <w:t xml:space="preserve">Relative to the </w:t>
      </w:r>
      <w:r>
        <w:rPr>
          <w:i/>
        </w:rPr>
        <w:t>2016-17 Budget</w:t>
      </w:r>
      <w:r>
        <w:t xml:space="preserve">, the net result from transactions </w:t>
      </w:r>
      <w:r w:rsidRPr="00F97441">
        <w:t xml:space="preserve">has been revised down by </w:t>
      </w:r>
      <w:r>
        <w:t>an average of $671</w:t>
      </w:r>
      <w:r w:rsidRPr="00E953B6">
        <w:t xml:space="preserve"> million a year </w:t>
      </w:r>
      <w:r>
        <w:t>from 2016</w:t>
      </w:r>
      <w:r>
        <w:noBreakHyphen/>
        <w:t>17 to 2018</w:t>
      </w:r>
      <w:r>
        <w:noBreakHyphen/>
        <w:t xml:space="preserve">19 and revised up by $153 million in 2019-20. This is largely </w:t>
      </w:r>
      <w:r w:rsidRPr="00F97441">
        <w:t xml:space="preserve">due </w:t>
      </w:r>
      <w:r>
        <w:t>to the funding of new Government initiatives, including assistance to the Latrobe Valley, improving ambulance responsiveness and responses to homelessness.</w:t>
      </w:r>
    </w:p>
    <w:p w:rsidR="00566E9A" w:rsidRPr="00D2094C" w:rsidRDefault="00566E9A" w:rsidP="00AE5760">
      <w:pPr>
        <w:pStyle w:val="Tableheading"/>
        <w:rPr>
          <w:rFonts w:asciiTheme="minorHAnsi" w:hAnsiTheme="minorHAnsi"/>
          <w:bCs/>
          <w:lang w:val="en-US"/>
        </w:rPr>
      </w:pPr>
      <w:r w:rsidRPr="002E2383">
        <w:t xml:space="preserve">Table </w:t>
      </w:r>
      <w:r>
        <w:t>3.</w:t>
      </w:r>
      <w:r w:rsidRPr="002E2383">
        <w:t>1:</w:t>
      </w:r>
      <w:r w:rsidRPr="002E2383">
        <w:tab/>
        <w:t>General government fiscal aggregate</w:t>
      </w:r>
      <w:r>
        <w:t>s</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AE5760" w:rsidRPr="00D2094C" w:rsidTr="00AE576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517" w:type="dxa"/>
            <w:shd w:val="solid" w:color="000000" w:fill="auto"/>
          </w:tcPr>
          <w:p w:rsidR="00AE5760" w:rsidRPr="00D2094C" w:rsidRDefault="00AE5760" w:rsidP="00AE5760">
            <w:pPr>
              <w:autoSpaceDE w:val="0"/>
              <w:autoSpaceDN w:val="0"/>
              <w:adjustRightInd w:val="0"/>
              <w:rPr>
                <w:rFonts w:eastAsiaTheme="minorEastAsia" w:cs="Calibri"/>
                <w:iCs/>
                <w:color w:val="FFFFFF"/>
                <w:lang w:eastAsia="en-AU"/>
              </w:rPr>
            </w:pPr>
            <w:r w:rsidRPr="00D2094C">
              <w:rPr>
                <w:rFonts w:eastAsiaTheme="minorEastAsia" w:cs="Calibri"/>
                <w:iCs/>
                <w:color w:val="FFFFFF"/>
                <w:lang w:eastAsia="en-AU"/>
              </w:rPr>
              <w:t xml:space="preserve">  </w:t>
            </w:r>
          </w:p>
        </w:tc>
        <w:tc>
          <w:tcPr>
            <w:tcW w:w="850" w:type="dxa"/>
            <w:shd w:val="solid" w:color="000000" w:fill="auto"/>
          </w:tcPr>
          <w:p w:rsidR="00AE5760" w:rsidRPr="00D2094C" w:rsidRDefault="00AE5760" w:rsidP="00AE57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D2094C">
              <w:rPr>
                <w:rFonts w:eastAsiaTheme="minorEastAsia" w:cs="Helvetica"/>
                <w:iCs/>
                <w:color w:val="FFFFFF"/>
                <w:szCs w:val="18"/>
                <w:lang w:eastAsia="en-AU"/>
              </w:rPr>
              <w:t>Unit of</w:t>
            </w:r>
            <w:r>
              <w:rPr>
                <w:rFonts w:eastAsiaTheme="minorEastAsia" w:cs="Helvetica"/>
                <w:iCs/>
                <w:color w:val="FFFFFF"/>
                <w:szCs w:val="18"/>
                <w:lang w:eastAsia="en-AU"/>
              </w:rPr>
              <w:br/>
            </w:r>
            <w:r w:rsidRPr="00D2094C">
              <w:rPr>
                <w:rFonts w:eastAsiaTheme="minorEastAsia" w:cs="Helvetica"/>
                <w:iCs/>
                <w:color w:val="FFFFFF"/>
                <w:szCs w:val="18"/>
                <w:lang w:eastAsia="en-AU"/>
              </w:rPr>
              <w:t>measure</w:t>
            </w:r>
          </w:p>
        </w:tc>
        <w:tc>
          <w:tcPr>
            <w:tcW w:w="850" w:type="dxa"/>
            <w:shd w:val="solid" w:color="000000" w:fill="auto"/>
          </w:tcPr>
          <w:p w:rsidR="00AE5760" w:rsidRPr="00D2094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D2094C">
              <w:rPr>
                <w:rFonts w:eastAsiaTheme="minorEastAsia" w:cs="Helvetica"/>
                <w:iCs/>
                <w:color w:val="FFFFFF"/>
                <w:szCs w:val="18"/>
                <w:lang w:eastAsia="en-AU"/>
              </w:rPr>
              <w:t>2016-17</w:t>
            </w:r>
            <w:r>
              <w:rPr>
                <w:rFonts w:eastAsiaTheme="minorEastAsia" w:cs="Helvetica"/>
                <w:iCs/>
                <w:color w:val="FFFFFF"/>
                <w:szCs w:val="18"/>
                <w:lang w:eastAsia="en-AU"/>
              </w:rPr>
              <w:br/>
            </w:r>
            <w:r w:rsidRPr="00D2094C">
              <w:rPr>
                <w:rFonts w:eastAsiaTheme="minorEastAsia" w:cs="Helvetica"/>
                <w:iCs/>
                <w:color w:val="FFFFFF"/>
                <w:szCs w:val="18"/>
                <w:lang w:eastAsia="en-AU"/>
              </w:rPr>
              <w:t>revised</w:t>
            </w:r>
          </w:p>
        </w:tc>
        <w:tc>
          <w:tcPr>
            <w:tcW w:w="850" w:type="dxa"/>
            <w:shd w:val="solid" w:color="000000" w:fill="auto"/>
          </w:tcPr>
          <w:p w:rsidR="00AE5760" w:rsidRPr="00D2094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D2094C">
              <w:rPr>
                <w:rFonts w:eastAsiaTheme="minorEastAsia" w:cs="Helvetica"/>
                <w:iCs/>
                <w:color w:val="FFFFFF"/>
                <w:szCs w:val="18"/>
                <w:lang w:eastAsia="en-AU"/>
              </w:rPr>
              <w:t>2017-18</w:t>
            </w:r>
            <w:r>
              <w:rPr>
                <w:rFonts w:eastAsiaTheme="minorEastAsia" w:cs="Helvetica"/>
                <w:iCs/>
                <w:color w:val="FFFFFF"/>
                <w:szCs w:val="18"/>
                <w:lang w:eastAsia="en-AU"/>
              </w:rPr>
              <w:br/>
            </w:r>
            <w:r w:rsidRPr="00D2094C">
              <w:rPr>
                <w:rFonts w:eastAsiaTheme="minorEastAsia" w:cs="Helvetica"/>
                <w:iCs/>
                <w:color w:val="FFFFFF"/>
                <w:szCs w:val="18"/>
                <w:lang w:eastAsia="en-AU"/>
              </w:rPr>
              <w:t>estimate</w:t>
            </w:r>
          </w:p>
        </w:tc>
        <w:tc>
          <w:tcPr>
            <w:tcW w:w="850" w:type="dxa"/>
            <w:shd w:val="solid" w:color="000000" w:fill="auto"/>
          </w:tcPr>
          <w:p w:rsidR="00AE5760" w:rsidRPr="00D2094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D2094C">
              <w:rPr>
                <w:rFonts w:eastAsiaTheme="minorEastAsia" w:cs="Helvetica"/>
                <w:iCs/>
                <w:color w:val="FFFFFF"/>
                <w:szCs w:val="18"/>
                <w:lang w:eastAsia="en-AU"/>
              </w:rPr>
              <w:t>2018-19</w:t>
            </w:r>
            <w:r>
              <w:rPr>
                <w:rFonts w:eastAsiaTheme="minorEastAsia" w:cs="Helvetica"/>
                <w:iCs/>
                <w:color w:val="FFFFFF"/>
                <w:szCs w:val="18"/>
                <w:lang w:eastAsia="en-AU"/>
              </w:rPr>
              <w:br/>
            </w:r>
            <w:r w:rsidRPr="00D2094C">
              <w:rPr>
                <w:rFonts w:eastAsiaTheme="minorEastAsia" w:cs="Helvetica"/>
                <w:iCs/>
                <w:color w:val="FFFFFF"/>
                <w:szCs w:val="18"/>
                <w:lang w:eastAsia="en-AU"/>
              </w:rPr>
              <w:t>estimate</w:t>
            </w:r>
          </w:p>
        </w:tc>
        <w:tc>
          <w:tcPr>
            <w:tcW w:w="850" w:type="dxa"/>
            <w:shd w:val="solid" w:color="000000" w:fill="auto"/>
          </w:tcPr>
          <w:p w:rsidR="00AE5760" w:rsidRPr="00D2094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lang w:eastAsia="en-AU"/>
              </w:rPr>
            </w:pPr>
            <w:r w:rsidRPr="00D2094C">
              <w:rPr>
                <w:rFonts w:eastAsiaTheme="minorEastAsia" w:cs="Helvetica"/>
                <w:iCs/>
                <w:color w:val="FFFFFF"/>
                <w:szCs w:val="18"/>
                <w:lang w:eastAsia="en-AU"/>
              </w:rPr>
              <w:t>2019-20</w:t>
            </w:r>
            <w:r>
              <w:rPr>
                <w:rFonts w:eastAsiaTheme="minorEastAsia" w:cs="Helvetica"/>
                <w:iCs/>
                <w:color w:val="FFFFFF"/>
                <w:szCs w:val="18"/>
                <w:lang w:eastAsia="en-AU"/>
              </w:rPr>
              <w:br/>
            </w:r>
            <w:r w:rsidRPr="00D2094C">
              <w:rPr>
                <w:rFonts w:eastAsiaTheme="minorEastAsia" w:cs="Helvetica"/>
                <w:iCs/>
                <w:color w:val="FFFFFF"/>
                <w:szCs w:val="18"/>
                <w:lang w:eastAsia="en-AU"/>
              </w:rPr>
              <w:t>estimate</w:t>
            </w:r>
          </w:p>
        </w:tc>
      </w:tr>
      <w:tr w:rsidR="00566E9A" w:rsidRPr="00D2094C" w:rsidTr="00AE5760">
        <w:tc>
          <w:tcPr>
            <w:cnfStyle w:val="001000000000" w:firstRow="0" w:lastRow="0" w:firstColumn="1" w:lastColumn="0" w:oddVBand="0" w:evenVBand="0" w:oddHBand="0" w:evenHBand="0" w:firstRowFirstColumn="0" w:firstRowLastColumn="0" w:lastRowFirstColumn="0" w:lastRowLastColumn="0"/>
            <w:tcW w:w="3517" w:type="dxa"/>
          </w:tcPr>
          <w:p w:rsidR="00566E9A" w:rsidRPr="00D2094C" w:rsidRDefault="00566E9A" w:rsidP="00AE5760">
            <w:pPr>
              <w:autoSpaceDE w:val="0"/>
              <w:autoSpaceDN w:val="0"/>
              <w:adjustRightInd w:val="0"/>
              <w:rPr>
                <w:rFonts w:eastAsiaTheme="minorEastAsia" w:cs="Helvetica"/>
                <w:color w:val="000000"/>
                <w:szCs w:val="18"/>
                <w:lang w:eastAsia="en-AU"/>
              </w:rPr>
            </w:pPr>
            <w:r w:rsidRPr="00D2094C">
              <w:rPr>
                <w:rFonts w:eastAsiaTheme="minorEastAsia" w:cs="Helvetica"/>
                <w:color w:val="000000"/>
                <w:szCs w:val="18"/>
                <w:lang w:eastAsia="en-AU"/>
              </w:rPr>
              <w:t>Net result from transactions</w:t>
            </w:r>
          </w:p>
        </w:tc>
        <w:tc>
          <w:tcPr>
            <w:tcW w:w="850" w:type="dxa"/>
          </w:tcPr>
          <w:p w:rsidR="00566E9A" w:rsidRPr="00D2094C"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D2094C">
              <w:rPr>
                <w:rFonts w:eastAsiaTheme="minorEastAsia" w:cs="Helvetica"/>
                <w:color w:val="000000"/>
                <w:szCs w:val="18"/>
                <w:lang w:eastAsia="en-AU"/>
              </w:rPr>
              <w:t>$ billion</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1.7</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1.2</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1.8</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2.6</w:t>
            </w:r>
          </w:p>
        </w:tc>
      </w:tr>
      <w:tr w:rsidR="00566E9A" w:rsidRPr="00D2094C" w:rsidTr="00AE5760">
        <w:tc>
          <w:tcPr>
            <w:cnfStyle w:val="001000000000" w:firstRow="0" w:lastRow="0" w:firstColumn="1" w:lastColumn="0" w:oddVBand="0" w:evenVBand="0" w:oddHBand="0" w:evenHBand="0" w:firstRowFirstColumn="0" w:firstRowLastColumn="0" w:lastRowFirstColumn="0" w:lastRowLastColumn="0"/>
            <w:tcW w:w="3517" w:type="dxa"/>
          </w:tcPr>
          <w:p w:rsidR="00566E9A" w:rsidRPr="00D2094C" w:rsidRDefault="00566E9A" w:rsidP="00AE5760">
            <w:pPr>
              <w:autoSpaceDE w:val="0"/>
              <w:autoSpaceDN w:val="0"/>
              <w:adjustRightInd w:val="0"/>
              <w:rPr>
                <w:rFonts w:eastAsiaTheme="minorEastAsia" w:cs="Helvetica"/>
                <w:color w:val="000000"/>
                <w:szCs w:val="18"/>
                <w:vertAlign w:val="superscript"/>
                <w:lang w:eastAsia="en-AU"/>
              </w:rPr>
            </w:pPr>
            <w:r w:rsidRPr="00D2094C">
              <w:rPr>
                <w:rFonts w:eastAsiaTheme="minorEastAsia" w:cs="Helvetica"/>
                <w:color w:val="000000"/>
                <w:szCs w:val="18"/>
                <w:lang w:eastAsia="en-AU"/>
              </w:rPr>
              <w:t xml:space="preserve">Government infrastructure investment </w:t>
            </w:r>
            <w:r w:rsidRPr="00D2094C">
              <w:rPr>
                <w:rFonts w:eastAsiaTheme="minorEastAsia" w:cs="Helvetica"/>
                <w:color w:val="000000"/>
                <w:szCs w:val="18"/>
                <w:vertAlign w:val="superscript"/>
                <w:lang w:eastAsia="en-AU"/>
              </w:rPr>
              <w:t>(a)(b)</w:t>
            </w:r>
          </w:p>
        </w:tc>
        <w:tc>
          <w:tcPr>
            <w:tcW w:w="850" w:type="dxa"/>
          </w:tcPr>
          <w:p w:rsidR="00566E9A" w:rsidRPr="00D2094C"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D2094C">
              <w:rPr>
                <w:rFonts w:eastAsiaTheme="minorEastAsia" w:cs="Helvetica"/>
                <w:color w:val="000000"/>
                <w:szCs w:val="18"/>
                <w:lang w:eastAsia="en-AU"/>
              </w:rPr>
              <w:t>$ billion</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8.4</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8.3</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8.8</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7.9</w:t>
            </w:r>
          </w:p>
        </w:tc>
      </w:tr>
      <w:tr w:rsidR="00566E9A" w:rsidRPr="00D2094C" w:rsidTr="00AE5760">
        <w:tc>
          <w:tcPr>
            <w:cnfStyle w:val="001000000000" w:firstRow="0" w:lastRow="0" w:firstColumn="1" w:lastColumn="0" w:oddVBand="0" w:evenVBand="0" w:oddHBand="0" w:evenHBand="0" w:firstRowFirstColumn="0" w:firstRowLastColumn="0" w:lastRowFirstColumn="0" w:lastRowLastColumn="0"/>
            <w:tcW w:w="3517" w:type="dxa"/>
          </w:tcPr>
          <w:p w:rsidR="00566E9A" w:rsidRPr="00D2094C" w:rsidRDefault="00566E9A" w:rsidP="00AE5760">
            <w:pPr>
              <w:autoSpaceDE w:val="0"/>
              <w:autoSpaceDN w:val="0"/>
              <w:adjustRightInd w:val="0"/>
              <w:rPr>
                <w:rFonts w:eastAsiaTheme="minorEastAsia" w:cs="Helvetica"/>
                <w:color w:val="000000"/>
                <w:szCs w:val="18"/>
                <w:lang w:eastAsia="en-AU"/>
              </w:rPr>
            </w:pPr>
            <w:r w:rsidRPr="00D2094C">
              <w:rPr>
                <w:rFonts w:eastAsiaTheme="minorEastAsia" w:cs="Helvetica"/>
                <w:color w:val="000000"/>
                <w:szCs w:val="18"/>
                <w:lang w:eastAsia="en-AU"/>
              </w:rPr>
              <w:t>Net debt</w:t>
            </w:r>
          </w:p>
        </w:tc>
        <w:tc>
          <w:tcPr>
            <w:tcW w:w="850" w:type="dxa"/>
          </w:tcPr>
          <w:p w:rsidR="00566E9A" w:rsidRPr="00D2094C"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D2094C">
              <w:rPr>
                <w:rFonts w:eastAsiaTheme="minorEastAsia" w:cs="Helvetica"/>
                <w:color w:val="000000"/>
                <w:szCs w:val="18"/>
                <w:lang w:eastAsia="en-AU"/>
              </w:rPr>
              <w:t>$ billion</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17.6</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21.0</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24.0</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24.5</w:t>
            </w:r>
          </w:p>
        </w:tc>
      </w:tr>
      <w:tr w:rsidR="00566E9A" w:rsidRPr="00D2094C" w:rsidTr="00AE5760">
        <w:tc>
          <w:tcPr>
            <w:cnfStyle w:val="001000000000" w:firstRow="0" w:lastRow="0" w:firstColumn="1" w:lastColumn="0" w:oddVBand="0" w:evenVBand="0" w:oddHBand="0" w:evenHBand="0" w:firstRowFirstColumn="0" w:firstRowLastColumn="0" w:lastRowFirstColumn="0" w:lastRowLastColumn="0"/>
            <w:tcW w:w="3517" w:type="dxa"/>
          </w:tcPr>
          <w:p w:rsidR="00566E9A" w:rsidRPr="00D2094C" w:rsidRDefault="00566E9A" w:rsidP="00AE5760">
            <w:pPr>
              <w:autoSpaceDE w:val="0"/>
              <w:autoSpaceDN w:val="0"/>
              <w:adjustRightInd w:val="0"/>
              <w:rPr>
                <w:rFonts w:eastAsiaTheme="minorEastAsia" w:cs="Helvetica"/>
                <w:color w:val="000000"/>
                <w:szCs w:val="18"/>
                <w:lang w:eastAsia="en-AU"/>
              </w:rPr>
            </w:pPr>
            <w:r w:rsidRPr="00D2094C">
              <w:rPr>
                <w:rFonts w:eastAsiaTheme="minorEastAsia" w:cs="Helvetica"/>
                <w:color w:val="000000"/>
                <w:szCs w:val="18"/>
                <w:lang w:eastAsia="en-AU"/>
              </w:rPr>
              <w:t>Net debt to GSP</w:t>
            </w:r>
          </w:p>
        </w:tc>
        <w:tc>
          <w:tcPr>
            <w:tcW w:w="850" w:type="dxa"/>
          </w:tcPr>
          <w:p w:rsidR="00566E9A" w:rsidRPr="00D2094C"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D2094C">
              <w:rPr>
                <w:rFonts w:eastAsiaTheme="minorEastAsia" w:cs="Helvetica"/>
                <w:color w:val="000000"/>
                <w:szCs w:val="18"/>
                <w:lang w:eastAsia="en-AU"/>
              </w:rPr>
              <w:t>per cent</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4.5</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5.1</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5.5</w:t>
            </w:r>
          </w:p>
        </w:tc>
        <w:tc>
          <w:tcPr>
            <w:tcW w:w="850" w:type="dxa"/>
          </w:tcPr>
          <w:p w:rsidR="00566E9A" w:rsidRPr="00D2094C"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Helvetica"/>
                <w:color w:val="000000"/>
                <w:szCs w:val="18"/>
                <w:lang w:eastAsia="en-AU"/>
              </w:rPr>
              <w:t>5.4</w:t>
            </w:r>
          </w:p>
        </w:tc>
      </w:tr>
    </w:tbl>
    <w:p w:rsidR="00566E9A" w:rsidRPr="002E2383" w:rsidRDefault="00566E9A" w:rsidP="00AE5760">
      <w:pPr>
        <w:pStyle w:val="Source"/>
      </w:pPr>
      <w:r w:rsidRPr="002E2383">
        <w:t>Source: Department of Treasury and Finance</w:t>
      </w:r>
    </w:p>
    <w:p w:rsidR="00566E9A" w:rsidRDefault="00566E9A" w:rsidP="00AE5760">
      <w:pPr>
        <w:pStyle w:val="Notes"/>
      </w:pPr>
      <w:r>
        <w:t>Notes:</w:t>
      </w:r>
    </w:p>
    <w:p w:rsidR="00566E9A" w:rsidRPr="004513AF" w:rsidRDefault="00566E9A" w:rsidP="00AE5760">
      <w:pPr>
        <w:pStyle w:val="Notes"/>
        <w:rPr>
          <w:rFonts w:eastAsiaTheme="minorHAnsi"/>
        </w:rPr>
      </w:pPr>
      <w:r>
        <w:t>(a</w:t>
      </w:r>
      <w:r w:rsidRPr="002E2383">
        <w:t>)</w:t>
      </w:r>
      <w:r w:rsidRPr="002E2383">
        <w:tab/>
      </w:r>
      <w:r w:rsidRPr="004513AF">
        <w:rPr>
          <w:rFonts w:eastAsiaTheme="minorHAnsi"/>
        </w:rPr>
        <w:t>Includes general government net infrastructu</w:t>
      </w:r>
      <w:r>
        <w:rPr>
          <w:rFonts w:eastAsiaTheme="minorHAnsi"/>
        </w:rPr>
        <w:t xml:space="preserve">re investment and estimated cash </w:t>
      </w:r>
      <w:r w:rsidRPr="004513AF">
        <w:rPr>
          <w:rFonts w:eastAsiaTheme="minorHAnsi"/>
        </w:rPr>
        <w:t xml:space="preserve">flows for </w:t>
      </w:r>
      <w:r w:rsidRPr="00FF536B">
        <w:rPr>
          <w:rFonts w:eastAsiaTheme="minorHAnsi"/>
          <w:i w:val="0"/>
        </w:rPr>
        <w:t>Partnerships Victoria</w:t>
      </w:r>
      <w:r w:rsidRPr="004513AF">
        <w:rPr>
          <w:rFonts w:eastAsiaTheme="minorHAnsi"/>
        </w:rPr>
        <w:t xml:space="preserve"> projects.</w:t>
      </w:r>
    </w:p>
    <w:p w:rsidR="00566E9A" w:rsidRPr="004513AF" w:rsidRDefault="00566E9A" w:rsidP="00AE5760">
      <w:pPr>
        <w:pStyle w:val="Notes"/>
        <w:rPr>
          <w:rFonts w:eastAsiaTheme="minorHAnsi"/>
        </w:rPr>
      </w:pPr>
      <w:r w:rsidRPr="004513AF">
        <w:rPr>
          <w:rFonts w:eastAsiaTheme="minorHAnsi"/>
        </w:rPr>
        <w:t>(b)</w:t>
      </w:r>
      <w:r w:rsidRPr="004513AF">
        <w:rPr>
          <w:rFonts w:eastAsiaTheme="minorHAnsi"/>
        </w:rPr>
        <w:tab/>
        <w:t>Excludes the impact</w:t>
      </w:r>
      <w:r>
        <w:rPr>
          <w:rFonts w:eastAsiaTheme="minorHAnsi"/>
        </w:rPr>
        <w:t xml:space="preserve"> </w:t>
      </w:r>
      <w:r w:rsidRPr="004513AF">
        <w:rPr>
          <w:rFonts w:eastAsiaTheme="minorHAnsi"/>
        </w:rPr>
        <w:t>of the medium</w:t>
      </w:r>
      <w:r>
        <w:rPr>
          <w:rFonts w:eastAsiaTheme="minorHAnsi"/>
        </w:rPr>
        <w:noBreakHyphen/>
      </w:r>
      <w:r w:rsidRPr="004513AF">
        <w:rPr>
          <w:rFonts w:eastAsiaTheme="minorHAnsi"/>
        </w:rPr>
        <w:t>term lease over the operations of the Port of Melbourne.</w:t>
      </w:r>
    </w:p>
    <w:p w:rsidR="00566E9A" w:rsidRDefault="00566E9A" w:rsidP="00AE5760">
      <w:pPr>
        <w:rPr>
          <w:rFonts w:eastAsiaTheme="minorHAnsi"/>
        </w:rPr>
      </w:pPr>
    </w:p>
    <w:p w:rsidR="00566E9A" w:rsidRDefault="00566E9A" w:rsidP="00AE5760">
      <w:pPr>
        <w:rPr>
          <w:rFonts w:eastAsiaTheme="minorHAnsi"/>
        </w:rPr>
      </w:pPr>
      <w:r>
        <w:rPr>
          <w:rFonts w:eastAsiaTheme="minorHAnsi"/>
        </w:rPr>
        <w:t xml:space="preserve">GII </w:t>
      </w:r>
      <w:r w:rsidRPr="004513AF">
        <w:rPr>
          <w:rFonts w:eastAsiaTheme="minorHAnsi"/>
        </w:rPr>
        <w:t>over the budget and forward estimates averages $</w:t>
      </w:r>
      <w:r>
        <w:rPr>
          <w:rFonts w:eastAsiaTheme="minorHAnsi"/>
        </w:rPr>
        <w:t>8.4 billion</w:t>
      </w:r>
      <w:r w:rsidRPr="004513AF">
        <w:rPr>
          <w:rFonts w:eastAsiaTheme="minorHAnsi"/>
        </w:rPr>
        <w:t xml:space="preserve"> a year compared with the historical average of $4.9</w:t>
      </w:r>
      <w:r>
        <w:rPr>
          <w:rFonts w:eastAsiaTheme="minorHAnsi"/>
        </w:rPr>
        <w:t> billion a year over 2005</w:t>
      </w:r>
      <w:r>
        <w:rPr>
          <w:rFonts w:eastAsiaTheme="minorHAnsi"/>
        </w:rPr>
        <w:noBreakHyphen/>
        <w:t>06 to 2015</w:t>
      </w:r>
      <w:r>
        <w:rPr>
          <w:rFonts w:eastAsiaTheme="minorHAnsi"/>
        </w:rPr>
        <w:noBreakHyphen/>
      </w:r>
      <w:r w:rsidRPr="004513AF">
        <w:rPr>
          <w:rFonts w:eastAsiaTheme="minorHAnsi"/>
        </w:rPr>
        <w:t xml:space="preserve">16. </w:t>
      </w:r>
      <w:r w:rsidRPr="00BF30FC">
        <w:rPr>
          <w:rFonts w:eastAsiaTheme="minorHAnsi"/>
        </w:rPr>
        <w:t>The current level</w:t>
      </w:r>
      <w:r>
        <w:rPr>
          <w:rFonts w:eastAsiaTheme="minorHAnsi"/>
        </w:rPr>
        <w:t xml:space="preserve"> of GII</w:t>
      </w:r>
      <w:r w:rsidRPr="00BF30FC">
        <w:rPr>
          <w:rFonts w:eastAsiaTheme="minorHAnsi"/>
        </w:rPr>
        <w:t xml:space="preserve"> reflects government decisions and current estimates for project milestones and delivery schedules.</w:t>
      </w:r>
    </w:p>
    <w:p w:rsidR="00566E9A" w:rsidRDefault="00566E9A" w:rsidP="00AE5760">
      <w:pPr>
        <w:rPr>
          <w:rFonts w:eastAsiaTheme="minorHAnsi"/>
        </w:rPr>
      </w:pPr>
      <w:r w:rsidRPr="004513AF">
        <w:rPr>
          <w:rFonts w:eastAsiaTheme="minorHAnsi"/>
        </w:rPr>
        <w:t xml:space="preserve">Net debt as a proportion of GSP is expected to </w:t>
      </w:r>
      <w:r>
        <w:rPr>
          <w:rFonts w:eastAsiaTheme="minorHAnsi"/>
        </w:rPr>
        <w:t>fall to</w:t>
      </w:r>
      <w:r w:rsidRPr="004513AF">
        <w:rPr>
          <w:rFonts w:eastAsiaTheme="minorHAnsi"/>
        </w:rPr>
        <w:t xml:space="preserve"> </w:t>
      </w:r>
      <w:r>
        <w:rPr>
          <w:rFonts w:eastAsiaTheme="minorHAnsi"/>
        </w:rPr>
        <w:t>4.5 per cent</w:t>
      </w:r>
      <w:r w:rsidRPr="004513AF">
        <w:rPr>
          <w:rFonts w:eastAsiaTheme="minorHAnsi"/>
        </w:rPr>
        <w:t xml:space="preserve"> at June 201</w:t>
      </w:r>
      <w:r>
        <w:rPr>
          <w:rFonts w:eastAsiaTheme="minorHAnsi"/>
        </w:rPr>
        <w:t>7,</w:t>
      </w:r>
      <w:r w:rsidRPr="004513AF">
        <w:rPr>
          <w:rFonts w:eastAsiaTheme="minorHAnsi"/>
        </w:rPr>
        <w:t xml:space="preserve"> largely reflecting the receipt of proceeds from entering into a medium</w:t>
      </w:r>
      <w:r>
        <w:rPr>
          <w:rFonts w:eastAsiaTheme="minorHAnsi"/>
        </w:rPr>
        <w:noBreakHyphen/>
      </w:r>
      <w:r w:rsidRPr="004513AF">
        <w:rPr>
          <w:rFonts w:eastAsiaTheme="minorHAnsi"/>
        </w:rPr>
        <w:t xml:space="preserve">term lease over the operations of the Port of Melbourne. By June 2020, net debt as a proportion of GSP is expected to be </w:t>
      </w:r>
      <w:r>
        <w:rPr>
          <w:rFonts w:eastAsiaTheme="minorHAnsi"/>
        </w:rPr>
        <w:t>5.4 per cent</w:t>
      </w:r>
      <w:r w:rsidRPr="004513AF">
        <w:rPr>
          <w:rFonts w:eastAsiaTheme="minorHAnsi"/>
        </w:rPr>
        <w:t>.</w:t>
      </w:r>
    </w:p>
    <w:p w:rsidR="00566E9A" w:rsidRDefault="00566E9A" w:rsidP="00AE5760">
      <w:pPr>
        <w:spacing w:after="80"/>
      </w:pPr>
      <w:r>
        <w:rPr>
          <w:rFonts w:eastAsiaTheme="minorHAnsi"/>
        </w:rPr>
        <w:t>This</w:t>
      </w:r>
      <w:r w:rsidRPr="00295A9E">
        <w:rPr>
          <w:rFonts w:eastAsiaTheme="minorHAnsi"/>
        </w:rPr>
        <w:t xml:space="preserve"> provides the headroom to potentially increase borrowings in the future for further productivity</w:t>
      </w:r>
      <w:r>
        <w:rPr>
          <w:rFonts w:eastAsiaTheme="minorHAnsi"/>
        </w:rPr>
        <w:t xml:space="preserve"> </w:t>
      </w:r>
      <w:r w:rsidRPr="00295A9E">
        <w:rPr>
          <w:rFonts w:eastAsiaTheme="minorHAnsi"/>
        </w:rPr>
        <w:t xml:space="preserve">enhancing infrastructure across Victoria, while keeping debt at levels that are consistent with </w:t>
      </w:r>
      <w:r>
        <w:rPr>
          <w:rFonts w:eastAsiaTheme="minorHAnsi"/>
        </w:rPr>
        <w:t xml:space="preserve">maintaining </w:t>
      </w:r>
      <w:r w:rsidRPr="00295A9E">
        <w:rPr>
          <w:rFonts w:eastAsiaTheme="minorHAnsi"/>
        </w:rPr>
        <w:t>a triple</w:t>
      </w:r>
      <w:r>
        <w:rPr>
          <w:rFonts w:eastAsiaTheme="minorHAnsi"/>
        </w:rPr>
        <w:noBreakHyphen/>
      </w:r>
      <w:r w:rsidRPr="00295A9E">
        <w:rPr>
          <w:rFonts w:eastAsiaTheme="minorHAnsi"/>
        </w:rPr>
        <w:t>A credit rating</w:t>
      </w:r>
      <w:r>
        <w:rPr>
          <w:rFonts w:eastAsiaTheme="minorHAnsi"/>
        </w:rPr>
        <w:t>.</w:t>
      </w:r>
    </w:p>
    <w:p w:rsidR="00566E9A" w:rsidRPr="002E2383" w:rsidRDefault="00566E9A" w:rsidP="00AE5760">
      <w:pPr>
        <w:pStyle w:val="Heading1"/>
      </w:pPr>
      <w:bookmarkStart w:id="19" w:name="_Toc401056870"/>
      <w:bookmarkStart w:id="20" w:name="_Toc401147492"/>
      <w:bookmarkStart w:id="21" w:name="_Toc403386687"/>
      <w:bookmarkStart w:id="22" w:name="_Toc406162088"/>
      <w:bookmarkStart w:id="23" w:name="_Toc406670371"/>
      <w:bookmarkStart w:id="24" w:name="_Toc467766488"/>
      <w:bookmarkStart w:id="25" w:name="_Toc468983278"/>
      <w:r w:rsidRPr="002E2383">
        <w:lastRenderedPageBreak/>
        <w:t xml:space="preserve">Budget and </w:t>
      </w:r>
      <w:r w:rsidRPr="001B3FC5">
        <w:t>forward</w:t>
      </w:r>
      <w:r w:rsidRPr="002E2383">
        <w:t xml:space="preserve"> estimates outlook</w:t>
      </w:r>
      <w:bookmarkEnd w:id="19"/>
      <w:bookmarkEnd w:id="20"/>
      <w:bookmarkEnd w:id="21"/>
      <w:bookmarkEnd w:id="22"/>
      <w:bookmarkEnd w:id="23"/>
      <w:bookmarkEnd w:id="24"/>
      <w:bookmarkEnd w:id="25"/>
    </w:p>
    <w:p w:rsidR="00566E9A" w:rsidRDefault="00566E9A" w:rsidP="00AE5760">
      <w:pPr>
        <w:rPr>
          <w:i/>
        </w:rPr>
      </w:pPr>
      <w:r w:rsidRPr="002E2383">
        <w:t xml:space="preserve">Table </w:t>
      </w:r>
      <w:r>
        <w:t>3.</w:t>
      </w:r>
      <w:r w:rsidRPr="002E2383">
        <w:t xml:space="preserve">2 summarises the operating statement </w:t>
      </w:r>
      <w:r>
        <w:t xml:space="preserve">over the budget and forward estimates </w:t>
      </w:r>
      <w:r w:rsidRPr="002E2383">
        <w:t xml:space="preserve">for the general government sector. A comprehensive operating statement is presented </w:t>
      </w:r>
      <w:r w:rsidRPr="00916A19">
        <w:t xml:space="preserve">in Table </w:t>
      </w:r>
      <w:r>
        <w:t>4.1 in Chapter 4</w:t>
      </w:r>
      <w:r w:rsidRPr="00916A19">
        <w:t xml:space="preserve"> </w:t>
      </w:r>
      <w:r w:rsidRPr="00916A19">
        <w:rPr>
          <w:i/>
        </w:rPr>
        <w:t>Estimated financial statements and notes.</w:t>
      </w:r>
    </w:p>
    <w:p w:rsidR="00566E9A" w:rsidRDefault="00566E9A" w:rsidP="00AE5760">
      <w:pPr>
        <w:pStyle w:val="Tableheading"/>
      </w:pPr>
      <w:r w:rsidRPr="002E2383">
        <w:t xml:space="preserve">Table </w:t>
      </w:r>
      <w:r>
        <w:t>3.</w:t>
      </w:r>
      <w:r w:rsidRPr="002E2383">
        <w:t>2:</w:t>
      </w:r>
      <w:r w:rsidRPr="002E2383">
        <w:tab/>
        <w:t xml:space="preserve">Summary </w:t>
      </w:r>
      <w:r w:rsidRPr="001B3FC5">
        <w:t>operating</w:t>
      </w:r>
      <w:r w:rsidRPr="002E2383">
        <w:t xml:space="preserve"> statement for the general government sector</w:t>
      </w:r>
      <w:r>
        <w:t xml:space="preserve"> </w:t>
      </w:r>
      <w:r w:rsidRPr="00DE1179">
        <w:rPr>
          <w:vertAlign w:val="superscript"/>
        </w:rPr>
        <w:t>(a)</w:t>
      </w:r>
    </w:p>
    <w:p w:rsidR="00566E9A" w:rsidRPr="00F5043E" w:rsidRDefault="00566E9A" w:rsidP="00AE5760">
      <w:pPr>
        <w:pStyle w:val="million"/>
        <w:rPr>
          <w:b/>
          <w:bCs/>
          <w:lang w:val="en-US"/>
        </w:rPr>
      </w:pPr>
      <w:r w:rsidRPr="003A5D4C">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F5043E"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F5043E" w:rsidRDefault="00AE5760" w:rsidP="00AE5760">
            <w:pPr>
              <w:autoSpaceDE w:val="0"/>
              <w:autoSpaceDN w:val="0"/>
              <w:adjustRightInd w:val="0"/>
              <w:rPr>
                <w:rFonts w:eastAsiaTheme="minorEastAsia" w:cs="Calibri"/>
                <w:iCs/>
                <w:color w:val="FFFFFF"/>
              </w:rPr>
            </w:pP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2016-17</w:t>
            </w:r>
            <w:r>
              <w:rPr>
                <w:rFonts w:eastAsiaTheme="minorEastAsia" w:cs="Helvetica"/>
                <w:iCs/>
                <w:color w:val="FFFFFF"/>
                <w:szCs w:val="18"/>
              </w:rPr>
              <w:br/>
            </w:r>
            <w:r w:rsidRPr="00F5043E">
              <w:rPr>
                <w:rFonts w:eastAsiaTheme="minorEastAsia" w:cs="Helvetica"/>
                <w:iCs/>
                <w:color w:val="FFFFFF"/>
                <w:szCs w:val="18"/>
              </w:rPr>
              <w:t>revised</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2017-18</w:t>
            </w:r>
            <w:r>
              <w:rPr>
                <w:rFonts w:eastAsiaTheme="minorEastAsia" w:cs="Helvetica"/>
                <w:iCs/>
                <w:color w:val="FFFFFF"/>
                <w:szCs w:val="18"/>
              </w:rPr>
              <w:br/>
            </w:r>
            <w:r w:rsidRPr="00F5043E">
              <w:rPr>
                <w:rFonts w:eastAsiaTheme="minorEastAsia" w:cs="Helvetica"/>
                <w:iCs/>
                <w:color w:val="FFFFFF"/>
                <w:szCs w:val="18"/>
              </w:rPr>
              <w:t>estimate</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2018-19</w:t>
            </w:r>
            <w:r>
              <w:rPr>
                <w:rFonts w:eastAsiaTheme="minorEastAsia" w:cs="Helvetica"/>
                <w:iCs/>
                <w:color w:val="FFFFFF"/>
                <w:szCs w:val="18"/>
              </w:rPr>
              <w:br/>
            </w:r>
            <w:r w:rsidRPr="00F5043E">
              <w:rPr>
                <w:rFonts w:eastAsiaTheme="minorEastAsia" w:cs="Helvetica"/>
                <w:iCs/>
                <w:color w:val="FFFFFF"/>
                <w:szCs w:val="18"/>
              </w:rPr>
              <w:t>estimate</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2019-20</w:t>
            </w:r>
            <w:r>
              <w:rPr>
                <w:rFonts w:eastAsiaTheme="minorEastAsia" w:cs="Helvetica"/>
                <w:iCs/>
                <w:color w:val="FFFFFF"/>
                <w:szCs w:val="18"/>
              </w:rPr>
              <w:br/>
            </w:r>
            <w:r w:rsidRPr="00F5043E">
              <w:rPr>
                <w:rFonts w:eastAsiaTheme="minorEastAsia" w:cs="Helvetica"/>
                <w:iCs/>
                <w:color w:val="FFFFFF"/>
                <w:szCs w:val="18"/>
              </w:rPr>
              <w:t>estimate</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Revenue</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Taxation</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21 631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21 489</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22 670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23 553</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vertAlign w:val="superscript"/>
              </w:rPr>
            </w:pPr>
            <w:r w:rsidRPr="00F5043E">
              <w:rPr>
                <w:rFonts w:eastAsiaTheme="minorEastAsia" w:cs="Helvetica"/>
                <w:color w:val="000000"/>
                <w:szCs w:val="18"/>
              </w:rPr>
              <w:t xml:space="preserve">Dividends, tax equivalent revenue and interest </w:t>
            </w:r>
            <w:r w:rsidRPr="00F5043E">
              <w:rPr>
                <w:rFonts w:eastAsiaTheme="minorEastAsia" w:cs="Helvetica"/>
                <w:color w:val="000000"/>
                <w:szCs w:val="18"/>
                <w:vertAlign w:val="superscript"/>
              </w:rPr>
              <w:t>(b)</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1 618</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1 877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1 523</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1 619</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Sales of goods and services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6 813</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7 090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7 345</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7 351</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Grant revenue</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27 623</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28 762</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30 627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31 318</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000000"/>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Other current revenue</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2 539</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2 257</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2 266</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2 301</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Total revenue</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60 224</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61 474</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64 430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66 143</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i/>
                <w:iCs/>
                <w:color w:val="000000"/>
                <w:szCs w:val="18"/>
                <w:vertAlign w:val="superscript"/>
              </w:rPr>
            </w:pPr>
            <w:r w:rsidRPr="00F5043E">
              <w:rPr>
                <w:rFonts w:eastAsiaTheme="minorEastAsia" w:cs="Helvetica"/>
                <w:i/>
                <w:iCs/>
                <w:color w:val="000000"/>
                <w:szCs w:val="18"/>
              </w:rPr>
              <w:t>% change</w:t>
            </w:r>
            <w:r w:rsidRPr="00F5043E">
              <w:rPr>
                <w:rFonts w:eastAsiaTheme="minorEastAsia" w:cs="Helvetica"/>
                <w:i/>
                <w:iCs/>
                <w:color w:val="000000"/>
                <w:szCs w:val="18"/>
                <w:vertAlign w:val="superscript"/>
              </w:rPr>
              <w:t xml:space="preserve"> (c)</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7.2</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2.1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4.8</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2.7</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Expenses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F5043E">
              <w:rPr>
                <w:rFonts w:eastAsiaTheme="minorEastAsia" w:cs="Calibri"/>
                <w:b/>
                <w:bCs/>
                <w:color w:val="000000"/>
              </w:rPr>
              <w:t xml:space="preserve"> </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Employee expenses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21 568</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22 401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23 620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24 293</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vertAlign w:val="superscript"/>
              </w:rPr>
            </w:pPr>
            <w:r w:rsidRPr="00F5043E">
              <w:rPr>
                <w:rFonts w:eastAsiaTheme="minorEastAsia" w:cs="Helvetica"/>
                <w:color w:val="000000"/>
                <w:szCs w:val="18"/>
              </w:rPr>
              <w:t xml:space="preserve">Superannuation </w:t>
            </w:r>
            <w:r w:rsidRPr="00F5043E">
              <w:rPr>
                <w:rFonts w:eastAsiaTheme="minorEastAsia" w:cs="Helvetica"/>
                <w:color w:val="000000"/>
                <w:szCs w:val="18"/>
                <w:vertAlign w:val="superscript"/>
              </w:rPr>
              <w:t>(d)</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3 019</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2 994</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3 017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3 051</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Depreciation</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2 633</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2 791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3 047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3 221</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Interest expense</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2 147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2 121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2 145</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2 076</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Other operating expenses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18 817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19 536</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19 750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19 849</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000000"/>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Grants and other transfers</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10 312</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10 404</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11 074</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11 028</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Total expenses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58 495</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60 246</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62 652</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63 519</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i/>
                <w:iCs/>
                <w:color w:val="000000"/>
                <w:szCs w:val="18"/>
                <w:vertAlign w:val="superscript"/>
              </w:rPr>
            </w:pPr>
            <w:r w:rsidRPr="00F5043E">
              <w:rPr>
                <w:rFonts w:eastAsiaTheme="minorEastAsia" w:cs="Helvetica"/>
                <w:i/>
                <w:iCs/>
                <w:color w:val="000000"/>
                <w:szCs w:val="18"/>
              </w:rPr>
              <w:t>% change</w:t>
            </w:r>
            <w:r>
              <w:rPr>
                <w:rFonts w:eastAsiaTheme="minorEastAsia" w:cs="Helvetica"/>
                <w:i/>
                <w:iCs/>
                <w:color w:val="000000"/>
                <w:szCs w:val="18"/>
                <w:vertAlign w:val="superscript"/>
              </w:rPr>
              <w:t xml:space="preserve">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8.2</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3.0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4.0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1.4</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Net result from transactions</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1 729</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1 228</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1 778</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2 624</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vertAlign w:val="superscript"/>
              </w:rPr>
            </w:pPr>
            <w:r w:rsidRPr="00F5043E">
              <w:rPr>
                <w:rFonts w:eastAsiaTheme="minorEastAsia" w:cs="Helvetica"/>
                <w:b/>
                <w:bCs/>
                <w:color w:val="000000"/>
                <w:szCs w:val="18"/>
              </w:rPr>
              <w:t xml:space="preserve">Total other economic flows included in net result </w:t>
            </w:r>
            <w:r w:rsidRPr="00F5043E">
              <w:rPr>
                <w:rFonts w:eastAsiaTheme="minorEastAsia" w:cs="Helvetica"/>
                <w:b/>
                <w:bCs/>
                <w:color w:val="000000"/>
                <w:szCs w:val="18"/>
                <w:vertAlign w:val="superscript"/>
              </w:rPr>
              <w:t>(e)</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(252)</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30</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(237)</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(262)</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Net result</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1 477</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1 258</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1 541</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2 362</w:t>
            </w:r>
          </w:p>
        </w:tc>
      </w:tr>
    </w:tbl>
    <w:p w:rsidR="00566E9A" w:rsidRDefault="00566E9A" w:rsidP="00AE5760">
      <w:pPr>
        <w:pStyle w:val="Source"/>
      </w:pPr>
      <w:r w:rsidRPr="002E2383">
        <w:t>Source: Dep</w:t>
      </w:r>
      <w:r>
        <w:t>artment of Treasury and Finance</w:t>
      </w:r>
    </w:p>
    <w:p w:rsidR="00566E9A" w:rsidRPr="002E2383" w:rsidRDefault="00566E9A" w:rsidP="00AE5760">
      <w:pPr>
        <w:pStyle w:val="Notes"/>
      </w:pPr>
      <w:r w:rsidRPr="001B3FC5">
        <w:t>Notes</w:t>
      </w:r>
      <w:r w:rsidRPr="002E2383">
        <w:t>:</w:t>
      </w:r>
    </w:p>
    <w:p w:rsidR="00566E9A" w:rsidRPr="002E2383" w:rsidRDefault="00566E9A" w:rsidP="00AE5760">
      <w:pPr>
        <w:pStyle w:val="Notes"/>
      </w:pPr>
      <w:r>
        <w:t>(a)</w:t>
      </w:r>
      <w:r w:rsidRPr="002E2383">
        <w:tab/>
      </w:r>
      <w:r>
        <w:t>Figures in this table are subject to rounding to the nearest million and may not add up to totals.</w:t>
      </w:r>
    </w:p>
    <w:p w:rsidR="00566E9A" w:rsidRPr="002E2383" w:rsidRDefault="00566E9A" w:rsidP="00AE5760">
      <w:pPr>
        <w:pStyle w:val="Notes"/>
      </w:pPr>
      <w:r>
        <w:t>(b)</w:t>
      </w:r>
      <w:r w:rsidRPr="002E2383">
        <w:tab/>
      </w:r>
      <w:r w:rsidRPr="001B3FC5">
        <w:t>Comprises</w:t>
      </w:r>
      <w:r w:rsidRPr="002E2383">
        <w:t xml:space="preserve"> dividends, income tax and rate equivalent revenue and interest revenue.</w:t>
      </w:r>
    </w:p>
    <w:p w:rsidR="00566E9A" w:rsidRPr="002E2383" w:rsidRDefault="00566E9A" w:rsidP="00AE5760">
      <w:pPr>
        <w:pStyle w:val="Notes"/>
      </w:pPr>
      <w:r w:rsidRPr="002E2383">
        <w:t>(c)</w:t>
      </w:r>
      <w:r w:rsidRPr="002E2383">
        <w:tab/>
      </w:r>
      <w:r>
        <w:t xml:space="preserve">The </w:t>
      </w:r>
      <w:r w:rsidRPr="002E2383">
        <w:t>201</w:t>
      </w:r>
      <w:r>
        <w:t>6</w:t>
      </w:r>
      <w:r>
        <w:noBreakHyphen/>
      </w:r>
      <w:r w:rsidRPr="002E2383">
        <w:t>1</w:t>
      </w:r>
      <w:r>
        <w:t>7</w:t>
      </w:r>
      <w:r w:rsidRPr="002E2383">
        <w:t xml:space="preserve"> revised</w:t>
      </w:r>
      <w:r>
        <w:t> per cent</w:t>
      </w:r>
      <w:r w:rsidRPr="002E2383">
        <w:t xml:space="preserve"> change refer</w:t>
      </w:r>
      <w:r>
        <w:t>s</w:t>
      </w:r>
      <w:r w:rsidRPr="002E2383">
        <w:t xml:space="preserve"> to 201</w:t>
      </w:r>
      <w:r>
        <w:t>5</w:t>
      </w:r>
      <w:r>
        <w:noBreakHyphen/>
      </w:r>
      <w:r w:rsidRPr="002E2383">
        <w:t>1</w:t>
      </w:r>
      <w:r>
        <w:t>6</w:t>
      </w:r>
      <w:r w:rsidRPr="002E2383">
        <w:t xml:space="preserve"> actual figures</w:t>
      </w:r>
      <w:r w:rsidRPr="006640FD">
        <w:t>, adjusted to remove the one-off receipt of revenue associated with the High Court of Australia’s decision in favour of the State relating to the Tatts Group Limited’s ‘Gambling Licenses’ proceedings.</w:t>
      </w:r>
    </w:p>
    <w:p w:rsidR="00566E9A" w:rsidRDefault="00566E9A" w:rsidP="00AE5760">
      <w:pPr>
        <w:pStyle w:val="Notes"/>
      </w:pPr>
      <w:r>
        <w:t>(d)</w:t>
      </w:r>
      <w:r>
        <w:tab/>
      </w:r>
      <w:r w:rsidRPr="007E4E2E">
        <w:t>Comprises superannuation interest expense and o</w:t>
      </w:r>
      <w:r>
        <w:t>ther superannuation expenses.</w:t>
      </w:r>
    </w:p>
    <w:p w:rsidR="00566E9A" w:rsidRDefault="00566E9A" w:rsidP="00AE5760">
      <w:pPr>
        <w:pStyle w:val="Notes"/>
        <w:rPr>
          <w:rFonts w:eastAsiaTheme="minorHAnsi"/>
        </w:rPr>
      </w:pPr>
      <w:r w:rsidRPr="004513AF">
        <w:rPr>
          <w:rFonts w:eastAsiaTheme="minorHAnsi"/>
        </w:rPr>
        <w:t>(</w:t>
      </w:r>
      <w:r>
        <w:rPr>
          <w:rFonts w:eastAsiaTheme="minorHAnsi"/>
        </w:rPr>
        <w:t>e)</w:t>
      </w:r>
      <w:r w:rsidRPr="004513AF">
        <w:rPr>
          <w:rFonts w:eastAsiaTheme="minorHAnsi"/>
        </w:rPr>
        <w:tab/>
        <w:t>This typically includes gains and</w:t>
      </w:r>
      <w:r>
        <w:rPr>
          <w:rFonts w:eastAsiaTheme="minorHAnsi"/>
        </w:rPr>
        <w:t xml:space="preserve"> losses from the disposal of non</w:t>
      </w:r>
      <w:r>
        <w:rPr>
          <w:rFonts w:eastAsiaTheme="minorHAnsi"/>
        </w:rPr>
        <w:noBreakHyphen/>
      </w:r>
      <w:r w:rsidRPr="004513AF">
        <w:rPr>
          <w:rFonts w:eastAsiaTheme="minorHAnsi"/>
        </w:rPr>
        <w:t>financial assets, adjustments for bad and doubtful debts and revaluations of financial assets and liabilities.</w:t>
      </w:r>
    </w:p>
    <w:p w:rsidR="00566E9A" w:rsidRDefault="00566E9A">
      <w:pPr>
        <w:spacing w:after="0"/>
        <w:rPr>
          <w:rFonts w:asciiTheme="majorHAnsi" w:eastAsiaTheme="minorHAnsi" w:hAnsiTheme="majorHAnsi"/>
          <w:i/>
          <w:sz w:val="15"/>
        </w:rPr>
      </w:pPr>
      <w:r>
        <w:rPr>
          <w:rFonts w:eastAsiaTheme="minorHAnsi"/>
        </w:rPr>
        <w:br w:type="page"/>
      </w:r>
    </w:p>
    <w:p w:rsidR="00566E9A" w:rsidRPr="002E2383" w:rsidRDefault="00566E9A" w:rsidP="00AE5760">
      <w:pPr>
        <w:pStyle w:val="Heading2"/>
      </w:pPr>
      <w:r w:rsidRPr="002E2383">
        <w:lastRenderedPageBreak/>
        <w:t xml:space="preserve">Revenue </w:t>
      </w:r>
      <w:r w:rsidRPr="001B3FC5">
        <w:t>outlook</w:t>
      </w:r>
    </w:p>
    <w:p w:rsidR="00566E9A" w:rsidRPr="00200AAD" w:rsidRDefault="00566E9A" w:rsidP="00AE5760">
      <w:pPr>
        <w:rPr>
          <w:highlight w:val="yellow"/>
        </w:rPr>
      </w:pPr>
      <w:r w:rsidRPr="00614A84">
        <w:t xml:space="preserve">Victoria is expected to </w:t>
      </w:r>
      <w:r w:rsidRPr="008D377D">
        <w:t>collect $</w:t>
      </w:r>
      <w:r>
        <w:t>60.2</w:t>
      </w:r>
      <w:r w:rsidRPr="008D377D">
        <w:t> billion in total revenue in 2016</w:t>
      </w:r>
      <w:r w:rsidRPr="008D377D">
        <w:noBreakHyphen/>
        <w:t xml:space="preserve">17, with revenue growth averaging </w:t>
      </w:r>
      <w:r>
        <w:t>4.2 </w:t>
      </w:r>
      <w:r w:rsidRPr="008D377D">
        <w:t>per cent over the budget</w:t>
      </w:r>
      <w:r w:rsidRPr="00614A84">
        <w:t xml:space="preserve"> and forward estimates. This is </w:t>
      </w:r>
      <w:r>
        <w:t xml:space="preserve">above </w:t>
      </w:r>
      <w:r w:rsidRPr="00614A84">
        <w:t xml:space="preserve">the projected growth </w:t>
      </w:r>
      <w:r>
        <w:t>of 3.4 </w:t>
      </w:r>
      <w:r w:rsidRPr="000C2995">
        <w:t>per</w:t>
      </w:r>
      <w:r>
        <w:t> </w:t>
      </w:r>
      <w:r w:rsidRPr="000C2995">
        <w:t>cent</w:t>
      </w:r>
      <w:r>
        <w:t xml:space="preserve"> in </w:t>
      </w:r>
      <w:r w:rsidRPr="002F462C">
        <w:t xml:space="preserve">the </w:t>
      </w:r>
      <w:r w:rsidRPr="002F462C">
        <w:rPr>
          <w:i/>
        </w:rPr>
        <w:t>2016</w:t>
      </w:r>
      <w:r w:rsidRPr="002F462C">
        <w:rPr>
          <w:i/>
        </w:rPr>
        <w:noBreakHyphen/>
        <w:t>17 Budget,</w:t>
      </w:r>
      <w:r w:rsidRPr="002F462C">
        <w:t xml:space="preserve"> largely</w:t>
      </w:r>
      <w:r>
        <w:t xml:space="preserve"> driven by a stronger outlook for land tax and GST and other grant revenue from the Commonwealth.</w:t>
      </w:r>
    </w:p>
    <w:p w:rsidR="00566E9A" w:rsidRPr="002E2383" w:rsidRDefault="00566E9A" w:rsidP="00AE5760">
      <w:pPr>
        <w:pStyle w:val="Heading3"/>
      </w:pPr>
      <w:r w:rsidRPr="001B3FC5">
        <w:t>Taxation</w:t>
      </w:r>
    </w:p>
    <w:p w:rsidR="00566E9A" w:rsidRPr="008D791C" w:rsidRDefault="00566E9A" w:rsidP="00AE5760">
      <w:r w:rsidRPr="008D791C">
        <w:t>State taxation revenue is expected to grow by</w:t>
      </w:r>
      <w:r>
        <w:t xml:space="preserve"> 8.7 per cent</w:t>
      </w:r>
      <w:r w:rsidRPr="008D791C">
        <w:t xml:space="preserve"> in 201</w:t>
      </w:r>
      <w:r>
        <w:t>6</w:t>
      </w:r>
      <w:r>
        <w:noBreakHyphen/>
      </w:r>
      <w:r w:rsidRPr="008D791C">
        <w:t>1</w:t>
      </w:r>
      <w:r>
        <w:t>7</w:t>
      </w:r>
      <w:r w:rsidRPr="008D791C">
        <w:t xml:space="preserve"> to $</w:t>
      </w:r>
      <w:r>
        <w:t>21.6 billion</w:t>
      </w:r>
      <w:r w:rsidRPr="008D791C">
        <w:t xml:space="preserve">, and average </w:t>
      </w:r>
      <w:r>
        <w:t>2.9 per cent</w:t>
      </w:r>
      <w:r w:rsidRPr="008D791C">
        <w:t xml:space="preserve"> a year over the forward estimates. </w:t>
      </w:r>
      <w:r>
        <w:t>In 2016</w:t>
      </w:r>
      <w:r>
        <w:noBreakHyphen/>
        <w:t xml:space="preserve">17, the strong growth rate for taxation revenue is driven by </w:t>
      </w:r>
      <w:r>
        <w:rPr>
          <w:rFonts w:eastAsiaTheme="minorHAnsi"/>
        </w:rPr>
        <w:t xml:space="preserve">the receipt of </w:t>
      </w:r>
      <w:r w:rsidRPr="00ED1B54">
        <w:rPr>
          <w:rFonts w:eastAsiaTheme="minorHAnsi"/>
        </w:rPr>
        <w:t>prepaid port license fees associated with entering into a medium</w:t>
      </w:r>
      <w:r>
        <w:rPr>
          <w:rFonts w:eastAsiaTheme="minorHAnsi"/>
        </w:rPr>
        <w:noBreakHyphen/>
      </w:r>
      <w:r w:rsidRPr="00ED1B54">
        <w:rPr>
          <w:rFonts w:eastAsiaTheme="minorHAnsi"/>
        </w:rPr>
        <w:t>term lease over the operations of the Port of Melbourne.</w:t>
      </w:r>
      <w:r>
        <w:rPr>
          <w:rFonts w:eastAsiaTheme="minorHAnsi"/>
        </w:rPr>
        <w:t xml:space="preserve"> Excluding the port licence fees, taxation revenue growth remains solid, supported by </w:t>
      </w:r>
      <w:r>
        <w:t xml:space="preserve">property tax revenue partially </w:t>
      </w:r>
      <w:r w:rsidRPr="008D791C">
        <w:t xml:space="preserve">offset </w:t>
      </w:r>
      <w:r>
        <w:t xml:space="preserve">by downgrades to gambling and payroll tax revenue since the </w:t>
      </w:r>
      <w:r>
        <w:rPr>
          <w:i/>
        </w:rPr>
        <w:t>2016</w:t>
      </w:r>
      <w:r>
        <w:rPr>
          <w:i/>
        </w:rPr>
        <w:noBreakHyphen/>
        <w:t>17 Budget</w:t>
      </w:r>
      <w:r w:rsidRPr="008D791C">
        <w:t>. Specifically:</w:t>
      </w:r>
    </w:p>
    <w:p w:rsidR="00566E9A" w:rsidRDefault="00566E9A" w:rsidP="00AE5760">
      <w:pPr>
        <w:pStyle w:val="BulletText"/>
      </w:pPr>
      <w:r w:rsidRPr="008D791C">
        <w:t xml:space="preserve">land transfer duty revenue </w:t>
      </w:r>
      <w:r>
        <w:t xml:space="preserve">is expected to be stronger than in the </w:t>
      </w:r>
      <w:r>
        <w:rPr>
          <w:i/>
        </w:rPr>
        <w:t>2016</w:t>
      </w:r>
      <w:r>
        <w:noBreakHyphen/>
      </w:r>
      <w:r>
        <w:rPr>
          <w:i/>
        </w:rPr>
        <w:t>17 Budget.</w:t>
      </w:r>
      <w:r>
        <w:t xml:space="preserve"> Although transaction volumes are forecast to be weaker in 2016</w:t>
      </w:r>
      <w:r>
        <w:noBreakHyphen/>
        <w:t xml:space="preserve">17, revenue over the forward estimates is expected to be higher relative to the </w:t>
      </w:r>
      <w:r>
        <w:rPr>
          <w:i/>
        </w:rPr>
        <w:t>2016</w:t>
      </w:r>
      <w:r>
        <w:noBreakHyphen/>
      </w:r>
      <w:r>
        <w:rPr>
          <w:i/>
        </w:rPr>
        <w:t>17 Budget.</w:t>
      </w:r>
      <w:r>
        <w:t xml:space="preserve"> This is due to stronger property price growth reflecting the Reserve Bank of Australia’s two interest rate cuts in May and August this year. Compared to the </w:t>
      </w:r>
      <w:r>
        <w:rPr>
          <w:i/>
        </w:rPr>
        <w:t>2016</w:t>
      </w:r>
      <w:r>
        <w:noBreakHyphen/>
      </w:r>
      <w:r>
        <w:rPr>
          <w:i/>
        </w:rPr>
        <w:t>17 Budget</w:t>
      </w:r>
      <w:r w:rsidRPr="00D3476F">
        <w:t>, which forecast</w:t>
      </w:r>
      <w:r>
        <w:t xml:space="preserve"> a fall in revenue of 6.4 per cent in 2016</w:t>
      </w:r>
      <w:r>
        <w:noBreakHyphen/>
        <w:t>17</w:t>
      </w:r>
      <w:r>
        <w:rPr>
          <w:i/>
        </w:rPr>
        <w:t xml:space="preserve">, </w:t>
      </w:r>
      <w:r>
        <w:t>revenue is now expected to fall by a more moderate 2.3 per cent to $5.7 billion, before recovering to grow by 3.2 per cent in 2017-18;</w:t>
      </w:r>
    </w:p>
    <w:p w:rsidR="00566E9A" w:rsidRDefault="00566E9A" w:rsidP="00AE5760">
      <w:pPr>
        <w:pStyle w:val="BulletText"/>
      </w:pPr>
      <w:r w:rsidRPr="008D791C">
        <w:t>land tax revenue is expected to</w:t>
      </w:r>
      <w:r>
        <w:t xml:space="preserve"> be stronger than in the </w:t>
      </w:r>
      <w:r w:rsidRPr="005101AD">
        <w:rPr>
          <w:i/>
        </w:rPr>
        <w:t>2016-17 Budget</w:t>
      </w:r>
      <w:r>
        <w:t>, with revenue expected to be $2.4 billion. This</w:t>
      </w:r>
      <w:r w:rsidRPr="008D791C">
        <w:t xml:space="preserve"> reflect</w:t>
      </w:r>
      <w:r>
        <w:t xml:space="preserve">s </w:t>
      </w:r>
      <w:r w:rsidRPr="00472932">
        <w:t>strength in the Victorian property market, which drove a substantial increase in the revaluation outcome for 2016 and additional revenue from compliance activity</w:t>
      </w:r>
      <w:r>
        <w:t>;</w:t>
      </w:r>
    </w:p>
    <w:p w:rsidR="00566E9A" w:rsidRPr="00DA251B" w:rsidRDefault="00566E9A" w:rsidP="00AE5760">
      <w:pPr>
        <w:pStyle w:val="BulletText"/>
      </w:pPr>
      <w:r w:rsidRPr="00DA251B">
        <w:t>payroll tax revenue</w:t>
      </w:r>
      <w:r>
        <w:t xml:space="preserve"> is forecast to increase by 5.6 </w:t>
      </w:r>
      <w:r w:rsidRPr="00DA251B">
        <w:t>per</w:t>
      </w:r>
      <w:r>
        <w:t> </w:t>
      </w:r>
      <w:r w:rsidRPr="00DA251B">
        <w:t>cent in 2016</w:t>
      </w:r>
      <w:r>
        <w:noBreakHyphen/>
      </w:r>
      <w:r w:rsidRPr="00DA251B">
        <w:t>17 to $5.7</w:t>
      </w:r>
      <w:r>
        <w:t> </w:t>
      </w:r>
      <w:r w:rsidRPr="00DA251B">
        <w:t>billion as softer than expected wages growth is slightly offset by stronger aggregate hours worked. More moderate revenue growth is expected over the forward estimates as growth in hours worked eases and wage inflation gradually improves. Over the forward estimates, growth is forecast to average 4.6</w:t>
      </w:r>
      <w:r>
        <w:t> </w:t>
      </w:r>
      <w:r w:rsidRPr="00DA251B">
        <w:t>per</w:t>
      </w:r>
      <w:r>
        <w:t> </w:t>
      </w:r>
      <w:r w:rsidRPr="00DA251B">
        <w:t>cent per year;</w:t>
      </w:r>
    </w:p>
    <w:p w:rsidR="00566E9A" w:rsidRPr="00E21931" w:rsidRDefault="00566E9A" w:rsidP="00AE5760">
      <w:pPr>
        <w:pStyle w:val="BulletText"/>
      </w:pPr>
      <w:r w:rsidRPr="00E21931">
        <w:t xml:space="preserve">gambling taxes are expected </w:t>
      </w:r>
      <w:r>
        <w:t xml:space="preserve">to grow by </w:t>
      </w:r>
      <w:r w:rsidRPr="00E21931">
        <w:t>2.</w:t>
      </w:r>
      <w:r>
        <w:t>6 </w:t>
      </w:r>
      <w:r w:rsidRPr="00E21931">
        <w:t>per</w:t>
      </w:r>
      <w:r>
        <w:t> </w:t>
      </w:r>
      <w:r w:rsidRPr="00E21931">
        <w:t xml:space="preserve">cent </w:t>
      </w:r>
      <w:r>
        <w:t>in</w:t>
      </w:r>
      <w:r w:rsidRPr="00E21931">
        <w:t xml:space="preserve"> 2016</w:t>
      </w:r>
      <w:r>
        <w:noBreakHyphen/>
      </w:r>
      <w:r w:rsidRPr="00E21931">
        <w:t>17 to $1.9</w:t>
      </w:r>
      <w:r>
        <w:t> </w:t>
      </w:r>
      <w:r w:rsidRPr="00E21931">
        <w:t>billion</w:t>
      </w:r>
      <w:r>
        <w:t xml:space="preserve">. Forecast growth is weaker than expected in the </w:t>
      </w:r>
      <w:r>
        <w:rPr>
          <w:i/>
        </w:rPr>
        <w:t>2016</w:t>
      </w:r>
      <w:r>
        <w:noBreakHyphen/>
      </w:r>
      <w:r>
        <w:rPr>
          <w:i/>
        </w:rPr>
        <w:t>17 Budget</w:t>
      </w:r>
      <w:r>
        <w:t>, reflecting</w:t>
      </w:r>
      <w:r w:rsidRPr="00E21931">
        <w:t xml:space="preserve"> </w:t>
      </w:r>
      <w:r w:rsidRPr="0065233A">
        <w:t>lower spending on gambling products</w:t>
      </w:r>
      <w:r w:rsidRPr="00721E1C">
        <w:t xml:space="preserve"> by households</w:t>
      </w:r>
      <w:r w:rsidRPr="00E21931">
        <w:t>;</w:t>
      </w:r>
    </w:p>
    <w:p w:rsidR="00566E9A" w:rsidRPr="003D253C" w:rsidRDefault="00566E9A" w:rsidP="00AE5760">
      <w:pPr>
        <w:pStyle w:val="BulletText"/>
      </w:pPr>
      <w:r w:rsidRPr="003D253C">
        <w:t xml:space="preserve">taxes on insurance </w:t>
      </w:r>
      <w:r>
        <w:t>are expected to increase by 6.3 </w:t>
      </w:r>
      <w:r w:rsidRPr="003D253C">
        <w:t>per</w:t>
      </w:r>
      <w:r>
        <w:t> </w:t>
      </w:r>
      <w:r w:rsidRPr="003D253C">
        <w:t xml:space="preserve">cent </w:t>
      </w:r>
      <w:r>
        <w:t>in 2016</w:t>
      </w:r>
      <w:r>
        <w:noBreakHyphen/>
        <w:t xml:space="preserve">17 </w:t>
      </w:r>
      <w:r w:rsidRPr="003D253C">
        <w:t>to $1.2 billion</w:t>
      </w:r>
      <w:r>
        <w:t xml:space="preserve"> </w:t>
      </w:r>
      <w:r w:rsidRPr="003D253C">
        <w:t>and</w:t>
      </w:r>
      <w:r>
        <w:t xml:space="preserve"> 6.8 </w:t>
      </w:r>
      <w:r w:rsidRPr="003D253C">
        <w:t>per</w:t>
      </w:r>
      <w:r>
        <w:t> </w:t>
      </w:r>
      <w:r w:rsidRPr="003D253C">
        <w:t xml:space="preserve">cent </w:t>
      </w:r>
      <w:r>
        <w:t xml:space="preserve">a year on average </w:t>
      </w:r>
      <w:r w:rsidRPr="003D253C">
        <w:t>over the forward estimates</w:t>
      </w:r>
      <w:r>
        <w:t xml:space="preserve">. Since the </w:t>
      </w:r>
      <w:r>
        <w:rPr>
          <w:i/>
        </w:rPr>
        <w:t>2016</w:t>
      </w:r>
      <w:r>
        <w:rPr>
          <w:i/>
        </w:rPr>
        <w:noBreakHyphen/>
        <w:t>17 </w:t>
      </w:r>
      <w:r w:rsidRPr="00414092">
        <w:rPr>
          <w:i/>
        </w:rPr>
        <w:t>Budget</w:t>
      </w:r>
      <w:r>
        <w:t xml:space="preserve">, the revenue forecast has increased marginally due to an improved outlook for growth in state final demand; </w:t>
      </w:r>
      <w:r w:rsidRPr="003D253C">
        <w:t>and</w:t>
      </w:r>
    </w:p>
    <w:p w:rsidR="00566E9A" w:rsidRPr="00396D91" w:rsidRDefault="00566E9A" w:rsidP="00AE5760">
      <w:pPr>
        <w:pStyle w:val="BulletText"/>
      </w:pPr>
      <w:r w:rsidRPr="00396D91">
        <w:t>motor vehicle t</w:t>
      </w:r>
      <w:r>
        <w:t>axes are expected to grow by 5.1</w:t>
      </w:r>
      <w:r w:rsidRPr="00396D91">
        <w:t> per cent in 201</w:t>
      </w:r>
      <w:r>
        <w:t>6</w:t>
      </w:r>
      <w:r w:rsidRPr="00396D91">
        <w:noBreakHyphen/>
        <w:t>1</w:t>
      </w:r>
      <w:r>
        <w:t>7</w:t>
      </w:r>
      <w:r w:rsidRPr="00396D91">
        <w:t xml:space="preserve"> to $2.</w:t>
      </w:r>
      <w:r>
        <w:t>3</w:t>
      </w:r>
      <w:r w:rsidRPr="00396D91">
        <w:t xml:space="preserve"> billion. Thereafter, growth is expected to average </w:t>
      </w:r>
      <w:r>
        <w:t>3.4</w:t>
      </w:r>
      <w:r w:rsidRPr="00396D91">
        <w:t> per cent a year over the forward estimates</w:t>
      </w:r>
      <w:r>
        <w:t xml:space="preserve">. Revenue has been upgraded slightly since the </w:t>
      </w:r>
      <w:r w:rsidRPr="00414092">
        <w:rPr>
          <w:i/>
        </w:rPr>
        <w:t>2016</w:t>
      </w:r>
      <w:r>
        <w:noBreakHyphen/>
      </w:r>
      <w:r w:rsidRPr="00414092">
        <w:rPr>
          <w:i/>
        </w:rPr>
        <w:t>17 Budget</w:t>
      </w:r>
      <w:r>
        <w:t>, driven by a stronger outlook for population growth.</w:t>
      </w:r>
    </w:p>
    <w:p w:rsidR="00566E9A" w:rsidRDefault="00566E9A">
      <w:pPr>
        <w:rPr>
          <w:rFonts w:asciiTheme="majorHAnsi" w:hAnsiTheme="majorHAnsi"/>
          <w:b/>
          <w:i/>
          <w:kern w:val="28"/>
          <w:sz w:val="24"/>
        </w:rPr>
      </w:pPr>
      <w:r>
        <w:br w:type="page"/>
      </w:r>
    </w:p>
    <w:p w:rsidR="00566E9A" w:rsidRPr="002E2383" w:rsidRDefault="00566E9A" w:rsidP="00AE5760">
      <w:pPr>
        <w:pStyle w:val="Heading3"/>
      </w:pPr>
      <w:r w:rsidRPr="002E2383">
        <w:lastRenderedPageBreak/>
        <w:t xml:space="preserve">Dividends, </w:t>
      </w:r>
      <w:r w:rsidRPr="00790F73">
        <w:t>income</w:t>
      </w:r>
      <w:r w:rsidRPr="002E2383">
        <w:t xml:space="preserve"> tax equivalent and interest</w:t>
      </w:r>
    </w:p>
    <w:p w:rsidR="00566E9A" w:rsidRDefault="00566E9A" w:rsidP="00AE5760">
      <w:pPr>
        <w:rPr>
          <w:rFonts w:eastAsiaTheme="minorHAnsi"/>
        </w:rPr>
      </w:pPr>
      <w:r w:rsidRPr="0028183B">
        <w:rPr>
          <w:rFonts w:eastAsiaTheme="minorHAnsi"/>
        </w:rPr>
        <w:t>Dividend</w:t>
      </w:r>
      <w:r>
        <w:rPr>
          <w:rFonts w:eastAsiaTheme="minorHAnsi"/>
        </w:rPr>
        <w:t xml:space="preserve"> and income tax equivalent (ITE) </w:t>
      </w:r>
      <w:r w:rsidRPr="0028183B">
        <w:rPr>
          <w:rFonts w:eastAsiaTheme="minorHAnsi"/>
        </w:rPr>
        <w:t xml:space="preserve">revenue </w:t>
      </w:r>
      <w:r>
        <w:rPr>
          <w:rFonts w:eastAsiaTheme="minorHAnsi"/>
        </w:rPr>
        <w:t>has been revised down</w:t>
      </w:r>
      <w:r w:rsidRPr="0028183B">
        <w:rPr>
          <w:rFonts w:eastAsiaTheme="minorHAnsi"/>
        </w:rPr>
        <w:t xml:space="preserve"> </w:t>
      </w:r>
      <w:r>
        <w:rPr>
          <w:rFonts w:eastAsiaTheme="minorHAnsi"/>
        </w:rPr>
        <w:t>to $712 m</w:t>
      </w:r>
      <w:r w:rsidRPr="0028183B">
        <w:rPr>
          <w:rFonts w:eastAsiaTheme="minorHAnsi"/>
        </w:rPr>
        <w:t>illion</w:t>
      </w:r>
      <w:r w:rsidRPr="00F5392E">
        <w:rPr>
          <w:rFonts w:eastAsiaTheme="minorHAnsi"/>
        </w:rPr>
        <w:t xml:space="preserve"> </w:t>
      </w:r>
      <w:r w:rsidRPr="0028183B">
        <w:rPr>
          <w:rFonts w:eastAsiaTheme="minorHAnsi"/>
        </w:rPr>
        <w:t>in 2016</w:t>
      </w:r>
      <w:r>
        <w:noBreakHyphen/>
      </w:r>
      <w:r>
        <w:rPr>
          <w:rFonts w:eastAsiaTheme="minorHAnsi"/>
        </w:rPr>
        <w:t>17,</w:t>
      </w:r>
      <w:r w:rsidRPr="0028183B">
        <w:rPr>
          <w:rFonts w:eastAsiaTheme="minorHAnsi"/>
        </w:rPr>
        <w:t xml:space="preserve"> </w:t>
      </w:r>
      <w:r>
        <w:rPr>
          <w:rFonts w:eastAsiaTheme="minorHAnsi"/>
        </w:rPr>
        <w:t>largely</w:t>
      </w:r>
      <w:r w:rsidRPr="0028183B">
        <w:rPr>
          <w:rFonts w:eastAsiaTheme="minorHAnsi"/>
        </w:rPr>
        <w:t xml:space="preserve"> due to </w:t>
      </w:r>
      <w:r>
        <w:rPr>
          <w:rFonts w:eastAsiaTheme="minorHAnsi"/>
        </w:rPr>
        <w:t>the impact of lower than expected dividends from the</w:t>
      </w:r>
      <w:r w:rsidRPr="0028183B">
        <w:rPr>
          <w:rFonts w:eastAsiaTheme="minorHAnsi"/>
        </w:rPr>
        <w:t xml:space="preserve"> Transport Accident Commission (TAC). </w:t>
      </w:r>
      <w:r>
        <w:rPr>
          <w:rFonts w:eastAsiaTheme="minorHAnsi"/>
        </w:rPr>
        <w:t>Over the forward estimates, total d</w:t>
      </w:r>
      <w:r w:rsidRPr="0028183B">
        <w:rPr>
          <w:rFonts w:eastAsiaTheme="minorHAnsi"/>
        </w:rPr>
        <w:t>ividend</w:t>
      </w:r>
      <w:r>
        <w:rPr>
          <w:rFonts w:eastAsiaTheme="minorHAnsi"/>
        </w:rPr>
        <w:t xml:space="preserve"> and ITE </w:t>
      </w:r>
      <w:r w:rsidRPr="0028183B">
        <w:rPr>
          <w:rFonts w:eastAsiaTheme="minorHAnsi"/>
        </w:rPr>
        <w:t xml:space="preserve">revenue </w:t>
      </w:r>
      <w:r>
        <w:rPr>
          <w:rFonts w:eastAsiaTheme="minorHAnsi"/>
        </w:rPr>
        <w:t>is forecast to average $809 million per year.</w:t>
      </w:r>
    </w:p>
    <w:p w:rsidR="00566E9A" w:rsidRDefault="00566E9A" w:rsidP="00AE5760">
      <w:pPr>
        <w:rPr>
          <w:rFonts w:eastAsiaTheme="minorHAnsi"/>
        </w:rPr>
      </w:pPr>
      <w:r>
        <w:rPr>
          <w:rFonts w:eastAsiaTheme="minorHAnsi"/>
        </w:rPr>
        <w:t>I</w:t>
      </w:r>
      <w:r w:rsidRPr="000C60B9">
        <w:rPr>
          <w:rFonts w:eastAsiaTheme="minorHAnsi"/>
        </w:rPr>
        <w:t xml:space="preserve">nterest </w:t>
      </w:r>
      <w:r>
        <w:rPr>
          <w:rFonts w:eastAsiaTheme="minorHAnsi"/>
        </w:rPr>
        <w:t>income is</w:t>
      </w:r>
      <w:r w:rsidRPr="000C60B9">
        <w:rPr>
          <w:rFonts w:eastAsiaTheme="minorHAnsi"/>
        </w:rPr>
        <w:t xml:space="preserve"> earned on holdings of cash and deposits across a number of general government sector agencies including departments, hospitals and schools.</w:t>
      </w:r>
      <w:r>
        <w:rPr>
          <w:rFonts w:eastAsiaTheme="minorHAnsi"/>
        </w:rPr>
        <w:t xml:space="preserve"> Total i</w:t>
      </w:r>
      <w:r w:rsidRPr="000C60B9">
        <w:rPr>
          <w:rFonts w:eastAsiaTheme="minorHAnsi"/>
        </w:rPr>
        <w:t xml:space="preserve">nterest income is projected to </w:t>
      </w:r>
      <w:r>
        <w:rPr>
          <w:rFonts w:eastAsiaTheme="minorHAnsi"/>
        </w:rPr>
        <w:t>increase by 15.2 per cent in 2016</w:t>
      </w:r>
      <w:r>
        <w:rPr>
          <w:rFonts w:eastAsiaTheme="minorHAnsi"/>
        </w:rPr>
        <w:noBreakHyphen/>
        <w:t>17, largely due</w:t>
      </w:r>
      <w:r w:rsidRPr="002D2030">
        <w:rPr>
          <w:rFonts w:eastAsiaTheme="minorHAnsi"/>
        </w:rPr>
        <w:t xml:space="preserve"> </w:t>
      </w:r>
      <w:r>
        <w:rPr>
          <w:rFonts w:eastAsiaTheme="minorHAnsi"/>
        </w:rPr>
        <w:t xml:space="preserve">to the impact of the </w:t>
      </w:r>
      <w:r w:rsidRPr="00CA327E">
        <w:rPr>
          <w:rFonts w:eastAsiaTheme="minorHAnsi"/>
        </w:rPr>
        <w:t xml:space="preserve">receipt of </w:t>
      </w:r>
      <w:r>
        <w:rPr>
          <w:rFonts w:eastAsiaTheme="minorHAnsi"/>
        </w:rPr>
        <w:t>proceeds of the medium</w:t>
      </w:r>
      <w:r>
        <w:rPr>
          <w:rFonts w:eastAsiaTheme="minorHAnsi"/>
        </w:rPr>
        <w:noBreakHyphen/>
        <w:t>term lease over the operations of the Port of Melbourne</w:t>
      </w:r>
      <w:r w:rsidRPr="00CA327E">
        <w:t xml:space="preserve"> </w:t>
      </w:r>
      <w:r>
        <w:t>into the Victorian Transport Fund (VTF)</w:t>
      </w:r>
      <w:r>
        <w:rPr>
          <w:rFonts w:eastAsiaTheme="minorHAnsi"/>
        </w:rPr>
        <w:t xml:space="preserve">. </w:t>
      </w:r>
      <w:r w:rsidRPr="000C60B9">
        <w:rPr>
          <w:rFonts w:eastAsiaTheme="minorHAnsi"/>
        </w:rPr>
        <w:t>Across</w:t>
      </w:r>
      <w:r>
        <w:rPr>
          <w:rFonts w:eastAsiaTheme="minorHAnsi"/>
        </w:rPr>
        <w:t xml:space="preserve"> the forward estimates, interest revenue is expected to fall </w:t>
      </w:r>
      <w:r w:rsidRPr="007E4E2E">
        <w:t xml:space="preserve">by </w:t>
      </w:r>
      <w:r>
        <w:t>2.9 per cent</w:t>
      </w:r>
      <w:r w:rsidRPr="007E4E2E">
        <w:t xml:space="preserve"> a year on average</w:t>
      </w:r>
      <w:r>
        <w:t>,</w:t>
      </w:r>
      <w:r w:rsidRPr="00D972CA">
        <w:t xml:space="preserve"> </w:t>
      </w:r>
      <w:r>
        <w:t>as money is</w:t>
      </w:r>
      <w:r w:rsidRPr="00D972CA">
        <w:t xml:space="preserve"> drawn down to fund infrastructure expenditure from the VTF.</w:t>
      </w:r>
    </w:p>
    <w:p w:rsidR="00566E9A" w:rsidRPr="00DC3F4A" w:rsidRDefault="00566E9A" w:rsidP="00AE5760">
      <w:pPr>
        <w:pStyle w:val="Heading3"/>
      </w:pPr>
      <w:r w:rsidRPr="00614A84">
        <w:t>Sales of goods and services</w:t>
      </w:r>
    </w:p>
    <w:p w:rsidR="00566E9A" w:rsidRDefault="00566E9A" w:rsidP="00AE5760">
      <w:pPr>
        <w:rPr>
          <w:rFonts w:eastAsiaTheme="minorHAnsi"/>
        </w:rPr>
      </w:pPr>
      <w:r w:rsidRPr="00730588">
        <w:rPr>
          <w:rFonts w:eastAsiaTheme="minorHAnsi"/>
        </w:rPr>
        <w:t xml:space="preserve">Revenue from the sales of goods and services is expected to </w:t>
      </w:r>
      <w:r>
        <w:rPr>
          <w:rFonts w:eastAsiaTheme="minorHAnsi"/>
        </w:rPr>
        <w:t>increase</w:t>
      </w:r>
      <w:r w:rsidRPr="00730588">
        <w:rPr>
          <w:rFonts w:eastAsiaTheme="minorHAnsi"/>
        </w:rPr>
        <w:t xml:space="preserve"> by </w:t>
      </w:r>
      <w:r>
        <w:rPr>
          <w:rFonts w:eastAsiaTheme="minorHAnsi"/>
        </w:rPr>
        <w:t>2.1 per cent</w:t>
      </w:r>
      <w:r w:rsidRPr="00730588">
        <w:rPr>
          <w:rFonts w:eastAsiaTheme="minorHAnsi"/>
        </w:rPr>
        <w:t xml:space="preserve"> to $6.</w:t>
      </w:r>
      <w:r>
        <w:rPr>
          <w:rFonts w:eastAsiaTheme="minorHAnsi"/>
        </w:rPr>
        <w:t>8 billion</w:t>
      </w:r>
      <w:r w:rsidRPr="00730588">
        <w:rPr>
          <w:rFonts w:eastAsiaTheme="minorHAnsi"/>
        </w:rPr>
        <w:t xml:space="preserve"> in 2016</w:t>
      </w:r>
      <w:r>
        <w:rPr>
          <w:rFonts w:eastAsiaTheme="minorHAnsi"/>
        </w:rPr>
        <w:noBreakHyphen/>
      </w:r>
      <w:r w:rsidRPr="00730588">
        <w:rPr>
          <w:rFonts w:eastAsiaTheme="minorHAnsi"/>
        </w:rPr>
        <w:t xml:space="preserve">17. This growth largely reflects an increase in the capital asset charge revenue from </w:t>
      </w:r>
      <w:proofErr w:type="spellStart"/>
      <w:r w:rsidRPr="00730588">
        <w:rPr>
          <w:rFonts w:eastAsiaTheme="minorHAnsi"/>
        </w:rPr>
        <w:t>VicTrack</w:t>
      </w:r>
      <w:proofErr w:type="spellEnd"/>
      <w:r w:rsidRPr="00730588">
        <w:rPr>
          <w:rFonts w:eastAsiaTheme="minorHAnsi"/>
        </w:rPr>
        <w:t xml:space="preserve"> that is associated with an increase in the asset base. Thereafter, growth average</w:t>
      </w:r>
      <w:r>
        <w:rPr>
          <w:rFonts w:eastAsiaTheme="minorHAnsi"/>
        </w:rPr>
        <w:t>s</w:t>
      </w:r>
      <w:r w:rsidRPr="00730588">
        <w:rPr>
          <w:rFonts w:eastAsiaTheme="minorHAnsi"/>
        </w:rPr>
        <w:t xml:space="preserve"> </w:t>
      </w:r>
      <w:r>
        <w:rPr>
          <w:rFonts w:eastAsiaTheme="minorHAnsi"/>
        </w:rPr>
        <w:t>2.6 per cent</w:t>
      </w:r>
      <w:r w:rsidRPr="00730588">
        <w:rPr>
          <w:rFonts w:eastAsiaTheme="minorHAnsi"/>
        </w:rPr>
        <w:t xml:space="preserve"> a year over the forward estimates.</w:t>
      </w:r>
    </w:p>
    <w:p w:rsidR="00566E9A" w:rsidRPr="00DC3F4A" w:rsidRDefault="00566E9A" w:rsidP="00AE5760">
      <w:pPr>
        <w:pStyle w:val="Heading3"/>
      </w:pPr>
      <w:r w:rsidRPr="006A208E">
        <w:t>Grants</w:t>
      </w:r>
    </w:p>
    <w:p w:rsidR="00566E9A" w:rsidRDefault="00566E9A" w:rsidP="00AE5760">
      <w:r w:rsidRPr="00DC3F4A">
        <w:t xml:space="preserve">Total grants revenue is expected to </w:t>
      </w:r>
      <w:r w:rsidRPr="00E36D41">
        <w:t xml:space="preserve">grow by </w:t>
      </w:r>
      <w:r>
        <w:t>8.7 </w:t>
      </w:r>
      <w:r w:rsidRPr="00E36D41">
        <w:t>per cent to $27.</w:t>
      </w:r>
      <w:r>
        <w:t>6</w:t>
      </w:r>
      <w:r w:rsidRPr="00E36D41">
        <w:t> billion in 2016</w:t>
      </w:r>
      <w:r w:rsidRPr="00E36D41">
        <w:noBreakHyphen/>
        <w:t xml:space="preserve">17 and increase by </w:t>
      </w:r>
      <w:r>
        <w:t>4.3 </w:t>
      </w:r>
      <w:r w:rsidRPr="00E36D41">
        <w:t>per cent a year on average over the forward estimates to $3</w:t>
      </w:r>
      <w:r>
        <w:t>1.3</w:t>
      </w:r>
      <w:r w:rsidRPr="00E36D41">
        <w:t> billion in 2019</w:t>
      </w:r>
      <w:r w:rsidRPr="00E36D41">
        <w:noBreakHyphen/>
        <w:t>20. The growth in total grants revenue is largely driven by higher</w:t>
      </w:r>
      <w:r>
        <w:t xml:space="preserve"> than expected GST receipts</w:t>
      </w:r>
      <w:r w:rsidRPr="00350034">
        <w:rPr>
          <w:rFonts w:eastAsiaTheme="minorHAnsi"/>
        </w:rPr>
        <w:t xml:space="preserve"> </w:t>
      </w:r>
      <w:r>
        <w:rPr>
          <w:rFonts w:eastAsiaTheme="minorHAnsi"/>
        </w:rPr>
        <w:t xml:space="preserve">and the </w:t>
      </w:r>
      <w:r w:rsidRPr="00F5392E">
        <w:t xml:space="preserve">reclassification of contributions from </w:t>
      </w:r>
      <w:r>
        <w:t>the PFC sector.</w:t>
      </w:r>
    </w:p>
    <w:p w:rsidR="00566E9A" w:rsidRDefault="00566E9A" w:rsidP="00AE5760">
      <w:r w:rsidRPr="00DC3F4A">
        <w:t>GST grants revenue is projected to g</w:t>
      </w:r>
      <w:r>
        <w:t>row by 7.3 per cent in 2016</w:t>
      </w:r>
      <w:r>
        <w:noBreakHyphen/>
        <w:t>17</w:t>
      </w:r>
      <w:r w:rsidRPr="00DC3F4A">
        <w:t xml:space="preserve"> to $13</w:t>
      </w:r>
      <w:r>
        <w:t>.9 billion and by an average of 6.8 </w:t>
      </w:r>
      <w:r w:rsidRPr="00DC3F4A">
        <w:t>per</w:t>
      </w:r>
      <w:r>
        <w:t> </w:t>
      </w:r>
      <w:r w:rsidRPr="00DC3F4A">
        <w:t xml:space="preserve">cent a year over the forward estimates. This </w:t>
      </w:r>
      <w:r>
        <w:t xml:space="preserve">largely </w:t>
      </w:r>
      <w:r w:rsidRPr="00DC3F4A">
        <w:t xml:space="preserve">reflects an improvement in </w:t>
      </w:r>
      <w:r w:rsidRPr="006A208E">
        <w:t>Victoria’s share of the national population</w:t>
      </w:r>
      <w:r>
        <w:t xml:space="preserve"> which has risen due to </w:t>
      </w:r>
      <w:r w:rsidRPr="006A208E">
        <w:t>overseas migration an</w:t>
      </w:r>
      <w:r>
        <w:t>d elevated interstate migration</w:t>
      </w:r>
      <w:r w:rsidRPr="00DC3F4A">
        <w:t>.</w:t>
      </w:r>
    </w:p>
    <w:p w:rsidR="00566E9A" w:rsidRDefault="00566E9A" w:rsidP="00AE5760">
      <w:r w:rsidRPr="00907612">
        <w:t>Commonwealth grants for specific policy purposes</w:t>
      </w:r>
      <w:r>
        <w:t xml:space="preserve"> are</w:t>
      </w:r>
      <w:r w:rsidRPr="00907612">
        <w:t xml:space="preserve"> projected to be $</w:t>
      </w:r>
      <w:r>
        <w:t>13.5 billion</w:t>
      </w:r>
      <w:r w:rsidRPr="00907612">
        <w:t xml:space="preserve"> </w:t>
      </w:r>
      <w:r>
        <w:t xml:space="preserve">a year </w:t>
      </w:r>
      <w:r w:rsidRPr="00907612">
        <w:t>on average across the budget and forward estimates. The Commonwealth provides these grants as contributions towards healthcare, education, disability</w:t>
      </w:r>
      <w:r>
        <w:t xml:space="preserve"> and other</w:t>
      </w:r>
      <w:r w:rsidRPr="00907612">
        <w:t xml:space="preserve"> services, and major infrastructure investment</w:t>
      </w:r>
      <w:r w:rsidRPr="00E36D41">
        <w:t>. While the outlook is relatively stable across the forward estimates there is significant movement in the underlying components of the grants.</w:t>
      </w:r>
    </w:p>
    <w:p w:rsidR="00566E9A" w:rsidRDefault="00566E9A" w:rsidP="00AE5760">
      <w:r>
        <w:t>The Commonwealth’s offer of a</w:t>
      </w:r>
      <w:r w:rsidRPr="002F33C0">
        <w:t xml:space="preserve">sset </w:t>
      </w:r>
      <w:r>
        <w:t>r</w:t>
      </w:r>
      <w:r w:rsidRPr="002F33C0">
        <w:t xml:space="preserve">ecycling </w:t>
      </w:r>
      <w:r>
        <w:t>grants reflect only</w:t>
      </w:r>
      <w:r w:rsidRPr="00F2032E">
        <w:t xml:space="preserve"> </w:t>
      </w:r>
      <w:r>
        <w:t>9</w:t>
      </w:r>
      <w:r w:rsidRPr="00F2032E">
        <w:t xml:space="preserve"> per cent of the final value of the Port of Melbourne lease</w:t>
      </w:r>
      <w:r>
        <w:t>.</w:t>
      </w:r>
      <w:r w:rsidRPr="00F2032E">
        <w:t xml:space="preserve"> The Victorian Government continues to negotiate with the Commonwealth to ensure that it honours its commitments under the Na</w:t>
      </w:r>
      <w:r>
        <w:t>tional Partnership Agreement on Asset Recycling, and make 15 </w:t>
      </w:r>
      <w:r w:rsidRPr="00F2032E">
        <w:t>per cent of the proceeds available for infrastructure in Victoria.</w:t>
      </w:r>
    </w:p>
    <w:p w:rsidR="00566E9A" w:rsidRDefault="00566E9A">
      <w:pPr>
        <w:rPr>
          <w:rFonts w:asciiTheme="majorHAnsi" w:hAnsiTheme="majorHAnsi"/>
          <w:b/>
          <w:i/>
          <w:kern w:val="28"/>
          <w:sz w:val="24"/>
        </w:rPr>
      </w:pPr>
      <w:r>
        <w:br w:type="page"/>
      </w:r>
    </w:p>
    <w:p w:rsidR="00566E9A" w:rsidRPr="00DC3F4A" w:rsidRDefault="00566E9A" w:rsidP="00AE5760">
      <w:pPr>
        <w:pStyle w:val="Heading3"/>
      </w:pPr>
      <w:r w:rsidRPr="006A62E3">
        <w:lastRenderedPageBreak/>
        <w:t>Other current revenue</w:t>
      </w:r>
    </w:p>
    <w:p w:rsidR="00566E9A" w:rsidRDefault="00566E9A" w:rsidP="00AE5760">
      <w:pPr>
        <w:rPr>
          <w:rFonts w:eastAsiaTheme="minorHAnsi"/>
        </w:rPr>
      </w:pPr>
      <w:r w:rsidRPr="007E4E2E">
        <w:t>Other current revenue includes fines, royalties, donations and gifts</w:t>
      </w:r>
      <w:r>
        <w:t>,</w:t>
      </w:r>
      <w:r w:rsidRPr="007E4E2E">
        <w:t xml:space="preserve"> assets received free of charge and other miscellaneous revenues. </w:t>
      </w:r>
      <w:r w:rsidRPr="000C60B9">
        <w:rPr>
          <w:rFonts w:eastAsiaTheme="minorHAnsi"/>
        </w:rPr>
        <w:t xml:space="preserve">Other current revenue is projected to decrease by </w:t>
      </w:r>
      <w:r>
        <w:rPr>
          <w:rFonts w:eastAsiaTheme="minorHAnsi"/>
        </w:rPr>
        <w:t>18.3 per cent</w:t>
      </w:r>
      <w:r w:rsidRPr="000C60B9">
        <w:rPr>
          <w:rFonts w:eastAsiaTheme="minorHAnsi"/>
        </w:rPr>
        <w:t xml:space="preserve"> to $2.</w:t>
      </w:r>
      <w:r>
        <w:rPr>
          <w:rFonts w:eastAsiaTheme="minorHAnsi"/>
        </w:rPr>
        <w:t>5 billion</w:t>
      </w:r>
      <w:r w:rsidRPr="000C60B9">
        <w:rPr>
          <w:rFonts w:eastAsiaTheme="minorHAnsi"/>
        </w:rPr>
        <w:t xml:space="preserve"> in 2016</w:t>
      </w:r>
      <w:r>
        <w:rPr>
          <w:rFonts w:eastAsiaTheme="minorHAnsi"/>
        </w:rPr>
        <w:noBreakHyphen/>
      </w:r>
      <w:r w:rsidRPr="000C60B9">
        <w:rPr>
          <w:rFonts w:eastAsiaTheme="minorHAnsi"/>
        </w:rPr>
        <w:t>17</w:t>
      </w:r>
      <w:r>
        <w:rPr>
          <w:rFonts w:eastAsiaTheme="minorHAnsi"/>
        </w:rPr>
        <w:t>,</w:t>
      </w:r>
      <w:r w:rsidRPr="000C60B9">
        <w:rPr>
          <w:rFonts w:eastAsiaTheme="minorHAnsi"/>
        </w:rPr>
        <w:t xml:space="preserve"> largely due to </w:t>
      </w:r>
      <w:r>
        <w:rPr>
          <w:rFonts w:eastAsiaTheme="minorHAnsi"/>
        </w:rPr>
        <w:t>the</w:t>
      </w:r>
      <w:r w:rsidRPr="000C60B9">
        <w:rPr>
          <w:rFonts w:eastAsiaTheme="minorHAnsi"/>
        </w:rPr>
        <w:t xml:space="preserve"> one</w:t>
      </w:r>
      <w:r>
        <w:rPr>
          <w:rFonts w:eastAsiaTheme="minorHAnsi"/>
        </w:rPr>
        <w:noBreakHyphen/>
        <w:t xml:space="preserve">off receipt of revenue </w:t>
      </w:r>
      <w:r w:rsidRPr="00CC12B8">
        <w:rPr>
          <w:rFonts w:eastAsiaTheme="minorHAnsi"/>
        </w:rPr>
        <w:t>in 2015</w:t>
      </w:r>
      <w:r>
        <w:rPr>
          <w:rFonts w:eastAsiaTheme="minorHAnsi"/>
        </w:rPr>
        <w:noBreakHyphen/>
      </w:r>
      <w:r w:rsidRPr="00CC12B8">
        <w:rPr>
          <w:rFonts w:eastAsiaTheme="minorHAnsi"/>
        </w:rPr>
        <w:t>16</w:t>
      </w:r>
      <w:r>
        <w:rPr>
          <w:rFonts w:eastAsiaTheme="minorHAnsi"/>
        </w:rPr>
        <w:t xml:space="preserve"> </w:t>
      </w:r>
      <w:r w:rsidRPr="00CC12B8">
        <w:rPr>
          <w:rFonts w:eastAsiaTheme="minorHAnsi"/>
        </w:rPr>
        <w:t xml:space="preserve">associated with the High </w:t>
      </w:r>
      <w:r>
        <w:rPr>
          <w:rFonts w:eastAsiaTheme="minorHAnsi"/>
        </w:rPr>
        <w:t>C</w:t>
      </w:r>
      <w:r w:rsidRPr="00CC12B8">
        <w:rPr>
          <w:rFonts w:eastAsiaTheme="minorHAnsi"/>
        </w:rPr>
        <w:t xml:space="preserve">ourt </w:t>
      </w:r>
      <w:r>
        <w:rPr>
          <w:rFonts w:eastAsiaTheme="minorHAnsi"/>
        </w:rPr>
        <w:t xml:space="preserve">of Australia’s decision </w:t>
      </w:r>
      <w:r w:rsidRPr="00CC12B8">
        <w:rPr>
          <w:rFonts w:eastAsiaTheme="minorHAnsi"/>
        </w:rPr>
        <w:t xml:space="preserve">in favour of the </w:t>
      </w:r>
      <w:r>
        <w:rPr>
          <w:rFonts w:eastAsiaTheme="minorHAnsi"/>
        </w:rPr>
        <w:t>State</w:t>
      </w:r>
      <w:r w:rsidRPr="00CC12B8">
        <w:rPr>
          <w:rFonts w:eastAsiaTheme="minorHAnsi"/>
        </w:rPr>
        <w:t xml:space="preserve"> </w:t>
      </w:r>
      <w:r>
        <w:rPr>
          <w:rFonts w:eastAsiaTheme="minorHAnsi"/>
        </w:rPr>
        <w:t>relating to the Tatts Group Limited’s ‘G</w:t>
      </w:r>
      <w:r w:rsidRPr="00CC12B8">
        <w:rPr>
          <w:rFonts w:eastAsiaTheme="minorHAnsi"/>
        </w:rPr>
        <w:t>am</w:t>
      </w:r>
      <w:r>
        <w:rPr>
          <w:rFonts w:eastAsiaTheme="minorHAnsi"/>
        </w:rPr>
        <w:t>bling</w:t>
      </w:r>
      <w:r w:rsidRPr="00CC12B8">
        <w:rPr>
          <w:rFonts w:eastAsiaTheme="minorHAnsi"/>
        </w:rPr>
        <w:t xml:space="preserve"> </w:t>
      </w:r>
      <w:r>
        <w:rPr>
          <w:rFonts w:eastAsiaTheme="minorHAnsi"/>
        </w:rPr>
        <w:t>Licenses’ proceedings</w:t>
      </w:r>
      <w:r w:rsidRPr="000C60B9">
        <w:rPr>
          <w:rFonts w:eastAsiaTheme="minorHAnsi"/>
        </w:rPr>
        <w:t xml:space="preserve">. </w:t>
      </w:r>
      <w:r>
        <w:rPr>
          <w:rFonts w:eastAsiaTheme="minorHAnsi"/>
        </w:rPr>
        <w:t>Excluding the transfer of Simonds stadium to the State free of charge in 2016</w:t>
      </w:r>
      <w:r>
        <w:noBreakHyphen/>
      </w:r>
      <w:r>
        <w:rPr>
          <w:rFonts w:eastAsiaTheme="minorHAnsi"/>
        </w:rPr>
        <w:t>17, o</w:t>
      </w:r>
      <w:r w:rsidRPr="000C60B9">
        <w:rPr>
          <w:rFonts w:eastAsiaTheme="minorHAnsi"/>
        </w:rPr>
        <w:t xml:space="preserve">ther current revenue is projected to </w:t>
      </w:r>
      <w:r>
        <w:rPr>
          <w:rFonts w:eastAsiaTheme="minorHAnsi"/>
        </w:rPr>
        <w:t xml:space="preserve">remain relatively stable </w:t>
      </w:r>
      <w:r w:rsidRPr="000C60B9">
        <w:rPr>
          <w:rFonts w:eastAsiaTheme="minorHAnsi"/>
        </w:rPr>
        <w:t>across the forward estimates.</w:t>
      </w:r>
    </w:p>
    <w:p w:rsidR="00566E9A" w:rsidRPr="00DC3F4A" w:rsidRDefault="00566E9A" w:rsidP="00AE5760">
      <w:pPr>
        <w:pStyle w:val="Heading2"/>
      </w:pPr>
      <w:r w:rsidRPr="00DC3F4A">
        <w:t>Expenses outlook</w:t>
      </w:r>
    </w:p>
    <w:p w:rsidR="00566E9A" w:rsidRPr="007E4E2E" w:rsidRDefault="00566E9A" w:rsidP="00AE5760">
      <w:r w:rsidRPr="007E4E2E">
        <w:t xml:space="preserve">The Government </w:t>
      </w:r>
      <w:r>
        <w:t>is expected to</w:t>
      </w:r>
      <w:r w:rsidRPr="007E4E2E">
        <w:t xml:space="preserve"> spend $</w:t>
      </w:r>
      <w:r>
        <w:t>58.5 billion in 2016</w:t>
      </w:r>
      <w:r>
        <w:noBreakHyphen/>
        <w:t>17</w:t>
      </w:r>
      <w:r w:rsidRPr="007E4E2E">
        <w:t xml:space="preserve"> </w:t>
      </w:r>
      <w:r>
        <w:t>providing services</w:t>
      </w:r>
      <w:r w:rsidRPr="007E4E2E">
        <w:t xml:space="preserve"> </w:t>
      </w:r>
      <w:r>
        <w:t>to the community</w:t>
      </w:r>
      <w:r w:rsidRPr="007E4E2E">
        <w:t xml:space="preserve">. </w:t>
      </w:r>
      <w:r>
        <w:t>Total expenses are</w:t>
      </w:r>
      <w:r w:rsidRPr="007E4E2E">
        <w:t xml:space="preserve"> expected to grow by </w:t>
      </w:r>
      <w:r>
        <w:t>4.1 per cent</w:t>
      </w:r>
      <w:r w:rsidRPr="007E4E2E">
        <w:t xml:space="preserve"> a year on average</w:t>
      </w:r>
      <w:r>
        <w:t xml:space="preserve"> over the budget and forward estimates </w:t>
      </w:r>
      <w:r w:rsidRPr="00DC3F4A">
        <w:t>to $</w:t>
      </w:r>
      <w:r>
        <w:t>63.5 billion in 2019</w:t>
      </w:r>
      <w:r>
        <w:noBreakHyphen/>
        <w:t>20.</w:t>
      </w:r>
    </w:p>
    <w:p w:rsidR="00566E9A" w:rsidRPr="00DC3F4A" w:rsidRDefault="00566E9A" w:rsidP="00AE5760">
      <w:r w:rsidRPr="00177EBF">
        <w:t>The level and expected growth in expenses reflect the Government’s decision to invest more to meet the growing demand on core services for families, including on health, education and frontline social services. Specifically:</w:t>
      </w:r>
    </w:p>
    <w:p w:rsidR="00566E9A" w:rsidRPr="00177EBF" w:rsidRDefault="00566E9A" w:rsidP="00AE5760">
      <w:pPr>
        <w:pStyle w:val="BulletText"/>
        <w:spacing w:after="80"/>
        <w:ind w:left="357" w:hanging="357"/>
        <w:rPr>
          <w:rFonts w:eastAsiaTheme="minorHAnsi"/>
        </w:rPr>
      </w:pPr>
      <w:r w:rsidRPr="00DC3F4A">
        <w:t>grants and other tra</w:t>
      </w:r>
      <w:r>
        <w:t xml:space="preserve">nsfer expenses include funding </w:t>
      </w:r>
      <w:r w:rsidRPr="00DC3F4A">
        <w:t>provided to non</w:t>
      </w:r>
      <w:r>
        <w:noBreakHyphen/>
      </w:r>
      <w:r w:rsidRPr="00DC3F4A">
        <w:t xml:space="preserve">government schools, </w:t>
      </w:r>
      <w:proofErr w:type="spellStart"/>
      <w:r w:rsidRPr="00DC3F4A">
        <w:t>VicTrack</w:t>
      </w:r>
      <w:proofErr w:type="spellEnd"/>
      <w:r w:rsidRPr="00DC3F4A">
        <w:t xml:space="preserve"> and V</w:t>
      </w:r>
      <w:r>
        <w:t>/</w:t>
      </w:r>
      <w:r w:rsidRPr="00DC3F4A">
        <w:t xml:space="preserve">Line for operational costs incurred in the provision of transport services, </w:t>
      </w:r>
      <w:r>
        <w:t xml:space="preserve">along with funding provided to </w:t>
      </w:r>
      <w:r w:rsidRPr="00DC3F4A">
        <w:t xml:space="preserve">local governments. </w:t>
      </w:r>
      <w:r w:rsidRPr="00177EBF">
        <w:rPr>
          <w:rFonts w:eastAsiaTheme="minorHAnsi"/>
        </w:rPr>
        <w:t>Expen</w:t>
      </w:r>
      <w:r>
        <w:rPr>
          <w:rFonts w:eastAsiaTheme="minorHAnsi"/>
        </w:rPr>
        <w:t>diture is</w:t>
      </w:r>
      <w:r w:rsidRPr="00177EBF">
        <w:rPr>
          <w:rFonts w:eastAsiaTheme="minorHAnsi"/>
        </w:rPr>
        <w:t xml:space="preserve"> forecast to increase by </w:t>
      </w:r>
      <w:r>
        <w:rPr>
          <w:rFonts w:eastAsiaTheme="minorHAnsi"/>
        </w:rPr>
        <w:t>20.4</w:t>
      </w:r>
      <w:r w:rsidRPr="00177EBF">
        <w:rPr>
          <w:rFonts w:eastAsiaTheme="minorHAnsi"/>
        </w:rPr>
        <w:t> per cent to $10.</w:t>
      </w:r>
      <w:r>
        <w:rPr>
          <w:rFonts w:eastAsiaTheme="minorHAnsi"/>
        </w:rPr>
        <w:t>3</w:t>
      </w:r>
      <w:r w:rsidRPr="00177EBF">
        <w:rPr>
          <w:rFonts w:eastAsiaTheme="minorHAnsi"/>
        </w:rPr>
        <w:t> billion in 2016</w:t>
      </w:r>
      <w:r w:rsidRPr="00177EBF">
        <w:rPr>
          <w:rFonts w:eastAsiaTheme="minorHAnsi"/>
        </w:rPr>
        <w:noBreakHyphen/>
        <w:t>17</w:t>
      </w:r>
      <w:r>
        <w:rPr>
          <w:rFonts w:eastAsiaTheme="minorHAnsi"/>
        </w:rPr>
        <w:t>,</w:t>
      </w:r>
      <w:r w:rsidRPr="00177EBF">
        <w:t xml:space="preserve"> primarily due to the delay in the transfer of the </w:t>
      </w:r>
      <w:r>
        <w:t xml:space="preserve">Australian </w:t>
      </w:r>
      <w:r w:rsidRPr="00177EBF">
        <w:t>Synchrotron to the Commonwealth and</w:t>
      </w:r>
      <w:r>
        <w:t xml:space="preserve"> an increase in </w:t>
      </w:r>
      <w:r w:rsidRPr="00DC3F4A">
        <w:t>Commonwealth grants for on</w:t>
      </w:r>
      <w:r>
        <w:noBreakHyphen/>
      </w:r>
      <w:r w:rsidRPr="00DC3F4A">
        <w:t>passing to local government</w:t>
      </w:r>
      <w:r>
        <w:t>s</w:t>
      </w:r>
      <w:r w:rsidRPr="00DC3F4A">
        <w:t xml:space="preserve"> </w:t>
      </w:r>
      <w:r>
        <w:t>compared with 2015</w:t>
      </w:r>
      <w:r>
        <w:noBreakHyphen/>
        <w:t>16</w:t>
      </w:r>
      <w:r w:rsidRPr="00177EBF">
        <w:t xml:space="preserve">. </w:t>
      </w:r>
      <w:r w:rsidRPr="00177EBF">
        <w:rPr>
          <w:rFonts w:eastAsiaTheme="minorHAnsi"/>
        </w:rPr>
        <w:t xml:space="preserve">Thereafter, growth moderates to an average of </w:t>
      </w:r>
      <w:r>
        <w:rPr>
          <w:rFonts w:eastAsiaTheme="minorHAnsi"/>
        </w:rPr>
        <w:t>2.3</w:t>
      </w:r>
      <w:r w:rsidRPr="00177EBF">
        <w:rPr>
          <w:rFonts w:eastAsiaTheme="minorHAnsi"/>
        </w:rPr>
        <w:t> per cent a year over the forward estimates;</w:t>
      </w:r>
    </w:p>
    <w:p w:rsidR="00566E9A" w:rsidRPr="00DC3F4A" w:rsidRDefault="00566E9A" w:rsidP="00AE5760">
      <w:pPr>
        <w:pStyle w:val="BulletText"/>
        <w:spacing w:after="80"/>
        <w:ind w:left="357" w:hanging="357"/>
      </w:pPr>
      <w:r w:rsidRPr="00DC3F4A">
        <w:t>depreciation expense</w:t>
      </w:r>
      <w:r>
        <w:t xml:space="preserve"> is</w:t>
      </w:r>
      <w:r w:rsidRPr="00DC3F4A">
        <w:t xml:space="preserve"> projected to </w:t>
      </w:r>
      <w:r w:rsidRPr="00862542">
        <w:t>grow by</w:t>
      </w:r>
      <w:r w:rsidRPr="00DC3F4A">
        <w:t xml:space="preserve"> </w:t>
      </w:r>
      <w:r>
        <w:t>5.2 per cent</w:t>
      </w:r>
      <w:r w:rsidRPr="00DC3F4A">
        <w:t xml:space="preserve"> to $</w:t>
      </w:r>
      <w:r>
        <w:t>2.6 billion in 2016</w:t>
      </w:r>
      <w:r>
        <w:noBreakHyphen/>
        <w:t>17</w:t>
      </w:r>
      <w:r w:rsidRPr="00DC3F4A">
        <w:t xml:space="preserve">, increasing by </w:t>
      </w:r>
      <w:r>
        <w:t>6.9 per cent</w:t>
      </w:r>
      <w:r w:rsidRPr="00DC3F4A">
        <w:t xml:space="preserve"> a year on average over the forward estimates to $</w:t>
      </w:r>
      <w:r>
        <w:t>3.2 billion in 2019</w:t>
      </w:r>
      <w:r>
        <w:noBreakHyphen/>
        <w:t>20</w:t>
      </w:r>
      <w:r w:rsidRPr="00DC3F4A">
        <w:t xml:space="preserve">. </w:t>
      </w:r>
      <w:r>
        <w:rPr>
          <w:rFonts w:eastAsiaTheme="minorHAnsi"/>
        </w:rPr>
        <w:t>This g</w:t>
      </w:r>
      <w:r w:rsidRPr="000C60B9">
        <w:rPr>
          <w:rFonts w:eastAsiaTheme="minorHAnsi"/>
        </w:rPr>
        <w:t>rowth</w:t>
      </w:r>
      <w:r>
        <w:rPr>
          <w:rFonts w:eastAsiaTheme="minorHAnsi"/>
        </w:rPr>
        <w:t xml:space="preserve"> over the forward estimates is broadly in line with</w:t>
      </w:r>
      <w:r w:rsidRPr="000C60B9">
        <w:rPr>
          <w:rFonts w:eastAsiaTheme="minorHAnsi"/>
        </w:rPr>
        <w:t xml:space="preserve"> the Government</w:t>
      </w:r>
      <w:r>
        <w:rPr>
          <w:rFonts w:eastAsiaTheme="minorHAnsi"/>
        </w:rPr>
        <w:t>’</w:t>
      </w:r>
      <w:r w:rsidRPr="000C60B9">
        <w:rPr>
          <w:rFonts w:eastAsiaTheme="minorHAnsi"/>
        </w:rPr>
        <w:t xml:space="preserve">s </w:t>
      </w:r>
      <w:r>
        <w:rPr>
          <w:rFonts w:eastAsiaTheme="minorHAnsi"/>
        </w:rPr>
        <w:t xml:space="preserve">increased </w:t>
      </w:r>
      <w:r w:rsidRPr="000C60B9">
        <w:rPr>
          <w:rFonts w:eastAsiaTheme="minorHAnsi"/>
        </w:rPr>
        <w:t>invest</w:t>
      </w:r>
      <w:r>
        <w:rPr>
          <w:rFonts w:eastAsiaTheme="minorHAnsi"/>
        </w:rPr>
        <w:t>ment in infrastructure;</w:t>
      </w:r>
    </w:p>
    <w:p w:rsidR="00566E9A" w:rsidRPr="009934FF" w:rsidRDefault="00566E9A" w:rsidP="00AE5760">
      <w:pPr>
        <w:pStyle w:val="BulletText"/>
      </w:pPr>
      <w:r w:rsidRPr="00DC3F4A">
        <w:t xml:space="preserve">employee expenses (including superannuation), which account for </w:t>
      </w:r>
      <w:r>
        <w:t>42 per cent</w:t>
      </w:r>
      <w:r w:rsidRPr="00DC3F4A">
        <w:t xml:space="preserve"> </w:t>
      </w:r>
      <w:r>
        <w:t>of operating expenditure in 2016</w:t>
      </w:r>
      <w:r>
        <w:noBreakHyphen/>
        <w:t>17</w:t>
      </w:r>
      <w:r w:rsidRPr="00DC3F4A">
        <w:t xml:space="preserve">, </w:t>
      </w:r>
      <w:r>
        <w:t>are</w:t>
      </w:r>
      <w:r w:rsidRPr="00DC3F4A">
        <w:t xml:space="preserve"> projected to grow by </w:t>
      </w:r>
      <w:r>
        <w:t>6.9 per cent</w:t>
      </w:r>
      <w:r w:rsidRPr="00DC3F4A">
        <w:t xml:space="preserve"> to $</w:t>
      </w:r>
      <w:r>
        <w:t>24.6 billion in 2016</w:t>
      </w:r>
      <w:r>
        <w:noBreakHyphen/>
        <w:t>17</w:t>
      </w:r>
      <w:r w:rsidRPr="00DC3F4A">
        <w:t xml:space="preserve"> and by </w:t>
      </w:r>
      <w:r>
        <w:t>3.6 per cent</w:t>
      </w:r>
      <w:r w:rsidRPr="00DC3F4A">
        <w:t xml:space="preserve"> a year on average over the forwa</w:t>
      </w:r>
      <w:r>
        <w:t xml:space="preserve">rd estimates. </w:t>
      </w:r>
      <w:r w:rsidRPr="009934FF">
        <w:t xml:space="preserve">The growth in </w:t>
      </w:r>
      <w:r>
        <w:t>2016</w:t>
      </w:r>
      <w:r>
        <w:noBreakHyphen/>
        <w:t>17</w:t>
      </w:r>
      <w:r w:rsidRPr="00DC3F4A">
        <w:t xml:space="preserve"> </w:t>
      </w:r>
      <w:r w:rsidRPr="009934FF">
        <w:t xml:space="preserve">is driven by </w:t>
      </w:r>
      <w:r>
        <w:t xml:space="preserve">the </w:t>
      </w:r>
      <w:r w:rsidRPr="009934FF">
        <w:t xml:space="preserve">annual growth in wages, consistent with the Government’s wages policy, growth in staffing numbers associated with delivering additional services, growing hospital demand, and increased investment in the </w:t>
      </w:r>
      <w:r>
        <w:t xml:space="preserve">emergency services and </w:t>
      </w:r>
      <w:r w:rsidRPr="009934FF">
        <w:t>education sector</w:t>
      </w:r>
      <w:r>
        <w:t>s</w:t>
      </w:r>
      <w:r w:rsidRPr="009934FF">
        <w:t>;</w:t>
      </w:r>
    </w:p>
    <w:p w:rsidR="00566E9A" w:rsidRPr="00DC3F4A" w:rsidRDefault="00566E9A" w:rsidP="00AE5760">
      <w:pPr>
        <w:pStyle w:val="BulletText"/>
        <w:spacing w:after="80"/>
        <w:ind w:left="357" w:hanging="357"/>
      </w:pPr>
      <w:r w:rsidRPr="00DC3F4A">
        <w:t>other operating expenses include the purchase of supplies and services in the human services, health and tra</w:t>
      </w:r>
      <w:r>
        <w:t>nsport sectors, and maintenance expenses</w:t>
      </w:r>
      <w:r w:rsidRPr="00DC3F4A">
        <w:t xml:space="preserve">. Other operating expenses are projected to increase by </w:t>
      </w:r>
      <w:r>
        <w:t>5.1 per cent in 2016</w:t>
      </w:r>
      <w:r>
        <w:noBreakHyphen/>
        <w:t>17</w:t>
      </w:r>
      <w:r w:rsidRPr="00DC3F4A">
        <w:t xml:space="preserve"> and grow by an average of </w:t>
      </w:r>
      <w:r>
        <w:t>1.8 per cent</w:t>
      </w:r>
      <w:r w:rsidRPr="00DC3F4A">
        <w:t xml:space="preserve"> a year to $</w:t>
      </w:r>
      <w:r>
        <w:t>19.8 billion in 2019</w:t>
      </w:r>
      <w:r>
        <w:noBreakHyphen/>
        <w:t>20</w:t>
      </w:r>
      <w:r w:rsidRPr="00DC3F4A">
        <w:t>;</w:t>
      </w:r>
      <w:r>
        <w:t xml:space="preserve"> and</w:t>
      </w:r>
    </w:p>
    <w:p w:rsidR="00566E9A" w:rsidRPr="00CA327E" w:rsidRDefault="00566E9A" w:rsidP="00AE5760">
      <w:pPr>
        <w:pStyle w:val="BulletText"/>
        <w:spacing w:after="80"/>
        <w:ind w:left="357" w:hanging="357"/>
        <w:rPr>
          <w:rFonts w:ascii="Calibri" w:hAnsi="Calibri"/>
          <w:b/>
        </w:rPr>
      </w:pPr>
      <w:r w:rsidRPr="00CA327E">
        <w:rPr>
          <w:rFonts w:eastAsiaTheme="minorHAnsi"/>
        </w:rPr>
        <w:t xml:space="preserve">interest expense is expected to be </w:t>
      </w:r>
      <w:r w:rsidRPr="00DC3F4A">
        <w:t>$</w:t>
      </w:r>
      <w:r>
        <w:t>2.1 billion</w:t>
      </w:r>
      <w:r w:rsidRPr="00CA327E">
        <w:rPr>
          <w:rFonts w:eastAsiaTheme="minorHAnsi"/>
        </w:rPr>
        <w:t xml:space="preserve"> in 2016</w:t>
      </w:r>
      <w:r w:rsidRPr="00CA327E">
        <w:rPr>
          <w:rFonts w:eastAsiaTheme="minorHAnsi"/>
        </w:rPr>
        <w:noBreakHyphen/>
        <w:t>17</w:t>
      </w:r>
      <w:r>
        <w:t xml:space="preserve">. Interest expense over the forward estimates is projected to be </w:t>
      </w:r>
      <w:r w:rsidRPr="00CA327E">
        <w:rPr>
          <w:rFonts w:eastAsiaTheme="minorHAnsi"/>
        </w:rPr>
        <w:t>relatively stable</w:t>
      </w:r>
      <w:r>
        <w:rPr>
          <w:rFonts w:eastAsiaTheme="minorHAnsi"/>
        </w:rPr>
        <w:t>, with the</w:t>
      </w:r>
      <w:r>
        <w:t xml:space="preserve"> declining borrowing rates being offset by an increase in the level of borrowings to fund infrastructure investment.</w:t>
      </w:r>
    </w:p>
    <w:p w:rsidR="00566E9A" w:rsidRPr="00AD3BB8" w:rsidRDefault="00566E9A" w:rsidP="00AE5760">
      <w:pPr>
        <w:pStyle w:val="Heading2"/>
      </w:pPr>
      <w:r w:rsidRPr="00AD3BB8">
        <w:lastRenderedPageBreak/>
        <w:t xml:space="preserve">Reconciliation of estimates to the </w:t>
      </w:r>
      <w:r w:rsidRPr="000B1CD6">
        <w:rPr>
          <w:i/>
        </w:rPr>
        <w:t>201</w:t>
      </w:r>
      <w:r>
        <w:rPr>
          <w:i/>
        </w:rPr>
        <w:t>6</w:t>
      </w:r>
      <w:r>
        <w:rPr>
          <w:i/>
        </w:rPr>
        <w:noBreakHyphen/>
        <w:t>17 </w:t>
      </w:r>
      <w:r w:rsidRPr="000B1CD6">
        <w:rPr>
          <w:i/>
        </w:rPr>
        <w:t>Budget</w:t>
      </w:r>
    </w:p>
    <w:p w:rsidR="00566E9A" w:rsidRDefault="00566E9A" w:rsidP="00AE5760">
      <w:r>
        <w:t xml:space="preserve">Relative to the </w:t>
      </w:r>
      <w:r>
        <w:rPr>
          <w:i/>
        </w:rPr>
        <w:t>2016</w:t>
      </w:r>
      <w:r>
        <w:rPr>
          <w:i/>
        </w:rPr>
        <w:noBreakHyphen/>
        <w:t>17</w:t>
      </w:r>
      <w:r w:rsidRPr="00482AFE">
        <w:rPr>
          <w:i/>
        </w:rPr>
        <w:t xml:space="preserve"> Budget</w:t>
      </w:r>
      <w:r w:rsidRPr="00482AFE">
        <w:t>,</w:t>
      </w:r>
      <w:r w:rsidRPr="00E336E1">
        <w:t xml:space="preserve"> </w:t>
      </w:r>
      <w:r>
        <w:t xml:space="preserve">the net result from transactions </w:t>
      </w:r>
      <w:r w:rsidRPr="00F97441">
        <w:t xml:space="preserve">has been revised down by </w:t>
      </w:r>
      <w:r>
        <w:t>an average of $671</w:t>
      </w:r>
      <w:r w:rsidRPr="00E953B6">
        <w:t xml:space="preserve"> million a year </w:t>
      </w:r>
      <w:r>
        <w:t>from 2016</w:t>
      </w:r>
      <w:r>
        <w:noBreakHyphen/>
        <w:t>17 to 2018</w:t>
      </w:r>
      <w:r>
        <w:noBreakHyphen/>
        <w:t>19 and revised up by $153 million in 2019-20.</w:t>
      </w:r>
    </w:p>
    <w:p w:rsidR="00566E9A" w:rsidRDefault="00566E9A" w:rsidP="00AE5760">
      <w:pPr>
        <w:pStyle w:val="Tableheading"/>
        <w:rPr>
          <w:i/>
          <w:vertAlign w:val="superscript"/>
        </w:rPr>
      </w:pPr>
      <w:r w:rsidRPr="002E2383">
        <w:t xml:space="preserve">Table </w:t>
      </w:r>
      <w:r>
        <w:t>3.</w:t>
      </w:r>
      <w:r w:rsidRPr="002E2383">
        <w:t>3:</w:t>
      </w:r>
      <w:r w:rsidRPr="002E2383">
        <w:tab/>
      </w:r>
      <w:r w:rsidRPr="001B3FC5">
        <w:t>Reconciliation</w:t>
      </w:r>
      <w:r w:rsidRPr="002E2383">
        <w:t xml:space="preserve"> of estimates to the </w:t>
      </w:r>
      <w:r>
        <w:rPr>
          <w:i/>
        </w:rPr>
        <w:t>2016-17 Budget</w:t>
      </w:r>
      <w:r w:rsidRPr="004625F4">
        <w:rPr>
          <w:i/>
          <w:vertAlign w:val="superscript"/>
        </w:rPr>
        <w:t>(a)</w:t>
      </w:r>
    </w:p>
    <w:p w:rsidR="00566E9A" w:rsidRPr="009241EB" w:rsidRDefault="00566E9A" w:rsidP="00AE5760">
      <w:pPr>
        <w:pStyle w:val="million"/>
        <w:rPr>
          <w:b/>
          <w:bCs/>
          <w:lang w:val="en-US"/>
        </w:rPr>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9241EB" w:rsidTr="00AE5760">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365" w:type="dxa"/>
            <w:tcBorders>
              <w:top w:val="single" w:sz="12" w:space="0" w:color="auto"/>
              <w:left w:val="single" w:sz="12" w:space="0" w:color="auto"/>
              <w:right w:val="nil"/>
            </w:tcBorders>
            <w:shd w:val="solid" w:color="000000" w:fill="auto"/>
          </w:tcPr>
          <w:p w:rsidR="00AE5760" w:rsidRPr="009241EB" w:rsidRDefault="00AE5760" w:rsidP="00AE5760">
            <w:pPr>
              <w:autoSpaceDE w:val="0"/>
              <w:autoSpaceDN w:val="0"/>
              <w:adjustRightInd w:val="0"/>
              <w:rPr>
                <w:rFonts w:eastAsiaTheme="minorEastAsia" w:cs="Calibri"/>
                <w:color w:val="000000"/>
                <w:szCs w:val="20"/>
              </w:rPr>
            </w:pPr>
            <w:r w:rsidRPr="009241EB">
              <w:rPr>
                <w:rFonts w:eastAsiaTheme="minorEastAsia" w:cs="Calibri"/>
                <w:color w:val="000000"/>
                <w:szCs w:val="20"/>
              </w:rPr>
              <w:t xml:space="preserve">  </w:t>
            </w:r>
          </w:p>
        </w:tc>
        <w:tc>
          <w:tcPr>
            <w:tcW w:w="850" w:type="dxa"/>
            <w:tcBorders>
              <w:top w:val="single" w:sz="12" w:space="0" w:color="auto"/>
              <w:left w:val="nil"/>
              <w:right w:val="nil"/>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9241EB">
              <w:rPr>
                <w:rFonts w:eastAsiaTheme="minorEastAsia" w:cs="Calibri"/>
                <w:iCs/>
                <w:color w:val="FFFFFF"/>
                <w:szCs w:val="20"/>
              </w:rPr>
              <w:t>2016-17</w:t>
            </w:r>
            <w:r>
              <w:rPr>
                <w:rFonts w:eastAsiaTheme="minorEastAsia" w:cs="Calibri"/>
                <w:iCs/>
                <w:color w:val="FFFFFF"/>
                <w:szCs w:val="20"/>
              </w:rPr>
              <w:br/>
            </w:r>
            <w:r w:rsidRPr="009241EB">
              <w:rPr>
                <w:rFonts w:eastAsiaTheme="minorEastAsia" w:cs="Calibri"/>
                <w:iCs/>
                <w:color w:val="FFFFFF"/>
                <w:szCs w:val="20"/>
              </w:rPr>
              <w:t>revised</w:t>
            </w:r>
          </w:p>
        </w:tc>
        <w:tc>
          <w:tcPr>
            <w:tcW w:w="850" w:type="dxa"/>
            <w:tcBorders>
              <w:top w:val="single" w:sz="12" w:space="0" w:color="auto"/>
              <w:left w:val="nil"/>
              <w:right w:val="nil"/>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9241EB">
              <w:rPr>
                <w:rFonts w:eastAsiaTheme="minorEastAsia" w:cs="Calibri"/>
                <w:iCs/>
                <w:color w:val="FFFFFF"/>
                <w:szCs w:val="20"/>
              </w:rPr>
              <w:t>2017-18</w:t>
            </w:r>
            <w:r>
              <w:rPr>
                <w:rFonts w:eastAsiaTheme="minorEastAsia" w:cs="Calibri"/>
                <w:iCs/>
                <w:color w:val="FFFFFF"/>
                <w:szCs w:val="20"/>
              </w:rPr>
              <w:br/>
            </w:r>
            <w:r w:rsidRPr="009241EB">
              <w:rPr>
                <w:rFonts w:eastAsiaTheme="minorEastAsia" w:cs="Calibri"/>
                <w:iCs/>
                <w:color w:val="FFFFFF"/>
                <w:szCs w:val="20"/>
              </w:rPr>
              <w:t>estimate</w:t>
            </w:r>
          </w:p>
        </w:tc>
        <w:tc>
          <w:tcPr>
            <w:tcW w:w="850" w:type="dxa"/>
            <w:tcBorders>
              <w:top w:val="single" w:sz="12" w:space="0" w:color="auto"/>
              <w:left w:val="nil"/>
              <w:right w:val="single" w:sz="12" w:space="0" w:color="auto"/>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9241EB">
              <w:rPr>
                <w:rFonts w:eastAsiaTheme="minorEastAsia" w:cs="Calibri"/>
                <w:iCs/>
                <w:color w:val="FFFFFF"/>
                <w:szCs w:val="20"/>
              </w:rPr>
              <w:t>2018-19</w:t>
            </w:r>
            <w:r>
              <w:rPr>
                <w:rFonts w:eastAsiaTheme="minorEastAsia" w:cs="Calibri"/>
                <w:iCs/>
                <w:color w:val="FFFFFF"/>
                <w:szCs w:val="20"/>
              </w:rPr>
              <w:br/>
            </w:r>
            <w:r w:rsidRPr="009241EB">
              <w:rPr>
                <w:rFonts w:eastAsiaTheme="minorEastAsia" w:cs="Calibri"/>
                <w:iCs/>
                <w:color w:val="FFFFFF"/>
                <w:szCs w:val="20"/>
              </w:rPr>
              <w:t>estimate</w:t>
            </w:r>
          </w:p>
        </w:tc>
        <w:tc>
          <w:tcPr>
            <w:tcW w:w="850" w:type="dxa"/>
            <w:tcBorders>
              <w:top w:val="single" w:sz="12" w:space="0" w:color="auto"/>
              <w:left w:val="nil"/>
              <w:right w:val="single" w:sz="12" w:space="0" w:color="auto"/>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9241EB">
              <w:rPr>
                <w:rFonts w:eastAsiaTheme="minorEastAsia" w:cs="Calibri"/>
                <w:iCs/>
                <w:color w:val="FFFFFF"/>
                <w:szCs w:val="20"/>
              </w:rPr>
              <w:t>2019-20</w:t>
            </w:r>
            <w:r>
              <w:rPr>
                <w:rFonts w:eastAsiaTheme="minorEastAsia" w:cs="Calibri"/>
                <w:iCs/>
                <w:color w:val="FFFFFF"/>
                <w:szCs w:val="20"/>
              </w:rPr>
              <w:br/>
            </w:r>
            <w:r w:rsidRPr="009241EB">
              <w:rPr>
                <w:rFonts w:eastAsiaTheme="minorEastAsia" w:cs="Calibri"/>
                <w:iCs/>
                <w:color w:val="FFFFFF"/>
                <w:szCs w:val="20"/>
              </w:rPr>
              <w:t>estimate</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9241EB" w:rsidRDefault="00566E9A" w:rsidP="00AE5760">
            <w:pPr>
              <w:autoSpaceDE w:val="0"/>
              <w:autoSpaceDN w:val="0"/>
              <w:adjustRightInd w:val="0"/>
              <w:rPr>
                <w:rFonts w:eastAsiaTheme="minorEastAsia" w:cs="Calibri"/>
                <w:b/>
                <w:bCs/>
                <w:i/>
                <w:iCs/>
                <w:color w:val="000000"/>
                <w:szCs w:val="20"/>
              </w:rPr>
            </w:pPr>
            <w:r w:rsidRPr="009241EB">
              <w:rPr>
                <w:rFonts w:eastAsiaTheme="minorEastAsia" w:cs="Calibri"/>
                <w:b/>
                <w:bCs/>
                <w:color w:val="000000"/>
                <w:szCs w:val="20"/>
              </w:rPr>
              <w:t xml:space="preserve">Net result from transactions: </w:t>
            </w:r>
            <w:r w:rsidRPr="009241EB">
              <w:rPr>
                <w:rFonts w:eastAsiaTheme="minorEastAsia" w:cs="Calibri"/>
                <w:b/>
                <w:bCs/>
                <w:i/>
                <w:iCs/>
                <w:color w:val="000000"/>
                <w:szCs w:val="20"/>
              </w:rPr>
              <w:t>2016-17 Budget</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2 869</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1 797</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2 082</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2 471</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Policy decision variations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rPr>
            </w:pPr>
            <w:r w:rsidRPr="009241EB">
              <w:rPr>
                <w:rFonts w:eastAsiaTheme="minorEastAsia" w:cs="Calibri"/>
                <w:color w:val="000000"/>
                <w:szCs w:val="20"/>
              </w:rPr>
              <w:t xml:space="preserve">   Revenue policy decision variations</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(21)</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26</w:t>
            </w:r>
          </w:p>
        </w:tc>
        <w:tc>
          <w:tcPr>
            <w:tcW w:w="850" w:type="dxa"/>
            <w:tcBorders>
              <w:top w:val="nil"/>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26</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vertAlign w:val="superscript"/>
              </w:rPr>
            </w:pPr>
            <w:r w:rsidRPr="009241EB">
              <w:rPr>
                <w:rFonts w:eastAsiaTheme="minorEastAsia" w:cs="Calibri"/>
                <w:color w:val="000000"/>
                <w:szCs w:val="20"/>
              </w:rPr>
              <w:t xml:space="preserve">   Output policy decision variations </w:t>
            </w:r>
            <w:r w:rsidRPr="009241EB">
              <w:rPr>
                <w:rFonts w:eastAsiaTheme="minorEastAsia" w:cs="Calibri"/>
                <w:color w:val="000000"/>
                <w:szCs w:val="20"/>
                <w:vertAlign w:val="superscript"/>
              </w:rPr>
              <w:t>(b)</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(480)</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(430)</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(275)</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(236)</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 xml:space="preserve"> </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(501)</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(428)</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(249)</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(210)</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Economic/demographic variations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rPr>
            </w:pPr>
            <w:r w:rsidRPr="009241EB">
              <w:rPr>
                <w:rFonts w:eastAsiaTheme="minorEastAsia" w:cs="Calibri"/>
                <w:color w:val="000000"/>
                <w:szCs w:val="20"/>
              </w:rPr>
              <w:t xml:space="preserve">   Taxation</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123</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145</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151</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146</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vertAlign w:val="superscript"/>
              </w:rPr>
            </w:pPr>
            <w:r w:rsidRPr="009241EB">
              <w:rPr>
                <w:rFonts w:eastAsiaTheme="minorEastAsia" w:cs="Calibri"/>
                <w:color w:val="000000"/>
                <w:szCs w:val="20"/>
              </w:rPr>
              <w:t xml:space="preserve">   Investment income</w:t>
            </w:r>
            <w:r w:rsidRPr="009241EB">
              <w:rPr>
                <w:rFonts w:eastAsiaTheme="minorEastAsia" w:cs="Calibri"/>
                <w:color w:val="000000"/>
                <w:szCs w:val="20"/>
                <w:vertAlign w:val="superscript"/>
              </w:rPr>
              <w:t xml:space="preserve"> (c)</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(347)</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(394)</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(191)</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 xml:space="preserve"> </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(224)</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(249)</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(40)</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148</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Commonwealth grant variations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rPr>
            </w:pPr>
            <w:r w:rsidRPr="009241EB">
              <w:rPr>
                <w:rFonts w:eastAsiaTheme="minorEastAsia" w:cs="Calibri"/>
                <w:color w:val="000000"/>
                <w:szCs w:val="20"/>
              </w:rPr>
              <w:t xml:space="preserve">   General purpose grants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26</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147</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381</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390</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vertAlign w:val="superscript"/>
              </w:rPr>
            </w:pPr>
            <w:r w:rsidRPr="009241EB">
              <w:rPr>
                <w:rFonts w:eastAsiaTheme="minorEastAsia" w:cs="Calibri"/>
                <w:color w:val="000000"/>
                <w:szCs w:val="20"/>
              </w:rPr>
              <w:t xml:space="preserve">   Specific purpose grants </w:t>
            </w:r>
            <w:r w:rsidRPr="009241EB">
              <w:rPr>
                <w:rFonts w:eastAsiaTheme="minorEastAsia" w:cs="Calibri"/>
                <w:color w:val="000000"/>
                <w:szCs w:val="20"/>
                <w:vertAlign w:val="superscript"/>
              </w:rPr>
              <w:t>(d)</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(118)</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407</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(434)</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 xml:space="preserve"> </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(92)</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150</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788</w:t>
            </w:r>
          </w:p>
        </w:tc>
        <w:tc>
          <w:tcPr>
            <w:tcW w:w="850" w:type="dxa"/>
            <w:tcBorders>
              <w:top w:val="single" w:sz="6" w:space="0" w:color="auto"/>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(44)</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Administrative variations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vertAlign w:val="superscript"/>
              </w:rPr>
            </w:pPr>
            <w:r w:rsidRPr="009241EB">
              <w:rPr>
                <w:rFonts w:eastAsiaTheme="minorEastAsia" w:cs="Calibri"/>
                <w:color w:val="000000"/>
                <w:szCs w:val="20"/>
              </w:rPr>
              <w:t xml:space="preserve">   Contingency offset for new policy </w:t>
            </w:r>
            <w:r w:rsidRPr="009241EB">
              <w:rPr>
                <w:rFonts w:eastAsiaTheme="minorEastAsia" w:cs="Calibri"/>
                <w:color w:val="000000"/>
                <w:szCs w:val="20"/>
                <w:vertAlign w:val="superscript"/>
              </w:rPr>
              <w:t>(e)</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19</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20"/>
              </w:rPr>
            </w:pPr>
            <w:r w:rsidRPr="009241EB">
              <w:rPr>
                <w:rFonts w:eastAsiaTheme="minorEastAsia" w:cs="Calibri"/>
                <w:color w:val="000000"/>
                <w:szCs w:val="20"/>
              </w:rPr>
              <w:t xml:space="preserve">   Other administrative variations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(343)</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(42)</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(803)</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258</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20"/>
              </w:rPr>
            </w:pPr>
            <w:r w:rsidRPr="009241EB">
              <w:rPr>
                <w:rFonts w:eastAsiaTheme="minorEastAsia" w:cs="Calibri"/>
                <w:b/>
                <w:bCs/>
                <w:color w:val="000000"/>
                <w:szCs w:val="20"/>
              </w:rPr>
              <w:t xml:space="preserve"> </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(323)</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(42)</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(803)</w:t>
            </w:r>
          </w:p>
        </w:tc>
        <w:tc>
          <w:tcPr>
            <w:tcW w:w="850" w:type="dxa"/>
            <w:tcBorders>
              <w:top w:val="single" w:sz="6" w:space="0" w:color="auto"/>
              <w:left w:val="nil"/>
              <w:bottom w:val="nil"/>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258</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shd w:val="solid" w:color="FFFFFF" w:fill="auto"/>
          </w:tcPr>
          <w:p w:rsidR="00566E9A" w:rsidRPr="009241EB" w:rsidRDefault="00566E9A" w:rsidP="00AE5760">
            <w:pPr>
              <w:autoSpaceDE w:val="0"/>
              <w:autoSpaceDN w:val="0"/>
              <w:adjustRightInd w:val="0"/>
              <w:rPr>
                <w:rFonts w:eastAsiaTheme="minorEastAsia" w:cs="Calibri"/>
                <w:b/>
                <w:bCs/>
                <w:i/>
                <w:iCs/>
                <w:color w:val="000000"/>
                <w:szCs w:val="20"/>
              </w:rPr>
            </w:pPr>
            <w:r w:rsidRPr="009241EB">
              <w:rPr>
                <w:rFonts w:eastAsiaTheme="minorEastAsia" w:cs="Calibri"/>
                <w:b/>
                <w:bCs/>
                <w:color w:val="000000"/>
                <w:szCs w:val="20"/>
              </w:rPr>
              <w:t xml:space="preserve">Total variation since </w:t>
            </w:r>
            <w:r w:rsidRPr="009241EB">
              <w:rPr>
                <w:rFonts w:eastAsiaTheme="minorEastAsia" w:cs="Calibri"/>
                <w:b/>
                <w:bCs/>
                <w:i/>
                <w:iCs/>
                <w:color w:val="000000"/>
                <w:szCs w:val="20"/>
              </w:rPr>
              <w:t>2016-17 Budget</w:t>
            </w:r>
          </w:p>
        </w:tc>
        <w:tc>
          <w:tcPr>
            <w:tcW w:w="850" w:type="dxa"/>
            <w:tcBorders>
              <w:top w:val="nil"/>
              <w:left w:val="nil"/>
              <w:bottom w:val="single" w:sz="6"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(1 140)</w:t>
            </w:r>
          </w:p>
        </w:tc>
        <w:tc>
          <w:tcPr>
            <w:tcW w:w="850" w:type="dxa"/>
            <w:tcBorders>
              <w:top w:val="nil"/>
              <w:left w:val="nil"/>
              <w:bottom w:val="single" w:sz="6"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(569)</w:t>
            </w:r>
          </w:p>
        </w:tc>
        <w:tc>
          <w:tcPr>
            <w:tcW w:w="850" w:type="dxa"/>
            <w:tcBorders>
              <w:top w:val="nil"/>
              <w:left w:val="nil"/>
              <w:bottom w:val="single" w:sz="6"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(304)</w:t>
            </w:r>
          </w:p>
        </w:tc>
        <w:tc>
          <w:tcPr>
            <w:tcW w:w="850" w:type="dxa"/>
            <w:tcBorders>
              <w:top w:val="nil"/>
              <w:left w:val="nil"/>
              <w:bottom w:val="single" w:sz="6"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153</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shd w:val="solid" w:color="FFFFFF" w:fill="auto"/>
          </w:tcPr>
          <w:p w:rsidR="00566E9A" w:rsidRPr="009241EB" w:rsidRDefault="00566E9A" w:rsidP="00AE5760">
            <w:pPr>
              <w:autoSpaceDE w:val="0"/>
              <w:autoSpaceDN w:val="0"/>
              <w:adjustRightInd w:val="0"/>
              <w:rPr>
                <w:rFonts w:eastAsiaTheme="minorEastAsia" w:cs="Calibri"/>
                <w:b/>
                <w:bCs/>
                <w:i/>
                <w:iCs/>
                <w:color w:val="000000"/>
                <w:szCs w:val="20"/>
              </w:rPr>
            </w:pPr>
            <w:r w:rsidRPr="009241EB">
              <w:rPr>
                <w:rFonts w:eastAsiaTheme="minorEastAsia" w:cs="Calibri"/>
                <w:b/>
                <w:bCs/>
                <w:color w:val="000000"/>
                <w:szCs w:val="20"/>
              </w:rPr>
              <w:t xml:space="preserve">Net result from transactions: </w:t>
            </w:r>
            <w:r w:rsidRPr="009241EB">
              <w:rPr>
                <w:rFonts w:eastAsiaTheme="minorEastAsia" w:cs="Calibri"/>
                <w:b/>
                <w:bCs/>
                <w:i/>
                <w:iCs/>
                <w:color w:val="000000"/>
                <w:szCs w:val="20"/>
              </w:rPr>
              <w:t>2016-17 Budget Update</w:t>
            </w:r>
          </w:p>
        </w:tc>
        <w:tc>
          <w:tcPr>
            <w:tcW w:w="850" w:type="dxa"/>
            <w:tcBorders>
              <w:top w:val="nil"/>
              <w:left w:val="nil"/>
              <w:bottom w:val="single" w:sz="12"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1 729</w:t>
            </w:r>
          </w:p>
        </w:tc>
        <w:tc>
          <w:tcPr>
            <w:tcW w:w="850" w:type="dxa"/>
            <w:tcBorders>
              <w:top w:val="nil"/>
              <w:left w:val="nil"/>
              <w:bottom w:val="single" w:sz="12"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1 228</w:t>
            </w:r>
          </w:p>
        </w:tc>
        <w:tc>
          <w:tcPr>
            <w:tcW w:w="850" w:type="dxa"/>
            <w:tcBorders>
              <w:top w:val="nil"/>
              <w:left w:val="nil"/>
              <w:bottom w:val="single" w:sz="12"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1 778</w:t>
            </w:r>
          </w:p>
        </w:tc>
        <w:tc>
          <w:tcPr>
            <w:tcW w:w="850" w:type="dxa"/>
            <w:tcBorders>
              <w:top w:val="nil"/>
              <w:left w:val="nil"/>
              <w:bottom w:val="single" w:sz="12" w:space="0" w:color="auto"/>
              <w:right w:val="nil"/>
            </w:tcBorders>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9241EB">
              <w:rPr>
                <w:rFonts w:eastAsiaTheme="minorEastAsia" w:cs="Calibri"/>
                <w:b/>
                <w:bCs/>
                <w:color w:val="000000"/>
                <w:szCs w:val="20"/>
              </w:rPr>
              <w:t>2 624</w:t>
            </w:r>
          </w:p>
        </w:tc>
      </w:tr>
    </w:tbl>
    <w:p w:rsidR="00566E9A" w:rsidRPr="007E4E2E" w:rsidRDefault="00566E9A" w:rsidP="00AE5760">
      <w:pPr>
        <w:pStyle w:val="Source"/>
      </w:pPr>
      <w:r w:rsidRPr="007E4E2E">
        <w:t>Source: Department of Treasury and Finance</w:t>
      </w:r>
    </w:p>
    <w:p w:rsidR="00566E9A" w:rsidRPr="007E4E2E" w:rsidRDefault="00566E9A" w:rsidP="00AE5760">
      <w:pPr>
        <w:pStyle w:val="Notes"/>
      </w:pPr>
      <w:r>
        <w:t>Notes:</w:t>
      </w:r>
    </w:p>
    <w:p w:rsidR="00566E9A" w:rsidRDefault="00566E9A" w:rsidP="00AE5760">
      <w:pPr>
        <w:pStyle w:val="Notes"/>
      </w:pPr>
      <w:r>
        <w:t>(a)</w:t>
      </w:r>
      <w:r>
        <w:tab/>
        <w:t>Figures in this table are subject to rounding to the nearest million and may not add up to totals.</w:t>
      </w:r>
    </w:p>
    <w:p w:rsidR="00566E9A" w:rsidRPr="00B802EC" w:rsidRDefault="00566E9A" w:rsidP="00AE5760">
      <w:pPr>
        <w:pStyle w:val="Notes"/>
      </w:pPr>
      <w:r w:rsidRPr="007E4E2E">
        <w:t>(</w:t>
      </w:r>
      <w:r w:rsidRPr="004625F4">
        <w:t xml:space="preserve">b) </w:t>
      </w:r>
      <w:r w:rsidRPr="004625F4">
        <w:tab/>
        <w:t xml:space="preserve">This is represented in Appendix A </w:t>
      </w:r>
      <w:r w:rsidRPr="004625F4">
        <w:rPr>
          <w:i w:val="0"/>
        </w:rPr>
        <w:t>Specific Policy initiatives affecting the budget position.</w:t>
      </w:r>
    </w:p>
    <w:p w:rsidR="00566E9A" w:rsidRDefault="00566E9A" w:rsidP="00AE5760">
      <w:pPr>
        <w:pStyle w:val="Notes"/>
      </w:pPr>
      <w:r w:rsidRPr="007E4E2E">
        <w:t xml:space="preserve">(c) </w:t>
      </w:r>
      <w:r w:rsidRPr="007E4E2E">
        <w:tab/>
        <w:t>Inve</w:t>
      </w:r>
      <w:r>
        <w:t>stment income includes dividends and</w:t>
      </w:r>
      <w:r w:rsidRPr="007E4E2E">
        <w:t xml:space="preserve"> income tax and rate equivalent revenue.</w:t>
      </w:r>
    </w:p>
    <w:p w:rsidR="00566E9A" w:rsidRDefault="00566E9A" w:rsidP="00AE5760">
      <w:pPr>
        <w:pStyle w:val="Notes"/>
      </w:pPr>
      <w:r>
        <w:t>(d)</w:t>
      </w:r>
      <w:r>
        <w:tab/>
        <w:t xml:space="preserve">Reflects the change in grant revenue as per Chapter 4 </w:t>
      </w:r>
      <w:r w:rsidRPr="00EC59B9">
        <w:t>Note 5</w:t>
      </w:r>
      <w:r>
        <w:t xml:space="preserve"> </w:t>
      </w:r>
      <w:r w:rsidRPr="00EC59B9">
        <w:rPr>
          <w:i w:val="0"/>
        </w:rPr>
        <w:t>Grant Revenue</w:t>
      </w:r>
      <w:r>
        <w:t xml:space="preserve"> less associated expense movements.</w:t>
      </w:r>
    </w:p>
    <w:p w:rsidR="00566E9A" w:rsidRDefault="00566E9A" w:rsidP="00AE5760">
      <w:pPr>
        <w:pStyle w:val="Notes"/>
      </w:pPr>
      <w:r>
        <w:t>(e)</w:t>
      </w:r>
      <w:r>
        <w:tab/>
      </w:r>
      <w:r w:rsidRPr="007E4E2E">
        <w:t>Represents release</w:t>
      </w:r>
      <w:r>
        <w:t>s from the</w:t>
      </w:r>
      <w:r w:rsidRPr="007E4E2E">
        <w:t xml:space="preserve"> </w:t>
      </w:r>
      <w:r w:rsidRPr="00E60C3E">
        <w:t>funding not allocated to specific purposes</w:t>
      </w:r>
      <w:r>
        <w:t xml:space="preserve"> c</w:t>
      </w:r>
      <w:r w:rsidRPr="007E4E2E">
        <w:t>ontingencies associated with d</w:t>
      </w:r>
      <w:r>
        <w:t>emand for government services.</w:t>
      </w:r>
      <w:r w:rsidRPr="008D0F91">
        <w:rPr>
          <w:rFonts w:eastAsiaTheme="minorHAnsi"/>
        </w:rPr>
        <w:t xml:space="preserve"> </w:t>
      </w:r>
      <w:r>
        <w:rPr>
          <w:rFonts w:eastAsiaTheme="minorHAnsi"/>
        </w:rPr>
        <w:t xml:space="preserve">Further information on this contingency can be found at </w:t>
      </w:r>
      <w:r w:rsidRPr="00B04923">
        <w:rPr>
          <w:rFonts w:eastAsiaTheme="minorHAnsi"/>
        </w:rPr>
        <w:t xml:space="preserve">Note 12(c) of </w:t>
      </w:r>
      <w:r>
        <w:t>Chapter 4</w:t>
      </w:r>
      <w:r w:rsidRPr="00916A19">
        <w:t xml:space="preserve"> </w:t>
      </w:r>
      <w:r w:rsidRPr="00456265">
        <w:rPr>
          <w:i w:val="0"/>
        </w:rPr>
        <w:t>Estimated financial statements and notes</w:t>
      </w:r>
      <w:r w:rsidRPr="00B04923">
        <w:rPr>
          <w:rFonts w:eastAsiaTheme="minorHAnsi"/>
        </w:rPr>
        <w:t>.</w:t>
      </w:r>
    </w:p>
    <w:p w:rsidR="00566E9A" w:rsidRDefault="00566E9A" w:rsidP="00AE5760">
      <w:pPr>
        <w:pStyle w:val="Heading1"/>
        <w:rPr>
          <w:sz w:val="15"/>
        </w:rPr>
      </w:pPr>
      <w:r>
        <w:br w:type="page"/>
      </w:r>
    </w:p>
    <w:p w:rsidR="00566E9A" w:rsidRDefault="00566E9A" w:rsidP="00AE5760">
      <w:pPr>
        <w:pStyle w:val="Heading3"/>
      </w:pPr>
      <w:r w:rsidRPr="006A62E3">
        <w:lastRenderedPageBreak/>
        <w:t>Policy decision variations</w:t>
      </w:r>
    </w:p>
    <w:p w:rsidR="00566E9A" w:rsidRPr="00551215" w:rsidRDefault="00566E9A" w:rsidP="00AE5760">
      <w:pPr>
        <w:rPr>
          <w:rFonts w:eastAsiaTheme="minorHAnsi"/>
        </w:rPr>
      </w:pPr>
      <w:r>
        <w:rPr>
          <w:rFonts w:eastAsiaTheme="minorHAnsi"/>
        </w:rPr>
        <w:t>P</w:t>
      </w:r>
      <w:r w:rsidRPr="00551215">
        <w:rPr>
          <w:rFonts w:eastAsiaTheme="minorHAnsi"/>
        </w:rPr>
        <w:t>olicy variation</w:t>
      </w:r>
      <w:r>
        <w:rPr>
          <w:rFonts w:eastAsiaTheme="minorHAnsi"/>
        </w:rPr>
        <w:t>s</w:t>
      </w:r>
      <w:r w:rsidRPr="00551215">
        <w:rPr>
          <w:rFonts w:eastAsiaTheme="minorHAnsi"/>
        </w:rPr>
        <w:t xml:space="preserve"> reflect specific decision</w:t>
      </w:r>
      <w:r>
        <w:rPr>
          <w:rFonts w:eastAsiaTheme="minorHAnsi"/>
        </w:rPr>
        <w:t>s</w:t>
      </w:r>
      <w:r w:rsidRPr="00551215">
        <w:rPr>
          <w:rFonts w:eastAsiaTheme="minorHAnsi"/>
        </w:rPr>
        <w:t xml:space="preserve"> by the Government that ha</w:t>
      </w:r>
      <w:r>
        <w:rPr>
          <w:rFonts w:eastAsiaTheme="minorHAnsi"/>
        </w:rPr>
        <w:t>ve</w:t>
      </w:r>
      <w:r w:rsidRPr="00551215">
        <w:rPr>
          <w:rFonts w:eastAsiaTheme="minorHAnsi"/>
        </w:rPr>
        <w:t xml:space="preserve"> an impact on the budget and forward estimates and </w:t>
      </w:r>
      <w:r>
        <w:rPr>
          <w:rFonts w:eastAsiaTheme="minorHAnsi"/>
        </w:rPr>
        <w:t>are</w:t>
      </w:r>
      <w:r w:rsidRPr="00551215">
        <w:rPr>
          <w:rFonts w:eastAsiaTheme="minorHAnsi"/>
        </w:rPr>
        <w:t xml:space="preserve"> related to a new policy or represent a change in the </w:t>
      </w:r>
      <w:r>
        <w:rPr>
          <w:rFonts w:eastAsiaTheme="minorHAnsi"/>
        </w:rPr>
        <w:t>G</w:t>
      </w:r>
      <w:r w:rsidRPr="00551215">
        <w:rPr>
          <w:rFonts w:eastAsiaTheme="minorHAnsi"/>
        </w:rPr>
        <w:t>overnment</w:t>
      </w:r>
      <w:r>
        <w:rPr>
          <w:rFonts w:eastAsiaTheme="minorHAnsi"/>
        </w:rPr>
        <w:t>’</w:t>
      </w:r>
      <w:r w:rsidRPr="00551215">
        <w:rPr>
          <w:rFonts w:eastAsiaTheme="minorHAnsi"/>
        </w:rPr>
        <w:t>s existing policy position since the previous publication.</w:t>
      </w:r>
    </w:p>
    <w:p w:rsidR="00566E9A" w:rsidRDefault="00566E9A" w:rsidP="00AE5760">
      <w:pPr>
        <w:pStyle w:val="Heading4"/>
        <w:rPr>
          <w:rFonts w:eastAsiaTheme="minorHAnsi"/>
        </w:rPr>
      </w:pPr>
      <w:r w:rsidRPr="00DC76C0">
        <w:rPr>
          <w:rFonts w:eastAsiaTheme="minorHAnsi"/>
        </w:rPr>
        <w:t>Revenue policy decision variations</w:t>
      </w:r>
    </w:p>
    <w:p w:rsidR="00566E9A" w:rsidRDefault="00566E9A" w:rsidP="00AE5760">
      <w:r w:rsidRPr="00004022">
        <w:t xml:space="preserve">Details of the specific policy initiatives since the </w:t>
      </w:r>
      <w:r>
        <w:rPr>
          <w:i/>
        </w:rPr>
        <w:t>2016</w:t>
      </w:r>
      <w:r>
        <w:rPr>
          <w:i/>
        </w:rPr>
        <w:noBreakHyphen/>
        <w:t>17 Budget</w:t>
      </w:r>
      <w:r w:rsidRPr="00004022">
        <w:t xml:space="preserve"> are contained in </w:t>
      </w:r>
      <w:r w:rsidRPr="002E2383">
        <w:t>Appendix</w:t>
      </w:r>
      <w:r>
        <w:t> A </w:t>
      </w:r>
      <w:r w:rsidRPr="002E2383">
        <w:rPr>
          <w:i/>
        </w:rPr>
        <w:t xml:space="preserve">Specific policy initiatives affecting </w:t>
      </w:r>
      <w:r>
        <w:rPr>
          <w:i/>
        </w:rPr>
        <w:t xml:space="preserve">the </w:t>
      </w:r>
      <w:r w:rsidRPr="002E2383">
        <w:rPr>
          <w:i/>
        </w:rPr>
        <w:t>budget position</w:t>
      </w:r>
      <w:r w:rsidRPr="002E2383">
        <w:t>.</w:t>
      </w:r>
    </w:p>
    <w:p w:rsidR="00566E9A" w:rsidRPr="00551215" w:rsidRDefault="00566E9A" w:rsidP="00AE5760">
      <w:pPr>
        <w:pStyle w:val="Heading4"/>
        <w:rPr>
          <w:rFonts w:eastAsiaTheme="minorHAnsi"/>
        </w:rPr>
      </w:pPr>
      <w:r w:rsidRPr="00DC76C0">
        <w:rPr>
          <w:rFonts w:eastAsiaTheme="minorHAnsi"/>
        </w:rPr>
        <w:t>Output policy decision variations</w:t>
      </w:r>
    </w:p>
    <w:p w:rsidR="00566E9A" w:rsidRDefault="00566E9A" w:rsidP="00AE5760">
      <w:r w:rsidRPr="00551215">
        <w:t xml:space="preserve">Table </w:t>
      </w:r>
      <w:r>
        <w:t>3</w:t>
      </w:r>
      <w:r w:rsidRPr="00551215">
        <w:t>.</w:t>
      </w:r>
      <w:r>
        <w:t>4</w:t>
      </w:r>
      <w:r w:rsidRPr="00551215">
        <w:t xml:space="preserve"> shows the impact of new output </w:t>
      </w:r>
      <w:r w:rsidRPr="002E2383">
        <w:t xml:space="preserve">initiatives since the </w:t>
      </w:r>
      <w:r>
        <w:rPr>
          <w:i/>
        </w:rPr>
        <w:t>2016</w:t>
      </w:r>
      <w:r>
        <w:rPr>
          <w:i/>
        </w:rPr>
        <w:noBreakHyphen/>
        <w:t>17 Budget</w:t>
      </w:r>
      <w:r w:rsidRPr="00551215">
        <w:t xml:space="preserve">, with further detail </w:t>
      </w:r>
      <w:r w:rsidRPr="002E2383">
        <w:t>contained in Appendix</w:t>
      </w:r>
      <w:r>
        <w:t> A </w:t>
      </w:r>
      <w:r w:rsidRPr="002E2383">
        <w:rPr>
          <w:i/>
        </w:rPr>
        <w:t xml:space="preserve">Specific policy initiatives affecting </w:t>
      </w:r>
      <w:r>
        <w:rPr>
          <w:i/>
        </w:rPr>
        <w:t xml:space="preserve">the </w:t>
      </w:r>
      <w:r w:rsidRPr="002E2383">
        <w:rPr>
          <w:i/>
        </w:rPr>
        <w:t>budget position</w:t>
      </w:r>
      <w:r w:rsidRPr="002E2383">
        <w:t>.</w:t>
      </w:r>
    </w:p>
    <w:p w:rsidR="00566E9A" w:rsidRDefault="00566E9A" w:rsidP="00AE5760">
      <w:pPr>
        <w:pStyle w:val="Tableheading"/>
        <w:rPr>
          <w:rFonts w:eastAsiaTheme="minorHAnsi"/>
          <w:vertAlign w:val="superscript"/>
        </w:rPr>
      </w:pPr>
      <w:r w:rsidRPr="00551215">
        <w:rPr>
          <w:rFonts w:eastAsiaTheme="minorHAnsi"/>
        </w:rPr>
        <w:t>Table</w:t>
      </w:r>
      <w:r>
        <w:rPr>
          <w:rFonts w:eastAsiaTheme="minorHAnsi"/>
        </w:rPr>
        <w:t xml:space="preserve"> 3</w:t>
      </w:r>
      <w:r w:rsidRPr="00551215">
        <w:rPr>
          <w:rFonts w:eastAsiaTheme="minorHAnsi"/>
        </w:rPr>
        <w:t>.</w:t>
      </w:r>
      <w:r>
        <w:rPr>
          <w:rFonts w:eastAsiaTheme="minorHAnsi"/>
        </w:rPr>
        <w:t>4</w:t>
      </w:r>
      <w:r w:rsidRPr="00551215">
        <w:rPr>
          <w:rFonts w:eastAsiaTheme="minorHAnsi"/>
        </w:rPr>
        <w:t>:</w:t>
      </w:r>
      <w:r w:rsidRPr="00551215">
        <w:rPr>
          <w:rFonts w:eastAsiaTheme="minorHAnsi"/>
        </w:rPr>
        <w:tab/>
        <w:t xml:space="preserve">Net impact of the </w:t>
      </w:r>
      <w:r w:rsidRPr="00805BAF">
        <w:rPr>
          <w:rFonts w:eastAsiaTheme="minorHAnsi"/>
          <w:i/>
        </w:rPr>
        <w:t>2016</w:t>
      </w:r>
      <w:r>
        <w:rPr>
          <w:rFonts w:eastAsiaTheme="minorHAnsi"/>
          <w:i/>
        </w:rPr>
        <w:noBreakHyphen/>
      </w:r>
      <w:r w:rsidRPr="00805BAF">
        <w:rPr>
          <w:rFonts w:eastAsiaTheme="minorHAnsi"/>
          <w:i/>
        </w:rPr>
        <w:t>17 Budget</w:t>
      </w:r>
      <w:r w:rsidRPr="00551215">
        <w:rPr>
          <w:rFonts w:eastAsiaTheme="minorHAnsi"/>
        </w:rPr>
        <w:t xml:space="preserve"> </w:t>
      </w:r>
      <w:r w:rsidRPr="00456265">
        <w:rPr>
          <w:rFonts w:eastAsiaTheme="minorHAnsi"/>
          <w:i/>
        </w:rPr>
        <w:t>Update</w:t>
      </w:r>
      <w:r>
        <w:rPr>
          <w:rFonts w:eastAsiaTheme="minorHAnsi"/>
        </w:rPr>
        <w:t xml:space="preserve"> </w:t>
      </w:r>
      <w:r w:rsidRPr="00551215">
        <w:rPr>
          <w:rFonts w:eastAsiaTheme="minorHAnsi"/>
        </w:rPr>
        <w:t>new output initiatives</w:t>
      </w:r>
      <w:r>
        <w:rPr>
          <w:rFonts w:eastAsiaTheme="minorHAnsi"/>
        </w:rPr>
        <w:t xml:space="preserve"> </w:t>
      </w:r>
      <w:r w:rsidRPr="00D11F27">
        <w:rPr>
          <w:rFonts w:eastAsiaTheme="minorHAnsi"/>
          <w:vertAlign w:val="superscript"/>
        </w:rPr>
        <w:t>(a)</w:t>
      </w:r>
    </w:p>
    <w:p w:rsidR="00566E9A" w:rsidRPr="009241EB" w:rsidRDefault="00566E9A" w:rsidP="00AE5760">
      <w:pPr>
        <w:pStyle w:val="million"/>
        <w:rPr>
          <w:rFonts w:eastAsiaTheme="minorHAnsi"/>
          <w:b/>
          <w:bCs/>
          <w:lang w:val="en-US"/>
        </w:rPr>
      </w:pPr>
      <w:r w:rsidRPr="00551215">
        <w:rPr>
          <w:rFonts w:eastAsiaTheme="minorHAnsi"/>
        </w:rPr>
        <w:t>($</w:t>
      </w:r>
      <w:r>
        <w:rPr>
          <w:rFonts w:eastAsiaTheme="minorHAnsi"/>
        </w:rPr>
        <w:t> million</w:t>
      </w:r>
      <w:r w:rsidRPr="00551215">
        <w:rPr>
          <w:rFonts w:eastAsiaTheme="minorHAnsi"/>
        </w:rPr>
        <w:t>)</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9241EB" w:rsidTr="00AE5760">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9241EB" w:rsidRDefault="00AE5760" w:rsidP="00AE5760">
            <w:pPr>
              <w:autoSpaceDE w:val="0"/>
              <w:autoSpaceDN w:val="0"/>
              <w:adjustRightInd w:val="0"/>
              <w:rPr>
                <w:rFonts w:eastAsiaTheme="minorEastAsia" w:cs="Calibri"/>
                <w:iCs/>
                <w:color w:val="FFFFFF"/>
                <w:szCs w:val="19"/>
              </w:rPr>
            </w:pPr>
            <w:r w:rsidRPr="009241EB">
              <w:rPr>
                <w:rFonts w:eastAsiaTheme="minorEastAsia" w:cs="Calibri"/>
                <w:iCs/>
                <w:color w:val="FFFFFF"/>
                <w:szCs w:val="19"/>
              </w:rPr>
              <w:t xml:space="preserve">  </w:t>
            </w:r>
          </w:p>
        </w:tc>
        <w:tc>
          <w:tcPr>
            <w:tcW w:w="850" w:type="dxa"/>
            <w:tcBorders>
              <w:top w:val="nil"/>
              <w:left w:val="nil"/>
              <w:right w:val="nil"/>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rPr>
            </w:pPr>
            <w:r w:rsidRPr="009241EB">
              <w:rPr>
                <w:rFonts w:eastAsiaTheme="minorEastAsia" w:cs="Calibri"/>
                <w:iCs/>
                <w:color w:val="FFFFFF"/>
                <w:szCs w:val="19"/>
              </w:rPr>
              <w:t>2016</w:t>
            </w:r>
            <w:r w:rsidRPr="009241EB">
              <w:rPr>
                <w:rFonts w:eastAsia="MS Gothic" w:cs="MS Gothic" w:hint="eastAsia"/>
                <w:iCs/>
                <w:color w:val="FFFFFF"/>
                <w:szCs w:val="19"/>
              </w:rPr>
              <w:t>‑</w:t>
            </w:r>
            <w:r w:rsidRPr="009241EB">
              <w:rPr>
                <w:rFonts w:eastAsiaTheme="minorEastAsia" w:cs="Calibri"/>
                <w:iCs/>
                <w:color w:val="FFFFFF"/>
                <w:szCs w:val="19"/>
              </w:rPr>
              <w:t>17</w:t>
            </w:r>
            <w:r>
              <w:rPr>
                <w:rFonts w:eastAsiaTheme="minorEastAsia" w:cs="Calibri"/>
                <w:iCs/>
                <w:color w:val="FFFFFF"/>
                <w:szCs w:val="19"/>
              </w:rPr>
              <w:br/>
            </w:r>
            <w:r w:rsidRPr="009241EB">
              <w:rPr>
                <w:rFonts w:eastAsiaTheme="minorEastAsia" w:cs="Calibri"/>
                <w:iCs/>
                <w:color w:val="FFFFFF"/>
                <w:szCs w:val="19"/>
              </w:rPr>
              <w:t>revised</w:t>
            </w:r>
          </w:p>
        </w:tc>
        <w:tc>
          <w:tcPr>
            <w:tcW w:w="850" w:type="dxa"/>
            <w:tcBorders>
              <w:top w:val="nil"/>
              <w:left w:val="nil"/>
              <w:right w:val="nil"/>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rPr>
            </w:pPr>
            <w:r w:rsidRPr="009241EB">
              <w:rPr>
                <w:rFonts w:eastAsiaTheme="minorEastAsia" w:cs="Calibri"/>
                <w:iCs/>
                <w:color w:val="FFFFFF"/>
                <w:szCs w:val="19"/>
              </w:rPr>
              <w:t>2017</w:t>
            </w:r>
            <w:r w:rsidRPr="009241EB">
              <w:rPr>
                <w:rFonts w:eastAsia="MS Gothic" w:cs="MS Gothic" w:hint="eastAsia"/>
                <w:iCs/>
                <w:color w:val="FFFFFF"/>
                <w:szCs w:val="19"/>
              </w:rPr>
              <w:t>‑</w:t>
            </w:r>
            <w:r w:rsidRPr="009241EB">
              <w:rPr>
                <w:rFonts w:eastAsiaTheme="minorEastAsia" w:cs="Calibri"/>
                <w:iCs/>
                <w:color w:val="FFFFFF"/>
                <w:szCs w:val="19"/>
              </w:rPr>
              <w:t>18</w:t>
            </w:r>
            <w:r>
              <w:rPr>
                <w:rFonts w:eastAsiaTheme="minorEastAsia" w:cs="Calibri"/>
                <w:iCs/>
                <w:color w:val="FFFFFF"/>
                <w:szCs w:val="19"/>
              </w:rPr>
              <w:br/>
            </w:r>
            <w:r w:rsidRPr="009241EB">
              <w:rPr>
                <w:rFonts w:eastAsiaTheme="minorEastAsia" w:cs="Calibri"/>
                <w:iCs/>
                <w:color w:val="FFFFFF"/>
                <w:szCs w:val="19"/>
              </w:rPr>
              <w:t>estimate</w:t>
            </w:r>
          </w:p>
        </w:tc>
        <w:tc>
          <w:tcPr>
            <w:tcW w:w="850" w:type="dxa"/>
            <w:tcBorders>
              <w:top w:val="nil"/>
              <w:left w:val="nil"/>
              <w:right w:val="nil"/>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rPr>
            </w:pPr>
            <w:r w:rsidRPr="009241EB">
              <w:rPr>
                <w:rFonts w:eastAsiaTheme="minorEastAsia" w:cs="Calibri"/>
                <w:iCs/>
                <w:color w:val="FFFFFF"/>
                <w:szCs w:val="19"/>
              </w:rPr>
              <w:t>2018</w:t>
            </w:r>
            <w:r w:rsidRPr="009241EB">
              <w:rPr>
                <w:rFonts w:eastAsia="MS Gothic" w:cs="MS Gothic" w:hint="eastAsia"/>
                <w:iCs/>
                <w:color w:val="FFFFFF"/>
                <w:szCs w:val="19"/>
              </w:rPr>
              <w:t>‑</w:t>
            </w:r>
            <w:r w:rsidRPr="009241EB">
              <w:rPr>
                <w:rFonts w:eastAsiaTheme="minorEastAsia" w:cs="Calibri"/>
                <w:iCs/>
                <w:color w:val="FFFFFF"/>
                <w:szCs w:val="19"/>
              </w:rPr>
              <w:t>19</w:t>
            </w:r>
            <w:r>
              <w:rPr>
                <w:rFonts w:eastAsiaTheme="minorEastAsia" w:cs="Calibri"/>
                <w:iCs/>
                <w:color w:val="FFFFFF"/>
                <w:szCs w:val="19"/>
              </w:rPr>
              <w:br/>
            </w:r>
            <w:r w:rsidRPr="009241EB">
              <w:rPr>
                <w:rFonts w:eastAsiaTheme="minorEastAsia" w:cs="Calibri"/>
                <w:iCs/>
                <w:color w:val="FFFFFF"/>
                <w:szCs w:val="19"/>
              </w:rPr>
              <w:t>estimate</w:t>
            </w:r>
          </w:p>
        </w:tc>
        <w:tc>
          <w:tcPr>
            <w:tcW w:w="850" w:type="dxa"/>
            <w:tcBorders>
              <w:top w:val="nil"/>
              <w:left w:val="nil"/>
              <w:right w:val="nil"/>
            </w:tcBorders>
            <w:shd w:val="solid" w:color="000000" w:fill="auto"/>
          </w:tcPr>
          <w:p w:rsidR="00AE5760" w:rsidRPr="009241EB"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rPr>
            </w:pPr>
            <w:r w:rsidRPr="009241EB">
              <w:rPr>
                <w:rFonts w:eastAsiaTheme="minorEastAsia" w:cs="Calibri"/>
                <w:iCs/>
                <w:color w:val="FFFFFF"/>
                <w:szCs w:val="19"/>
              </w:rPr>
              <w:t>2019</w:t>
            </w:r>
            <w:r w:rsidRPr="009241EB">
              <w:rPr>
                <w:rFonts w:eastAsia="MS Gothic" w:cs="MS Gothic" w:hint="eastAsia"/>
                <w:iCs/>
                <w:color w:val="FFFFFF"/>
                <w:szCs w:val="19"/>
              </w:rPr>
              <w:t>‑</w:t>
            </w:r>
            <w:r w:rsidRPr="009241EB">
              <w:rPr>
                <w:rFonts w:eastAsiaTheme="minorEastAsia" w:cs="Calibri"/>
                <w:iCs/>
                <w:color w:val="FFFFFF"/>
                <w:szCs w:val="19"/>
              </w:rPr>
              <w:t>20</w:t>
            </w:r>
            <w:r>
              <w:rPr>
                <w:rFonts w:eastAsiaTheme="minorEastAsia" w:cs="Calibri"/>
                <w:iCs/>
                <w:color w:val="FFFFFF"/>
                <w:szCs w:val="19"/>
              </w:rPr>
              <w:br/>
            </w:r>
            <w:r w:rsidRPr="009241EB">
              <w:rPr>
                <w:rFonts w:eastAsiaTheme="minorEastAsia" w:cs="Calibri"/>
                <w:iCs/>
                <w:color w:val="FFFFFF"/>
                <w:szCs w:val="19"/>
              </w:rPr>
              <w:t>estimate</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19"/>
              </w:rPr>
            </w:pPr>
            <w:r w:rsidRPr="009241EB">
              <w:rPr>
                <w:rFonts w:eastAsiaTheme="minorEastAsia" w:cs="Calibri"/>
                <w:b/>
                <w:bCs/>
                <w:color w:val="000000"/>
                <w:szCs w:val="19"/>
              </w:rPr>
              <w:t>New output initiatives</w:t>
            </w:r>
          </w:p>
        </w:tc>
        <w:tc>
          <w:tcPr>
            <w:tcW w:w="850" w:type="dxa"/>
            <w:tcBorders>
              <w:top w:val="nil"/>
              <w:left w:val="nil"/>
              <w:bottom w:val="nil"/>
              <w:right w:val="nil"/>
            </w:tcBorders>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498</w:t>
            </w:r>
          </w:p>
        </w:tc>
        <w:tc>
          <w:tcPr>
            <w:tcW w:w="850" w:type="dxa"/>
            <w:tcBorders>
              <w:top w:val="nil"/>
              <w:left w:val="nil"/>
              <w:bottom w:val="nil"/>
              <w:right w:val="nil"/>
            </w:tcBorders>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440</w:t>
            </w:r>
          </w:p>
        </w:tc>
        <w:tc>
          <w:tcPr>
            <w:tcW w:w="850" w:type="dxa"/>
            <w:tcBorders>
              <w:top w:val="nil"/>
              <w:left w:val="nil"/>
              <w:bottom w:val="nil"/>
              <w:right w:val="nil"/>
            </w:tcBorders>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279</w:t>
            </w:r>
          </w:p>
        </w:tc>
        <w:tc>
          <w:tcPr>
            <w:tcW w:w="850" w:type="dxa"/>
            <w:tcBorders>
              <w:top w:val="nil"/>
              <w:left w:val="nil"/>
              <w:bottom w:val="nil"/>
              <w:right w:val="nil"/>
            </w:tcBorders>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247</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19"/>
              </w:rPr>
            </w:pPr>
            <w:r w:rsidRPr="009241EB">
              <w:rPr>
                <w:rFonts w:eastAsiaTheme="minorEastAsia" w:cs="Calibri"/>
                <w:color w:val="000000"/>
                <w:szCs w:val="19"/>
              </w:rPr>
              <w:t>Less: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 xml:space="preserve"> </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 xml:space="preserve"> </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 xml:space="preserve"> </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 xml:space="preserve"> </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19"/>
                <w:vertAlign w:val="superscript"/>
              </w:rPr>
            </w:pPr>
            <w:r w:rsidRPr="009241EB">
              <w:rPr>
                <w:rFonts w:eastAsiaTheme="minorEastAsia" w:cs="Calibri"/>
                <w:color w:val="000000"/>
                <w:szCs w:val="19"/>
              </w:rPr>
              <w:t xml:space="preserve">   Funding from reprioritisation of existing resources </w:t>
            </w:r>
            <w:r w:rsidRPr="009241EB">
              <w:rPr>
                <w:rFonts w:eastAsiaTheme="minorEastAsia" w:cs="Calibri"/>
                <w:color w:val="000000"/>
                <w:szCs w:val="19"/>
                <w:vertAlign w:val="superscript"/>
              </w:rPr>
              <w:t>(b)</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19"/>
                <w:vertAlign w:val="superscript"/>
              </w:rPr>
            </w:pPr>
            <w:r w:rsidRPr="009241EB">
              <w:rPr>
                <w:rFonts w:eastAsiaTheme="minorEastAsia" w:cs="Calibri"/>
                <w:color w:val="000000"/>
                <w:szCs w:val="19"/>
              </w:rPr>
              <w:t xml:space="preserve">   Adjustments </w:t>
            </w:r>
            <w:r w:rsidRPr="009241EB">
              <w:rPr>
                <w:rFonts w:eastAsiaTheme="minorEastAsia" w:cs="Calibri"/>
                <w:color w:val="000000"/>
                <w:szCs w:val="19"/>
                <w:vertAlign w:val="superscript"/>
              </w:rPr>
              <w:t>(c)</w:t>
            </w:r>
          </w:p>
        </w:tc>
        <w:tc>
          <w:tcPr>
            <w:tcW w:w="850" w:type="dxa"/>
            <w:tcBorders>
              <w:top w:val="nil"/>
              <w:left w:val="nil"/>
              <w:bottom w:val="nil"/>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18</w:t>
            </w:r>
          </w:p>
        </w:tc>
        <w:tc>
          <w:tcPr>
            <w:tcW w:w="850" w:type="dxa"/>
            <w:tcBorders>
              <w:top w:val="nil"/>
              <w:left w:val="nil"/>
              <w:bottom w:val="nil"/>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10</w:t>
            </w:r>
          </w:p>
        </w:tc>
        <w:tc>
          <w:tcPr>
            <w:tcW w:w="850" w:type="dxa"/>
            <w:tcBorders>
              <w:top w:val="nil"/>
              <w:left w:val="nil"/>
              <w:bottom w:val="nil"/>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w:t>
            </w:r>
          </w:p>
        </w:tc>
        <w:tc>
          <w:tcPr>
            <w:tcW w:w="850" w:type="dxa"/>
            <w:tcBorders>
              <w:top w:val="nil"/>
              <w:left w:val="nil"/>
              <w:bottom w:val="nil"/>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11</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19"/>
              </w:rPr>
            </w:pPr>
            <w:r w:rsidRPr="009241EB">
              <w:rPr>
                <w:rFonts w:eastAsiaTheme="minorEastAsia" w:cs="Calibri"/>
                <w:color w:val="000000"/>
                <w:szCs w:val="19"/>
              </w:rPr>
              <w:t xml:space="preserve">   Savings</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19"/>
              </w:rPr>
            </w:pPr>
            <w:r w:rsidRPr="009241EB">
              <w:rPr>
                <w:rFonts w:eastAsiaTheme="minorEastAsia" w:cs="Calibri"/>
                <w:b/>
                <w:bCs/>
                <w:i/>
                <w:iCs/>
                <w:color w:val="000000"/>
                <w:szCs w:val="19"/>
              </w:rPr>
              <w:t xml:space="preserve">2016-17 Budget Update </w:t>
            </w:r>
            <w:r w:rsidRPr="009241EB">
              <w:rPr>
                <w:rFonts w:eastAsiaTheme="minorEastAsia" w:cs="Calibri"/>
                <w:b/>
                <w:bCs/>
                <w:color w:val="000000"/>
                <w:szCs w:val="19"/>
              </w:rPr>
              <w:t>output policy decisions</w:t>
            </w:r>
          </w:p>
        </w:tc>
        <w:tc>
          <w:tcPr>
            <w:tcW w:w="850" w:type="dxa"/>
            <w:tcBorders>
              <w:top w:val="single" w:sz="6" w:space="0" w:color="auto"/>
              <w:left w:val="nil"/>
              <w:bottom w:val="single" w:sz="6"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480</w:t>
            </w:r>
          </w:p>
        </w:tc>
        <w:tc>
          <w:tcPr>
            <w:tcW w:w="850" w:type="dxa"/>
            <w:tcBorders>
              <w:top w:val="single" w:sz="6" w:space="0" w:color="auto"/>
              <w:left w:val="nil"/>
              <w:bottom w:val="single" w:sz="6"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430</w:t>
            </w:r>
          </w:p>
        </w:tc>
        <w:tc>
          <w:tcPr>
            <w:tcW w:w="850" w:type="dxa"/>
            <w:tcBorders>
              <w:top w:val="single" w:sz="6" w:space="0" w:color="auto"/>
              <w:left w:val="nil"/>
              <w:bottom w:val="single" w:sz="6"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275</w:t>
            </w:r>
          </w:p>
        </w:tc>
        <w:tc>
          <w:tcPr>
            <w:tcW w:w="850" w:type="dxa"/>
            <w:tcBorders>
              <w:top w:val="single" w:sz="6" w:space="0" w:color="auto"/>
              <w:left w:val="nil"/>
              <w:bottom w:val="single" w:sz="6"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236</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shd w:val="solid" w:color="FFFFFF" w:fill="auto"/>
          </w:tcPr>
          <w:p w:rsidR="00566E9A" w:rsidRPr="009241EB" w:rsidRDefault="00566E9A" w:rsidP="00AE5760">
            <w:pPr>
              <w:autoSpaceDE w:val="0"/>
              <w:autoSpaceDN w:val="0"/>
              <w:adjustRightInd w:val="0"/>
              <w:rPr>
                <w:rFonts w:eastAsiaTheme="minorEastAsia" w:cs="Calibri"/>
                <w:color w:val="000000"/>
                <w:szCs w:val="19"/>
                <w:vertAlign w:val="superscript"/>
              </w:rPr>
            </w:pPr>
            <w:r w:rsidRPr="009241EB">
              <w:rPr>
                <w:rFonts w:eastAsiaTheme="minorEastAsia" w:cs="Calibri"/>
                <w:color w:val="000000"/>
                <w:szCs w:val="19"/>
              </w:rPr>
              <w:t xml:space="preserve">Less: contingency offset for new policy </w:t>
            </w:r>
            <w:r w:rsidRPr="009241EB">
              <w:rPr>
                <w:rFonts w:eastAsiaTheme="minorEastAsia" w:cs="Calibri"/>
                <w:color w:val="000000"/>
                <w:szCs w:val="19"/>
                <w:vertAlign w:val="superscript"/>
              </w:rPr>
              <w:t>(d)</w:t>
            </w:r>
          </w:p>
        </w:tc>
        <w:tc>
          <w:tcPr>
            <w:tcW w:w="850" w:type="dxa"/>
            <w:tcBorders>
              <w:top w:val="nil"/>
              <w:left w:val="nil"/>
              <w:bottom w:val="nil"/>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19</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9241E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9241EB">
              <w:rPr>
                <w:rFonts w:eastAsiaTheme="minorEastAsia" w:cs="Calibri"/>
                <w:color w:val="000000"/>
                <w:szCs w:val="20"/>
              </w:rPr>
              <w:t>..</w:t>
            </w:r>
          </w:p>
        </w:tc>
      </w:tr>
      <w:tr w:rsidR="00566E9A" w:rsidRPr="009241EB"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12" w:space="0" w:color="auto"/>
              <w:left w:val="nil"/>
              <w:bottom w:val="single" w:sz="12" w:space="0" w:color="auto"/>
              <w:right w:val="nil"/>
            </w:tcBorders>
            <w:shd w:val="solid" w:color="FFFFFF" w:fill="auto"/>
          </w:tcPr>
          <w:p w:rsidR="00566E9A" w:rsidRPr="009241EB" w:rsidRDefault="00566E9A" w:rsidP="00AE5760">
            <w:pPr>
              <w:autoSpaceDE w:val="0"/>
              <w:autoSpaceDN w:val="0"/>
              <w:adjustRightInd w:val="0"/>
              <w:rPr>
                <w:rFonts w:eastAsiaTheme="minorEastAsia" w:cs="Calibri"/>
                <w:b/>
                <w:bCs/>
                <w:color w:val="000000"/>
                <w:szCs w:val="19"/>
              </w:rPr>
            </w:pPr>
            <w:r w:rsidRPr="009241EB">
              <w:rPr>
                <w:rFonts w:eastAsiaTheme="minorEastAsia" w:cs="Calibri"/>
                <w:b/>
                <w:bCs/>
                <w:color w:val="000000"/>
                <w:szCs w:val="19"/>
              </w:rPr>
              <w:t xml:space="preserve">Net impact </w:t>
            </w:r>
          </w:p>
        </w:tc>
        <w:tc>
          <w:tcPr>
            <w:tcW w:w="850" w:type="dxa"/>
            <w:tcBorders>
              <w:top w:val="single" w:sz="12" w:space="0" w:color="auto"/>
              <w:left w:val="nil"/>
              <w:bottom w:val="single" w:sz="12"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460</w:t>
            </w:r>
          </w:p>
        </w:tc>
        <w:tc>
          <w:tcPr>
            <w:tcW w:w="850" w:type="dxa"/>
            <w:tcBorders>
              <w:top w:val="single" w:sz="12" w:space="0" w:color="auto"/>
              <w:left w:val="nil"/>
              <w:bottom w:val="single" w:sz="12"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430</w:t>
            </w:r>
          </w:p>
        </w:tc>
        <w:tc>
          <w:tcPr>
            <w:tcW w:w="850" w:type="dxa"/>
            <w:tcBorders>
              <w:top w:val="single" w:sz="12" w:space="0" w:color="auto"/>
              <w:left w:val="nil"/>
              <w:bottom w:val="single" w:sz="12"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275</w:t>
            </w:r>
          </w:p>
        </w:tc>
        <w:tc>
          <w:tcPr>
            <w:tcW w:w="850" w:type="dxa"/>
            <w:tcBorders>
              <w:top w:val="single" w:sz="12" w:space="0" w:color="auto"/>
              <w:left w:val="nil"/>
              <w:bottom w:val="single" w:sz="12" w:space="0" w:color="auto"/>
              <w:right w:val="nil"/>
            </w:tcBorders>
            <w:shd w:val="solid" w:color="FFFFFF" w:fill="auto"/>
          </w:tcPr>
          <w:p w:rsidR="00566E9A" w:rsidRPr="009241EB" w:rsidRDefault="00AE5760"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236</w:t>
            </w:r>
          </w:p>
        </w:tc>
      </w:tr>
    </w:tbl>
    <w:p w:rsidR="00566E9A" w:rsidRPr="00551215" w:rsidRDefault="00566E9A" w:rsidP="00AE5760">
      <w:pPr>
        <w:pStyle w:val="Source"/>
        <w:rPr>
          <w:rFonts w:eastAsiaTheme="minorHAnsi"/>
        </w:rPr>
      </w:pPr>
      <w:r w:rsidRPr="00551215">
        <w:rPr>
          <w:rFonts w:eastAsiaTheme="minorHAnsi"/>
        </w:rPr>
        <w:t>Source: Department of Treasury and Finance</w:t>
      </w:r>
    </w:p>
    <w:p w:rsidR="00566E9A" w:rsidRPr="00551215" w:rsidRDefault="00566E9A" w:rsidP="00AE5760">
      <w:pPr>
        <w:pStyle w:val="Notes"/>
        <w:rPr>
          <w:rFonts w:eastAsiaTheme="minorHAnsi"/>
        </w:rPr>
      </w:pPr>
      <w:r w:rsidRPr="00551215">
        <w:rPr>
          <w:rFonts w:eastAsiaTheme="minorHAnsi"/>
        </w:rPr>
        <w:t>Notes:</w:t>
      </w:r>
    </w:p>
    <w:p w:rsidR="00566E9A" w:rsidRDefault="00566E9A" w:rsidP="00AE5760">
      <w:pPr>
        <w:pStyle w:val="Notes"/>
        <w:rPr>
          <w:rFonts w:eastAsiaTheme="minorHAnsi"/>
        </w:rPr>
      </w:pPr>
      <w:r w:rsidRPr="00551215">
        <w:rPr>
          <w:rFonts w:eastAsiaTheme="minorHAnsi"/>
        </w:rPr>
        <w:t>(a)</w:t>
      </w:r>
      <w:r w:rsidRPr="00551215">
        <w:rPr>
          <w:rFonts w:eastAsiaTheme="minorHAnsi"/>
        </w:rPr>
        <w:tab/>
        <w:t>Figures in this table are subject to rounding to the nearest</w:t>
      </w:r>
      <w:r>
        <w:rPr>
          <w:rFonts w:eastAsiaTheme="minorHAnsi"/>
        </w:rPr>
        <w:t> million</w:t>
      </w:r>
      <w:r w:rsidRPr="00551215">
        <w:rPr>
          <w:rFonts w:eastAsiaTheme="minorHAnsi"/>
        </w:rPr>
        <w:t xml:space="preserve"> and may not add up to totals.</w:t>
      </w:r>
    </w:p>
    <w:p w:rsidR="00566E9A" w:rsidRPr="00551215" w:rsidRDefault="00566E9A" w:rsidP="00AE5760">
      <w:pPr>
        <w:pStyle w:val="Notes"/>
        <w:rPr>
          <w:rFonts w:eastAsiaTheme="minorHAnsi"/>
        </w:rPr>
      </w:pPr>
      <w:r w:rsidRPr="00551215">
        <w:rPr>
          <w:rFonts w:eastAsiaTheme="minorHAnsi"/>
        </w:rPr>
        <w:t>(</w:t>
      </w:r>
      <w:r>
        <w:rPr>
          <w:rFonts w:eastAsiaTheme="minorHAnsi"/>
        </w:rPr>
        <w:t>b</w:t>
      </w:r>
      <w:r w:rsidRPr="00551215">
        <w:rPr>
          <w:rFonts w:eastAsiaTheme="minorHAnsi"/>
        </w:rPr>
        <w:t>)</w:t>
      </w:r>
      <w:r w:rsidRPr="00551215">
        <w:rPr>
          <w:rFonts w:eastAsiaTheme="minorHAnsi"/>
        </w:rPr>
        <w:tab/>
        <w:t>This includes the reprioritisation of resources previously allocated to departments and retained revenues.</w:t>
      </w:r>
    </w:p>
    <w:p w:rsidR="00566E9A" w:rsidRPr="00551215" w:rsidRDefault="00566E9A" w:rsidP="00AE5760">
      <w:pPr>
        <w:pStyle w:val="Notes"/>
        <w:rPr>
          <w:rFonts w:eastAsiaTheme="minorHAnsi"/>
        </w:rPr>
      </w:pPr>
      <w:r w:rsidRPr="00551215">
        <w:rPr>
          <w:rFonts w:eastAsiaTheme="minorHAnsi"/>
        </w:rPr>
        <w:t>(</w:t>
      </w:r>
      <w:r>
        <w:rPr>
          <w:rFonts w:eastAsiaTheme="minorHAnsi"/>
        </w:rPr>
        <w:t>c</w:t>
      </w:r>
      <w:r w:rsidRPr="00551215">
        <w:rPr>
          <w:rFonts w:eastAsiaTheme="minorHAnsi"/>
        </w:rPr>
        <w:t>)</w:t>
      </w:r>
      <w:r w:rsidRPr="00551215">
        <w:rPr>
          <w:rFonts w:eastAsiaTheme="minorHAnsi"/>
        </w:rPr>
        <w:tab/>
        <w:t>Primarily incorporates the net impact of the creation and release of decisions made but not yet allocated contingencies.</w:t>
      </w:r>
    </w:p>
    <w:p w:rsidR="00566E9A" w:rsidRPr="00B04923" w:rsidRDefault="00566E9A" w:rsidP="00AE5760">
      <w:pPr>
        <w:pStyle w:val="Notes"/>
        <w:rPr>
          <w:rFonts w:eastAsiaTheme="minorHAnsi"/>
        </w:rPr>
      </w:pPr>
      <w:r w:rsidRPr="00551215">
        <w:rPr>
          <w:rFonts w:eastAsiaTheme="minorHAnsi"/>
        </w:rPr>
        <w:t>(</w:t>
      </w:r>
      <w:r>
        <w:rPr>
          <w:rFonts w:eastAsiaTheme="minorHAnsi"/>
        </w:rPr>
        <w:t>d</w:t>
      </w:r>
      <w:r w:rsidRPr="00551215">
        <w:rPr>
          <w:rFonts w:eastAsiaTheme="minorHAnsi"/>
        </w:rPr>
        <w:t>)</w:t>
      </w:r>
      <w:r w:rsidRPr="00551215">
        <w:rPr>
          <w:rFonts w:eastAsiaTheme="minorHAnsi"/>
        </w:rPr>
        <w:tab/>
      </w:r>
      <w:r>
        <w:rPr>
          <w:rFonts w:eastAsiaTheme="minorHAnsi"/>
        </w:rPr>
        <w:t xml:space="preserve">Represents releases </w:t>
      </w:r>
      <w:r w:rsidRPr="00DD0F54">
        <w:rPr>
          <w:rFonts w:eastAsiaTheme="minorHAnsi"/>
        </w:rPr>
        <w:t xml:space="preserve">from the </w:t>
      </w:r>
      <w:r>
        <w:rPr>
          <w:rFonts w:eastAsiaTheme="minorHAnsi"/>
        </w:rPr>
        <w:t>f</w:t>
      </w:r>
      <w:r w:rsidRPr="00DD0F54">
        <w:rPr>
          <w:rFonts w:eastAsiaTheme="minorHAnsi"/>
        </w:rPr>
        <w:t>unding not allocated to specific purposes contingency associated with demand</w:t>
      </w:r>
      <w:r w:rsidRPr="00551215">
        <w:rPr>
          <w:rFonts w:eastAsiaTheme="minorHAnsi"/>
        </w:rPr>
        <w:t xml:space="preserve"> for government services.</w:t>
      </w:r>
      <w:r>
        <w:rPr>
          <w:rFonts w:eastAsiaTheme="minorHAnsi"/>
        </w:rPr>
        <w:t xml:space="preserve"> Further information on this contingency can be found at </w:t>
      </w:r>
      <w:r w:rsidRPr="00B04923">
        <w:rPr>
          <w:rFonts w:eastAsiaTheme="minorHAnsi"/>
        </w:rPr>
        <w:t xml:space="preserve">Note 12(c) of </w:t>
      </w:r>
      <w:r>
        <w:t>Chapter 4</w:t>
      </w:r>
      <w:r w:rsidRPr="00916A19">
        <w:t xml:space="preserve"> </w:t>
      </w:r>
      <w:r w:rsidRPr="00456265">
        <w:rPr>
          <w:i w:val="0"/>
        </w:rPr>
        <w:t>Estimated financial statements and notes</w:t>
      </w:r>
      <w:r w:rsidRPr="00B04923">
        <w:rPr>
          <w:rFonts w:eastAsiaTheme="minorHAnsi"/>
        </w:rPr>
        <w:t>.</w:t>
      </w:r>
    </w:p>
    <w:p w:rsidR="00566E9A" w:rsidRDefault="00566E9A">
      <w:pPr>
        <w:rPr>
          <w:rFonts w:asciiTheme="majorHAnsi" w:hAnsiTheme="majorHAnsi"/>
          <w:b/>
          <w:i/>
          <w:sz w:val="24"/>
        </w:rPr>
      </w:pPr>
      <w:r>
        <w:rPr>
          <w:b/>
        </w:rPr>
        <w:br w:type="page"/>
      </w:r>
    </w:p>
    <w:p w:rsidR="00566E9A" w:rsidRPr="001161F8" w:rsidRDefault="00566E9A" w:rsidP="00AE5760">
      <w:pPr>
        <w:pStyle w:val="Heading4"/>
        <w:rPr>
          <w:b/>
        </w:rPr>
      </w:pPr>
      <w:r w:rsidRPr="00474480">
        <w:rPr>
          <w:b/>
        </w:rPr>
        <w:lastRenderedPageBreak/>
        <w:t>Economic and demographic variations</w:t>
      </w:r>
    </w:p>
    <w:p w:rsidR="00566E9A" w:rsidRPr="00B11BA3" w:rsidRDefault="00566E9A" w:rsidP="00AE5760">
      <w:r w:rsidRPr="00B11BA3">
        <w:t>Taxation rev</w:t>
      </w:r>
      <w:r>
        <w:t>enue has been revised up by $123 </w:t>
      </w:r>
      <w:r w:rsidRPr="00B11BA3">
        <w:t xml:space="preserve">million in </w:t>
      </w:r>
      <w:r w:rsidRPr="00474480">
        <w:t>2016</w:t>
      </w:r>
      <w:r>
        <w:noBreakHyphen/>
      </w:r>
      <w:r w:rsidRPr="00474480">
        <w:t>17</w:t>
      </w:r>
      <w:r>
        <w:rPr>
          <w:i/>
        </w:rPr>
        <w:t xml:space="preserve"> </w:t>
      </w:r>
      <w:r>
        <w:t>and by $147 </w:t>
      </w:r>
      <w:r w:rsidRPr="00B11BA3">
        <w:t>million a year on average over the forward estimates</w:t>
      </w:r>
      <w:r>
        <w:t xml:space="preserve"> period, driven largely by</w:t>
      </w:r>
      <w:r w:rsidRPr="00B11BA3">
        <w:t>:</w:t>
      </w:r>
    </w:p>
    <w:p w:rsidR="00566E9A" w:rsidRDefault="00566E9A" w:rsidP="00AE5760">
      <w:pPr>
        <w:pStyle w:val="BulletText"/>
      </w:pPr>
      <w:r>
        <w:t>an increase in revenue from land tax of an average of $158</w:t>
      </w:r>
      <w:r w:rsidRPr="00E953B6">
        <w:t xml:space="preserve"> million a year </w:t>
      </w:r>
      <w:r>
        <w:t>that reflects higher</w:t>
      </w:r>
      <w:r w:rsidRPr="00B11BA3">
        <w:t xml:space="preserve"> revaluation</w:t>
      </w:r>
      <w:r>
        <w:t>s than anticipated; and</w:t>
      </w:r>
    </w:p>
    <w:p w:rsidR="00566E9A" w:rsidRDefault="00566E9A" w:rsidP="00AE5760">
      <w:pPr>
        <w:pStyle w:val="BulletText"/>
      </w:pPr>
      <w:r w:rsidRPr="00B11BA3">
        <w:t>an increa</w:t>
      </w:r>
      <w:r>
        <w:t>se in land transfer duty of an average of $28</w:t>
      </w:r>
      <w:r w:rsidRPr="00E953B6">
        <w:t xml:space="preserve"> million a year </w:t>
      </w:r>
      <w:r>
        <w:t>reflecting stronger auction clearance rates aided by interest rate cuts and further house price gains.</w:t>
      </w:r>
    </w:p>
    <w:p w:rsidR="00566E9A" w:rsidRDefault="00566E9A" w:rsidP="00AE5760">
      <w:r>
        <w:t>This has been offs</w:t>
      </w:r>
      <w:r w:rsidRPr="00DC40D9">
        <w:t>et by</w:t>
      </w:r>
      <w:r>
        <w:t xml:space="preserve"> a decrease in gambling taxes of an average of $33</w:t>
      </w:r>
      <w:r w:rsidRPr="00E953B6">
        <w:t> million a year</w:t>
      </w:r>
      <w:r>
        <w:t>, reflecting</w:t>
      </w:r>
      <w:r w:rsidRPr="00E21931">
        <w:t xml:space="preserve"> </w:t>
      </w:r>
      <w:r w:rsidRPr="0065233A">
        <w:t>lower spending on gambling products</w:t>
      </w:r>
      <w:r w:rsidRPr="00721E1C">
        <w:t xml:space="preserve"> by households</w:t>
      </w:r>
      <w:r>
        <w:t>.</w:t>
      </w:r>
    </w:p>
    <w:p w:rsidR="00566E9A" w:rsidRDefault="00566E9A" w:rsidP="00AE5760">
      <w:pPr>
        <w:rPr>
          <w:rFonts w:eastAsiaTheme="minorHAnsi"/>
        </w:rPr>
      </w:pPr>
      <w:r>
        <w:rPr>
          <w:rFonts w:eastAsiaTheme="minorHAnsi"/>
        </w:rPr>
        <w:t>T</w:t>
      </w:r>
      <w:r w:rsidRPr="00E4733D">
        <w:rPr>
          <w:rFonts w:eastAsiaTheme="minorHAnsi"/>
        </w:rPr>
        <w:t>otal investment income is forecast to be $</w:t>
      </w:r>
      <w:r>
        <w:rPr>
          <w:rFonts w:eastAsiaTheme="minorHAnsi"/>
        </w:rPr>
        <w:t>310</w:t>
      </w:r>
      <w:r w:rsidRPr="00E4733D">
        <w:rPr>
          <w:rFonts w:eastAsiaTheme="minorHAnsi"/>
        </w:rPr>
        <w:t xml:space="preserve"> million </w:t>
      </w:r>
      <w:r>
        <w:rPr>
          <w:rFonts w:eastAsiaTheme="minorHAnsi"/>
        </w:rPr>
        <w:t>a year lower, on average, across 2016</w:t>
      </w:r>
      <w:r>
        <w:noBreakHyphen/>
      </w:r>
      <w:r>
        <w:rPr>
          <w:rFonts w:eastAsiaTheme="minorHAnsi"/>
        </w:rPr>
        <w:t>17 to 2018</w:t>
      </w:r>
      <w:r>
        <w:noBreakHyphen/>
      </w:r>
      <w:r>
        <w:rPr>
          <w:rFonts w:eastAsiaTheme="minorHAnsi"/>
        </w:rPr>
        <w:t>19, but increase by $3 million</w:t>
      </w:r>
      <w:r w:rsidRPr="00E4733D">
        <w:rPr>
          <w:rFonts w:eastAsiaTheme="minorHAnsi"/>
        </w:rPr>
        <w:t xml:space="preserve"> </w:t>
      </w:r>
      <w:r>
        <w:rPr>
          <w:rFonts w:eastAsiaTheme="minorHAnsi"/>
        </w:rPr>
        <w:t>in 2019</w:t>
      </w:r>
      <w:r>
        <w:noBreakHyphen/>
      </w:r>
      <w:r>
        <w:rPr>
          <w:rFonts w:eastAsiaTheme="minorHAnsi"/>
        </w:rPr>
        <w:t>20,</w:t>
      </w:r>
      <w:r w:rsidRPr="00E4733D">
        <w:rPr>
          <w:rFonts w:eastAsiaTheme="minorHAnsi"/>
        </w:rPr>
        <w:t xml:space="preserve"> compared with the </w:t>
      </w:r>
      <w:r w:rsidRPr="00E4733D">
        <w:rPr>
          <w:rFonts w:eastAsiaTheme="minorHAnsi"/>
          <w:i/>
        </w:rPr>
        <w:t>2016</w:t>
      </w:r>
      <w:r w:rsidRPr="00E4733D">
        <w:rPr>
          <w:rFonts w:eastAsiaTheme="minorHAnsi"/>
          <w:i/>
        </w:rPr>
        <w:noBreakHyphen/>
        <w:t>17</w:t>
      </w:r>
      <w:r>
        <w:rPr>
          <w:rFonts w:eastAsiaTheme="minorHAnsi"/>
          <w:i/>
        </w:rPr>
        <w:t> </w:t>
      </w:r>
      <w:r w:rsidRPr="00E4733D">
        <w:rPr>
          <w:rFonts w:eastAsiaTheme="minorHAnsi"/>
          <w:i/>
        </w:rPr>
        <w:t xml:space="preserve">Budget. </w:t>
      </w:r>
      <w:r w:rsidRPr="00E4733D">
        <w:rPr>
          <w:rFonts w:eastAsiaTheme="minorHAnsi"/>
        </w:rPr>
        <w:t xml:space="preserve">This is primarily due to </w:t>
      </w:r>
      <w:r>
        <w:rPr>
          <w:rFonts w:eastAsiaTheme="minorHAnsi"/>
        </w:rPr>
        <w:t xml:space="preserve">a </w:t>
      </w:r>
      <w:r w:rsidRPr="00F5392E">
        <w:t xml:space="preserve">reclassification of contributions from </w:t>
      </w:r>
      <w:r>
        <w:t>the PFC sector</w:t>
      </w:r>
      <w:r w:rsidRPr="00E4733D">
        <w:rPr>
          <w:rFonts w:eastAsiaTheme="minorHAnsi"/>
        </w:rPr>
        <w:t>.</w:t>
      </w:r>
    </w:p>
    <w:p w:rsidR="00566E9A" w:rsidRPr="00B11BA3" w:rsidRDefault="00566E9A" w:rsidP="00AE5760">
      <w:pPr>
        <w:pStyle w:val="Heading4"/>
        <w:rPr>
          <w:b/>
        </w:rPr>
      </w:pPr>
      <w:r w:rsidRPr="00B11BA3">
        <w:rPr>
          <w:b/>
        </w:rPr>
        <w:t>Commonwealth grants variations</w:t>
      </w:r>
    </w:p>
    <w:p w:rsidR="00566E9A" w:rsidRDefault="00566E9A" w:rsidP="00AE5760">
      <w:r w:rsidRPr="00B11BA3">
        <w:t>Commonwealth general purpose grants (or GST gra</w:t>
      </w:r>
      <w:r>
        <w:t>nts) have been revised up in 2016</w:t>
      </w:r>
      <w:r>
        <w:noBreakHyphen/>
        <w:t>17 by $26 million and $306 </w:t>
      </w:r>
      <w:r w:rsidRPr="00B11BA3">
        <w:t xml:space="preserve">million a year on average over the forward estimates compared to the </w:t>
      </w:r>
      <w:r>
        <w:rPr>
          <w:i/>
        </w:rPr>
        <w:t>2016-17</w:t>
      </w:r>
      <w:r w:rsidRPr="00AF440F">
        <w:rPr>
          <w:i/>
        </w:rPr>
        <w:t xml:space="preserve"> Budget</w:t>
      </w:r>
      <w:r w:rsidRPr="00B11BA3">
        <w:t xml:space="preserve">. This increase is driven by </w:t>
      </w:r>
      <w:r>
        <w:t xml:space="preserve">a </w:t>
      </w:r>
      <w:r w:rsidRPr="00B11BA3">
        <w:t xml:space="preserve">stronger </w:t>
      </w:r>
      <w:r>
        <w:t>outlook for Victoria’s share of the national population.</w:t>
      </w:r>
    </w:p>
    <w:p w:rsidR="00566E9A" w:rsidRPr="00F36A74" w:rsidRDefault="00566E9A" w:rsidP="00AE5760">
      <w:r w:rsidRPr="006A62E3">
        <w:t xml:space="preserve">Changes to specific purpose </w:t>
      </w:r>
      <w:r w:rsidRPr="00F36A74">
        <w:t xml:space="preserve">grants has </w:t>
      </w:r>
      <w:r>
        <w:t>reduced</w:t>
      </w:r>
      <w:r w:rsidRPr="00535FF4">
        <w:t xml:space="preserve"> the operating result by $</w:t>
      </w:r>
      <w:r>
        <w:t>118 </w:t>
      </w:r>
      <w:r w:rsidRPr="00535FF4">
        <w:t xml:space="preserve">million in </w:t>
      </w:r>
      <w:r>
        <w:t>2016</w:t>
      </w:r>
      <w:r>
        <w:noBreakHyphen/>
        <w:t xml:space="preserve">17 and </w:t>
      </w:r>
      <w:r w:rsidRPr="00535FF4">
        <w:t>$</w:t>
      </w:r>
      <w:r>
        <w:t>434 </w:t>
      </w:r>
      <w:r w:rsidRPr="00535FF4">
        <w:t xml:space="preserve">million in </w:t>
      </w:r>
      <w:r>
        <w:t>2019</w:t>
      </w:r>
      <w:r>
        <w:noBreakHyphen/>
        <w:t>20,</w:t>
      </w:r>
      <w:r w:rsidRPr="00535FF4">
        <w:t xml:space="preserve"> </w:t>
      </w:r>
      <w:r>
        <w:t xml:space="preserve">but revised up by </w:t>
      </w:r>
      <w:r w:rsidRPr="00535FF4">
        <w:t>$</w:t>
      </w:r>
      <w:r>
        <w:t>3 </w:t>
      </w:r>
      <w:r w:rsidRPr="00535FF4">
        <w:t xml:space="preserve">million in </w:t>
      </w:r>
      <w:r>
        <w:t>2017</w:t>
      </w:r>
      <w:r>
        <w:noBreakHyphen/>
        <w:t xml:space="preserve">18 and </w:t>
      </w:r>
      <w:r w:rsidRPr="00535FF4">
        <w:t>$</w:t>
      </w:r>
      <w:r>
        <w:t>407</w:t>
      </w:r>
      <w:r w:rsidRPr="00F82BC3">
        <w:t> million</w:t>
      </w:r>
      <w:r w:rsidRPr="00535FF4">
        <w:t xml:space="preserve"> </w:t>
      </w:r>
      <w:r>
        <w:t>in 2018</w:t>
      </w:r>
      <w:r>
        <w:noBreakHyphen/>
        <w:t>19</w:t>
      </w:r>
      <w:r w:rsidRPr="00535FF4">
        <w:t>.</w:t>
      </w:r>
      <w:r w:rsidRPr="00F36A74">
        <w:t xml:space="preserve"> These movements are largely due to:</w:t>
      </w:r>
    </w:p>
    <w:p w:rsidR="00566E9A" w:rsidRDefault="00566E9A" w:rsidP="00AE5760">
      <w:pPr>
        <w:pStyle w:val="BulletText"/>
      </w:pPr>
      <w:r w:rsidRPr="0092293B">
        <w:t xml:space="preserve">rescheduling </w:t>
      </w:r>
      <w:r>
        <w:t>nation building program grants for roads and rail projects from 2015</w:t>
      </w:r>
      <w:r>
        <w:noBreakHyphen/>
        <w:t>16 to across the budget and forward estimates period; and</w:t>
      </w:r>
    </w:p>
    <w:p w:rsidR="00566E9A" w:rsidRDefault="00566E9A" w:rsidP="00AE5760">
      <w:pPr>
        <w:pStyle w:val="BulletText"/>
      </w:pPr>
      <w:proofErr w:type="spellStart"/>
      <w:r w:rsidRPr="0092293B">
        <w:t>re</w:t>
      </w:r>
      <w:r>
        <w:t>profiling</w:t>
      </w:r>
      <w:proofErr w:type="spellEnd"/>
      <w:r>
        <w:t xml:space="preserve"> expenditure relating to the Commonwealth’s </w:t>
      </w:r>
      <w:proofErr w:type="spellStart"/>
      <w:r>
        <w:t>DisabilityCare</w:t>
      </w:r>
      <w:proofErr w:type="spellEnd"/>
      <w:r>
        <w:t xml:space="preserve"> funding from 2018</w:t>
      </w:r>
      <w:r w:rsidRPr="00F36A74">
        <w:noBreakHyphen/>
      </w:r>
      <w:r>
        <w:t>19 to 2019-20 to better align expected spending.</w:t>
      </w:r>
    </w:p>
    <w:p w:rsidR="00566E9A" w:rsidRPr="001161F8" w:rsidRDefault="00566E9A" w:rsidP="00AE5760">
      <w:pPr>
        <w:pStyle w:val="Heading4"/>
        <w:rPr>
          <w:b/>
        </w:rPr>
      </w:pPr>
      <w:r w:rsidRPr="001161F8">
        <w:rPr>
          <w:b/>
        </w:rPr>
        <w:t>Administrative variations</w:t>
      </w:r>
    </w:p>
    <w:p w:rsidR="00566E9A" w:rsidRDefault="00566E9A" w:rsidP="00AE5760">
      <w:r w:rsidRPr="00551215">
        <w:rPr>
          <w:rFonts w:eastAsiaTheme="minorHAnsi"/>
        </w:rPr>
        <w:t xml:space="preserve">The release of </w:t>
      </w:r>
      <w:r w:rsidRPr="00456265">
        <w:rPr>
          <w:rFonts w:eastAsiaTheme="minorHAnsi"/>
        </w:rPr>
        <w:t>funding not allocated to specific purposes</w:t>
      </w:r>
      <w:r w:rsidRPr="00F431BF">
        <w:rPr>
          <w:rFonts w:eastAsiaTheme="minorHAnsi"/>
        </w:rPr>
        <w:t xml:space="preserve"> </w:t>
      </w:r>
      <w:r>
        <w:rPr>
          <w:rFonts w:eastAsiaTheme="minorHAnsi"/>
        </w:rPr>
        <w:t xml:space="preserve">contingencies </w:t>
      </w:r>
      <w:r>
        <w:t xml:space="preserve">as part of the </w:t>
      </w:r>
      <w:r>
        <w:rPr>
          <w:i/>
        </w:rPr>
        <w:t>2016</w:t>
      </w:r>
      <w:r>
        <w:rPr>
          <w:i/>
        </w:rPr>
        <w:noBreakHyphen/>
        <w:t xml:space="preserve">17 </w:t>
      </w:r>
      <w:r w:rsidRPr="00600A65">
        <w:rPr>
          <w:i/>
        </w:rPr>
        <w:t>Budget</w:t>
      </w:r>
      <w:r>
        <w:t xml:space="preserve"> </w:t>
      </w:r>
      <w:r w:rsidRPr="00521C2E">
        <w:rPr>
          <w:i/>
        </w:rPr>
        <w:t xml:space="preserve">Update </w:t>
      </w:r>
      <w:r>
        <w:t xml:space="preserve">to offset new policy decisions </w:t>
      </w:r>
      <w:r w:rsidRPr="00F82BC3">
        <w:t>totals $</w:t>
      </w:r>
      <w:r>
        <w:t>19</w:t>
      </w:r>
      <w:r w:rsidRPr="00F82BC3">
        <w:t> million</w:t>
      </w:r>
      <w:r>
        <w:t xml:space="preserve"> for 2016</w:t>
      </w:r>
      <w:r>
        <w:noBreakHyphen/>
        <w:t>17.</w:t>
      </w:r>
    </w:p>
    <w:p w:rsidR="00566E9A" w:rsidRPr="00535FF4" w:rsidRDefault="00566E9A" w:rsidP="00AE5760">
      <w:bookmarkStart w:id="26" w:name="_Toc401056871"/>
      <w:bookmarkStart w:id="27" w:name="_Toc401147493"/>
      <w:bookmarkStart w:id="28" w:name="_Toc403386688"/>
      <w:bookmarkStart w:id="29" w:name="_Toc406162089"/>
      <w:bookmarkStart w:id="30" w:name="_Toc406670372"/>
      <w:r w:rsidRPr="00535FF4">
        <w:t xml:space="preserve">Other administrative variations have </w:t>
      </w:r>
      <w:r>
        <w:t>reduced</w:t>
      </w:r>
      <w:r w:rsidRPr="00535FF4">
        <w:t xml:space="preserve"> the operating result by </w:t>
      </w:r>
      <w:r>
        <w:t xml:space="preserve">an average of </w:t>
      </w:r>
      <w:r w:rsidRPr="00E4733D">
        <w:rPr>
          <w:rFonts w:eastAsiaTheme="minorHAnsi"/>
        </w:rPr>
        <w:t>$</w:t>
      </w:r>
      <w:r>
        <w:rPr>
          <w:rFonts w:eastAsiaTheme="minorHAnsi"/>
        </w:rPr>
        <w:t>396</w:t>
      </w:r>
      <w:r w:rsidRPr="00E4733D">
        <w:rPr>
          <w:rFonts w:eastAsiaTheme="minorHAnsi"/>
        </w:rPr>
        <w:t xml:space="preserve"> million </w:t>
      </w:r>
      <w:r>
        <w:rPr>
          <w:rFonts w:eastAsiaTheme="minorHAnsi"/>
        </w:rPr>
        <w:t>a year across 2016</w:t>
      </w:r>
      <w:r>
        <w:noBreakHyphen/>
      </w:r>
      <w:r>
        <w:rPr>
          <w:rFonts w:eastAsiaTheme="minorHAnsi"/>
        </w:rPr>
        <w:t>17 to 2018</w:t>
      </w:r>
      <w:r>
        <w:noBreakHyphen/>
      </w:r>
      <w:r>
        <w:rPr>
          <w:rFonts w:eastAsiaTheme="minorHAnsi"/>
        </w:rPr>
        <w:t>19, but increased it by $258 million</w:t>
      </w:r>
      <w:r w:rsidRPr="00E4733D">
        <w:rPr>
          <w:rFonts w:eastAsiaTheme="minorHAnsi"/>
        </w:rPr>
        <w:t xml:space="preserve"> </w:t>
      </w:r>
      <w:r>
        <w:rPr>
          <w:rFonts w:eastAsiaTheme="minorHAnsi"/>
        </w:rPr>
        <w:t>in 2019</w:t>
      </w:r>
      <w:r>
        <w:noBreakHyphen/>
      </w:r>
      <w:r>
        <w:rPr>
          <w:rFonts w:eastAsiaTheme="minorHAnsi"/>
        </w:rPr>
        <w:t>20.</w:t>
      </w:r>
      <w:r w:rsidRPr="00535FF4">
        <w:t xml:space="preserve"> Annual movements are largely driven by:</w:t>
      </w:r>
    </w:p>
    <w:p w:rsidR="00566E9A" w:rsidRDefault="00566E9A" w:rsidP="00AE5760">
      <w:pPr>
        <w:pStyle w:val="BulletText"/>
      </w:pPr>
      <w:r>
        <w:t xml:space="preserve">a decrease in the </w:t>
      </w:r>
      <w:r w:rsidRPr="00D6032A">
        <w:rPr>
          <w:rFonts w:eastAsiaTheme="minorHAnsi"/>
        </w:rPr>
        <w:t xml:space="preserve">prepaid port license fees </w:t>
      </w:r>
      <w:r>
        <w:t>of $117 million in 2016</w:t>
      </w:r>
      <w:r>
        <w:noBreakHyphen/>
        <w:t xml:space="preserve">17 associated with the finalisation of </w:t>
      </w:r>
      <w:r w:rsidRPr="00D6032A">
        <w:rPr>
          <w:rFonts w:eastAsiaTheme="minorHAnsi"/>
        </w:rPr>
        <w:t>entering into a medium</w:t>
      </w:r>
      <w:r w:rsidRPr="00D6032A">
        <w:rPr>
          <w:rFonts w:eastAsiaTheme="minorHAnsi"/>
        </w:rPr>
        <w:noBreakHyphen/>
        <w:t>term lease over the operations of the Port of Melbourne</w:t>
      </w:r>
      <w:r>
        <w:t>;</w:t>
      </w:r>
      <w:r w:rsidRPr="00F85667">
        <w:t xml:space="preserve"> </w:t>
      </w:r>
      <w:r>
        <w:t>and</w:t>
      </w:r>
    </w:p>
    <w:p w:rsidR="00566E9A" w:rsidRDefault="00566E9A" w:rsidP="00AE5760">
      <w:pPr>
        <w:pStyle w:val="BulletText"/>
      </w:pPr>
      <w:r>
        <w:t xml:space="preserve">an increase in </w:t>
      </w:r>
      <w:r w:rsidRPr="004A39DA">
        <w:t xml:space="preserve">First </w:t>
      </w:r>
      <w:r>
        <w:t>H</w:t>
      </w:r>
      <w:r w:rsidRPr="004A39DA">
        <w:t xml:space="preserve">ome </w:t>
      </w:r>
      <w:r>
        <w:t>Owners</w:t>
      </w:r>
      <w:r w:rsidRPr="004A39DA">
        <w:t xml:space="preserve"> </w:t>
      </w:r>
      <w:r>
        <w:t>G</w:t>
      </w:r>
      <w:r w:rsidRPr="004A39DA">
        <w:t>rant (FHOG) expenses</w:t>
      </w:r>
      <w:r>
        <w:t xml:space="preserve"> of $148 million over the forward estimates reflecting the impact of stronger growth in the property market.</w:t>
      </w:r>
    </w:p>
    <w:p w:rsidR="00566E9A" w:rsidRDefault="00566E9A" w:rsidP="00AE5760">
      <w:r>
        <w:lastRenderedPageBreak/>
        <w:t>This has been offs</w:t>
      </w:r>
      <w:r w:rsidRPr="00DC40D9">
        <w:t>et by</w:t>
      </w:r>
      <w:r>
        <w:t xml:space="preserve"> </w:t>
      </w:r>
      <w:r w:rsidRPr="00A152CB">
        <w:t>lower superannuation expense, primarily due to movements in the bond yields that underlie the key super</w:t>
      </w:r>
      <w:r>
        <w:t xml:space="preserve">annuation valuation assumptions and </w:t>
      </w:r>
      <w:r>
        <w:rPr>
          <w:rFonts w:eastAsiaTheme="minorHAnsi"/>
        </w:rPr>
        <w:t xml:space="preserve">the </w:t>
      </w:r>
      <w:r w:rsidRPr="00F5392E">
        <w:t xml:space="preserve">reclassification of contributions from </w:t>
      </w:r>
      <w:r>
        <w:t>the PFC sector.</w:t>
      </w:r>
    </w:p>
    <w:p w:rsidR="00566E9A" w:rsidRPr="000E54D5" w:rsidRDefault="00566E9A" w:rsidP="00AE5760">
      <w:pPr>
        <w:rPr>
          <w:highlight w:val="yellow"/>
        </w:rPr>
      </w:pPr>
      <w:r>
        <w:t>The 2016</w:t>
      </w:r>
      <w:r>
        <w:noBreakHyphen/>
        <w:t>17 estimate has also been impacted by additional departmental expenditure on government services that was originally planned for 2015</w:t>
      </w:r>
      <w:r>
        <w:noBreakHyphen/>
        <w:t>16</w:t>
      </w:r>
      <w:r w:rsidRPr="00815DAD">
        <w:t>.</w:t>
      </w:r>
    </w:p>
    <w:p w:rsidR="00566E9A" w:rsidRPr="000E0810" w:rsidRDefault="00566E9A" w:rsidP="00AE5760">
      <w:pPr>
        <w:pStyle w:val="Heading2"/>
        <w:rPr>
          <w:rFonts w:eastAsiaTheme="minorHAnsi"/>
        </w:rPr>
      </w:pPr>
      <w:r w:rsidRPr="000E0810">
        <w:rPr>
          <w:rFonts w:eastAsiaTheme="minorHAnsi"/>
        </w:rPr>
        <w:t>Capital expenditure</w:t>
      </w:r>
    </w:p>
    <w:p w:rsidR="00566E9A" w:rsidRPr="000E0810" w:rsidRDefault="00566E9A" w:rsidP="00AE5760">
      <w:pPr>
        <w:rPr>
          <w:rFonts w:eastAsiaTheme="minorHAnsi"/>
        </w:rPr>
      </w:pPr>
      <w:r>
        <w:rPr>
          <w:rFonts w:eastAsiaTheme="minorHAnsi"/>
        </w:rPr>
        <w:t xml:space="preserve">The Government invests </w:t>
      </w:r>
      <w:r w:rsidRPr="000E0810">
        <w:rPr>
          <w:rFonts w:eastAsiaTheme="minorHAnsi"/>
        </w:rPr>
        <w:t xml:space="preserve">in new </w:t>
      </w:r>
      <w:r>
        <w:rPr>
          <w:rFonts w:eastAsiaTheme="minorHAnsi"/>
        </w:rPr>
        <w:t xml:space="preserve">and upgraded </w:t>
      </w:r>
      <w:r w:rsidRPr="000E0810">
        <w:rPr>
          <w:rFonts w:eastAsiaTheme="minorHAnsi"/>
        </w:rPr>
        <w:t>infrastructure to meet the needs of the State</w:t>
      </w:r>
      <w:r>
        <w:rPr>
          <w:rFonts w:eastAsiaTheme="minorHAnsi"/>
        </w:rPr>
        <w:t>’</w:t>
      </w:r>
      <w:r w:rsidRPr="000E0810">
        <w:rPr>
          <w:rFonts w:eastAsiaTheme="minorHAnsi"/>
        </w:rPr>
        <w:t>s g</w:t>
      </w:r>
      <w:r>
        <w:rPr>
          <w:rFonts w:eastAsiaTheme="minorHAnsi"/>
        </w:rPr>
        <w:t xml:space="preserve">rowing </w:t>
      </w:r>
      <w:r w:rsidRPr="000E0810">
        <w:rPr>
          <w:rFonts w:eastAsiaTheme="minorHAnsi"/>
        </w:rPr>
        <w:t xml:space="preserve">population and expanding economy. </w:t>
      </w:r>
      <w:r>
        <w:rPr>
          <w:rFonts w:eastAsiaTheme="minorHAnsi"/>
        </w:rPr>
        <w:t xml:space="preserve">This investment is delivered through a variety of financing and contractual arrangements including projects that are directly managed by Government, and other projects that are delivered by the private sector through </w:t>
      </w:r>
      <w:r w:rsidRPr="000E0810">
        <w:rPr>
          <w:rFonts w:eastAsiaTheme="minorHAnsi"/>
        </w:rPr>
        <w:t xml:space="preserve">public private partnerships (PPPs). </w:t>
      </w:r>
      <w:r>
        <w:rPr>
          <w:rFonts w:eastAsiaTheme="minorHAnsi"/>
        </w:rPr>
        <w:t>The GII measure provides a comprehensive picture of the investment across Victoria that is funded or facilitated by the Government.</w:t>
      </w:r>
    </w:p>
    <w:p w:rsidR="00566E9A" w:rsidRDefault="00566E9A" w:rsidP="00AE5760">
      <w:pPr>
        <w:rPr>
          <w:rFonts w:eastAsiaTheme="minorHAnsi"/>
        </w:rPr>
      </w:pPr>
      <w:r w:rsidRPr="000E0810">
        <w:rPr>
          <w:rFonts w:eastAsiaTheme="minorHAnsi"/>
        </w:rPr>
        <w:t>G</w:t>
      </w:r>
      <w:r>
        <w:rPr>
          <w:rFonts w:eastAsiaTheme="minorHAnsi"/>
        </w:rPr>
        <w:t>II averages $8.4 billion across the budget and forward estimates, compared with an average GII for the 11 years to 2015</w:t>
      </w:r>
      <w:r>
        <w:rPr>
          <w:rFonts w:eastAsiaTheme="minorHAnsi"/>
        </w:rPr>
        <w:noBreakHyphen/>
        <w:t>16 of $4.9 billion (Chart 3.1). The spending projected across the budget and forward estimates reflects substantial and ongoing investment in core services such as health, education and public safety, together with significant funding for transformative projects, including the Melbourne Metro Tunnel</w:t>
      </w:r>
      <w:r w:rsidRPr="00165693">
        <w:rPr>
          <w:rFonts w:eastAsiaTheme="minorHAnsi"/>
        </w:rPr>
        <w:t xml:space="preserve"> </w:t>
      </w:r>
      <w:r>
        <w:rPr>
          <w:rFonts w:eastAsiaTheme="minorHAnsi"/>
        </w:rPr>
        <w:t>and the Western Distributor.</w:t>
      </w:r>
    </w:p>
    <w:p w:rsidR="00566E9A" w:rsidRDefault="00566E9A" w:rsidP="00AE5760">
      <w:pPr>
        <w:pStyle w:val="Tableheading"/>
        <w:rPr>
          <w:rFonts w:eastAsiaTheme="minorHAnsi"/>
          <w:vertAlign w:val="superscript"/>
        </w:rPr>
      </w:pPr>
      <w:r w:rsidRPr="00165693">
        <w:rPr>
          <w:rFonts w:eastAsiaTheme="minorHAnsi"/>
        </w:rPr>
        <w:t xml:space="preserve">Chart </w:t>
      </w:r>
      <w:r>
        <w:rPr>
          <w:rFonts w:eastAsiaTheme="minorHAnsi"/>
        </w:rPr>
        <w:t>3</w:t>
      </w:r>
      <w:r w:rsidRPr="00165693">
        <w:rPr>
          <w:rFonts w:eastAsiaTheme="minorHAnsi"/>
        </w:rPr>
        <w:t>.1:</w:t>
      </w:r>
      <w:r w:rsidRPr="00165693">
        <w:rPr>
          <w:rFonts w:eastAsiaTheme="minorHAnsi"/>
        </w:rPr>
        <w:tab/>
        <w:t>Government infrastructure investment</w:t>
      </w:r>
      <w:r>
        <w:rPr>
          <w:rFonts w:eastAsiaTheme="minorHAnsi"/>
          <w:vertAlign w:val="superscript"/>
        </w:rPr>
        <w:t>(a)(b)</w:t>
      </w:r>
    </w:p>
    <w:p w:rsidR="00566E9A" w:rsidRPr="00165693" w:rsidRDefault="009E1D64" w:rsidP="00AE5760">
      <w:pPr>
        <w:pStyle w:val="Source"/>
        <w:rPr>
          <w:rFonts w:eastAsiaTheme="minorHAnsi"/>
        </w:rPr>
      </w:pPr>
      <w:r>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5pt;height:250.4pt">
            <v:imagedata r:id="rId18" o:title=""/>
          </v:shape>
        </w:pict>
      </w:r>
      <w:r w:rsidR="00566E9A" w:rsidRPr="00165693">
        <w:rPr>
          <w:rFonts w:eastAsiaTheme="minorHAnsi"/>
        </w:rPr>
        <w:t>Source: Department of Treasury and Finance</w:t>
      </w:r>
    </w:p>
    <w:p w:rsidR="00566E9A" w:rsidRPr="00165693" w:rsidRDefault="00566E9A" w:rsidP="00AE5760">
      <w:pPr>
        <w:pStyle w:val="Notes"/>
        <w:rPr>
          <w:rFonts w:eastAsiaTheme="minorHAnsi"/>
        </w:rPr>
      </w:pPr>
      <w:r w:rsidRPr="00165693">
        <w:rPr>
          <w:rFonts w:eastAsiaTheme="minorHAnsi"/>
        </w:rPr>
        <w:t>Notes:</w:t>
      </w:r>
    </w:p>
    <w:p w:rsidR="00566E9A" w:rsidRPr="00165693" w:rsidRDefault="00566E9A" w:rsidP="00AE5760">
      <w:pPr>
        <w:pStyle w:val="Notes"/>
        <w:rPr>
          <w:rFonts w:eastAsiaTheme="minorHAnsi"/>
        </w:rPr>
      </w:pPr>
      <w:r w:rsidRPr="00165693">
        <w:rPr>
          <w:rFonts w:eastAsiaTheme="minorHAnsi"/>
        </w:rPr>
        <w:t xml:space="preserve">(a) </w:t>
      </w:r>
      <w:r w:rsidRPr="00165693">
        <w:rPr>
          <w:rFonts w:eastAsiaTheme="minorHAnsi"/>
        </w:rPr>
        <w:tab/>
        <w:t>Includes general government net infrastructure investment and estimated cash</w:t>
      </w:r>
      <w:r>
        <w:rPr>
          <w:rFonts w:eastAsiaTheme="minorHAnsi"/>
        </w:rPr>
        <w:t xml:space="preserve"> </w:t>
      </w:r>
      <w:r w:rsidRPr="00165693">
        <w:rPr>
          <w:rFonts w:eastAsiaTheme="minorHAnsi"/>
        </w:rPr>
        <w:t xml:space="preserve">flows for </w:t>
      </w:r>
      <w:r w:rsidRPr="00822982">
        <w:rPr>
          <w:rFonts w:eastAsiaTheme="minorHAnsi"/>
          <w:i w:val="0"/>
        </w:rPr>
        <w:t>Partnerships Victoria</w:t>
      </w:r>
      <w:r w:rsidRPr="00165693">
        <w:rPr>
          <w:rFonts w:eastAsiaTheme="minorHAnsi"/>
        </w:rPr>
        <w:t xml:space="preserve"> projects.</w:t>
      </w:r>
    </w:p>
    <w:p w:rsidR="00566E9A" w:rsidRDefault="00566E9A" w:rsidP="00AE5760">
      <w:pPr>
        <w:pStyle w:val="Notes"/>
        <w:rPr>
          <w:rFonts w:eastAsiaTheme="minorHAnsi"/>
        </w:rPr>
      </w:pPr>
      <w:r w:rsidRPr="00165693">
        <w:rPr>
          <w:rFonts w:eastAsiaTheme="minorHAnsi"/>
        </w:rPr>
        <w:t>(</w:t>
      </w:r>
      <w:r>
        <w:rPr>
          <w:rFonts w:eastAsiaTheme="minorHAnsi"/>
        </w:rPr>
        <w:t xml:space="preserve">b) </w:t>
      </w:r>
      <w:r>
        <w:rPr>
          <w:rFonts w:eastAsiaTheme="minorHAnsi"/>
        </w:rPr>
        <w:tab/>
        <w:t xml:space="preserve">Excludes the impact </w:t>
      </w:r>
      <w:r w:rsidRPr="00165693">
        <w:rPr>
          <w:rFonts w:eastAsiaTheme="minorHAnsi"/>
        </w:rPr>
        <w:t>of the medium</w:t>
      </w:r>
      <w:r>
        <w:rPr>
          <w:rFonts w:eastAsiaTheme="minorHAnsi"/>
          <w:i w:val="0"/>
        </w:rPr>
        <w:noBreakHyphen/>
      </w:r>
      <w:r w:rsidRPr="00165693">
        <w:rPr>
          <w:rFonts w:eastAsiaTheme="minorHAnsi"/>
        </w:rPr>
        <w:t>term lease over the operations of the Port of Melbourne.</w:t>
      </w:r>
    </w:p>
    <w:p w:rsidR="00566E9A" w:rsidRPr="00165693" w:rsidRDefault="00566E9A" w:rsidP="00AE5760">
      <w:pPr>
        <w:pStyle w:val="Heading2"/>
        <w:rPr>
          <w:rFonts w:eastAsiaTheme="minorHAnsi"/>
        </w:rPr>
      </w:pPr>
      <w:r w:rsidRPr="00165693">
        <w:rPr>
          <w:rFonts w:eastAsiaTheme="minorHAnsi"/>
        </w:rPr>
        <w:lastRenderedPageBreak/>
        <w:t>Net debt</w:t>
      </w:r>
    </w:p>
    <w:p w:rsidR="00566E9A" w:rsidRDefault="00566E9A" w:rsidP="00AE5760">
      <w:pPr>
        <w:rPr>
          <w:rFonts w:eastAsiaTheme="minorHAnsi"/>
        </w:rPr>
      </w:pPr>
      <w:r>
        <w:rPr>
          <w:rFonts w:eastAsiaTheme="minorHAnsi"/>
        </w:rPr>
        <w:t>N</w:t>
      </w:r>
      <w:r w:rsidRPr="00165693">
        <w:rPr>
          <w:rFonts w:eastAsiaTheme="minorHAnsi"/>
        </w:rPr>
        <w:t xml:space="preserve">et debt as a proportion of GSP is expected to be </w:t>
      </w:r>
      <w:r>
        <w:rPr>
          <w:rFonts w:eastAsiaTheme="minorHAnsi"/>
        </w:rPr>
        <w:t>4.5 per cent</w:t>
      </w:r>
      <w:r w:rsidRPr="00165693">
        <w:rPr>
          <w:rFonts w:eastAsiaTheme="minorHAnsi"/>
        </w:rPr>
        <w:t xml:space="preserve"> at June 201</w:t>
      </w:r>
      <w:r>
        <w:rPr>
          <w:rFonts w:eastAsiaTheme="minorHAnsi"/>
        </w:rPr>
        <w:t>7</w:t>
      </w:r>
      <w:r w:rsidRPr="00165693">
        <w:rPr>
          <w:rFonts w:eastAsiaTheme="minorHAnsi"/>
        </w:rPr>
        <w:t xml:space="preserve"> (Chart </w:t>
      </w:r>
      <w:r>
        <w:rPr>
          <w:rFonts w:eastAsiaTheme="minorHAnsi"/>
        </w:rPr>
        <w:t>3</w:t>
      </w:r>
      <w:r w:rsidRPr="00165693">
        <w:rPr>
          <w:rFonts w:eastAsiaTheme="minorHAnsi"/>
        </w:rPr>
        <w:t>.2)</w:t>
      </w:r>
      <w:r>
        <w:rPr>
          <w:rFonts w:eastAsiaTheme="minorHAnsi"/>
        </w:rPr>
        <w:t>. The reduction from 2015</w:t>
      </w:r>
      <w:r>
        <w:noBreakHyphen/>
      </w:r>
      <w:r>
        <w:rPr>
          <w:rFonts w:eastAsiaTheme="minorHAnsi"/>
        </w:rPr>
        <w:t xml:space="preserve">16 </w:t>
      </w:r>
      <w:r w:rsidRPr="00165693">
        <w:rPr>
          <w:rFonts w:eastAsiaTheme="minorHAnsi"/>
        </w:rPr>
        <w:t>largely reflect</w:t>
      </w:r>
      <w:r>
        <w:rPr>
          <w:rFonts w:eastAsiaTheme="minorHAnsi"/>
        </w:rPr>
        <w:t>s</w:t>
      </w:r>
      <w:r w:rsidRPr="00165693">
        <w:rPr>
          <w:rFonts w:eastAsiaTheme="minorHAnsi"/>
        </w:rPr>
        <w:t xml:space="preserve"> the receipt of proceeds from entering into a medium</w:t>
      </w:r>
      <w:r>
        <w:rPr>
          <w:rFonts w:eastAsiaTheme="minorHAnsi"/>
        </w:rPr>
        <w:noBreakHyphen/>
      </w:r>
      <w:r w:rsidRPr="00165693">
        <w:rPr>
          <w:rFonts w:eastAsiaTheme="minorHAnsi"/>
        </w:rPr>
        <w:t>term lease over the opera</w:t>
      </w:r>
      <w:r>
        <w:rPr>
          <w:rFonts w:eastAsiaTheme="minorHAnsi"/>
        </w:rPr>
        <w:t>tions of the Port of Melbourne.</w:t>
      </w:r>
    </w:p>
    <w:p w:rsidR="00566E9A" w:rsidRDefault="00566E9A" w:rsidP="00AE5760">
      <w:pPr>
        <w:rPr>
          <w:rFonts w:eastAsiaTheme="minorHAnsi"/>
        </w:rPr>
      </w:pPr>
      <w:r>
        <w:rPr>
          <w:rFonts w:eastAsiaTheme="minorHAnsi"/>
        </w:rPr>
        <w:t>Over the forward estimates, net debt to GSP is expected to increase to 5.4 per cent b</w:t>
      </w:r>
      <w:r w:rsidRPr="00165693">
        <w:rPr>
          <w:rFonts w:eastAsiaTheme="minorHAnsi"/>
        </w:rPr>
        <w:t>y June 2020</w:t>
      </w:r>
      <w:r>
        <w:rPr>
          <w:rFonts w:eastAsiaTheme="minorHAnsi"/>
        </w:rPr>
        <w:t>. This reflects the Government’s substantial and ongoing investment in infrastructure projects.</w:t>
      </w:r>
    </w:p>
    <w:p w:rsidR="00566E9A" w:rsidRDefault="00566E9A" w:rsidP="00AE5760">
      <w:pPr>
        <w:pStyle w:val="Tableheading"/>
        <w:rPr>
          <w:rFonts w:eastAsiaTheme="minorHAnsi"/>
        </w:rPr>
      </w:pPr>
      <w:r w:rsidRPr="00165693">
        <w:rPr>
          <w:rFonts w:eastAsiaTheme="minorHAnsi"/>
        </w:rPr>
        <w:t xml:space="preserve">Chart </w:t>
      </w:r>
      <w:r>
        <w:rPr>
          <w:rFonts w:eastAsiaTheme="minorHAnsi"/>
        </w:rPr>
        <w:t>3</w:t>
      </w:r>
      <w:r w:rsidRPr="00165693">
        <w:rPr>
          <w:rFonts w:eastAsiaTheme="minorHAnsi"/>
        </w:rPr>
        <w:t>.2:</w:t>
      </w:r>
      <w:r w:rsidRPr="00165693">
        <w:rPr>
          <w:rFonts w:eastAsiaTheme="minorHAnsi"/>
        </w:rPr>
        <w:tab/>
      </w:r>
      <w:r>
        <w:rPr>
          <w:rFonts w:eastAsiaTheme="minorHAnsi"/>
        </w:rPr>
        <w:t>General government sector net debt</w:t>
      </w:r>
    </w:p>
    <w:p w:rsidR="00566E9A" w:rsidRDefault="009E1D64" w:rsidP="00AE5760">
      <w:pPr>
        <w:pStyle w:val="Source"/>
        <w:rPr>
          <w:rFonts w:eastAsiaTheme="minorHAnsi"/>
        </w:rPr>
      </w:pPr>
      <w:r>
        <w:rPr>
          <w:rFonts w:eastAsiaTheme="minorHAnsi"/>
        </w:rPr>
        <w:pict>
          <v:shape id="_x0000_i1026" type="#_x0000_t75" style="width:393.3pt;height:256.85pt">
            <v:imagedata r:id="rId19" o:title=""/>
          </v:shape>
        </w:pict>
      </w:r>
      <w:r w:rsidR="00566E9A" w:rsidRPr="00165693">
        <w:rPr>
          <w:rFonts w:eastAsiaTheme="minorHAnsi"/>
        </w:rPr>
        <w:t>Source: Department of Treasury and Finance</w:t>
      </w:r>
    </w:p>
    <w:p w:rsidR="00566E9A" w:rsidRDefault="00566E9A" w:rsidP="00AE5760">
      <w:pPr>
        <w:spacing w:after="0"/>
      </w:pPr>
    </w:p>
    <w:p w:rsidR="00566E9A" w:rsidRDefault="00566E9A" w:rsidP="00AE5760">
      <w:r w:rsidRPr="003B6625">
        <w:t xml:space="preserve">The application of </w:t>
      </w:r>
      <w:r w:rsidRPr="007E4E2E">
        <w:t>cash resources for the general government sector</w:t>
      </w:r>
      <w:r w:rsidRPr="00E11E85">
        <w:t xml:space="preserve"> </w:t>
      </w:r>
      <w:r>
        <w:t>(Table 3.5) outlines the annual movements to net debt. General government sector</w:t>
      </w:r>
      <w:r w:rsidRPr="00614140">
        <w:t xml:space="preserve"> </w:t>
      </w:r>
      <w:r>
        <w:t xml:space="preserve">cash from operating activities is expected to </w:t>
      </w:r>
      <w:r w:rsidRPr="00614140">
        <w:t>averag</w:t>
      </w:r>
      <w:r>
        <w:t>e</w:t>
      </w:r>
      <w:r w:rsidRPr="00614140">
        <w:t xml:space="preserve"> $</w:t>
      </w:r>
      <w:r>
        <w:t>4.3 billion</w:t>
      </w:r>
      <w:r w:rsidRPr="00614140">
        <w:t xml:space="preserve"> a year over th</w:t>
      </w:r>
      <w:r>
        <w:t>e budget and forward estimates.</w:t>
      </w:r>
    </w:p>
    <w:p w:rsidR="00566E9A" w:rsidRDefault="00566E9A" w:rsidP="00AE5760">
      <w:r w:rsidRPr="0048495B">
        <w:t>Total net investment in fixed assets is projec</w:t>
      </w:r>
      <w:r>
        <w:t xml:space="preserve">ted to average $4.6 billion a year over the same period. Other annual movements to net debt primarily reflect the revised timing </w:t>
      </w:r>
      <w:r w:rsidRPr="00165693">
        <w:rPr>
          <w:rFonts w:eastAsiaTheme="minorHAnsi"/>
        </w:rPr>
        <w:t>from entering into a medium</w:t>
      </w:r>
      <w:r>
        <w:rPr>
          <w:rFonts w:eastAsiaTheme="minorHAnsi"/>
        </w:rPr>
        <w:noBreakHyphen/>
      </w:r>
      <w:r w:rsidRPr="00165693">
        <w:rPr>
          <w:rFonts w:eastAsiaTheme="minorHAnsi"/>
        </w:rPr>
        <w:t>term lease over the opera</w:t>
      </w:r>
      <w:r>
        <w:rPr>
          <w:rFonts w:eastAsiaTheme="minorHAnsi"/>
        </w:rPr>
        <w:t>tions of the Port of Melbourne.</w:t>
      </w:r>
    </w:p>
    <w:bookmarkEnd w:id="26"/>
    <w:bookmarkEnd w:id="27"/>
    <w:bookmarkEnd w:id="28"/>
    <w:bookmarkEnd w:id="29"/>
    <w:bookmarkEnd w:id="30"/>
    <w:p w:rsidR="00566E9A" w:rsidRDefault="00566E9A">
      <w:pPr>
        <w:spacing w:after="0"/>
        <w:rPr>
          <w:rFonts w:asciiTheme="majorHAnsi" w:hAnsiTheme="majorHAnsi"/>
          <w:b/>
        </w:rPr>
      </w:pPr>
      <w:r>
        <w:br w:type="page"/>
      </w:r>
    </w:p>
    <w:p w:rsidR="00566E9A" w:rsidRDefault="00566E9A" w:rsidP="00AE5760">
      <w:pPr>
        <w:pStyle w:val="Tableheading"/>
      </w:pPr>
      <w:r w:rsidRPr="002E2383">
        <w:lastRenderedPageBreak/>
        <w:t xml:space="preserve">Table </w:t>
      </w:r>
      <w:r>
        <w:t>3.5</w:t>
      </w:r>
      <w:r w:rsidRPr="002E2383">
        <w:t>:</w:t>
      </w:r>
      <w:r w:rsidRPr="002E2383">
        <w:tab/>
        <w:t xml:space="preserve">Application of cash </w:t>
      </w:r>
      <w:r w:rsidRPr="001B3FC5">
        <w:t>resources</w:t>
      </w:r>
      <w:r w:rsidRPr="002E2383">
        <w:t xml:space="preserve"> for the general government sector</w:t>
      </w:r>
      <w:r>
        <w:t xml:space="preserve"> </w:t>
      </w:r>
      <w:r w:rsidRPr="00907FA8">
        <w:rPr>
          <w:vertAlign w:val="superscript"/>
        </w:rPr>
        <w:t>(a)</w:t>
      </w:r>
    </w:p>
    <w:p w:rsidR="00566E9A" w:rsidRPr="00F5043E" w:rsidRDefault="00566E9A" w:rsidP="00AE5760">
      <w:pPr>
        <w:pStyle w:val="million"/>
        <w:rPr>
          <w:b/>
          <w:bCs/>
          <w:lang w:val="en-US"/>
        </w:rPr>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F5043E"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F5043E" w:rsidRDefault="00AE5760" w:rsidP="00AE5760">
            <w:pPr>
              <w:autoSpaceDE w:val="0"/>
              <w:autoSpaceDN w:val="0"/>
              <w:adjustRightInd w:val="0"/>
              <w:rPr>
                <w:rFonts w:eastAsiaTheme="minorEastAsia" w:cs="Calibri"/>
                <w:iCs/>
                <w:color w:val="FFFFFF"/>
              </w:rPr>
            </w:pPr>
            <w:r w:rsidRPr="00F5043E">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2016-17</w:t>
            </w:r>
            <w:r>
              <w:rPr>
                <w:rFonts w:eastAsiaTheme="minorEastAsia" w:cs="Helvetica"/>
                <w:iCs/>
                <w:color w:val="FFFFFF"/>
                <w:szCs w:val="18"/>
              </w:rPr>
              <w:br/>
            </w:r>
            <w:r w:rsidRPr="00F5043E">
              <w:rPr>
                <w:rFonts w:eastAsiaTheme="minorEastAsia" w:cs="Helvetica"/>
                <w:iCs/>
                <w:color w:val="FFFFFF"/>
                <w:szCs w:val="18"/>
              </w:rPr>
              <w:t>revised</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2017-18</w:t>
            </w:r>
            <w:r>
              <w:rPr>
                <w:rFonts w:eastAsiaTheme="minorEastAsia" w:cs="Helvetica"/>
                <w:iCs/>
                <w:color w:val="FFFFFF"/>
                <w:szCs w:val="18"/>
              </w:rPr>
              <w:br/>
            </w:r>
            <w:r w:rsidRPr="00F5043E">
              <w:rPr>
                <w:rFonts w:eastAsiaTheme="minorEastAsia" w:cs="Helvetica"/>
                <w:iCs/>
                <w:color w:val="FFFFFF"/>
                <w:szCs w:val="18"/>
              </w:rPr>
              <w:t>estimate</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2018-19</w:t>
            </w:r>
            <w:r>
              <w:rPr>
                <w:rFonts w:eastAsiaTheme="minorEastAsia" w:cs="Helvetica"/>
                <w:iCs/>
                <w:color w:val="FFFFFF"/>
                <w:szCs w:val="18"/>
              </w:rPr>
              <w:br/>
            </w:r>
            <w:r w:rsidRPr="00F5043E">
              <w:rPr>
                <w:rFonts w:eastAsiaTheme="minorEastAsia" w:cs="Helvetica"/>
                <w:iCs/>
                <w:color w:val="FFFFFF"/>
                <w:szCs w:val="18"/>
              </w:rPr>
              <w:t>estimate</w:t>
            </w:r>
          </w:p>
        </w:tc>
        <w:tc>
          <w:tcPr>
            <w:tcW w:w="850" w:type="dxa"/>
            <w:tcBorders>
              <w:top w:val="nil"/>
              <w:left w:val="nil"/>
              <w:right w:val="nil"/>
            </w:tcBorders>
            <w:shd w:val="solid" w:color="000000" w:fill="auto"/>
          </w:tcPr>
          <w:p w:rsidR="00AE5760" w:rsidRPr="00F5043E"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Cs w:val="18"/>
              </w:rPr>
            </w:pPr>
            <w:r w:rsidRPr="00F5043E">
              <w:rPr>
                <w:rFonts w:eastAsiaTheme="minorEastAsia" w:cs="Helvetica"/>
                <w:iCs/>
                <w:color w:val="FFFFFF"/>
                <w:szCs w:val="18"/>
              </w:rPr>
              <w:t>2019-20</w:t>
            </w:r>
            <w:r>
              <w:rPr>
                <w:rFonts w:eastAsiaTheme="minorEastAsia" w:cs="Helvetica"/>
                <w:iCs/>
                <w:color w:val="FFFFFF"/>
                <w:szCs w:val="18"/>
              </w:rPr>
              <w:br/>
            </w:r>
            <w:r w:rsidRPr="00F5043E">
              <w:rPr>
                <w:rFonts w:eastAsiaTheme="minorEastAsia" w:cs="Helvetica"/>
                <w:iCs/>
                <w:color w:val="FFFFFF"/>
                <w:szCs w:val="18"/>
              </w:rPr>
              <w:t>estimate</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Net result from transactions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1 729</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1 228</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1 778</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2 624</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000000"/>
              <w:right w:val="nil"/>
            </w:tcBorders>
          </w:tcPr>
          <w:p w:rsidR="00566E9A" w:rsidRPr="00F5043E" w:rsidRDefault="00566E9A" w:rsidP="00AE5760">
            <w:pPr>
              <w:autoSpaceDE w:val="0"/>
              <w:autoSpaceDN w:val="0"/>
              <w:adjustRightInd w:val="0"/>
              <w:rPr>
                <w:rFonts w:eastAsiaTheme="minorEastAsia" w:cs="Helvetica"/>
                <w:color w:val="000000"/>
                <w:szCs w:val="18"/>
                <w:vertAlign w:val="superscript"/>
              </w:rPr>
            </w:pPr>
            <w:r w:rsidRPr="00F5043E">
              <w:rPr>
                <w:rFonts w:eastAsiaTheme="minorEastAsia" w:cs="Helvetica"/>
                <w:color w:val="000000"/>
                <w:szCs w:val="18"/>
              </w:rPr>
              <w:t xml:space="preserve">Add back: non-cash revenue and expenses (net) </w:t>
            </w:r>
            <w:r w:rsidRPr="00F5043E">
              <w:rPr>
                <w:rFonts w:eastAsiaTheme="minorEastAsia" w:cs="Helvetica"/>
                <w:color w:val="000000"/>
                <w:szCs w:val="18"/>
                <w:vertAlign w:val="superscript"/>
              </w:rPr>
              <w:t>(b)</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2 227</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2 483</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2 377</w:t>
            </w:r>
          </w:p>
        </w:tc>
        <w:tc>
          <w:tcPr>
            <w:tcW w:w="850" w:type="dxa"/>
            <w:tcBorders>
              <w:top w:val="nil"/>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2 613</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Net cash flows from operating activities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3 956</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3 711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4 155</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5 237</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Less: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Net investment in fixed assets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Purchases of non-financial assets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7 768</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7 802</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7 349</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6 278</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vertAlign w:val="superscript"/>
              </w:rPr>
            </w:pPr>
            <w:r w:rsidRPr="00F5043E">
              <w:rPr>
                <w:rFonts w:eastAsiaTheme="minorEastAsia" w:cs="Helvetica"/>
                <w:color w:val="000000"/>
                <w:szCs w:val="18"/>
              </w:rPr>
              <w:t xml:space="preserve">Net cash flows from investments in financial assets for policy purposes </w:t>
            </w:r>
            <w:r w:rsidRPr="00F5043E">
              <w:rPr>
                <w:rFonts w:eastAsiaTheme="minorEastAsia" w:cs="Helvetica"/>
                <w:color w:val="000000"/>
                <w:szCs w:val="18"/>
                <w:vertAlign w:val="superscript"/>
              </w:rPr>
              <w:t xml:space="preserve">(c)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(605)</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(2 863)</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(2 781)</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(2 453)</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rPr>
            </w:pPr>
            <w:r w:rsidRPr="00F5043E">
              <w:rPr>
                <w:rFonts w:eastAsiaTheme="minorEastAsia" w:cs="Helvetica"/>
                <w:color w:val="000000"/>
                <w:szCs w:val="18"/>
              </w:rPr>
              <w:t>Proceeds from asset sales</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(432)</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(680)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(484)</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(352)</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nil"/>
              <w:right w:val="nil"/>
            </w:tcBorders>
          </w:tcPr>
          <w:p w:rsidR="00566E9A" w:rsidRPr="00F5043E" w:rsidRDefault="00566E9A" w:rsidP="00AE5760">
            <w:pPr>
              <w:autoSpaceDE w:val="0"/>
              <w:autoSpaceDN w:val="0"/>
              <w:adjustRightInd w:val="0"/>
              <w:rPr>
                <w:rFonts w:eastAsiaTheme="minorEastAsia" w:cs="Helvetica"/>
                <w:b/>
                <w:bCs/>
                <w:color w:val="000000"/>
                <w:szCs w:val="18"/>
                <w:vertAlign w:val="superscript"/>
              </w:rPr>
            </w:pPr>
            <w:r w:rsidRPr="00F5043E">
              <w:rPr>
                <w:rFonts w:eastAsiaTheme="minorEastAsia" w:cs="Helvetica"/>
                <w:b/>
                <w:bCs/>
                <w:color w:val="000000"/>
                <w:szCs w:val="18"/>
              </w:rPr>
              <w:t xml:space="preserve">Total net investment in fixed assets </w:t>
            </w:r>
            <w:r w:rsidRPr="00F5043E">
              <w:rPr>
                <w:rFonts w:eastAsiaTheme="minorEastAsia" w:cs="Helvetica"/>
                <w:b/>
                <w:bCs/>
                <w:color w:val="000000"/>
                <w:szCs w:val="18"/>
                <w:vertAlign w:val="superscript"/>
              </w:rPr>
              <w:t>(d)</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6 730</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4 260</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4 083</w:t>
            </w:r>
          </w:p>
        </w:tc>
        <w:tc>
          <w:tcPr>
            <w:tcW w:w="850" w:type="dxa"/>
            <w:tcBorders>
              <w:top w:val="single" w:sz="6" w:space="0" w:color="000000"/>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3 473</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single" w:sz="6" w:space="0" w:color="000000"/>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Surplus/(deficit) of cash from operations after funding net investment in fixed assets</w:t>
            </w:r>
          </w:p>
        </w:tc>
        <w:tc>
          <w:tcPr>
            <w:tcW w:w="850" w:type="dxa"/>
            <w:tcBorders>
              <w:top w:val="single" w:sz="6" w:space="0" w:color="000000"/>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(2 774)</w:t>
            </w:r>
          </w:p>
        </w:tc>
        <w:tc>
          <w:tcPr>
            <w:tcW w:w="850" w:type="dxa"/>
            <w:tcBorders>
              <w:top w:val="single" w:sz="6" w:space="0" w:color="000000"/>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(549)</w:t>
            </w:r>
          </w:p>
        </w:tc>
        <w:tc>
          <w:tcPr>
            <w:tcW w:w="850" w:type="dxa"/>
            <w:tcBorders>
              <w:top w:val="single" w:sz="6" w:space="0" w:color="000000"/>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71</w:t>
            </w:r>
          </w:p>
        </w:tc>
        <w:tc>
          <w:tcPr>
            <w:tcW w:w="850" w:type="dxa"/>
            <w:tcBorders>
              <w:top w:val="single" w:sz="6" w:space="0" w:color="000000"/>
              <w:left w:val="nil"/>
              <w:bottom w:val="single" w:sz="6"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1 764</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vertAlign w:val="superscript"/>
              </w:rPr>
            </w:pPr>
            <w:r w:rsidRPr="00F5043E">
              <w:rPr>
                <w:rFonts w:eastAsiaTheme="minorEastAsia" w:cs="Helvetica"/>
                <w:color w:val="000000"/>
                <w:szCs w:val="18"/>
              </w:rPr>
              <w:t xml:space="preserve">Finance leases </w:t>
            </w:r>
            <w:r w:rsidRPr="00F5043E">
              <w:rPr>
                <w:rFonts w:eastAsiaTheme="minorEastAsia" w:cs="Helvetica"/>
                <w:color w:val="000000"/>
                <w:szCs w:val="18"/>
                <w:vertAlign w:val="superscript"/>
              </w:rPr>
              <w:t>(e)</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517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647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596</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349</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F5043E" w:rsidRDefault="00566E9A" w:rsidP="00AE5760">
            <w:pPr>
              <w:autoSpaceDE w:val="0"/>
              <w:autoSpaceDN w:val="0"/>
              <w:adjustRightInd w:val="0"/>
              <w:rPr>
                <w:rFonts w:eastAsiaTheme="minorEastAsia" w:cs="Helvetica"/>
                <w:color w:val="000000"/>
                <w:szCs w:val="18"/>
                <w:vertAlign w:val="superscript"/>
              </w:rPr>
            </w:pPr>
            <w:r w:rsidRPr="00F5043E">
              <w:rPr>
                <w:rFonts w:eastAsiaTheme="minorEastAsia" w:cs="Helvetica"/>
                <w:color w:val="000000"/>
                <w:szCs w:val="18"/>
              </w:rPr>
              <w:t xml:space="preserve">Other movements </w:t>
            </w:r>
            <w:r w:rsidRPr="00F5043E">
              <w:rPr>
                <w:rFonts w:eastAsiaTheme="minorEastAsia" w:cs="Helvetica"/>
                <w:color w:val="000000"/>
                <w:szCs w:val="18"/>
                <w:vertAlign w:val="superscript"/>
              </w:rPr>
              <w:t xml:space="preserve">(c) </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Pr>
                <w:rFonts w:eastAsiaTheme="minorEastAsia" w:cs="Helvetica"/>
                <w:color w:val="000000"/>
                <w:szCs w:val="18"/>
              </w:rPr>
              <w:t>(8 009)</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2 247</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2 430</w:t>
            </w:r>
          </w:p>
        </w:tc>
        <w:tc>
          <w:tcPr>
            <w:tcW w:w="850" w:type="dxa"/>
            <w:tcBorders>
              <w:top w:val="nil"/>
              <w:left w:val="nil"/>
              <w:bottom w:val="nil"/>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rPr>
            </w:pPr>
            <w:r w:rsidRPr="00F5043E">
              <w:rPr>
                <w:rFonts w:eastAsiaTheme="minorEastAsia" w:cs="Helvetica"/>
                <w:color w:val="000000"/>
                <w:szCs w:val="18"/>
              </w:rPr>
              <w:t>1 925</w:t>
            </w:r>
          </w:p>
        </w:tc>
      </w:tr>
      <w:tr w:rsidR="00566E9A" w:rsidRPr="00F5043E"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rPr>
                <w:rFonts w:eastAsiaTheme="minorEastAsia" w:cs="Helvetica"/>
                <w:b/>
                <w:bCs/>
                <w:color w:val="000000"/>
                <w:szCs w:val="18"/>
              </w:rPr>
            </w:pPr>
            <w:r w:rsidRPr="00F5043E">
              <w:rPr>
                <w:rFonts w:eastAsiaTheme="minorEastAsia" w:cs="Helvetica"/>
                <w:b/>
                <w:bCs/>
                <w:color w:val="000000"/>
                <w:szCs w:val="18"/>
              </w:rPr>
              <w:t>Decrease/(increase) in net debt</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sidRPr="00F5043E">
              <w:rPr>
                <w:rFonts w:eastAsiaTheme="minorEastAsia" w:cs="Helvetica"/>
                <w:b/>
                <w:bCs/>
                <w:color w:val="000000"/>
                <w:szCs w:val="18"/>
              </w:rPr>
              <w:t>4 718</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(3 442)</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(2 955)</w:t>
            </w:r>
          </w:p>
        </w:tc>
        <w:tc>
          <w:tcPr>
            <w:tcW w:w="850" w:type="dxa"/>
            <w:tcBorders>
              <w:top w:val="single" w:sz="6" w:space="0" w:color="000000"/>
              <w:left w:val="nil"/>
              <w:bottom w:val="single" w:sz="12" w:space="0" w:color="000000"/>
              <w:right w:val="nil"/>
            </w:tcBorders>
          </w:tcPr>
          <w:p w:rsidR="00566E9A" w:rsidRPr="00F5043E"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rPr>
            </w:pPr>
            <w:r>
              <w:rPr>
                <w:rFonts w:eastAsiaTheme="minorEastAsia" w:cs="Helvetica"/>
                <w:b/>
                <w:bCs/>
                <w:color w:val="000000"/>
                <w:szCs w:val="18"/>
              </w:rPr>
              <w:t>(510)</w:t>
            </w:r>
          </w:p>
        </w:tc>
      </w:tr>
    </w:tbl>
    <w:p w:rsidR="00566E9A" w:rsidRDefault="00566E9A" w:rsidP="00AE5760">
      <w:pPr>
        <w:pStyle w:val="Source"/>
      </w:pPr>
      <w:r>
        <w:t>S</w:t>
      </w:r>
      <w:r w:rsidRPr="002E2383">
        <w:t>ource: Department of Treasury and Finance</w:t>
      </w:r>
    </w:p>
    <w:p w:rsidR="00566E9A" w:rsidRPr="001B3FC5" w:rsidRDefault="00566E9A" w:rsidP="00AE5760">
      <w:pPr>
        <w:pStyle w:val="Notes"/>
      </w:pPr>
      <w:r w:rsidRPr="001B3FC5">
        <w:t>Notes:</w:t>
      </w:r>
    </w:p>
    <w:p w:rsidR="00566E9A" w:rsidRPr="001B3FC5" w:rsidRDefault="00566E9A" w:rsidP="00AE5760">
      <w:pPr>
        <w:pStyle w:val="Notes"/>
      </w:pPr>
      <w:r w:rsidRPr="001B3FC5">
        <w:t xml:space="preserve">(a) </w:t>
      </w:r>
      <w:r w:rsidRPr="001B3FC5">
        <w:tab/>
      </w:r>
      <w:r>
        <w:t>Figures in this table are subject to rounding to the nearest million and may not add up to totals.</w:t>
      </w:r>
    </w:p>
    <w:p w:rsidR="00566E9A" w:rsidRDefault="00566E9A" w:rsidP="00AE5760">
      <w:pPr>
        <w:pStyle w:val="Notes"/>
      </w:pPr>
      <w:r w:rsidRPr="001B3FC5">
        <w:t xml:space="preserve">(b) </w:t>
      </w:r>
      <w:r w:rsidRPr="001B3FC5">
        <w:tab/>
        <w:t>Includes depreciation, movements in the unfunded superannuation liability and liability for employee benefits.</w:t>
      </w:r>
    </w:p>
    <w:p w:rsidR="00566E9A" w:rsidRPr="001B3FC5" w:rsidRDefault="00566E9A" w:rsidP="00AE5760">
      <w:pPr>
        <w:pStyle w:val="Notes"/>
      </w:pPr>
      <w:r>
        <w:t>(c)</w:t>
      </w:r>
      <w:r>
        <w:tab/>
      </w:r>
      <w:r w:rsidRPr="00653D16">
        <w:t>Includes net advances to public non-financial corporations for policy purposes of $889 million in 2016-17, $2 193 million in 2017-18, $2 371 million in 2018-19 and $1 883 million in 2019-20.</w:t>
      </w:r>
    </w:p>
    <w:p w:rsidR="00566E9A" w:rsidRDefault="00566E9A" w:rsidP="00AE5760">
      <w:pPr>
        <w:pStyle w:val="Notes"/>
      </w:pPr>
      <w:r w:rsidRPr="001B3FC5">
        <w:t>(</w:t>
      </w:r>
      <w:r>
        <w:t>d)</w:t>
      </w:r>
      <w:r w:rsidRPr="001B3FC5">
        <w:tab/>
        <w:t>Includes total purchases of plant, property and equipment, and capital contributions to other sectors of government net of proceeds from asset sales.</w:t>
      </w:r>
    </w:p>
    <w:p w:rsidR="00566E9A" w:rsidRDefault="00566E9A" w:rsidP="00AE5760">
      <w:pPr>
        <w:pStyle w:val="Notes"/>
      </w:pPr>
      <w:r>
        <w:t>(e</w:t>
      </w:r>
      <w:r w:rsidRPr="001B3FC5">
        <w:t>)</w:t>
      </w:r>
      <w:r w:rsidRPr="001B3FC5">
        <w:tab/>
      </w:r>
      <w:r w:rsidRPr="005B0CA8">
        <w:rPr>
          <w:rFonts w:eastAsiaTheme="minorHAnsi"/>
        </w:rPr>
        <w:t>The finance lease acquisition</w:t>
      </w:r>
      <w:r>
        <w:rPr>
          <w:rFonts w:eastAsiaTheme="minorHAnsi"/>
        </w:rPr>
        <w:t>s</w:t>
      </w:r>
      <w:r w:rsidRPr="005B0CA8">
        <w:rPr>
          <w:rFonts w:eastAsiaTheme="minorHAnsi"/>
        </w:rPr>
        <w:t xml:space="preserve"> in 2016</w:t>
      </w:r>
      <w:r>
        <w:rPr>
          <w:rFonts w:eastAsiaTheme="minorHAnsi"/>
        </w:rPr>
        <w:noBreakHyphen/>
      </w:r>
      <w:r w:rsidRPr="005B0CA8">
        <w:rPr>
          <w:rFonts w:eastAsiaTheme="minorHAnsi"/>
        </w:rPr>
        <w:t>17 relate to the new Bendigo H</w:t>
      </w:r>
      <w:r>
        <w:rPr>
          <w:rFonts w:eastAsiaTheme="minorHAnsi"/>
        </w:rPr>
        <w:t>ospital project</w:t>
      </w:r>
      <w:r w:rsidRPr="005B0CA8">
        <w:rPr>
          <w:rFonts w:eastAsiaTheme="minorHAnsi"/>
        </w:rPr>
        <w:t>, the New Schools PPP project and the metropolitan Melbourne buses contract. The 2017</w:t>
      </w:r>
      <w:r>
        <w:rPr>
          <w:rFonts w:eastAsiaTheme="minorHAnsi"/>
        </w:rPr>
        <w:noBreakHyphen/>
      </w:r>
      <w:r w:rsidRPr="005B0CA8">
        <w:rPr>
          <w:rFonts w:eastAsiaTheme="minorHAnsi"/>
        </w:rPr>
        <w:t xml:space="preserve">18 estimate relates to the new Bendigo Hospital project, Ravenhall Prison </w:t>
      </w:r>
      <w:r>
        <w:rPr>
          <w:rFonts w:eastAsiaTheme="minorHAnsi"/>
        </w:rPr>
        <w:t>and the New Schools PPP project</w:t>
      </w:r>
      <w:r w:rsidRPr="005B0CA8">
        <w:rPr>
          <w:rFonts w:eastAsiaTheme="minorHAnsi"/>
        </w:rPr>
        <w:t xml:space="preserve">. </w:t>
      </w:r>
      <w:r w:rsidRPr="00165693">
        <w:rPr>
          <w:rFonts w:eastAsiaTheme="minorHAnsi"/>
        </w:rPr>
        <w:t xml:space="preserve">The </w:t>
      </w:r>
      <w:r>
        <w:rPr>
          <w:rFonts w:eastAsiaTheme="minorHAnsi"/>
        </w:rPr>
        <w:t>2018</w:t>
      </w:r>
      <w:r>
        <w:rPr>
          <w:rFonts w:eastAsiaTheme="minorHAnsi"/>
        </w:rPr>
        <w:noBreakHyphen/>
        <w:t>19</w:t>
      </w:r>
      <w:r w:rsidRPr="00165693">
        <w:rPr>
          <w:rFonts w:eastAsiaTheme="minorHAnsi"/>
        </w:rPr>
        <w:t xml:space="preserve"> and 2019</w:t>
      </w:r>
      <w:r>
        <w:rPr>
          <w:rFonts w:eastAsiaTheme="minorHAnsi"/>
        </w:rPr>
        <w:noBreakHyphen/>
        <w:t>20 estimates</w:t>
      </w:r>
      <w:r w:rsidRPr="00165693">
        <w:rPr>
          <w:rFonts w:eastAsiaTheme="minorHAnsi"/>
        </w:rPr>
        <w:t xml:space="preserve"> relate to the High </w:t>
      </w:r>
      <w:r>
        <w:rPr>
          <w:rFonts w:eastAsiaTheme="minorHAnsi"/>
        </w:rPr>
        <w:t>C</w:t>
      </w:r>
      <w:r w:rsidRPr="00165693">
        <w:rPr>
          <w:rFonts w:eastAsiaTheme="minorHAnsi"/>
        </w:rPr>
        <w:t xml:space="preserve">apacity </w:t>
      </w:r>
      <w:r>
        <w:rPr>
          <w:rFonts w:eastAsiaTheme="minorHAnsi"/>
        </w:rPr>
        <w:t>Metro T</w:t>
      </w:r>
      <w:r w:rsidRPr="00165693">
        <w:rPr>
          <w:rFonts w:eastAsiaTheme="minorHAnsi"/>
        </w:rPr>
        <w:t>rains</w:t>
      </w:r>
      <w:r>
        <w:rPr>
          <w:rFonts w:eastAsiaTheme="minorHAnsi"/>
        </w:rPr>
        <w:t xml:space="preserve"> Project.</w:t>
      </w:r>
    </w:p>
    <w:p w:rsidR="00566E9A" w:rsidRPr="00165693" w:rsidRDefault="00566E9A" w:rsidP="00AE5760">
      <w:pPr>
        <w:pStyle w:val="Heading2"/>
        <w:rPr>
          <w:rFonts w:eastAsiaTheme="minorHAnsi"/>
        </w:rPr>
      </w:pPr>
      <w:bookmarkStart w:id="31" w:name="_Toc401056872"/>
      <w:bookmarkStart w:id="32" w:name="_Toc401147494"/>
      <w:bookmarkStart w:id="33" w:name="_Toc403386689"/>
      <w:bookmarkStart w:id="34" w:name="_Toc406162090"/>
      <w:bookmarkStart w:id="35" w:name="_Toc406670373"/>
      <w:r>
        <w:rPr>
          <w:rFonts w:eastAsiaTheme="minorHAnsi"/>
        </w:rPr>
        <w:t>Unfunded superannuation liability</w:t>
      </w:r>
    </w:p>
    <w:p w:rsidR="00566E9A" w:rsidRDefault="00566E9A" w:rsidP="00AE5760">
      <w:pPr>
        <w:rPr>
          <w:rFonts w:eastAsiaTheme="minorHAnsi"/>
          <w:i/>
        </w:rPr>
      </w:pPr>
      <w:r w:rsidRPr="00165693">
        <w:rPr>
          <w:rFonts w:eastAsiaTheme="minorHAnsi"/>
        </w:rPr>
        <w:t>The Government is on track to fully fund the State</w:t>
      </w:r>
      <w:r>
        <w:rPr>
          <w:rFonts w:eastAsiaTheme="minorHAnsi"/>
        </w:rPr>
        <w:t>’</w:t>
      </w:r>
      <w:r w:rsidRPr="00165693">
        <w:rPr>
          <w:rFonts w:eastAsiaTheme="minorHAnsi"/>
        </w:rPr>
        <w:t>s unfun</w:t>
      </w:r>
      <w:r>
        <w:rPr>
          <w:rFonts w:eastAsiaTheme="minorHAnsi"/>
        </w:rPr>
        <w:t>ded superannuation liability by </w:t>
      </w:r>
      <w:r w:rsidRPr="00165693">
        <w:rPr>
          <w:rFonts w:eastAsiaTheme="minorHAnsi"/>
        </w:rPr>
        <w:t xml:space="preserve">2035. </w:t>
      </w:r>
      <w:r>
        <w:rPr>
          <w:rFonts w:eastAsiaTheme="minorHAnsi"/>
        </w:rPr>
        <w:t>Information on</w:t>
      </w:r>
      <w:r w:rsidRPr="00165693">
        <w:rPr>
          <w:rFonts w:eastAsiaTheme="minorHAnsi"/>
        </w:rPr>
        <w:t xml:space="preserve"> </w:t>
      </w:r>
      <w:r>
        <w:rPr>
          <w:rFonts w:eastAsiaTheme="minorHAnsi"/>
        </w:rPr>
        <w:t xml:space="preserve">the reported </w:t>
      </w:r>
      <w:r w:rsidRPr="00165693">
        <w:rPr>
          <w:rFonts w:eastAsiaTheme="minorHAnsi"/>
        </w:rPr>
        <w:t xml:space="preserve">superannuation </w:t>
      </w:r>
      <w:r>
        <w:rPr>
          <w:rFonts w:eastAsiaTheme="minorHAnsi"/>
        </w:rPr>
        <w:t>liability is shown in Note </w:t>
      </w:r>
      <w:r w:rsidRPr="00165693">
        <w:rPr>
          <w:rFonts w:eastAsiaTheme="minorHAnsi"/>
        </w:rPr>
        <w:t xml:space="preserve">7 of </w:t>
      </w:r>
      <w:r>
        <w:t>Chapter 4</w:t>
      </w:r>
      <w:r w:rsidRPr="00916A19">
        <w:t xml:space="preserve"> </w:t>
      </w:r>
      <w:r w:rsidRPr="00916A19">
        <w:rPr>
          <w:i/>
        </w:rPr>
        <w:t>Estimated financial statements and notes</w:t>
      </w:r>
      <w:r w:rsidRPr="00165693">
        <w:rPr>
          <w:rFonts w:eastAsiaTheme="minorHAnsi"/>
          <w:i/>
        </w:rPr>
        <w:t>.</w:t>
      </w:r>
    </w:p>
    <w:bookmarkEnd w:id="31"/>
    <w:bookmarkEnd w:id="32"/>
    <w:bookmarkEnd w:id="33"/>
    <w:bookmarkEnd w:id="34"/>
    <w:bookmarkEnd w:id="35"/>
    <w:p w:rsidR="00566E9A" w:rsidRPr="002805C2" w:rsidRDefault="00566E9A" w:rsidP="00AE5760">
      <w:pPr>
        <w:rPr>
          <w:rFonts w:ascii="Times New Roman" w:hAnsi="Times New Roman"/>
          <w:sz w:val="20"/>
        </w:rPr>
      </w:pPr>
      <w:r w:rsidRPr="002E2383">
        <w:br w:type="page"/>
      </w:r>
    </w:p>
    <w:p w:rsidR="00566E9A" w:rsidRPr="002E2383" w:rsidRDefault="00566E9A" w:rsidP="00AE5760">
      <w:pPr>
        <w:pStyle w:val="Heading1"/>
      </w:pPr>
      <w:bookmarkStart w:id="36" w:name="_Toc401056873"/>
      <w:bookmarkStart w:id="37" w:name="_Toc401147495"/>
      <w:bookmarkStart w:id="38" w:name="_Toc403386690"/>
      <w:bookmarkStart w:id="39" w:name="_Toc406162091"/>
      <w:bookmarkStart w:id="40" w:name="_Toc406670374"/>
      <w:bookmarkStart w:id="41" w:name="_Toc467766489"/>
      <w:bookmarkStart w:id="42" w:name="_Toc468983279"/>
      <w:r w:rsidRPr="002E2383">
        <w:lastRenderedPageBreak/>
        <w:t xml:space="preserve">Fiscal </w:t>
      </w:r>
      <w:r w:rsidRPr="00ED77CF">
        <w:t>risks</w:t>
      </w:r>
      <w:bookmarkEnd w:id="36"/>
      <w:bookmarkEnd w:id="37"/>
      <w:bookmarkEnd w:id="38"/>
      <w:bookmarkEnd w:id="39"/>
      <w:bookmarkEnd w:id="40"/>
      <w:bookmarkEnd w:id="41"/>
      <w:bookmarkEnd w:id="42"/>
    </w:p>
    <w:p w:rsidR="00566E9A" w:rsidRPr="007E4E2E" w:rsidRDefault="00566E9A" w:rsidP="00AE5760">
      <w:r w:rsidRPr="007E4E2E">
        <w:t>This section contains a number of known risks, which if realised, are likely to impact on the State</w:t>
      </w:r>
      <w:r>
        <w:t>’</w:t>
      </w:r>
      <w:r w:rsidRPr="007E4E2E">
        <w:t xml:space="preserve">s financial position and budget outcomes. </w:t>
      </w:r>
    </w:p>
    <w:p w:rsidR="00566E9A" w:rsidRPr="007E4E2E" w:rsidRDefault="00566E9A" w:rsidP="00AE5760">
      <w:r w:rsidRPr="007E4E2E">
        <w:t>Details of specific contingent assets and liabilities, defined as possible assets or liabilities that arise from past events, whose existence will be confirmed only by the occurrence or non</w:t>
      </w:r>
      <w:r>
        <w:noBreakHyphen/>
      </w:r>
      <w:r w:rsidRPr="007E4E2E">
        <w:t xml:space="preserve">occurrence of one or more uncertain future events not wholly within the control of the entity, are contained within </w:t>
      </w:r>
      <w:r>
        <w:t>Chapter </w:t>
      </w:r>
      <w:r w:rsidRPr="007E4E2E">
        <w:t xml:space="preserve">6 </w:t>
      </w:r>
      <w:r w:rsidRPr="007E4E2E">
        <w:rPr>
          <w:i/>
        </w:rPr>
        <w:t>Contingent assets and contingent liabilities</w:t>
      </w:r>
      <w:r w:rsidRPr="007E4E2E">
        <w:t>.</w:t>
      </w:r>
    </w:p>
    <w:p w:rsidR="00566E9A" w:rsidRPr="002E2383" w:rsidRDefault="00566E9A" w:rsidP="00AE5760">
      <w:pPr>
        <w:pStyle w:val="Heading2"/>
      </w:pPr>
      <w:r w:rsidRPr="002E2383">
        <w:t xml:space="preserve">General </w:t>
      </w:r>
      <w:r w:rsidRPr="0081640C">
        <w:t>fiscal</w:t>
      </w:r>
      <w:r w:rsidRPr="002E2383">
        <w:t xml:space="preserve"> risks</w:t>
      </w:r>
    </w:p>
    <w:p w:rsidR="00566E9A" w:rsidRPr="0032210E" w:rsidRDefault="00566E9A" w:rsidP="00AE5760">
      <w:pPr>
        <w:pStyle w:val="Heading3"/>
      </w:pPr>
      <w:r w:rsidRPr="0032210E">
        <w:t>State taxes</w:t>
      </w:r>
    </w:p>
    <w:p w:rsidR="00566E9A" w:rsidRPr="0032210E" w:rsidRDefault="00566E9A" w:rsidP="00AE5760">
      <w:r w:rsidRPr="0032210E">
        <w:t>State tax forecasts are primarily based on an estimated relationship between taxation revenue and projected economic variables. As a result, the main source of risk to the taxation estimates is the economic environment.</w:t>
      </w:r>
    </w:p>
    <w:p w:rsidR="00566E9A" w:rsidRPr="0032210E" w:rsidRDefault="00566E9A" w:rsidP="00AE5760">
      <w:r w:rsidRPr="0032210E">
        <w:t xml:space="preserve">For example, higher than expected economic activity or inflation will tend to lead to higher taxation revenue. </w:t>
      </w:r>
      <w:r>
        <w:t>F</w:t>
      </w:r>
      <w:r w:rsidRPr="0032210E">
        <w:t xml:space="preserve">iscal implications of variations in economic parameters from forecasts are considered in </w:t>
      </w:r>
      <w:r>
        <w:t>Appendix </w:t>
      </w:r>
      <w:r w:rsidRPr="00212E68">
        <w:t>D</w:t>
      </w:r>
      <w:r w:rsidRPr="0032210E">
        <w:t xml:space="preserve"> </w:t>
      </w:r>
      <w:r>
        <w:rPr>
          <w:i/>
        </w:rPr>
        <w:t>Sensitivity analysis</w:t>
      </w:r>
      <w:r w:rsidRPr="0032210E">
        <w:t>.</w:t>
      </w:r>
    </w:p>
    <w:p w:rsidR="00566E9A" w:rsidRPr="0032210E" w:rsidRDefault="00566E9A" w:rsidP="00AE5760">
      <w:r w:rsidRPr="0032210E">
        <w:t>There is also the risk of changes in the relationship between the economic variables and taxation revenue (such as between consumer spending and motor vehicle taxes, or between employment and payroll tax). Some state taxes, such as land transfer duty, are sourced from relatively volatile tax bases, and revenue from these sources may be subject to substantial annual variations.</w:t>
      </w:r>
    </w:p>
    <w:p w:rsidR="00566E9A" w:rsidRPr="0032210E" w:rsidRDefault="00566E9A" w:rsidP="00AE5760">
      <w:pPr>
        <w:pStyle w:val="Heading3"/>
      </w:pPr>
      <w:r w:rsidRPr="0032210E">
        <w:t>Commonwealth grants</w:t>
      </w:r>
    </w:p>
    <w:p w:rsidR="00566E9A" w:rsidRPr="0032210E" w:rsidRDefault="00566E9A" w:rsidP="00AE5760">
      <w:r w:rsidRPr="0032210E">
        <w:t xml:space="preserve">The distribution of GST grants between states and territories is determined by the size of the national GST pool and each jurisdiction’s population share weighted by its GST relativity. Revenue sharing relativities are determined by the Commonwealth Treasurer, as informed by the recommendations of the Commonwealth Grants Commission (CGC). </w:t>
      </w:r>
    </w:p>
    <w:p w:rsidR="00566E9A" w:rsidRPr="0032210E" w:rsidRDefault="00566E9A" w:rsidP="00AE5760">
      <w:r w:rsidRPr="0032210E">
        <w:t>Changes to national economic conditions, particularly regarding consumer spending, affect the size of the national pool, while other changes, including to the CGC’s methodology, will affect each jurisdict</w:t>
      </w:r>
      <w:r>
        <w:t>ion’s assessed fiscal capacity.</w:t>
      </w:r>
    </w:p>
    <w:p w:rsidR="00566E9A" w:rsidRPr="00E97901" w:rsidRDefault="00566E9A" w:rsidP="00AE5760">
      <w:pPr>
        <w:pStyle w:val="Heading3"/>
      </w:pPr>
      <w:r w:rsidRPr="00E97901">
        <w:t>Employee expenses</w:t>
      </w:r>
    </w:p>
    <w:p w:rsidR="00566E9A" w:rsidRDefault="00566E9A" w:rsidP="00AE5760">
      <w:r>
        <w:t xml:space="preserve">Employee expenses </w:t>
      </w:r>
      <w:r w:rsidRPr="007E4E2E">
        <w:t>are the State</w:t>
      </w:r>
      <w:r>
        <w:t>’</w:t>
      </w:r>
      <w:r w:rsidRPr="007E4E2E">
        <w:t>s largest expense. Wages policy sets the framework for enterprise agreement negotiations and in part cont</w:t>
      </w:r>
      <w:r>
        <w:t>ains</w:t>
      </w:r>
      <w:r w:rsidRPr="007E4E2E">
        <w:t xml:space="preserve"> the </w:t>
      </w:r>
      <w:r>
        <w:t xml:space="preserve">growth </w:t>
      </w:r>
      <w:r w:rsidRPr="007E4E2E">
        <w:t>of employee expenses.</w:t>
      </w:r>
      <w:r>
        <w:t xml:space="preserve"> The growth also includes the Government’s </w:t>
      </w:r>
      <w:r w:rsidRPr="00AF6DD8">
        <w:t>commitment to meet growing demand for services</w:t>
      </w:r>
      <w:r>
        <w:t>,</w:t>
      </w:r>
      <w:r w:rsidRPr="00AF6DD8">
        <w:t xml:space="preserve"> including health, education and </w:t>
      </w:r>
      <w:r>
        <w:t>emergency services</w:t>
      </w:r>
      <w:r w:rsidRPr="00AF6DD8">
        <w:t>.</w:t>
      </w:r>
    </w:p>
    <w:p w:rsidR="00566E9A" w:rsidRPr="005D2CE0" w:rsidRDefault="00566E9A" w:rsidP="00AE5760">
      <w:r w:rsidRPr="005D2CE0">
        <w:br w:type="page"/>
      </w:r>
    </w:p>
    <w:p w:rsidR="00566E9A" w:rsidRPr="002E2383" w:rsidRDefault="00566E9A" w:rsidP="00AE5760">
      <w:pPr>
        <w:pStyle w:val="Heading3"/>
      </w:pPr>
      <w:r w:rsidRPr="002E2383">
        <w:lastRenderedPageBreak/>
        <w:t>Demand growth</w:t>
      </w:r>
    </w:p>
    <w:p w:rsidR="00566E9A" w:rsidRPr="007E4E2E" w:rsidRDefault="00566E9A" w:rsidP="00AE5760">
      <w:r w:rsidRPr="007E4E2E">
        <w:t xml:space="preserve">Another key risk is growth in demand for government services exceeding current projections. This can occur, for example, as a result of higher than forecast population growth or expenditure in response to unforeseen events such as natural disasters, </w:t>
      </w:r>
      <w:r>
        <w:t>including bushfires and floods.</w:t>
      </w:r>
    </w:p>
    <w:p w:rsidR="00566E9A" w:rsidRPr="007E4E2E" w:rsidRDefault="00566E9A" w:rsidP="00AE5760">
      <w:r w:rsidRPr="007E4E2E">
        <w:t>The estimates incorporate contingency provisions to mitigate the impact of expenditure risks, which may be realised during the budget and forward estimates. The contingency provisions are designed to address the likely growth in Victoria</w:t>
      </w:r>
      <w:r>
        <w:t>’</w:t>
      </w:r>
      <w:r w:rsidRPr="007E4E2E">
        <w:t>s population and consequent derived demand for government services.</w:t>
      </w:r>
    </w:p>
    <w:p w:rsidR="00566E9A" w:rsidRPr="007E4E2E" w:rsidRDefault="00566E9A" w:rsidP="00AE5760">
      <w:r w:rsidRPr="007E4E2E">
        <w:t xml:space="preserve">Realised expenditure risks will affect total expenditure and the annual budget position to the extent they exceed the contingency provision factored into the estimates. More detailed disclosures of general government output and asset contingencies not allocated to departments are shown in Note 12(c) and Note </w:t>
      </w:r>
      <w:r>
        <w:t>20</w:t>
      </w:r>
      <w:r w:rsidRPr="007E4E2E">
        <w:t xml:space="preserve">(c) of </w:t>
      </w:r>
      <w:r>
        <w:t>Chapter 4</w:t>
      </w:r>
      <w:r w:rsidRPr="007E4E2E">
        <w:t xml:space="preserve"> </w:t>
      </w:r>
      <w:r w:rsidRPr="007E4E2E">
        <w:rPr>
          <w:i/>
        </w:rPr>
        <w:t xml:space="preserve">Estimated financial statements </w:t>
      </w:r>
      <w:r>
        <w:rPr>
          <w:i/>
        </w:rPr>
        <w:t>and notes.</w:t>
      </w:r>
    </w:p>
    <w:p w:rsidR="00566E9A" w:rsidRPr="007E4E2E" w:rsidRDefault="00566E9A" w:rsidP="00AE5760">
      <w:r w:rsidRPr="007E4E2E">
        <w:t>In the longer term</w:t>
      </w:r>
      <w:r>
        <w:t>,</w:t>
      </w:r>
      <w:r w:rsidRPr="007E4E2E">
        <w:t xml:space="preserve"> </w:t>
      </w:r>
      <w:r>
        <w:t xml:space="preserve">the </w:t>
      </w:r>
      <w:r w:rsidRPr="007E4E2E">
        <w:t>demand for services is expected to come under increasing pressure due to demographic pressures such as an ageing population</w:t>
      </w:r>
      <w:r>
        <w:t xml:space="preserve"> as well as other factors</w:t>
      </w:r>
      <w:r w:rsidRPr="007E4E2E">
        <w:t xml:space="preserve">. The Government </w:t>
      </w:r>
      <w:r>
        <w:t xml:space="preserve">is focused on driving </w:t>
      </w:r>
      <w:r w:rsidRPr="007E4E2E">
        <w:t>efficien</w:t>
      </w:r>
      <w:r>
        <w:t>cy</w:t>
      </w:r>
      <w:r w:rsidRPr="007E4E2E">
        <w:t xml:space="preserve"> and innovati</w:t>
      </w:r>
      <w:r>
        <w:t>on</w:t>
      </w:r>
      <w:r w:rsidRPr="007E4E2E">
        <w:t xml:space="preserve"> in the delivery of services to ensure that key priorities can continue to be met.</w:t>
      </w:r>
    </w:p>
    <w:p w:rsidR="00566E9A" w:rsidRPr="002E2383" w:rsidRDefault="00566E9A" w:rsidP="00AE5760">
      <w:pPr>
        <w:pStyle w:val="Heading2"/>
      </w:pPr>
      <w:r w:rsidRPr="002E2383">
        <w:t xml:space="preserve">Specific </w:t>
      </w:r>
      <w:r w:rsidRPr="007572D1">
        <w:t>fiscal</w:t>
      </w:r>
      <w:r w:rsidRPr="002E2383">
        <w:t xml:space="preserve"> risks</w:t>
      </w:r>
    </w:p>
    <w:p w:rsidR="00566E9A" w:rsidRPr="002E2383" w:rsidRDefault="00566E9A" w:rsidP="00AE5760">
      <w:pPr>
        <w:pStyle w:val="Heading3"/>
      </w:pPr>
      <w:r w:rsidRPr="00434902">
        <w:t>National Disability Insurance Scheme</w:t>
      </w:r>
    </w:p>
    <w:p w:rsidR="00566E9A" w:rsidRDefault="00566E9A" w:rsidP="00AE5760">
      <w:r w:rsidRPr="00A837B6">
        <w:t>Victoria commenced transition to the National Disability Insura</w:t>
      </w:r>
      <w:r>
        <w:t>nce Scheme</w:t>
      </w:r>
      <w:r w:rsidRPr="00A837B6">
        <w:t xml:space="preserve"> </w:t>
      </w:r>
      <w:r>
        <w:t>(NDIS) on 1 </w:t>
      </w:r>
      <w:r w:rsidRPr="00A837B6">
        <w:t>July 2016 and is expected to reach full scheme across the State by July 2019. Once fully implemented, Victoria’s investment in the NDIS will be an estimated $2.5 billion a year, with the Commonwealth providing up to $2.6 billion a year. Victoria will work with the Commonwealth Government to monitor and manage any risks associated with transition.</w:t>
      </w:r>
    </w:p>
    <w:p w:rsidR="00566E9A" w:rsidRPr="002E2383" w:rsidRDefault="00566E9A" w:rsidP="00AE5760">
      <w:pPr>
        <w:pStyle w:val="Heading3"/>
      </w:pPr>
      <w:r w:rsidRPr="00E12D76">
        <w:t>National Injury Insurance Scheme</w:t>
      </w:r>
    </w:p>
    <w:p w:rsidR="00566E9A" w:rsidRDefault="00566E9A" w:rsidP="00AE5760">
      <w:r w:rsidRPr="004B61AB">
        <w:t>The Productivity Commission recommended establish</w:t>
      </w:r>
      <w:r>
        <w:t>ing</w:t>
      </w:r>
      <w:r w:rsidRPr="004B61AB">
        <w:t xml:space="preserve"> a National Injury Insurance Scheme (NIIS) to </w:t>
      </w:r>
      <w:r>
        <w:t>assist</w:t>
      </w:r>
      <w:r w:rsidRPr="004B61AB">
        <w:t xml:space="preserve"> people who suffer catastrophic injuries. The Commonwealth Government expects the State to fund </w:t>
      </w:r>
      <w:r>
        <w:t>the total cost in Victoria of a NIIS</w:t>
      </w:r>
      <w:r w:rsidRPr="004B61AB">
        <w:t>. Victoria already provides support for people injured in motor vehicle and workplace accidents, and i</w:t>
      </w:r>
      <w:r>
        <w:t>s discussing other streams of a</w:t>
      </w:r>
      <w:r w:rsidRPr="004B61AB">
        <w:t xml:space="preserve"> NIIS with other jurisdictions but has not agreed to implement them.</w:t>
      </w:r>
    </w:p>
    <w:p w:rsidR="00566E9A" w:rsidRDefault="00566E9A">
      <w:pPr>
        <w:spacing w:after="0"/>
        <w:rPr>
          <w:rFonts w:asciiTheme="majorHAnsi" w:hAnsiTheme="majorHAnsi"/>
          <w:b/>
          <w:i/>
          <w:kern w:val="28"/>
          <w:sz w:val="24"/>
        </w:rPr>
      </w:pPr>
      <w:r>
        <w:br w:type="page"/>
      </w:r>
    </w:p>
    <w:p w:rsidR="00566E9A" w:rsidRPr="002E2383" w:rsidRDefault="00566E9A" w:rsidP="00AE5760">
      <w:pPr>
        <w:pStyle w:val="Heading3"/>
      </w:pPr>
      <w:r w:rsidRPr="00434902">
        <w:lastRenderedPageBreak/>
        <w:t>Commonwealth schools funding</w:t>
      </w:r>
    </w:p>
    <w:p w:rsidR="00566E9A" w:rsidRDefault="00566E9A" w:rsidP="00AE5760">
      <w:r w:rsidRPr="00F654A8">
        <w:t xml:space="preserve">The Commonwealth provided an additional $1.2 billion nationally in Students First funding through the </w:t>
      </w:r>
      <w:r w:rsidRPr="00F654A8">
        <w:rPr>
          <w:i/>
        </w:rPr>
        <w:t>2016</w:t>
      </w:r>
      <w:r>
        <w:noBreakHyphen/>
      </w:r>
      <w:r w:rsidRPr="00F654A8">
        <w:rPr>
          <w:i/>
        </w:rPr>
        <w:t>17 Commonwealth Budget</w:t>
      </w:r>
      <w:r w:rsidRPr="00F654A8">
        <w:t>. The additional funding is provided over three years and is subject to formal negotiations between the Commonwealth, the States and the non-government schools sector.</w:t>
      </w:r>
    </w:p>
    <w:p w:rsidR="00566E9A" w:rsidRDefault="00566E9A" w:rsidP="00AE5760">
      <w:pPr>
        <w:pStyle w:val="Heading3"/>
      </w:pPr>
      <w:r>
        <w:t>Universal Access to Early Childhood Education</w:t>
      </w:r>
    </w:p>
    <w:p w:rsidR="00566E9A" w:rsidRPr="00F34AED" w:rsidRDefault="00566E9A" w:rsidP="00AE5760">
      <w:r w:rsidRPr="00F654A8">
        <w:t>Commonwealth funding under the National Partnership Agreement on Universal Access to Early Childhood Education provides for one</w:t>
      </w:r>
      <w:r>
        <w:noBreakHyphen/>
      </w:r>
      <w:r w:rsidRPr="00F654A8">
        <w:t>third of the 15</w:t>
      </w:r>
      <w:r>
        <w:t> </w:t>
      </w:r>
      <w:r w:rsidRPr="00F654A8">
        <w:t>hours per week of pre</w:t>
      </w:r>
      <w:r>
        <w:noBreakHyphen/>
      </w:r>
      <w:r w:rsidRPr="00F654A8">
        <w:t>school support per student. Funding is due to cease on 31 December 2017, with ongoing Commonwealth funding uncertain.</w:t>
      </w:r>
    </w:p>
    <w:p w:rsidR="00566E9A" w:rsidRPr="002E2383" w:rsidRDefault="00566E9A" w:rsidP="00AE5760">
      <w:pPr>
        <w:pStyle w:val="Heading3"/>
      </w:pPr>
      <w:r w:rsidRPr="00434902">
        <w:t>National Health Reform</w:t>
      </w:r>
    </w:p>
    <w:p w:rsidR="00566E9A" w:rsidRDefault="00566E9A" w:rsidP="00AE5760">
      <w:r>
        <w:t>Under the National Health Reform Agreement (NHRA), Commonwealth growth funding is derived from a complex model based on the number of procedures delivered (activity) and an efficient price determined by an independent administrator.</w:t>
      </w:r>
    </w:p>
    <w:p w:rsidR="00566E9A" w:rsidRDefault="00566E9A" w:rsidP="00AE5760">
      <w:r>
        <w:t>These arrangements were scheduled to cease from 1 July 2017, however, in April 2016 the Commonwealth agreed to continue the NHRA until the end of 2019</w:t>
      </w:r>
      <w:r>
        <w:noBreakHyphen/>
        <w:t>20. Conditions attached to the new agreement may increase fiscal risk for the State and include:</w:t>
      </w:r>
    </w:p>
    <w:p w:rsidR="00566E9A" w:rsidRDefault="00566E9A" w:rsidP="00AE5760">
      <w:pPr>
        <w:pStyle w:val="BulletText"/>
      </w:pPr>
      <w:r>
        <w:t>a national cap on Commonwealth annual expenditure growth of 6.5 per cent (above which the State may fund all hospital activity);</w:t>
      </w:r>
    </w:p>
    <w:p w:rsidR="00566E9A" w:rsidRDefault="00566E9A" w:rsidP="00AE5760">
      <w:pPr>
        <w:pStyle w:val="BulletText"/>
      </w:pPr>
      <w:r>
        <w:t>the efficient price paid by the Commonwealth will be adjusted to incorporate quality and safety indicators;</w:t>
      </w:r>
    </w:p>
    <w:p w:rsidR="00566E9A" w:rsidRDefault="00566E9A" w:rsidP="00AE5760">
      <w:pPr>
        <w:pStyle w:val="BulletText"/>
      </w:pPr>
      <w:r>
        <w:t>Commonwealth withholding funds until hospital activity data is provided; and</w:t>
      </w:r>
    </w:p>
    <w:p w:rsidR="00566E9A" w:rsidRDefault="00566E9A" w:rsidP="00AE5760">
      <w:pPr>
        <w:pStyle w:val="BulletText"/>
      </w:pPr>
      <w:r>
        <w:t>coordinated care reforms, which may expose Victoria to jointly funding primary care programs.</w:t>
      </w:r>
    </w:p>
    <w:p w:rsidR="00C14B16" w:rsidRDefault="00C14B16">
      <w:r>
        <w:br w:type="page"/>
      </w:r>
    </w:p>
    <w:p w:rsidR="00566E9A" w:rsidRPr="00BF7167" w:rsidRDefault="00566E9A" w:rsidP="00C14B16">
      <w:pPr>
        <w:pStyle w:val="Heading1"/>
        <w:rPr>
          <w:rFonts w:eastAsiaTheme="minorHAnsi"/>
        </w:rPr>
      </w:pPr>
      <w:bookmarkStart w:id="43" w:name="_Toc468983280"/>
      <w:r w:rsidRPr="00C14B16">
        <w:rPr>
          <w:rFonts w:eastAsiaTheme="minorHAnsi"/>
        </w:rPr>
        <w:lastRenderedPageBreak/>
        <w:t>Non</w:t>
      </w:r>
      <w:r>
        <w:rPr>
          <w:rFonts w:eastAsiaTheme="minorHAnsi"/>
        </w:rPr>
        <w:noBreakHyphen/>
      </w:r>
      <w:r w:rsidRPr="00BF7167">
        <w:rPr>
          <w:rFonts w:eastAsiaTheme="minorHAnsi"/>
        </w:rPr>
        <w:t>financial public sector</w:t>
      </w:r>
      <w:bookmarkEnd w:id="43"/>
    </w:p>
    <w:p w:rsidR="00566E9A" w:rsidRPr="00BF7167" w:rsidRDefault="00566E9A" w:rsidP="00AE5760">
      <w:pPr>
        <w:rPr>
          <w:rFonts w:eastAsiaTheme="minorHAnsi"/>
        </w:rPr>
      </w:pPr>
      <w:r w:rsidRPr="00BF7167">
        <w:rPr>
          <w:rFonts w:eastAsiaTheme="minorHAnsi"/>
        </w:rPr>
        <w:t>This section provides an overview of the activities of the non</w:t>
      </w:r>
      <w:r>
        <w:rPr>
          <w:rFonts w:eastAsiaTheme="minorHAnsi"/>
        </w:rPr>
        <w:noBreakHyphen/>
      </w:r>
      <w:r w:rsidRPr="00BF7167">
        <w:rPr>
          <w:rFonts w:eastAsiaTheme="minorHAnsi"/>
        </w:rPr>
        <w:t xml:space="preserve">financial public (NFP) sector, which consolidates the PNFC and general government sectors. The PNFC sector has a wide range of entities that provide services primarily funded from user charges and fees. The largest Victorian PNFCs provide water, housing, transport and port services. </w:t>
      </w:r>
      <w:r>
        <w:rPr>
          <w:rFonts w:eastAsiaTheme="minorHAnsi"/>
        </w:rPr>
        <w:t>The debt level of the NFP sector is a</w:t>
      </w:r>
      <w:r w:rsidRPr="00BF7167">
        <w:rPr>
          <w:rFonts w:eastAsiaTheme="minorHAnsi"/>
        </w:rPr>
        <w:t xml:space="preserve">n important measure of the State’s financial sustainability </w:t>
      </w:r>
      <w:r>
        <w:rPr>
          <w:rFonts w:eastAsiaTheme="minorHAnsi"/>
        </w:rPr>
        <w:t xml:space="preserve">that </w:t>
      </w:r>
      <w:r w:rsidRPr="00BF7167">
        <w:rPr>
          <w:rFonts w:eastAsiaTheme="minorHAnsi"/>
        </w:rPr>
        <w:t>supports the State’s triple</w:t>
      </w:r>
      <w:r>
        <w:rPr>
          <w:rFonts w:eastAsiaTheme="minorHAnsi"/>
        </w:rPr>
        <w:noBreakHyphen/>
      </w:r>
      <w:r w:rsidRPr="00BF7167">
        <w:rPr>
          <w:rFonts w:eastAsiaTheme="minorHAnsi"/>
        </w:rPr>
        <w:t>A credit rating.</w:t>
      </w:r>
    </w:p>
    <w:p w:rsidR="00566E9A" w:rsidRPr="00BF7167" w:rsidRDefault="00566E9A" w:rsidP="00AE5760">
      <w:pPr>
        <w:pStyle w:val="Heading2"/>
        <w:rPr>
          <w:rFonts w:eastAsiaTheme="minorHAnsi"/>
        </w:rPr>
      </w:pPr>
      <w:r w:rsidRPr="00BF7167">
        <w:rPr>
          <w:rFonts w:eastAsiaTheme="minorHAnsi"/>
        </w:rPr>
        <w:t>Summary operating statement</w:t>
      </w:r>
    </w:p>
    <w:p w:rsidR="00566E9A" w:rsidRDefault="00566E9A" w:rsidP="00AE5760">
      <w:pPr>
        <w:pStyle w:val="Tableheading"/>
        <w:rPr>
          <w:rFonts w:eastAsiaTheme="minorHAnsi"/>
          <w:vertAlign w:val="superscript"/>
        </w:rPr>
      </w:pPr>
      <w:r w:rsidRPr="00BF7167">
        <w:rPr>
          <w:rFonts w:eastAsiaTheme="minorHAnsi"/>
        </w:rPr>
        <w:t xml:space="preserve">Table 3.6: </w:t>
      </w:r>
      <w:r>
        <w:rPr>
          <w:rFonts w:eastAsiaTheme="minorHAnsi"/>
        </w:rPr>
        <w:tab/>
      </w:r>
      <w:r w:rsidRPr="00BF7167">
        <w:rPr>
          <w:rFonts w:eastAsiaTheme="minorHAnsi"/>
        </w:rPr>
        <w:t>Summary operating statement for the non</w:t>
      </w:r>
      <w:r>
        <w:rPr>
          <w:rFonts w:eastAsiaTheme="minorHAnsi"/>
        </w:rPr>
        <w:noBreakHyphen/>
      </w:r>
      <w:r w:rsidRPr="00BF7167">
        <w:rPr>
          <w:rFonts w:eastAsiaTheme="minorHAnsi"/>
        </w:rPr>
        <w:t xml:space="preserve">financial public sector </w:t>
      </w:r>
      <w:r w:rsidRPr="00BF7167">
        <w:rPr>
          <w:rFonts w:eastAsiaTheme="minorHAnsi"/>
          <w:vertAlign w:val="superscript"/>
        </w:rPr>
        <w:t>(a)</w:t>
      </w:r>
    </w:p>
    <w:p w:rsidR="00566E9A" w:rsidRPr="00811D38" w:rsidRDefault="00566E9A" w:rsidP="00AE5760">
      <w:pPr>
        <w:pStyle w:val="million"/>
        <w:rPr>
          <w:rFonts w:asciiTheme="minorHAnsi" w:eastAsiaTheme="minorHAnsi" w:hAnsiTheme="minorHAnsi"/>
          <w:b/>
          <w:bCs/>
          <w:sz w:val="22"/>
          <w:lang w:val="en-US"/>
        </w:rPr>
      </w:pPr>
      <w:r w:rsidRPr="00B54E4B">
        <w:rPr>
          <w:rFonts w:eastAsiaTheme="minorHAnsi"/>
        </w:rPr>
        <w:t>($</w:t>
      </w:r>
      <w:r>
        <w:rPr>
          <w:rFonts w:eastAsiaTheme="minorHAnsi"/>
        </w:rPr>
        <w:t> million</w:t>
      </w:r>
      <w:r w:rsidRPr="00B54E4B">
        <w:rPr>
          <w:rFonts w:eastAsiaTheme="minorHAnsi"/>
        </w:rPr>
        <w:t>)</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811D38"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811D38" w:rsidRDefault="00AE5760" w:rsidP="00AE5760">
            <w:pPr>
              <w:autoSpaceDE w:val="0"/>
              <w:autoSpaceDN w:val="0"/>
              <w:adjustRightInd w:val="0"/>
              <w:rPr>
                <w:rFonts w:eastAsiaTheme="minorEastAsia" w:cs="Calibri"/>
                <w:iCs/>
                <w:color w:val="FFFFFF"/>
                <w:szCs w:val="19"/>
                <w:lang w:eastAsia="en-AU"/>
              </w:rPr>
            </w:pPr>
            <w:r w:rsidRPr="00811D38">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2016-17</w:t>
            </w:r>
            <w:r>
              <w:rPr>
                <w:rFonts w:eastAsiaTheme="minorEastAsia" w:cs="Calibri"/>
                <w:iCs/>
                <w:color w:val="FFFFFF"/>
                <w:szCs w:val="19"/>
                <w:lang w:eastAsia="en-AU"/>
              </w:rPr>
              <w:br/>
            </w:r>
            <w:r w:rsidRPr="00811D38">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2017-18</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2018-19</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2019-20</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Taxation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21 269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21 133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22 252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23 119</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vertAlign w:val="superscript"/>
                <w:lang w:eastAsia="en-AU"/>
              </w:rPr>
            </w:pPr>
            <w:r w:rsidRPr="00811D38">
              <w:rPr>
                <w:rFonts w:eastAsiaTheme="minorEastAsia" w:cs="Calibri"/>
                <w:color w:val="000000"/>
                <w:szCs w:val="19"/>
                <w:lang w:eastAsia="en-AU"/>
              </w:rPr>
              <w:t xml:space="preserve">Dividends, income tax equivalent and interest </w:t>
            </w:r>
            <w:r w:rsidRPr="00811D38">
              <w:rPr>
                <w:rFonts w:eastAsiaTheme="minorEastAsia" w:cs="Calibri"/>
                <w:color w:val="000000"/>
                <w:szCs w:val="19"/>
                <w:vertAlign w:val="superscript"/>
                <w:lang w:eastAsia="en-AU"/>
              </w:rPr>
              <w:t>(b)</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719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788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659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822</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Sales of goods and services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10 906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11 244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11 597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11 769</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Grant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27 617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28 757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30 621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31 313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Other current revenue</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3 129</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2 804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2 784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2 817</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63 640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64 726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67 912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69 840</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i/>
                <w:iCs/>
                <w:color w:val="000000"/>
                <w:szCs w:val="19"/>
                <w:vertAlign w:val="superscript"/>
                <w:lang w:eastAsia="en-AU"/>
              </w:rPr>
            </w:pPr>
            <w:r w:rsidRPr="00811D38">
              <w:rPr>
                <w:rFonts w:eastAsiaTheme="minorEastAsia" w:cs="Calibri"/>
                <w:i/>
                <w:iCs/>
                <w:color w:val="000000"/>
                <w:szCs w:val="19"/>
                <w:lang w:eastAsia="en-AU"/>
              </w:rPr>
              <w:t>% change</w:t>
            </w:r>
            <w:r w:rsidRPr="00811D38">
              <w:rPr>
                <w:rFonts w:eastAsiaTheme="minorEastAsia" w:cs="Calibri"/>
                <w:i/>
                <w:iCs/>
                <w:color w:val="000000"/>
                <w:szCs w:val="19"/>
                <w:vertAlign w:val="superscript"/>
                <w:lang w:eastAsia="en-AU"/>
              </w:rPr>
              <w:t xml:space="preserve"> (c)</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2.8</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Expenses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Employee expenses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22 680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23 537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24 780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25 490</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vertAlign w:val="superscript"/>
                <w:lang w:eastAsia="en-AU"/>
              </w:rPr>
            </w:pPr>
            <w:r w:rsidRPr="00811D38">
              <w:rPr>
                <w:rFonts w:eastAsiaTheme="minorEastAsia" w:cs="Calibri"/>
                <w:color w:val="000000"/>
                <w:szCs w:val="19"/>
                <w:lang w:eastAsia="en-AU"/>
              </w:rPr>
              <w:t xml:space="preserve">Superannuation </w:t>
            </w:r>
            <w:r w:rsidRPr="00811D38">
              <w:rPr>
                <w:rFonts w:eastAsiaTheme="minorEastAsia" w:cs="Calibri"/>
                <w:color w:val="000000"/>
                <w:szCs w:val="19"/>
                <w:vertAlign w:val="superscript"/>
                <w:lang w:eastAsia="en-AU"/>
              </w:rPr>
              <w:t>(d)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3 124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3 100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3 126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3 162</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 xml:space="preserve">Depreciation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4 874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5 107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5 436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5 669</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Interest expense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2 617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2 582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2 645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2 626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Grant expense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7 480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7 189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7 879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7 867</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Other operating expenses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22 094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22 827</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23 034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23 016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expenses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62 869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64 342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66 900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67 830</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i/>
                <w:iCs/>
                <w:color w:val="000000"/>
                <w:szCs w:val="19"/>
                <w:lang w:eastAsia="en-AU"/>
              </w:rPr>
            </w:pPr>
            <w:r w:rsidRPr="00811D38">
              <w:rPr>
                <w:rFonts w:eastAsiaTheme="minorEastAsia" w:cs="Calibri"/>
                <w:i/>
                <w:iCs/>
                <w:color w:val="000000"/>
                <w:szCs w:val="19"/>
                <w:lang w:eastAsia="en-AU"/>
              </w:rPr>
              <w:t>% change</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9.3</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4.0</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1.4</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Net result from transactions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771</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384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1 012</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2 010</w:t>
            </w:r>
          </w:p>
        </w:tc>
      </w:tr>
    </w:tbl>
    <w:p w:rsidR="00566E9A" w:rsidRPr="00BF7167" w:rsidRDefault="00566E9A" w:rsidP="00AE5760">
      <w:pPr>
        <w:pStyle w:val="Source"/>
        <w:rPr>
          <w:rFonts w:eastAsiaTheme="minorHAnsi"/>
        </w:rPr>
      </w:pPr>
      <w:r w:rsidRPr="00BF7167">
        <w:rPr>
          <w:rFonts w:eastAsiaTheme="minorHAnsi"/>
        </w:rPr>
        <w:t>Source: Department of Treasury and Finance</w:t>
      </w:r>
    </w:p>
    <w:p w:rsidR="00566E9A" w:rsidRPr="00BF7167" w:rsidRDefault="00566E9A" w:rsidP="00AE5760">
      <w:pPr>
        <w:pStyle w:val="Notes"/>
        <w:rPr>
          <w:rFonts w:eastAsiaTheme="minorHAnsi"/>
        </w:rPr>
      </w:pPr>
      <w:r w:rsidRPr="00BF7167">
        <w:rPr>
          <w:rFonts w:eastAsiaTheme="minorHAnsi"/>
        </w:rPr>
        <w:t>Notes:</w:t>
      </w:r>
    </w:p>
    <w:p w:rsidR="00566E9A" w:rsidRPr="00BF7167" w:rsidRDefault="00566E9A" w:rsidP="00AE5760">
      <w:pPr>
        <w:pStyle w:val="Notes"/>
        <w:rPr>
          <w:rFonts w:eastAsiaTheme="minorHAnsi"/>
        </w:rPr>
      </w:pPr>
      <w:r w:rsidRPr="00BF7167">
        <w:rPr>
          <w:rFonts w:eastAsiaTheme="minorHAnsi"/>
        </w:rPr>
        <w:t>(a)</w:t>
      </w:r>
      <w:r w:rsidRPr="00BF7167">
        <w:rPr>
          <w:rFonts w:eastAsiaTheme="minorHAnsi"/>
        </w:rPr>
        <w:tab/>
        <w:t xml:space="preserve">This is a summary operating statement. The comprehensive operating statement is presented in Chapter 5 </w:t>
      </w:r>
      <w:r>
        <w:rPr>
          <w:rFonts w:eastAsiaTheme="minorHAnsi"/>
          <w:i w:val="0"/>
        </w:rPr>
        <w:t>Supplementary Uniform Presentation F</w:t>
      </w:r>
      <w:r w:rsidRPr="006D17FB">
        <w:rPr>
          <w:rFonts w:eastAsiaTheme="minorHAnsi"/>
          <w:i w:val="0"/>
        </w:rPr>
        <w:t>ramework tables</w:t>
      </w:r>
      <w:r w:rsidRPr="00BF7167">
        <w:rPr>
          <w:rFonts w:eastAsiaTheme="minorHAnsi"/>
        </w:rPr>
        <w:t xml:space="preserve">. Figures in this table are subject to rounding to the nearest dollar and may not add up to totals. </w:t>
      </w:r>
    </w:p>
    <w:p w:rsidR="00566E9A" w:rsidRPr="00BF7167" w:rsidRDefault="00566E9A" w:rsidP="00AE5760">
      <w:pPr>
        <w:pStyle w:val="Notes"/>
        <w:rPr>
          <w:rFonts w:eastAsiaTheme="minorHAnsi"/>
        </w:rPr>
      </w:pPr>
      <w:r w:rsidRPr="00BF7167">
        <w:rPr>
          <w:rFonts w:eastAsiaTheme="minorHAnsi"/>
        </w:rPr>
        <w:t>(b)</w:t>
      </w:r>
      <w:r w:rsidRPr="00BF7167">
        <w:rPr>
          <w:rFonts w:eastAsiaTheme="minorHAnsi"/>
        </w:rPr>
        <w:tab/>
        <w:t>Comprises dividends, income tax equivalents and rate equivalent revenue and interest.</w:t>
      </w:r>
    </w:p>
    <w:p w:rsidR="00566E9A" w:rsidRPr="00BF7167" w:rsidRDefault="00566E9A" w:rsidP="00AE5760">
      <w:pPr>
        <w:pStyle w:val="Notes"/>
        <w:rPr>
          <w:rFonts w:eastAsiaTheme="minorHAnsi"/>
        </w:rPr>
      </w:pPr>
      <w:r w:rsidRPr="00BF7167">
        <w:rPr>
          <w:rFonts w:eastAsiaTheme="minorHAnsi"/>
        </w:rPr>
        <w:t>(c)</w:t>
      </w:r>
      <w:r w:rsidRPr="00BF7167">
        <w:rPr>
          <w:rFonts w:eastAsiaTheme="minorHAnsi"/>
        </w:rPr>
        <w:tab/>
        <w:t>The revenue and expense growth for 2016</w:t>
      </w:r>
      <w:r>
        <w:rPr>
          <w:rFonts w:eastAsiaTheme="minorHAnsi"/>
        </w:rPr>
        <w:noBreakHyphen/>
        <w:t>17 is based on published figure</w:t>
      </w:r>
      <w:r w:rsidRPr="00BF7167">
        <w:rPr>
          <w:rFonts w:eastAsiaTheme="minorHAnsi"/>
        </w:rPr>
        <w:t xml:space="preserve">s in the </w:t>
      </w:r>
      <w:r w:rsidRPr="00EC5EE6">
        <w:rPr>
          <w:rFonts w:eastAsiaTheme="minorHAnsi"/>
          <w:i w:val="0"/>
        </w:rPr>
        <w:t>2015</w:t>
      </w:r>
      <w:r>
        <w:rPr>
          <w:rFonts w:eastAsiaTheme="minorHAnsi"/>
          <w:i w:val="0"/>
        </w:rPr>
        <w:noBreakHyphen/>
      </w:r>
      <w:r w:rsidRPr="00EC5EE6">
        <w:rPr>
          <w:rFonts w:eastAsiaTheme="minorHAnsi"/>
          <w:i w:val="0"/>
        </w:rPr>
        <w:t>16 Financial Report</w:t>
      </w:r>
      <w:r w:rsidRPr="00BF7167">
        <w:rPr>
          <w:rFonts w:eastAsiaTheme="minorHAnsi"/>
        </w:rPr>
        <w:t>.</w:t>
      </w:r>
    </w:p>
    <w:p w:rsidR="00566E9A" w:rsidRPr="00BF7167" w:rsidRDefault="00566E9A" w:rsidP="00AE5760">
      <w:pPr>
        <w:pStyle w:val="Notes"/>
        <w:rPr>
          <w:rFonts w:eastAsiaTheme="minorHAnsi"/>
        </w:rPr>
      </w:pPr>
      <w:r w:rsidRPr="00BF7167">
        <w:rPr>
          <w:rFonts w:eastAsiaTheme="minorHAnsi"/>
        </w:rPr>
        <w:t>(d)</w:t>
      </w:r>
      <w:r w:rsidRPr="00BF7167">
        <w:rPr>
          <w:rFonts w:eastAsiaTheme="minorHAnsi"/>
        </w:rPr>
        <w:tab/>
        <w:t>Comprises superannuation interest expense and other superannuation expenses.</w:t>
      </w:r>
    </w:p>
    <w:p w:rsidR="00566E9A" w:rsidRPr="00BF7167" w:rsidRDefault="00566E9A" w:rsidP="00AE5760">
      <w:pPr>
        <w:rPr>
          <w:rFonts w:eastAsiaTheme="minorHAnsi"/>
        </w:rPr>
      </w:pPr>
    </w:p>
    <w:p w:rsidR="00566E9A" w:rsidRDefault="00566E9A">
      <w:pPr>
        <w:spacing w:after="0"/>
        <w:rPr>
          <w:rFonts w:eastAsiaTheme="minorHAnsi"/>
        </w:rPr>
      </w:pPr>
      <w:r>
        <w:rPr>
          <w:rFonts w:eastAsiaTheme="minorHAnsi"/>
        </w:rPr>
        <w:br w:type="page"/>
      </w:r>
    </w:p>
    <w:p w:rsidR="00566E9A" w:rsidRPr="00BF7167" w:rsidRDefault="00566E9A" w:rsidP="00AE5760">
      <w:pPr>
        <w:rPr>
          <w:rFonts w:eastAsiaTheme="minorHAnsi"/>
        </w:rPr>
      </w:pPr>
      <w:r w:rsidRPr="00BF7167">
        <w:rPr>
          <w:rFonts w:eastAsiaTheme="minorHAnsi"/>
        </w:rPr>
        <w:lastRenderedPageBreak/>
        <w:t xml:space="preserve">The net result from transactions for the NFP sector is projected to </w:t>
      </w:r>
      <w:r>
        <w:rPr>
          <w:rFonts w:eastAsiaTheme="minorHAnsi"/>
        </w:rPr>
        <w:t>reach $2 billion by 2019</w:t>
      </w:r>
      <w:r>
        <w:rPr>
          <w:rFonts w:eastAsiaTheme="minorHAnsi"/>
        </w:rPr>
        <w:noBreakHyphen/>
        <w:t>20</w:t>
      </w:r>
      <w:r w:rsidRPr="00BF7167">
        <w:rPr>
          <w:rFonts w:eastAsiaTheme="minorHAnsi"/>
        </w:rPr>
        <w:t>. This is largely due to the performance of the general government sector which shows a $</w:t>
      </w:r>
      <w:r>
        <w:rPr>
          <w:rFonts w:eastAsiaTheme="minorHAnsi"/>
        </w:rPr>
        <w:t>1.7 billion</w:t>
      </w:r>
      <w:r w:rsidRPr="00BF7167">
        <w:rPr>
          <w:rFonts w:eastAsiaTheme="minorHAnsi"/>
        </w:rPr>
        <w:t xml:space="preserve"> surplus in 201</w:t>
      </w:r>
      <w:r>
        <w:rPr>
          <w:rFonts w:eastAsiaTheme="minorHAnsi"/>
        </w:rPr>
        <w:t>6</w:t>
      </w:r>
      <w:r>
        <w:rPr>
          <w:rFonts w:eastAsiaTheme="minorHAnsi"/>
        </w:rPr>
        <w:noBreakHyphen/>
        <w:t>17 before increasing to a $2.6 billion</w:t>
      </w:r>
      <w:r w:rsidRPr="00BF7167">
        <w:rPr>
          <w:rFonts w:eastAsiaTheme="minorHAnsi"/>
        </w:rPr>
        <w:t xml:space="preserve"> surplus in 2019</w:t>
      </w:r>
      <w:r>
        <w:rPr>
          <w:rFonts w:eastAsiaTheme="minorHAnsi"/>
        </w:rPr>
        <w:noBreakHyphen/>
        <w:t>20.</w:t>
      </w:r>
    </w:p>
    <w:p w:rsidR="00566E9A" w:rsidRPr="00BF7167" w:rsidRDefault="00566E9A" w:rsidP="00AE5760">
      <w:pPr>
        <w:rPr>
          <w:rFonts w:eastAsiaTheme="minorHAnsi"/>
        </w:rPr>
      </w:pPr>
      <w:r w:rsidRPr="00BF7167">
        <w:rPr>
          <w:rFonts w:eastAsiaTheme="minorHAnsi"/>
        </w:rPr>
        <w:t>The net result from transactions in the PNFC sector i</w:t>
      </w:r>
      <w:r>
        <w:rPr>
          <w:rFonts w:eastAsiaTheme="minorHAnsi"/>
        </w:rPr>
        <w:t>s projected to be a deficit of $892 million</w:t>
      </w:r>
      <w:r w:rsidRPr="00BF7167">
        <w:rPr>
          <w:rFonts w:eastAsiaTheme="minorHAnsi"/>
        </w:rPr>
        <w:t xml:space="preserve"> in 2016</w:t>
      </w:r>
      <w:r>
        <w:rPr>
          <w:rFonts w:eastAsiaTheme="minorHAnsi"/>
        </w:rPr>
        <w:noBreakHyphen/>
      </w:r>
      <w:r w:rsidRPr="00BF7167">
        <w:rPr>
          <w:rFonts w:eastAsiaTheme="minorHAnsi"/>
        </w:rPr>
        <w:t>17 improving to a deficit of $</w:t>
      </w:r>
      <w:r>
        <w:rPr>
          <w:rFonts w:eastAsiaTheme="minorHAnsi"/>
        </w:rPr>
        <w:t>444 million in 2019-20.</w:t>
      </w:r>
      <w:r w:rsidRPr="00BF7167">
        <w:rPr>
          <w:rFonts w:eastAsiaTheme="minorHAnsi"/>
        </w:rPr>
        <w:t xml:space="preserve"> The deficit</w:t>
      </w:r>
      <w:r>
        <w:rPr>
          <w:rFonts w:eastAsiaTheme="minorHAnsi"/>
        </w:rPr>
        <w:t>s in the sector mainly reflect:</w:t>
      </w:r>
    </w:p>
    <w:p w:rsidR="00566E9A" w:rsidRPr="00BF7167" w:rsidRDefault="00566E9A" w:rsidP="00AE5760">
      <w:pPr>
        <w:pStyle w:val="BulletText"/>
        <w:rPr>
          <w:rFonts w:eastAsiaTheme="minorHAnsi"/>
        </w:rPr>
      </w:pPr>
      <w:proofErr w:type="spellStart"/>
      <w:r>
        <w:rPr>
          <w:rFonts w:eastAsiaTheme="minorHAnsi"/>
        </w:rPr>
        <w:t>VicTrack</w:t>
      </w:r>
      <w:proofErr w:type="spellEnd"/>
      <w:r>
        <w:rPr>
          <w:rFonts w:eastAsiaTheme="minorHAnsi"/>
        </w:rPr>
        <w:t xml:space="preserve"> operating losses due to unfunded depreciation expenses. </w:t>
      </w:r>
      <w:proofErr w:type="spellStart"/>
      <w:r>
        <w:rPr>
          <w:rFonts w:eastAsiaTheme="minorHAnsi"/>
        </w:rPr>
        <w:t>VicTrack</w:t>
      </w:r>
      <w:proofErr w:type="spellEnd"/>
      <w:r>
        <w:rPr>
          <w:rFonts w:eastAsiaTheme="minorHAnsi"/>
        </w:rPr>
        <w:t xml:space="preserve"> is estimated to generate operating cash flow surpluses over the forward estimates;</w:t>
      </w:r>
      <w:r w:rsidRPr="00BF7167">
        <w:rPr>
          <w:rFonts w:eastAsiaTheme="minorHAnsi"/>
        </w:rPr>
        <w:t xml:space="preserve"> and </w:t>
      </w:r>
    </w:p>
    <w:p w:rsidR="00566E9A" w:rsidRPr="00BF7167" w:rsidRDefault="00566E9A" w:rsidP="00AE5760">
      <w:pPr>
        <w:pStyle w:val="BulletText"/>
        <w:rPr>
          <w:rFonts w:eastAsiaTheme="minorHAnsi"/>
        </w:rPr>
      </w:pPr>
      <w:r w:rsidRPr="00BF7167">
        <w:rPr>
          <w:rFonts w:eastAsiaTheme="minorHAnsi"/>
        </w:rPr>
        <w:t>projected deficits in the Director of Housing across the forward estimates period, due to the impact of its current operating model and the costs assoc</w:t>
      </w:r>
      <w:r>
        <w:rPr>
          <w:rFonts w:eastAsiaTheme="minorHAnsi"/>
        </w:rPr>
        <w:t xml:space="preserve">iated with managing a large </w:t>
      </w:r>
      <w:r w:rsidRPr="00BF7167">
        <w:rPr>
          <w:rFonts w:eastAsiaTheme="minorHAnsi"/>
        </w:rPr>
        <w:t>an</w:t>
      </w:r>
      <w:r>
        <w:rPr>
          <w:rFonts w:eastAsiaTheme="minorHAnsi"/>
        </w:rPr>
        <w:t>d</w:t>
      </w:r>
      <w:r w:rsidRPr="00BF7167">
        <w:rPr>
          <w:rFonts w:eastAsiaTheme="minorHAnsi"/>
        </w:rPr>
        <w:t xml:space="preserve"> ageing asset portfolio.</w:t>
      </w:r>
    </w:p>
    <w:p w:rsidR="00566E9A" w:rsidRPr="00BF7167" w:rsidRDefault="00566E9A" w:rsidP="00AE5760">
      <w:pPr>
        <w:rPr>
          <w:rFonts w:eastAsiaTheme="minorHAnsi"/>
        </w:rPr>
      </w:pPr>
      <w:r w:rsidRPr="00BF7167">
        <w:rPr>
          <w:rFonts w:eastAsiaTheme="minorHAnsi"/>
        </w:rPr>
        <w:t>Despite the</w:t>
      </w:r>
      <w:r>
        <w:rPr>
          <w:rFonts w:eastAsiaTheme="minorHAnsi"/>
        </w:rPr>
        <w:t xml:space="preserve"> forecast deficits</w:t>
      </w:r>
      <w:r w:rsidRPr="00BF7167">
        <w:rPr>
          <w:rFonts w:eastAsiaTheme="minorHAnsi"/>
        </w:rPr>
        <w:t>, the PNFC sector is forecast to remain in a strong and sustainable position, as evidenced by improving operating cash flow surpluses</w:t>
      </w:r>
      <w:r>
        <w:rPr>
          <w:rFonts w:eastAsiaTheme="minorHAnsi"/>
        </w:rPr>
        <w:t>.</w:t>
      </w:r>
    </w:p>
    <w:p w:rsidR="00566E9A" w:rsidRDefault="00566E9A">
      <w:pPr>
        <w:spacing w:after="0"/>
        <w:rPr>
          <w:rFonts w:asciiTheme="majorHAnsi" w:eastAsiaTheme="minorHAnsi" w:hAnsiTheme="majorHAnsi"/>
          <w:b/>
          <w:kern w:val="28"/>
          <w:sz w:val="26"/>
        </w:rPr>
      </w:pPr>
      <w:r>
        <w:rPr>
          <w:rFonts w:eastAsiaTheme="minorHAnsi"/>
        </w:rPr>
        <w:br w:type="page"/>
      </w:r>
    </w:p>
    <w:p w:rsidR="00566E9A" w:rsidRPr="00BF7167" w:rsidRDefault="00566E9A" w:rsidP="00AE5760">
      <w:pPr>
        <w:pStyle w:val="Heading2"/>
        <w:rPr>
          <w:rFonts w:eastAsiaTheme="minorHAnsi"/>
        </w:rPr>
      </w:pPr>
      <w:r w:rsidRPr="00BF7167">
        <w:rPr>
          <w:rFonts w:eastAsiaTheme="minorHAnsi"/>
        </w:rPr>
        <w:lastRenderedPageBreak/>
        <w:t>Application of cash resources</w:t>
      </w:r>
    </w:p>
    <w:p w:rsidR="00566E9A" w:rsidRPr="00BF7167" w:rsidRDefault="00566E9A" w:rsidP="00AE5760">
      <w:pPr>
        <w:rPr>
          <w:rFonts w:eastAsiaTheme="minorHAnsi"/>
        </w:rPr>
      </w:pPr>
      <w:r w:rsidRPr="00BF7167">
        <w:rPr>
          <w:rFonts w:eastAsiaTheme="minorHAnsi"/>
        </w:rPr>
        <w:t>The NFP secto</w:t>
      </w:r>
      <w:r>
        <w:rPr>
          <w:rFonts w:eastAsiaTheme="minorHAnsi"/>
        </w:rPr>
        <w:t xml:space="preserve">r is forecast to record </w:t>
      </w:r>
      <w:r w:rsidRPr="00BF7167">
        <w:rPr>
          <w:rFonts w:eastAsiaTheme="minorHAnsi"/>
        </w:rPr>
        <w:t>operating cash flow surpluses across the budget and forward estimates period. This will result in the NFP sector infrastructure program being predominantly funded by net operating cash flows. This enables the State to deliver infrastructure projects without compromising debt sustainability.</w:t>
      </w:r>
    </w:p>
    <w:p w:rsidR="00566E9A" w:rsidRDefault="00566E9A" w:rsidP="00AE5760">
      <w:pPr>
        <w:pStyle w:val="Tableheading"/>
        <w:rPr>
          <w:rFonts w:eastAsiaTheme="minorHAnsi"/>
          <w:vertAlign w:val="superscript"/>
        </w:rPr>
      </w:pPr>
      <w:r>
        <w:rPr>
          <w:rFonts w:eastAsiaTheme="minorHAnsi"/>
        </w:rPr>
        <w:t>Table 3.7:</w:t>
      </w:r>
      <w:r>
        <w:rPr>
          <w:rFonts w:eastAsiaTheme="minorHAnsi"/>
        </w:rPr>
        <w:tab/>
      </w:r>
      <w:r w:rsidRPr="00BF7167">
        <w:rPr>
          <w:rFonts w:eastAsiaTheme="minorHAnsi"/>
        </w:rPr>
        <w:t>Application of cash resources for the non</w:t>
      </w:r>
      <w:r>
        <w:rPr>
          <w:rFonts w:eastAsiaTheme="minorHAnsi"/>
        </w:rPr>
        <w:noBreakHyphen/>
      </w:r>
      <w:r w:rsidRPr="00BF7167">
        <w:rPr>
          <w:rFonts w:eastAsiaTheme="minorHAnsi"/>
        </w:rPr>
        <w:t xml:space="preserve">financial </w:t>
      </w:r>
      <w:r>
        <w:rPr>
          <w:rFonts w:eastAsiaTheme="minorHAnsi"/>
        </w:rPr>
        <w:t xml:space="preserve">public sector </w:t>
      </w:r>
      <w:r w:rsidRPr="00BF7167">
        <w:rPr>
          <w:rFonts w:eastAsiaTheme="minorHAnsi"/>
          <w:vertAlign w:val="superscript"/>
        </w:rPr>
        <w:t>(a)</w:t>
      </w:r>
    </w:p>
    <w:p w:rsidR="00566E9A" w:rsidRPr="00AE5760" w:rsidRDefault="00566E9A" w:rsidP="00AE5760">
      <w:pPr>
        <w:pStyle w:val="million"/>
        <w:rPr>
          <w:rFonts w:eastAsiaTheme="minorHAnsi"/>
        </w:rPr>
      </w:pPr>
      <w:r w:rsidRPr="00BF7167">
        <w:rPr>
          <w:rFonts w:eastAsiaTheme="minorHAnsi"/>
        </w:rPr>
        <w:t>($</w:t>
      </w:r>
      <w:r>
        <w:rPr>
          <w:rFonts w:eastAsiaTheme="minorHAnsi"/>
        </w:rPr>
        <w:t> million</w:t>
      </w:r>
      <w:r w:rsidRPr="00BF7167">
        <w:rPr>
          <w:rFonts w:eastAsiaTheme="minorHAnsi"/>
        </w:rPr>
        <w:t>)</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153B20"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153B20" w:rsidRDefault="00AE5760" w:rsidP="00AE5760">
            <w:pPr>
              <w:autoSpaceDE w:val="0"/>
              <w:autoSpaceDN w:val="0"/>
              <w:adjustRightInd w:val="0"/>
              <w:rPr>
                <w:rFonts w:eastAsiaTheme="minorEastAsia" w:cs="Calibri"/>
                <w:iCs/>
                <w:color w:val="FFFFFF"/>
                <w:szCs w:val="19"/>
                <w:lang w:eastAsia="en-AU"/>
              </w:rPr>
            </w:pPr>
            <w:r w:rsidRPr="00153B20">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E5760" w:rsidRPr="00153B20"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153B20">
              <w:rPr>
                <w:rFonts w:eastAsiaTheme="minorEastAsia" w:cs="Calibri"/>
                <w:iCs/>
                <w:color w:val="FFFFFF"/>
                <w:szCs w:val="19"/>
                <w:lang w:eastAsia="en-AU"/>
              </w:rPr>
              <w:t>2016-17</w:t>
            </w:r>
            <w:r>
              <w:rPr>
                <w:rFonts w:eastAsiaTheme="minorEastAsia" w:cs="Calibri"/>
                <w:iCs/>
                <w:color w:val="FFFFFF"/>
                <w:szCs w:val="19"/>
                <w:lang w:eastAsia="en-AU"/>
              </w:rPr>
              <w:br/>
            </w:r>
            <w:r w:rsidRPr="00153B20">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E5760" w:rsidRPr="00153B20"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153B20">
              <w:rPr>
                <w:rFonts w:eastAsiaTheme="minorEastAsia" w:cs="Calibri"/>
                <w:iCs/>
                <w:color w:val="FFFFFF"/>
                <w:szCs w:val="19"/>
                <w:lang w:eastAsia="en-AU"/>
              </w:rPr>
              <w:t>2017-18</w:t>
            </w:r>
            <w:r>
              <w:rPr>
                <w:rFonts w:eastAsiaTheme="minorEastAsia" w:cs="Calibri"/>
                <w:iCs/>
                <w:color w:val="FFFFFF"/>
                <w:szCs w:val="19"/>
                <w:lang w:eastAsia="en-AU"/>
              </w:rPr>
              <w:br/>
            </w:r>
            <w:r w:rsidRPr="00153B20">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153B20"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153B20">
              <w:rPr>
                <w:rFonts w:eastAsiaTheme="minorEastAsia" w:cs="Calibri"/>
                <w:iCs/>
                <w:color w:val="FFFFFF"/>
                <w:szCs w:val="19"/>
                <w:lang w:eastAsia="en-AU"/>
              </w:rPr>
              <w:t>2018-19</w:t>
            </w:r>
            <w:r>
              <w:rPr>
                <w:rFonts w:eastAsiaTheme="minorEastAsia" w:cs="Calibri"/>
                <w:iCs/>
                <w:color w:val="FFFFFF"/>
                <w:szCs w:val="19"/>
                <w:lang w:eastAsia="en-AU"/>
              </w:rPr>
              <w:br/>
            </w:r>
            <w:r w:rsidRPr="00153B20">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153B20"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153B20">
              <w:rPr>
                <w:rFonts w:eastAsiaTheme="minorEastAsia" w:cs="Calibri"/>
                <w:iCs/>
                <w:color w:val="FFFFFF"/>
                <w:szCs w:val="19"/>
                <w:lang w:eastAsia="en-AU"/>
              </w:rPr>
              <w:t>2019-20</w:t>
            </w:r>
            <w:r>
              <w:rPr>
                <w:rFonts w:eastAsiaTheme="minorEastAsia" w:cs="Calibri"/>
                <w:iCs/>
                <w:color w:val="FFFFFF"/>
                <w:szCs w:val="19"/>
                <w:lang w:eastAsia="en-AU"/>
              </w:rPr>
              <w:br/>
            </w:r>
            <w:r w:rsidRPr="00153B20">
              <w:rPr>
                <w:rFonts w:eastAsiaTheme="minorEastAsia" w:cs="Calibri"/>
                <w:iCs/>
                <w:color w:val="FFFFFF"/>
                <w:szCs w:val="19"/>
                <w:lang w:eastAsia="en-AU"/>
              </w:rPr>
              <w:t>estimate</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b/>
                <w:bCs/>
                <w:color w:val="000000"/>
                <w:szCs w:val="19"/>
                <w:lang w:eastAsia="en-AU"/>
              </w:rPr>
            </w:pPr>
            <w:r w:rsidRPr="00153B20">
              <w:rPr>
                <w:rFonts w:eastAsiaTheme="minorEastAsia" w:cs="Calibri"/>
                <w:b/>
                <w:bCs/>
                <w:color w:val="000000"/>
                <w:szCs w:val="19"/>
                <w:lang w:eastAsia="en-AU"/>
              </w:rPr>
              <w:t>Net result from transactions</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771</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384</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1 012</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2 010</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153B20" w:rsidRDefault="00566E9A" w:rsidP="00AE5760">
            <w:pPr>
              <w:autoSpaceDE w:val="0"/>
              <w:autoSpaceDN w:val="0"/>
              <w:adjustRightInd w:val="0"/>
              <w:rPr>
                <w:rFonts w:eastAsiaTheme="minorEastAsia" w:cs="Calibri"/>
                <w:color w:val="000000"/>
                <w:szCs w:val="19"/>
                <w:vertAlign w:val="superscript"/>
                <w:lang w:eastAsia="en-AU"/>
              </w:rPr>
            </w:pPr>
            <w:r w:rsidRPr="00153B20">
              <w:rPr>
                <w:rFonts w:eastAsiaTheme="minorEastAsia" w:cs="Calibri"/>
                <w:color w:val="000000"/>
                <w:szCs w:val="19"/>
                <w:lang w:eastAsia="en-AU"/>
              </w:rPr>
              <w:t xml:space="preserve">Add back: non-cash income and expenses (net) </w:t>
            </w:r>
            <w:r w:rsidRPr="00153B20">
              <w:rPr>
                <w:rFonts w:eastAsiaTheme="minorEastAsia" w:cs="Calibri"/>
                <w:color w:val="000000"/>
                <w:szCs w:val="19"/>
                <w:vertAlign w:val="superscript"/>
                <w:lang w:eastAsia="en-AU"/>
              </w:rPr>
              <w:t>(b)</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13 028</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4 459</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4 491</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4 729</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b/>
                <w:bCs/>
                <w:color w:val="000000"/>
                <w:szCs w:val="19"/>
                <w:lang w:eastAsia="en-AU"/>
              </w:rPr>
            </w:pPr>
            <w:r w:rsidRPr="00153B20">
              <w:rPr>
                <w:rFonts w:eastAsiaTheme="minorEastAsia" w:cs="Calibri"/>
                <w:b/>
                <w:bCs/>
                <w:color w:val="000000"/>
                <w:szCs w:val="19"/>
                <w:lang w:eastAsia="en-AU"/>
              </w:rPr>
              <w:t>Net cash flow from operating activities</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13 798</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4 843</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5 504</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6 739</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color w:val="000000"/>
                <w:szCs w:val="19"/>
                <w:lang w:eastAsia="en-AU"/>
              </w:rPr>
            </w:pPr>
            <w:r w:rsidRPr="00153B20">
              <w:rPr>
                <w:rFonts w:eastAsiaTheme="minorEastAsia" w:cs="Calibri"/>
                <w:color w:val="000000"/>
                <w:szCs w:val="19"/>
                <w:lang w:eastAsia="en-AU"/>
              </w:rPr>
              <w:t>Less:</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 xml:space="preserve"> </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color w:val="000000"/>
                <w:szCs w:val="19"/>
                <w:lang w:eastAsia="en-AU"/>
              </w:rPr>
            </w:pPr>
            <w:r w:rsidRPr="00153B20">
              <w:rPr>
                <w:rFonts w:eastAsiaTheme="minorEastAsia" w:cs="Calibri"/>
                <w:color w:val="000000"/>
                <w:szCs w:val="19"/>
                <w:lang w:eastAsia="en-AU"/>
              </w:rPr>
              <w:t>Net cash flows from investment in non-financial assets</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9 528</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9 645</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8 882</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153B20">
              <w:rPr>
                <w:rFonts w:eastAsiaTheme="minorEastAsia" w:cs="Calibri"/>
                <w:color w:val="000000"/>
                <w:szCs w:val="19"/>
                <w:lang w:eastAsia="en-AU"/>
              </w:rPr>
              <w:t>8 026</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color w:val="000000"/>
                <w:szCs w:val="19"/>
                <w:lang w:eastAsia="en-AU"/>
              </w:rPr>
            </w:pPr>
            <w:r w:rsidRPr="00153B20">
              <w:rPr>
                <w:rFonts w:eastAsiaTheme="minorEastAsia" w:cs="Calibri"/>
                <w:color w:val="000000"/>
                <w:szCs w:val="19"/>
                <w:lang w:eastAsia="en-AU"/>
              </w:rPr>
              <w:t>Net cash flow from investment in financial assets for policy purposes</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(118)</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(733)</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(689)</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(673)</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153B20" w:rsidRDefault="00566E9A" w:rsidP="00AE5760">
            <w:pPr>
              <w:autoSpaceDE w:val="0"/>
              <w:autoSpaceDN w:val="0"/>
              <w:adjustRightInd w:val="0"/>
              <w:rPr>
                <w:rFonts w:eastAsiaTheme="minorEastAsia" w:cs="Calibri"/>
                <w:b/>
                <w:bCs/>
                <w:color w:val="000000"/>
                <w:szCs w:val="19"/>
                <w:vertAlign w:val="superscript"/>
                <w:lang w:eastAsia="en-AU"/>
              </w:rPr>
            </w:pPr>
            <w:r w:rsidRPr="00153B20">
              <w:rPr>
                <w:rFonts w:eastAsiaTheme="minorEastAsia" w:cs="Calibri"/>
                <w:b/>
                <w:bCs/>
                <w:color w:val="000000"/>
                <w:szCs w:val="19"/>
                <w:lang w:eastAsia="en-AU"/>
              </w:rPr>
              <w:t xml:space="preserve">Total net investment in fixed assets </w:t>
            </w:r>
            <w:r w:rsidRPr="00153B20">
              <w:rPr>
                <w:rFonts w:eastAsiaTheme="minorEastAsia" w:cs="Calibri"/>
                <w:b/>
                <w:bCs/>
                <w:color w:val="000000"/>
                <w:szCs w:val="19"/>
                <w:vertAlign w:val="superscript"/>
                <w:lang w:eastAsia="en-AU"/>
              </w:rPr>
              <w:t>(c)</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9 410</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8 912</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8 193</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7 353</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b/>
                <w:bCs/>
                <w:color w:val="000000"/>
                <w:szCs w:val="19"/>
                <w:vertAlign w:val="superscript"/>
                <w:lang w:eastAsia="en-AU"/>
              </w:rPr>
            </w:pPr>
            <w:r w:rsidRPr="00153B20">
              <w:rPr>
                <w:rFonts w:eastAsiaTheme="minorEastAsia" w:cs="Calibri"/>
                <w:b/>
                <w:bCs/>
                <w:color w:val="000000"/>
                <w:szCs w:val="19"/>
                <w:lang w:eastAsia="en-AU"/>
              </w:rPr>
              <w:t xml:space="preserve">Surplus/(deficit) of cash from operations after funding net investments in fixed assets </w:t>
            </w:r>
            <w:r w:rsidRPr="00153B20">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4 388</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(4 069)</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(2 689)</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(615)</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color w:val="000000"/>
                <w:szCs w:val="19"/>
                <w:lang w:eastAsia="en-AU"/>
              </w:rPr>
            </w:pPr>
            <w:r w:rsidRPr="00153B20">
              <w:rPr>
                <w:rFonts w:eastAsiaTheme="minorEastAsia" w:cs="Calibri"/>
                <w:color w:val="000000"/>
                <w:szCs w:val="19"/>
                <w:lang w:eastAsia="en-AU"/>
              </w:rPr>
              <w:t>Less:</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153B20" w:rsidRDefault="00566E9A" w:rsidP="00AE5760">
            <w:pPr>
              <w:autoSpaceDE w:val="0"/>
              <w:autoSpaceDN w:val="0"/>
              <w:adjustRightInd w:val="0"/>
              <w:rPr>
                <w:rFonts w:eastAsiaTheme="minorEastAsia" w:cs="Calibri"/>
                <w:color w:val="000000"/>
                <w:szCs w:val="19"/>
                <w:vertAlign w:val="superscript"/>
                <w:lang w:eastAsia="en-AU"/>
              </w:rPr>
            </w:pPr>
            <w:r w:rsidRPr="00153B20">
              <w:rPr>
                <w:rFonts w:eastAsiaTheme="minorEastAsia" w:cs="Calibri"/>
                <w:color w:val="000000"/>
                <w:szCs w:val="19"/>
                <w:lang w:eastAsia="en-AU"/>
              </w:rPr>
              <w:t xml:space="preserve">Finance leases </w:t>
            </w:r>
            <w:r w:rsidRPr="00153B20">
              <w:rPr>
                <w:rFonts w:eastAsiaTheme="minorEastAsia" w:cs="Calibri"/>
                <w:color w:val="000000"/>
                <w:szCs w:val="19"/>
                <w:vertAlign w:val="superscript"/>
                <w:lang w:eastAsia="en-AU"/>
              </w:rPr>
              <w:t>(e)</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517</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647</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596</w:t>
            </w:r>
          </w:p>
        </w:tc>
        <w:tc>
          <w:tcPr>
            <w:tcW w:w="850" w:type="dxa"/>
            <w:tcBorders>
              <w:top w:val="nil"/>
              <w:left w:val="nil"/>
              <w:bottom w:val="nil"/>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349</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153B20" w:rsidRDefault="00566E9A" w:rsidP="00AE5760">
            <w:pPr>
              <w:autoSpaceDE w:val="0"/>
              <w:autoSpaceDN w:val="0"/>
              <w:adjustRightInd w:val="0"/>
              <w:rPr>
                <w:rFonts w:eastAsiaTheme="minorEastAsia" w:cs="Calibri"/>
                <w:color w:val="000000"/>
                <w:szCs w:val="19"/>
                <w:lang w:eastAsia="en-AU"/>
              </w:rPr>
            </w:pPr>
            <w:r w:rsidRPr="00153B20">
              <w:rPr>
                <w:rFonts w:eastAsiaTheme="minorEastAsia" w:cs="Calibri"/>
                <w:color w:val="000000"/>
                <w:szCs w:val="19"/>
                <w:lang w:eastAsia="en-AU"/>
              </w:rPr>
              <w:t>Other movements</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(33)</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w:t>
            </w:r>
          </w:p>
        </w:tc>
        <w:tc>
          <w:tcPr>
            <w:tcW w:w="850" w:type="dxa"/>
            <w:tcBorders>
              <w:top w:val="nil"/>
              <w:left w:val="nil"/>
              <w:bottom w:val="single" w:sz="6"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w:t>
            </w:r>
          </w:p>
        </w:tc>
      </w:tr>
      <w:tr w:rsidR="00566E9A" w:rsidRPr="00153B20"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566E9A" w:rsidRPr="00153B20" w:rsidRDefault="00566E9A" w:rsidP="00AE5760">
            <w:pPr>
              <w:autoSpaceDE w:val="0"/>
              <w:autoSpaceDN w:val="0"/>
              <w:adjustRightInd w:val="0"/>
              <w:rPr>
                <w:rFonts w:eastAsiaTheme="minorEastAsia" w:cs="Calibri"/>
                <w:b/>
                <w:bCs/>
                <w:color w:val="000000"/>
                <w:szCs w:val="19"/>
                <w:lang w:eastAsia="en-AU"/>
              </w:rPr>
            </w:pPr>
            <w:r w:rsidRPr="00153B20">
              <w:rPr>
                <w:rFonts w:eastAsiaTheme="minorEastAsia" w:cs="Calibri"/>
                <w:b/>
                <w:bCs/>
                <w:color w:val="000000"/>
                <w:szCs w:val="19"/>
                <w:lang w:eastAsia="en-AU"/>
              </w:rPr>
              <w:t>Decrease/(increase) in net debt</w:t>
            </w:r>
          </w:p>
        </w:tc>
        <w:tc>
          <w:tcPr>
            <w:tcW w:w="850" w:type="dxa"/>
            <w:tcBorders>
              <w:top w:val="nil"/>
              <w:left w:val="nil"/>
              <w:bottom w:val="single" w:sz="12"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153B20">
              <w:rPr>
                <w:rFonts w:eastAsiaTheme="minorEastAsia" w:cs="Calibri"/>
                <w:b/>
                <w:bCs/>
                <w:color w:val="000000"/>
                <w:szCs w:val="19"/>
                <w:lang w:eastAsia="en-AU"/>
              </w:rPr>
              <w:t>3 904</w:t>
            </w:r>
          </w:p>
        </w:tc>
        <w:tc>
          <w:tcPr>
            <w:tcW w:w="850" w:type="dxa"/>
            <w:tcBorders>
              <w:top w:val="nil"/>
              <w:left w:val="nil"/>
              <w:bottom w:val="single" w:sz="12"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(4 722)</w:t>
            </w:r>
          </w:p>
        </w:tc>
        <w:tc>
          <w:tcPr>
            <w:tcW w:w="850" w:type="dxa"/>
            <w:tcBorders>
              <w:top w:val="nil"/>
              <w:left w:val="nil"/>
              <w:bottom w:val="single" w:sz="12"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(3 277)</w:t>
            </w:r>
          </w:p>
        </w:tc>
        <w:tc>
          <w:tcPr>
            <w:tcW w:w="850" w:type="dxa"/>
            <w:tcBorders>
              <w:top w:val="nil"/>
              <w:left w:val="nil"/>
              <w:bottom w:val="single" w:sz="12" w:space="0" w:color="auto"/>
              <w:right w:val="nil"/>
            </w:tcBorders>
          </w:tcPr>
          <w:p w:rsidR="00566E9A" w:rsidRPr="00153B20"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(952)</w:t>
            </w:r>
          </w:p>
        </w:tc>
      </w:tr>
    </w:tbl>
    <w:p w:rsidR="00566E9A" w:rsidRPr="00BF7167" w:rsidRDefault="00566E9A" w:rsidP="00AE5760">
      <w:pPr>
        <w:pStyle w:val="Source"/>
        <w:rPr>
          <w:rFonts w:eastAsiaTheme="minorHAnsi"/>
        </w:rPr>
      </w:pPr>
      <w:r w:rsidRPr="00BF7167">
        <w:rPr>
          <w:rFonts w:eastAsiaTheme="minorHAnsi"/>
        </w:rPr>
        <w:t>Source: Department of Treasury and Finance</w:t>
      </w:r>
    </w:p>
    <w:p w:rsidR="00566E9A" w:rsidRPr="00BF7167" w:rsidRDefault="00566E9A" w:rsidP="00AE5760">
      <w:pPr>
        <w:pStyle w:val="Notes"/>
        <w:rPr>
          <w:rFonts w:eastAsiaTheme="minorHAnsi"/>
        </w:rPr>
      </w:pPr>
      <w:r w:rsidRPr="00BF7167">
        <w:rPr>
          <w:rFonts w:eastAsiaTheme="minorHAnsi"/>
        </w:rPr>
        <w:t>Notes:</w:t>
      </w:r>
    </w:p>
    <w:p w:rsidR="00566E9A" w:rsidRPr="00BF7167" w:rsidRDefault="00566E9A" w:rsidP="00AE5760">
      <w:pPr>
        <w:pStyle w:val="Notes"/>
        <w:rPr>
          <w:rFonts w:eastAsiaTheme="minorHAnsi"/>
        </w:rPr>
      </w:pPr>
      <w:r w:rsidRPr="00BF7167">
        <w:rPr>
          <w:rFonts w:eastAsiaTheme="minorHAnsi"/>
        </w:rPr>
        <w:t>(a)</w:t>
      </w:r>
      <w:r w:rsidRPr="00BF7167">
        <w:rPr>
          <w:rFonts w:eastAsiaTheme="minorHAnsi"/>
        </w:rPr>
        <w:tab/>
        <w:t xml:space="preserve">Figures in this table are subject to rounding to the nearest dollar and may not add up to totals. </w:t>
      </w:r>
    </w:p>
    <w:p w:rsidR="00566E9A" w:rsidRPr="00BF7167" w:rsidRDefault="00566E9A" w:rsidP="00AE5760">
      <w:pPr>
        <w:pStyle w:val="Notes"/>
        <w:rPr>
          <w:rFonts w:eastAsiaTheme="minorHAnsi"/>
        </w:rPr>
      </w:pPr>
      <w:r w:rsidRPr="00BF7167">
        <w:rPr>
          <w:rFonts w:eastAsiaTheme="minorHAnsi"/>
        </w:rPr>
        <w:t>(b)</w:t>
      </w:r>
      <w:r w:rsidRPr="00BF7167">
        <w:rPr>
          <w:rFonts w:eastAsiaTheme="minorHAnsi"/>
        </w:rPr>
        <w:tab/>
        <w:t>Includes depreciation, movements in the unfund</w:t>
      </w:r>
      <w:r>
        <w:rPr>
          <w:rFonts w:eastAsiaTheme="minorHAnsi"/>
        </w:rPr>
        <w:t xml:space="preserve">ed superannuation liability and liability of employee benefits. </w:t>
      </w:r>
    </w:p>
    <w:p w:rsidR="00566E9A" w:rsidRPr="00BF7167" w:rsidRDefault="00566E9A" w:rsidP="00AE5760">
      <w:pPr>
        <w:pStyle w:val="Notes"/>
        <w:rPr>
          <w:rFonts w:eastAsiaTheme="minorHAnsi"/>
        </w:rPr>
      </w:pPr>
      <w:r w:rsidRPr="00BF7167">
        <w:rPr>
          <w:rFonts w:eastAsiaTheme="minorHAnsi"/>
        </w:rPr>
        <w:t>(</w:t>
      </w:r>
      <w:r>
        <w:rPr>
          <w:rFonts w:eastAsiaTheme="minorHAnsi"/>
        </w:rPr>
        <w:t>c</w:t>
      </w:r>
      <w:r w:rsidRPr="00BF7167">
        <w:rPr>
          <w:rFonts w:eastAsiaTheme="minorHAnsi"/>
        </w:rPr>
        <w:t>)</w:t>
      </w:r>
      <w:r w:rsidRPr="00BF7167">
        <w:rPr>
          <w:rFonts w:eastAsiaTheme="minorHAnsi"/>
        </w:rPr>
        <w:tab/>
        <w:t>Includes total purchases of plant, property and equipment, and capital contributions to other sectors of government net of proceeds from asset sales.</w:t>
      </w:r>
    </w:p>
    <w:p w:rsidR="00566E9A" w:rsidRDefault="00566E9A" w:rsidP="00AE5760">
      <w:pPr>
        <w:pStyle w:val="Notes"/>
        <w:rPr>
          <w:rFonts w:eastAsiaTheme="minorHAnsi"/>
        </w:rPr>
      </w:pPr>
      <w:r>
        <w:rPr>
          <w:rFonts w:eastAsiaTheme="minorHAnsi"/>
        </w:rPr>
        <w:t>(d</w:t>
      </w:r>
      <w:r w:rsidRPr="00BF7167">
        <w:rPr>
          <w:rFonts w:eastAsiaTheme="minorHAnsi"/>
        </w:rPr>
        <w:t>)</w:t>
      </w:r>
      <w:r w:rsidRPr="00BF7167">
        <w:rPr>
          <w:rFonts w:eastAsiaTheme="minorHAnsi"/>
        </w:rPr>
        <w:tab/>
      </w:r>
      <w:r>
        <w:rPr>
          <w:rFonts w:eastAsiaTheme="minorHAnsi"/>
        </w:rPr>
        <w:t>The higher surplus of cash from operations after funding net investments in fixed assets in 2016-17 is due to lease proceeds received from the medium-term lease of Port of Melbourne being included under net cash flow from operating activities.</w:t>
      </w:r>
    </w:p>
    <w:p w:rsidR="00566E9A" w:rsidRPr="00BF7167" w:rsidRDefault="00566E9A" w:rsidP="00AE5760">
      <w:pPr>
        <w:pStyle w:val="Notes"/>
        <w:tabs>
          <w:tab w:val="clear" w:pos="454"/>
        </w:tabs>
        <w:rPr>
          <w:rFonts w:eastAsiaTheme="minorHAnsi"/>
        </w:rPr>
      </w:pPr>
      <w:r>
        <w:rPr>
          <w:rFonts w:eastAsiaTheme="minorHAnsi"/>
        </w:rPr>
        <w:t>(e)</w:t>
      </w:r>
      <w:r>
        <w:rPr>
          <w:rFonts w:eastAsiaTheme="minorHAnsi"/>
        </w:rPr>
        <w:tab/>
      </w:r>
      <w:r w:rsidRPr="005B0CA8">
        <w:rPr>
          <w:rFonts w:eastAsiaTheme="minorHAnsi"/>
        </w:rPr>
        <w:t>The finance lease acquisition</w:t>
      </w:r>
      <w:r>
        <w:rPr>
          <w:rFonts w:eastAsiaTheme="minorHAnsi"/>
        </w:rPr>
        <w:t>s</w:t>
      </w:r>
      <w:r w:rsidRPr="005B0CA8">
        <w:rPr>
          <w:rFonts w:eastAsiaTheme="minorHAnsi"/>
        </w:rPr>
        <w:t xml:space="preserve"> in 2016</w:t>
      </w:r>
      <w:r>
        <w:rPr>
          <w:rFonts w:eastAsiaTheme="minorHAnsi"/>
        </w:rPr>
        <w:noBreakHyphen/>
      </w:r>
      <w:r w:rsidRPr="005B0CA8">
        <w:rPr>
          <w:rFonts w:eastAsiaTheme="minorHAnsi"/>
        </w:rPr>
        <w:t>17 relate to the new Bendigo H</w:t>
      </w:r>
      <w:r>
        <w:rPr>
          <w:rFonts w:eastAsiaTheme="minorHAnsi"/>
        </w:rPr>
        <w:t>ospital project</w:t>
      </w:r>
      <w:r w:rsidRPr="005B0CA8">
        <w:rPr>
          <w:rFonts w:eastAsiaTheme="minorHAnsi"/>
        </w:rPr>
        <w:t>, the New Schools PPP project and the metropolitan Melbourne buses contract. The 2017</w:t>
      </w:r>
      <w:r>
        <w:rPr>
          <w:rFonts w:eastAsiaTheme="minorHAnsi"/>
        </w:rPr>
        <w:noBreakHyphen/>
      </w:r>
      <w:r w:rsidRPr="005B0CA8">
        <w:rPr>
          <w:rFonts w:eastAsiaTheme="minorHAnsi"/>
        </w:rPr>
        <w:t xml:space="preserve">18 estimate relates to the new Bendigo Hospital project, Ravenhall Prison </w:t>
      </w:r>
      <w:r>
        <w:rPr>
          <w:rFonts w:eastAsiaTheme="minorHAnsi"/>
        </w:rPr>
        <w:t>and the New Schools PPP project</w:t>
      </w:r>
      <w:r w:rsidRPr="005B0CA8">
        <w:rPr>
          <w:rFonts w:eastAsiaTheme="minorHAnsi"/>
        </w:rPr>
        <w:t xml:space="preserve">. </w:t>
      </w:r>
      <w:r w:rsidRPr="00165693">
        <w:rPr>
          <w:rFonts w:eastAsiaTheme="minorHAnsi"/>
        </w:rPr>
        <w:t xml:space="preserve">The </w:t>
      </w:r>
      <w:r>
        <w:rPr>
          <w:rFonts w:eastAsiaTheme="minorHAnsi"/>
        </w:rPr>
        <w:t>2018</w:t>
      </w:r>
      <w:r>
        <w:rPr>
          <w:rFonts w:eastAsiaTheme="minorHAnsi"/>
        </w:rPr>
        <w:noBreakHyphen/>
        <w:t>19</w:t>
      </w:r>
      <w:r w:rsidRPr="00165693">
        <w:rPr>
          <w:rFonts w:eastAsiaTheme="minorHAnsi"/>
        </w:rPr>
        <w:t xml:space="preserve"> and 2019</w:t>
      </w:r>
      <w:r>
        <w:rPr>
          <w:rFonts w:eastAsiaTheme="minorHAnsi"/>
        </w:rPr>
        <w:noBreakHyphen/>
        <w:t>20 estimates</w:t>
      </w:r>
      <w:r w:rsidRPr="00165693">
        <w:rPr>
          <w:rFonts w:eastAsiaTheme="minorHAnsi"/>
        </w:rPr>
        <w:t xml:space="preserve"> relate to the High </w:t>
      </w:r>
      <w:r>
        <w:rPr>
          <w:rFonts w:eastAsiaTheme="minorHAnsi"/>
        </w:rPr>
        <w:t>C</w:t>
      </w:r>
      <w:r w:rsidRPr="00165693">
        <w:rPr>
          <w:rFonts w:eastAsiaTheme="minorHAnsi"/>
        </w:rPr>
        <w:t xml:space="preserve">apacity </w:t>
      </w:r>
      <w:r>
        <w:rPr>
          <w:rFonts w:eastAsiaTheme="minorHAnsi"/>
        </w:rPr>
        <w:t>Metro T</w:t>
      </w:r>
      <w:r w:rsidRPr="00165693">
        <w:rPr>
          <w:rFonts w:eastAsiaTheme="minorHAnsi"/>
        </w:rPr>
        <w:t>rains</w:t>
      </w:r>
      <w:r>
        <w:rPr>
          <w:rFonts w:eastAsiaTheme="minorHAnsi"/>
        </w:rPr>
        <w:t xml:space="preserve"> Project.</w:t>
      </w:r>
    </w:p>
    <w:p w:rsidR="00566E9A" w:rsidRPr="00BF7167" w:rsidRDefault="00566E9A" w:rsidP="00AE5760">
      <w:pPr>
        <w:rPr>
          <w:rFonts w:eastAsiaTheme="minorHAnsi"/>
        </w:rPr>
      </w:pPr>
    </w:p>
    <w:p w:rsidR="00566E9A" w:rsidRPr="00BF7167" w:rsidRDefault="00566E9A" w:rsidP="00AE5760">
      <w:pPr>
        <w:rPr>
          <w:rFonts w:eastAsiaTheme="minorHAnsi"/>
        </w:rPr>
      </w:pPr>
      <w:r w:rsidRPr="00BF7167">
        <w:rPr>
          <w:rFonts w:eastAsiaTheme="minorHAnsi"/>
        </w:rPr>
        <w:t>The NFP sector is projected to invest a total of $</w:t>
      </w:r>
      <w:r>
        <w:rPr>
          <w:rFonts w:eastAsiaTheme="minorHAnsi"/>
        </w:rPr>
        <w:t>36.1 billion</w:t>
      </w:r>
      <w:r w:rsidRPr="00BF7167">
        <w:rPr>
          <w:rFonts w:eastAsiaTheme="minorHAnsi"/>
        </w:rPr>
        <w:t xml:space="preserve"> in </w:t>
      </w:r>
      <w:r>
        <w:rPr>
          <w:rFonts w:eastAsiaTheme="minorHAnsi"/>
        </w:rPr>
        <w:t>non</w:t>
      </w:r>
      <w:r>
        <w:rPr>
          <w:rFonts w:eastAsiaTheme="minorHAnsi"/>
        </w:rPr>
        <w:noBreakHyphen/>
        <w:t>financial assets</w:t>
      </w:r>
      <w:r w:rsidRPr="00BF7167">
        <w:rPr>
          <w:rFonts w:eastAsiaTheme="minorHAnsi"/>
        </w:rPr>
        <w:t xml:space="preserve"> from 2016</w:t>
      </w:r>
      <w:r>
        <w:rPr>
          <w:rFonts w:eastAsiaTheme="minorHAnsi"/>
        </w:rPr>
        <w:noBreakHyphen/>
      </w:r>
      <w:r w:rsidRPr="00BF7167">
        <w:rPr>
          <w:rFonts w:eastAsiaTheme="minorHAnsi"/>
        </w:rPr>
        <w:t>17 to 2019</w:t>
      </w:r>
      <w:r>
        <w:rPr>
          <w:rFonts w:eastAsiaTheme="minorHAnsi"/>
        </w:rPr>
        <w:noBreakHyphen/>
      </w:r>
      <w:r w:rsidRPr="00BF7167">
        <w:rPr>
          <w:rFonts w:eastAsiaTheme="minorHAnsi"/>
        </w:rPr>
        <w:t>20. The key infrastructure project</w:t>
      </w:r>
      <w:r>
        <w:rPr>
          <w:rFonts w:eastAsiaTheme="minorHAnsi"/>
        </w:rPr>
        <w:t>s</w:t>
      </w:r>
      <w:r w:rsidRPr="00BF7167">
        <w:rPr>
          <w:rFonts w:eastAsiaTheme="minorHAnsi"/>
        </w:rPr>
        <w:t xml:space="preserve"> under development include:</w:t>
      </w:r>
    </w:p>
    <w:p w:rsidR="00566E9A" w:rsidRPr="00BF7167" w:rsidRDefault="00566E9A" w:rsidP="00AE5760">
      <w:pPr>
        <w:pStyle w:val="BulletText"/>
        <w:rPr>
          <w:rFonts w:eastAsiaTheme="minorHAnsi"/>
        </w:rPr>
      </w:pPr>
      <w:r w:rsidRPr="00BF7167">
        <w:rPr>
          <w:rFonts w:eastAsiaTheme="minorHAnsi"/>
        </w:rPr>
        <w:t>significant investment in transport infrastructure</w:t>
      </w:r>
      <w:r>
        <w:rPr>
          <w:rFonts w:eastAsiaTheme="minorHAnsi"/>
        </w:rPr>
        <w:t>,</w:t>
      </w:r>
      <w:r w:rsidRPr="00BF7167">
        <w:rPr>
          <w:rFonts w:eastAsiaTheme="minorHAnsi"/>
        </w:rPr>
        <w:t xml:space="preserve"> including new trains (metropolitan and regional) and trams to meet patronage growth and improve network performance; </w:t>
      </w:r>
      <w:r>
        <w:rPr>
          <w:rFonts w:eastAsiaTheme="minorHAnsi"/>
        </w:rPr>
        <w:t>and</w:t>
      </w:r>
    </w:p>
    <w:p w:rsidR="00566E9A" w:rsidRPr="004A7C44" w:rsidRDefault="00566E9A" w:rsidP="00AE5760">
      <w:pPr>
        <w:pStyle w:val="BulletText"/>
        <w:rPr>
          <w:rFonts w:eastAsiaTheme="minorHAnsi"/>
        </w:rPr>
      </w:pPr>
      <w:r w:rsidRPr="00BF7167">
        <w:rPr>
          <w:rFonts w:eastAsiaTheme="minorHAnsi"/>
        </w:rPr>
        <w:t xml:space="preserve">various water related infrastructure, including </w:t>
      </w:r>
      <w:r>
        <w:rPr>
          <w:rFonts w:eastAsiaTheme="minorHAnsi"/>
        </w:rPr>
        <w:t xml:space="preserve">the </w:t>
      </w:r>
      <w:r w:rsidRPr="00BF7167">
        <w:rPr>
          <w:rFonts w:eastAsiaTheme="minorHAnsi"/>
        </w:rPr>
        <w:t>Goulburn</w:t>
      </w:r>
      <w:r>
        <w:rPr>
          <w:rFonts w:eastAsiaTheme="minorHAnsi"/>
        </w:rPr>
        <w:noBreakHyphen/>
      </w:r>
      <w:r w:rsidRPr="00BF7167">
        <w:rPr>
          <w:rFonts w:eastAsiaTheme="minorHAnsi"/>
        </w:rPr>
        <w:t>Murray Water’s Connections Program, connecting irrigators to a modernised main sy</w:t>
      </w:r>
      <w:r>
        <w:rPr>
          <w:rFonts w:eastAsiaTheme="minorHAnsi"/>
        </w:rPr>
        <w:t>stem of irrigation channels.</w:t>
      </w:r>
    </w:p>
    <w:p w:rsidR="00566E9A" w:rsidRDefault="00566E9A">
      <w:pPr>
        <w:spacing w:after="0"/>
        <w:rPr>
          <w:rFonts w:asciiTheme="majorHAnsi" w:eastAsiaTheme="minorHAnsi" w:hAnsiTheme="majorHAnsi"/>
          <w:b/>
          <w:caps/>
          <w:sz w:val="26"/>
        </w:rPr>
      </w:pPr>
      <w:r>
        <w:rPr>
          <w:rFonts w:eastAsiaTheme="minorHAnsi"/>
        </w:rPr>
        <w:br w:type="page"/>
      </w:r>
    </w:p>
    <w:p w:rsidR="00566E9A" w:rsidRPr="00884562" w:rsidRDefault="00566E9A" w:rsidP="00AE5760">
      <w:pPr>
        <w:pStyle w:val="Heading1"/>
        <w:rPr>
          <w:rFonts w:eastAsiaTheme="minorHAnsi"/>
        </w:rPr>
      </w:pPr>
      <w:bookmarkStart w:id="44" w:name="_Toc468983281"/>
      <w:r w:rsidRPr="00884562">
        <w:rPr>
          <w:rFonts w:eastAsiaTheme="minorHAnsi"/>
        </w:rPr>
        <w:lastRenderedPageBreak/>
        <w:t>Non</w:t>
      </w:r>
      <w:r w:rsidRPr="00884562">
        <w:rPr>
          <w:rFonts w:eastAsiaTheme="minorHAnsi"/>
        </w:rPr>
        <w:noBreakHyphen/>
        <w:t>financial public sector net debt and net financial liabilities</w:t>
      </w:r>
      <w:bookmarkEnd w:id="44"/>
    </w:p>
    <w:p w:rsidR="00566E9A" w:rsidRPr="00BF7167" w:rsidRDefault="00566E9A" w:rsidP="00AE5760">
      <w:pPr>
        <w:rPr>
          <w:rFonts w:eastAsiaTheme="minorHAnsi"/>
        </w:rPr>
      </w:pPr>
      <w:r w:rsidRPr="00BF7167">
        <w:rPr>
          <w:rFonts w:eastAsiaTheme="minorHAnsi"/>
        </w:rPr>
        <w:t xml:space="preserve">Table 3.8 provide details of NFP sector net debt and financial liabilities. It shows that net debt is projected to increase in nominal terms over the estimates period. </w:t>
      </w:r>
      <w:r>
        <w:rPr>
          <w:rFonts w:eastAsiaTheme="minorHAnsi"/>
        </w:rPr>
        <w:t>By 2018</w:t>
      </w:r>
      <w:r>
        <w:rPr>
          <w:rFonts w:eastAsiaTheme="minorHAnsi"/>
        </w:rPr>
        <w:noBreakHyphen/>
        <w:t>19</w:t>
      </w:r>
      <w:r w:rsidRPr="00BF7167">
        <w:rPr>
          <w:rFonts w:eastAsiaTheme="minorHAnsi"/>
        </w:rPr>
        <w:t>, net debt as a percentage of GSP is projected to increase</w:t>
      </w:r>
      <w:r>
        <w:rPr>
          <w:rFonts w:eastAsiaTheme="minorHAnsi"/>
        </w:rPr>
        <w:t xml:space="preserve"> to 9.4</w:t>
      </w:r>
      <w:r w:rsidRPr="00BF7167">
        <w:rPr>
          <w:rFonts w:eastAsiaTheme="minorHAnsi"/>
        </w:rPr>
        <w:t xml:space="preserve"> pe</w:t>
      </w:r>
      <w:r>
        <w:rPr>
          <w:rFonts w:eastAsiaTheme="minorHAnsi"/>
        </w:rPr>
        <w:t>r cent, but will decline to 9.1 per cent in 2019-20.</w:t>
      </w:r>
    </w:p>
    <w:p w:rsidR="00566E9A" w:rsidRDefault="00566E9A" w:rsidP="00AE5760">
      <w:pPr>
        <w:pStyle w:val="Tableheading"/>
        <w:rPr>
          <w:rFonts w:eastAsiaTheme="minorHAnsi"/>
        </w:rPr>
      </w:pPr>
      <w:r w:rsidRPr="00BF7167">
        <w:rPr>
          <w:rFonts w:eastAsiaTheme="minorHAnsi"/>
        </w:rPr>
        <w:t>Table 3.8:</w:t>
      </w:r>
      <w:r>
        <w:rPr>
          <w:rFonts w:eastAsiaTheme="minorHAnsi"/>
        </w:rPr>
        <w:tab/>
        <w:t>Non</w:t>
      </w:r>
      <w:r>
        <w:rPr>
          <w:rFonts w:eastAsiaTheme="minorHAnsi"/>
        </w:rPr>
        <w:noBreakHyphen/>
      </w:r>
      <w:r w:rsidRPr="00BF7167">
        <w:rPr>
          <w:rFonts w:eastAsiaTheme="minorHAnsi"/>
        </w:rPr>
        <w:t>financial public sector net debt and financial liabilities</w:t>
      </w:r>
    </w:p>
    <w:p w:rsidR="00566E9A" w:rsidRPr="00AE5760" w:rsidRDefault="00566E9A" w:rsidP="00AE5760">
      <w:pPr>
        <w:pStyle w:val="million"/>
        <w:rPr>
          <w:rFonts w:eastAsiaTheme="minorHAnsi"/>
        </w:rPr>
      </w:pPr>
      <w:r>
        <w:rPr>
          <w:rFonts w:eastAsiaTheme="minorHAnsi"/>
        </w:rPr>
        <w:t>($ billion)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2"/>
      </w:tblGrid>
      <w:tr w:rsidR="00AE5760" w:rsidRPr="00811D38"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811D38" w:rsidRDefault="00AE5760" w:rsidP="00AE5760">
            <w:pPr>
              <w:autoSpaceDE w:val="0"/>
              <w:autoSpaceDN w:val="0"/>
              <w:adjustRightInd w:val="0"/>
              <w:rPr>
                <w:rFonts w:eastAsiaTheme="minorEastAsia" w:cs="Calibri"/>
                <w:iCs/>
                <w:color w:val="FFFFFF"/>
                <w:szCs w:val="19"/>
                <w:lang w:eastAsia="en-AU"/>
              </w:rPr>
            </w:pPr>
            <w:r w:rsidRPr="00811D38">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2016-17</w:t>
            </w:r>
            <w:r>
              <w:rPr>
                <w:rFonts w:eastAsiaTheme="minorEastAsia" w:cs="Calibri"/>
                <w:iCs/>
                <w:color w:val="FFFFFF"/>
                <w:szCs w:val="19"/>
                <w:lang w:eastAsia="en-AU"/>
              </w:rPr>
              <w:br/>
            </w:r>
            <w:r w:rsidRPr="00811D38">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2017-18</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2018-19</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2"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2019-20</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Assets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Cash and deposits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5.9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5.5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5.9</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6.3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Advances paid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0.1</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0.1</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Investments, loans and placements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4.7</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3.9</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4.0</w:t>
            </w:r>
          </w:p>
        </w:tc>
        <w:tc>
          <w:tcPr>
            <w:tcW w:w="852"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4.1</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10.7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9.6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10.0</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10.5</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Liabilities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Deposits held and advances received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0.8</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0.8</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Borrowings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42.6</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46.2</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49.9</w:t>
            </w:r>
          </w:p>
        </w:tc>
        <w:tc>
          <w:tcPr>
            <w:tcW w:w="852"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51.3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43.4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47.0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50.7</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52.1</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vertAlign w:val="superscript"/>
                <w:lang w:eastAsia="en-AU"/>
              </w:rPr>
            </w:pPr>
            <w:r w:rsidRPr="00811D38">
              <w:rPr>
                <w:rFonts w:eastAsiaTheme="minorEastAsia" w:cs="Calibri"/>
                <w:b/>
                <w:bCs/>
                <w:color w:val="000000"/>
                <w:szCs w:val="19"/>
                <w:lang w:eastAsia="en-AU"/>
              </w:rPr>
              <w:t xml:space="preserve">Net debt </w:t>
            </w:r>
            <w:r w:rsidRPr="00811D38">
              <w:rPr>
                <w:rFonts w:eastAsiaTheme="minorEastAsia" w:cs="Calibri"/>
                <w:b/>
                <w:bCs/>
                <w:color w:val="000000"/>
                <w:szCs w:val="19"/>
                <w:vertAlign w:val="superscript"/>
                <w:lang w:eastAsia="en-AU"/>
              </w:rPr>
              <w:t>(a)</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32.7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37.4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40.7</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41.6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Superannuation liability</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28.3</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27.2</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26.0</w:t>
            </w:r>
          </w:p>
        </w:tc>
        <w:tc>
          <w:tcPr>
            <w:tcW w:w="852"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24.8</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Net debt plus superannuation liabilities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61.0</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64.6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66.7</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66.4</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vertAlign w:val="superscript"/>
                <w:lang w:eastAsia="en-AU"/>
              </w:rPr>
            </w:pPr>
            <w:r w:rsidRPr="00811D38">
              <w:rPr>
                <w:rFonts w:eastAsiaTheme="minorEastAsia" w:cs="Calibri"/>
                <w:color w:val="000000"/>
                <w:szCs w:val="19"/>
                <w:lang w:eastAsia="en-AU"/>
              </w:rPr>
              <w:t xml:space="preserve">Other liabilities (net) </w:t>
            </w:r>
            <w:r w:rsidRPr="00811D38">
              <w:rPr>
                <w:rFonts w:eastAsiaTheme="minorEastAsia" w:cs="Calibri"/>
                <w:color w:val="000000"/>
                <w:szCs w:val="19"/>
                <w:vertAlign w:val="superscript"/>
                <w:lang w:eastAsia="en-AU"/>
              </w:rPr>
              <w:t>(b)</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14.7</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14.4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14.2</w:t>
            </w:r>
          </w:p>
        </w:tc>
        <w:tc>
          <w:tcPr>
            <w:tcW w:w="852"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11D38">
              <w:rPr>
                <w:rFonts w:eastAsiaTheme="minorEastAsia" w:cs="Calibri"/>
                <w:color w:val="000000"/>
                <w:lang w:eastAsia="en-AU"/>
              </w:rPr>
              <w:t>13.8</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vertAlign w:val="superscript"/>
                <w:lang w:eastAsia="en-AU"/>
              </w:rPr>
            </w:pPr>
            <w:r w:rsidRPr="00811D38">
              <w:rPr>
                <w:rFonts w:eastAsiaTheme="minorEastAsia" w:cs="Calibri"/>
                <w:b/>
                <w:bCs/>
                <w:color w:val="000000"/>
                <w:szCs w:val="19"/>
                <w:lang w:eastAsia="en-AU"/>
              </w:rPr>
              <w:t xml:space="preserve">Net financial liabilities </w:t>
            </w:r>
            <w:r w:rsidRPr="00811D38">
              <w:rPr>
                <w:rFonts w:eastAsiaTheme="minorEastAsia" w:cs="Calibri"/>
                <w:b/>
                <w:bCs/>
                <w:color w:val="000000"/>
                <w:szCs w:val="19"/>
                <w:vertAlign w:val="superscript"/>
                <w:lang w:eastAsia="en-AU"/>
              </w:rPr>
              <w:t>(c)</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75.7</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79.0</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80.8</w:t>
            </w:r>
          </w:p>
        </w:tc>
        <w:tc>
          <w:tcPr>
            <w:tcW w:w="852"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11D38">
              <w:rPr>
                <w:rFonts w:eastAsiaTheme="minorEastAsia" w:cs="Calibri"/>
                <w:b/>
                <w:bCs/>
                <w:color w:val="000000"/>
                <w:lang w:eastAsia="en-AU"/>
              </w:rPr>
              <w:t>80.2</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7767" w:type="dxa"/>
            <w:gridSpan w:val="5"/>
            <w:tcBorders>
              <w:top w:val="nil"/>
              <w:left w:val="nil"/>
              <w:bottom w:val="nil"/>
              <w:right w:val="nil"/>
            </w:tcBorders>
          </w:tcPr>
          <w:p w:rsidR="00566E9A" w:rsidRPr="00811D38" w:rsidRDefault="00566E9A" w:rsidP="00AE5760">
            <w:pPr>
              <w:autoSpaceDE w:val="0"/>
              <w:autoSpaceDN w:val="0"/>
              <w:adjustRightInd w:val="0"/>
              <w:jc w:val="center"/>
              <w:rPr>
                <w:rFonts w:eastAsiaTheme="minorEastAsia" w:cs="Calibri"/>
                <w:color w:val="000000"/>
                <w:szCs w:val="19"/>
                <w:lang w:eastAsia="en-AU"/>
              </w:rPr>
            </w:pPr>
            <w:r w:rsidRPr="00811D38">
              <w:rPr>
                <w:rFonts w:eastAsiaTheme="minorEastAsia" w:cs="Calibri"/>
                <w:i/>
                <w:iCs/>
                <w:color w:val="000000"/>
                <w:szCs w:val="19"/>
                <w:lang w:eastAsia="en-AU"/>
              </w:rPr>
              <w:t>(per cent)</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vertAlign w:val="superscript"/>
                <w:lang w:eastAsia="en-AU"/>
              </w:rPr>
            </w:pPr>
            <w:r w:rsidRPr="00811D38">
              <w:rPr>
                <w:rFonts w:eastAsiaTheme="minorEastAsia" w:cs="Calibri"/>
                <w:b/>
                <w:bCs/>
                <w:color w:val="000000"/>
                <w:szCs w:val="19"/>
                <w:lang w:eastAsia="en-AU"/>
              </w:rPr>
              <w:t xml:space="preserve">Net debt to GSP </w:t>
            </w:r>
            <w:r w:rsidRPr="00811D38">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8.3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9.4</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9.1</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vertAlign w:val="superscript"/>
                <w:lang w:eastAsia="en-AU"/>
              </w:rPr>
            </w:pPr>
            <w:r w:rsidRPr="00811D38">
              <w:rPr>
                <w:rFonts w:eastAsiaTheme="minorEastAsia" w:cs="Calibri"/>
                <w:b/>
                <w:bCs/>
                <w:color w:val="000000"/>
                <w:szCs w:val="19"/>
                <w:lang w:eastAsia="en-AU"/>
              </w:rPr>
              <w:t xml:space="preserve">Net debt plus superannuation liability to GSP </w:t>
            </w:r>
            <w:r w:rsidRPr="00811D38">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15.5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15.7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15.4</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14.6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vertAlign w:val="superscript"/>
                <w:lang w:eastAsia="en-AU"/>
              </w:rPr>
            </w:pPr>
            <w:r w:rsidRPr="00811D38">
              <w:rPr>
                <w:rFonts w:eastAsiaTheme="minorEastAsia" w:cs="Calibri"/>
                <w:b/>
                <w:bCs/>
                <w:color w:val="000000"/>
                <w:szCs w:val="19"/>
                <w:lang w:eastAsia="en-AU"/>
              </w:rPr>
              <w:t xml:space="preserve">Net financial liabilities to GSP </w:t>
            </w:r>
            <w:r w:rsidRPr="00811D38">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19.3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19.2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18.</w:t>
            </w:r>
            <w:r w:rsidR="00186967">
              <w:rPr>
                <w:rFonts w:eastAsiaTheme="minorEastAsia" w:cs="Calibri"/>
                <w:color w:val="000000"/>
                <w:szCs w:val="19"/>
                <w:lang w:eastAsia="en-AU"/>
              </w:rPr>
              <w:t>7</w:t>
            </w:r>
          </w:p>
        </w:tc>
        <w:tc>
          <w:tcPr>
            <w:tcW w:w="852"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17.6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vertAlign w:val="superscript"/>
                <w:lang w:eastAsia="en-AU"/>
              </w:rPr>
            </w:pPr>
            <w:r w:rsidRPr="00811D38">
              <w:rPr>
                <w:rFonts w:eastAsiaTheme="minorEastAsia" w:cs="Calibri"/>
                <w:b/>
                <w:bCs/>
                <w:color w:val="000000"/>
                <w:szCs w:val="19"/>
                <w:lang w:eastAsia="en-AU"/>
              </w:rPr>
              <w:t xml:space="preserve">Net debt plus superannuation liability to revenue </w:t>
            </w:r>
            <w:r w:rsidRPr="00811D38">
              <w:rPr>
                <w:rFonts w:eastAsiaTheme="minorEastAsia" w:cs="Calibri"/>
                <w:b/>
                <w:bCs/>
                <w:color w:val="000000"/>
                <w:szCs w:val="19"/>
                <w:vertAlign w:val="superscript"/>
                <w:lang w:eastAsia="en-AU"/>
              </w:rPr>
              <w:t>(e)</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95.8</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99.8</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98.2</w:t>
            </w:r>
          </w:p>
        </w:tc>
        <w:tc>
          <w:tcPr>
            <w:tcW w:w="852"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95.1</w:t>
            </w:r>
          </w:p>
        </w:tc>
      </w:tr>
    </w:tbl>
    <w:p w:rsidR="00566E9A" w:rsidRPr="00BF7167" w:rsidRDefault="00566E9A" w:rsidP="00AE5760">
      <w:pPr>
        <w:pStyle w:val="Source"/>
        <w:rPr>
          <w:rFonts w:eastAsiaTheme="minorHAnsi"/>
        </w:rPr>
      </w:pPr>
      <w:r w:rsidRPr="00BF7167">
        <w:rPr>
          <w:rFonts w:eastAsiaTheme="minorHAnsi"/>
        </w:rPr>
        <w:t>Source: Department of Treasury and Finance</w:t>
      </w:r>
    </w:p>
    <w:p w:rsidR="00566E9A" w:rsidRPr="00BF7167" w:rsidRDefault="00566E9A" w:rsidP="00AE5760">
      <w:pPr>
        <w:pStyle w:val="Notes"/>
        <w:rPr>
          <w:rFonts w:eastAsiaTheme="minorHAnsi"/>
        </w:rPr>
      </w:pPr>
      <w:r w:rsidRPr="00BF7167">
        <w:rPr>
          <w:rFonts w:eastAsiaTheme="minorHAnsi"/>
        </w:rPr>
        <w:t>Notes:</w:t>
      </w:r>
    </w:p>
    <w:p w:rsidR="00566E9A" w:rsidRPr="00BF7167" w:rsidRDefault="00566E9A" w:rsidP="00AE5760">
      <w:pPr>
        <w:pStyle w:val="Notes"/>
        <w:rPr>
          <w:rFonts w:eastAsiaTheme="minorHAnsi"/>
        </w:rPr>
      </w:pPr>
      <w:r w:rsidRPr="00BF7167">
        <w:rPr>
          <w:rFonts w:eastAsiaTheme="minorHAnsi"/>
        </w:rPr>
        <w:t>(a)</w:t>
      </w:r>
      <w:r w:rsidRPr="00BF7167">
        <w:rPr>
          <w:rFonts w:eastAsiaTheme="minorHAnsi"/>
        </w:rPr>
        <w:tab/>
        <w:t>Net debt is the sum of deposits held, advances received and borrowings less the sum of cash, advances paid and investments, loans and placements.</w:t>
      </w:r>
    </w:p>
    <w:p w:rsidR="00566E9A" w:rsidRPr="00BF7167" w:rsidRDefault="00566E9A" w:rsidP="00AE5760">
      <w:pPr>
        <w:pStyle w:val="Notes"/>
        <w:rPr>
          <w:rFonts w:eastAsiaTheme="minorHAnsi"/>
        </w:rPr>
      </w:pPr>
      <w:r w:rsidRPr="00BF7167">
        <w:rPr>
          <w:rFonts w:eastAsiaTheme="minorHAnsi"/>
        </w:rPr>
        <w:t>(b)</w:t>
      </w:r>
      <w:r w:rsidRPr="00BF7167">
        <w:rPr>
          <w:rFonts w:eastAsiaTheme="minorHAnsi"/>
        </w:rPr>
        <w:tab/>
        <w:t>Includes other benefits a</w:t>
      </w:r>
      <w:r>
        <w:rPr>
          <w:rFonts w:eastAsiaTheme="minorHAnsi"/>
        </w:rPr>
        <w:t>n</w:t>
      </w:r>
      <w:r w:rsidRPr="00BF7167">
        <w:rPr>
          <w:rFonts w:eastAsiaTheme="minorHAnsi"/>
        </w:rPr>
        <w:t>d provisions, payables and other liabilities less other non</w:t>
      </w:r>
      <w:r>
        <w:rPr>
          <w:rFonts w:eastAsiaTheme="minorHAnsi"/>
        </w:rPr>
        <w:noBreakHyphen/>
      </w:r>
      <w:r w:rsidRPr="00BF7167">
        <w:rPr>
          <w:rFonts w:eastAsiaTheme="minorHAnsi"/>
        </w:rPr>
        <w:t>equity financial assets.</w:t>
      </w:r>
    </w:p>
    <w:p w:rsidR="00566E9A" w:rsidRPr="00BF7167" w:rsidRDefault="00566E9A" w:rsidP="00AE5760">
      <w:pPr>
        <w:pStyle w:val="Notes"/>
        <w:rPr>
          <w:rFonts w:eastAsiaTheme="minorHAnsi"/>
        </w:rPr>
      </w:pPr>
      <w:r w:rsidRPr="00BF7167">
        <w:rPr>
          <w:rFonts w:eastAsiaTheme="minorHAnsi"/>
        </w:rPr>
        <w:t>(c)</w:t>
      </w:r>
      <w:r w:rsidRPr="00BF7167">
        <w:rPr>
          <w:rFonts w:eastAsiaTheme="minorHAnsi"/>
        </w:rPr>
        <w:tab/>
        <w:t>Net financial liabilities is the sum of superannuation, borrowings and other net financial liabilities less non</w:t>
      </w:r>
      <w:r>
        <w:rPr>
          <w:rFonts w:eastAsiaTheme="minorHAnsi"/>
        </w:rPr>
        <w:noBreakHyphen/>
      </w:r>
      <w:r w:rsidRPr="00BF7167">
        <w:rPr>
          <w:rFonts w:eastAsiaTheme="minorHAnsi"/>
        </w:rPr>
        <w:t>equity financial assets.</w:t>
      </w:r>
    </w:p>
    <w:p w:rsidR="00566E9A" w:rsidRDefault="00566E9A" w:rsidP="00AE5760">
      <w:pPr>
        <w:pStyle w:val="Notes"/>
        <w:rPr>
          <w:rFonts w:eastAsiaTheme="minorHAnsi"/>
        </w:rPr>
      </w:pPr>
      <w:r w:rsidRPr="00BF7167">
        <w:rPr>
          <w:rFonts w:eastAsiaTheme="minorHAnsi"/>
        </w:rPr>
        <w:t>(d)</w:t>
      </w:r>
      <w:r w:rsidRPr="00BF7167">
        <w:rPr>
          <w:rFonts w:eastAsiaTheme="minorHAnsi"/>
        </w:rPr>
        <w:tab/>
        <w:t xml:space="preserve">Ratios to GSP may vary from publications year to year due to revisions made by </w:t>
      </w:r>
      <w:r>
        <w:rPr>
          <w:rFonts w:eastAsiaTheme="minorHAnsi"/>
        </w:rPr>
        <w:t xml:space="preserve">the </w:t>
      </w:r>
      <w:r w:rsidRPr="00BF7167">
        <w:rPr>
          <w:rFonts w:eastAsiaTheme="minorHAnsi"/>
        </w:rPr>
        <w:t>A</w:t>
      </w:r>
      <w:r>
        <w:rPr>
          <w:rFonts w:eastAsiaTheme="minorHAnsi"/>
        </w:rPr>
        <w:t xml:space="preserve">ustralian </w:t>
      </w:r>
      <w:r w:rsidRPr="00BF7167">
        <w:rPr>
          <w:rFonts w:eastAsiaTheme="minorHAnsi"/>
        </w:rPr>
        <w:t>B</w:t>
      </w:r>
      <w:r>
        <w:rPr>
          <w:rFonts w:eastAsiaTheme="minorHAnsi"/>
        </w:rPr>
        <w:t xml:space="preserve">ureau of </w:t>
      </w:r>
      <w:r w:rsidRPr="00BF7167">
        <w:rPr>
          <w:rFonts w:eastAsiaTheme="minorHAnsi"/>
        </w:rPr>
        <w:t>S</w:t>
      </w:r>
      <w:r>
        <w:rPr>
          <w:rFonts w:eastAsiaTheme="minorHAnsi"/>
        </w:rPr>
        <w:t>tatistics</w:t>
      </w:r>
      <w:r w:rsidRPr="00BF7167">
        <w:rPr>
          <w:rFonts w:eastAsiaTheme="minorHAnsi"/>
        </w:rPr>
        <w:t xml:space="preserve"> to its published GSP data.</w:t>
      </w:r>
    </w:p>
    <w:p w:rsidR="00566E9A" w:rsidRPr="00BF7167" w:rsidRDefault="00566E9A" w:rsidP="00AE5760">
      <w:pPr>
        <w:pStyle w:val="Notes"/>
        <w:tabs>
          <w:tab w:val="clear" w:pos="454"/>
        </w:tabs>
        <w:rPr>
          <w:rFonts w:eastAsiaTheme="minorHAnsi"/>
        </w:rPr>
      </w:pPr>
      <w:r w:rsidRPr="00E42364">
        <w:rPr>
          <w:rFonts w:eastAsiaTheme="minorHAnsi"/>
        </w:rPr>
        <w:t xml:space="preserve">(e) </w:t>
      </w:r>
      <w:r>
        <w:rPr>
          <w:rFonts w:eastAsiaTheme="minorHAnsi"/>
        </w:rPr>
        <w:tab/>
      </w:r>
      <w:r w:rsidRPr="00E42364">
        <w:rPr>
          <w:rFonts w:eastAsiaTheme="minorHAnsi"/>
        </w:rPr>
        <w:t>The sum of non-financial public sector net debt (excluding advances paid) plus the superannuation liability as a proportion of</w:t>
      </w:r>
      <w:r>
        <w:rPr>
          <w:rFonts w:eastAsiaTheme="minorHAnsi"/>
        </w:rPr>
        <w:t xml:space="preserve"> </w:t>
      </w:r>
      <w:r w:rsidRPr="00E42364">
        <w:rPr>
          <w:rFonts w:eastAsiaTheme="minorHAnsi"/>
        </w:rPr>
        <w:t>non-financial public sector total operating revenue.</w:t>
      </w:r>
    </w:p>
    <w:p w:rsidR="00566E9A" w:rsidRPr="00BF7167" w:rsidRDefault="00566E9A" w:rsidP="00AE5760">
      <w:pPr>
        <w:rPr>
          <w:rFonts w:eastAsiaTheme="minorHAnsi"/>
        </w:rPr>
      </w:pPr>
    </w:p>
    <w:p w:rsidR="00566E9A" w:rsidRDefault="00566E9A" w:rsidP="00AE5760">
      <w:pPr>
        <w:spacing w:after="0"/>
      </w:pPr>
      <w:r w:rsidRPr="00C57C59">
        <w:t>NFPS net debt</w:t>
      </w:r>
      <w:r>
        <w:t xml:space="preserve"> is projected to increase</w:t>
      </w:r>
      <w:r w:rsidRPr="00C57C59">
        <w:t xml:space="preserve"> </w:t>
      </w:r>
      <w:r>
        <w:t>to $41.6 billion by 2019-20 following the Government’s substantial and ongoing investments in infrastructure projects over the forward estimates. As a result, the projected NFPS net debt to GSP ratio increases from 8.3 per cent in 2016-17 to 9.1 per cent in 2019-20. The</w:t>
      </w:r>
      <w:r w:rsidRPr="005A0567">
        <w:t xml:space="preserve"> increase in </w:t>
      </w:r>
      <w:r>
        <w:t xml:space="preserve">NFPS </w:t>
      </w:r>
      <w:r w:rsidRPr="005A0567">
        <w:t>net debt is predominantly driven by the general government sector.</w:t>
      </w:r>
    </w:p>
    <w:p w:rsidR="00566E9A" w:rsidRDefault="00566E9A" w:rsidP="00AE5760">
      <w:pPr>
        <w:spacing w:after="0"/>
        <w:rPr>
          <w:rFonts w:eastAsiaTheme="minorHAnsi"/>
        </w:rPr>
      </w:pPr>
    </w:p>
    <w:p w:rsidR="00566E9A" w:rsidRPr="00BF7167" w:rsidRDefault="00566E9A" w:rsidP="00AE5760">
      <w:pPr>
        <w:rPr>
          <w:rFonts w:eastAsiaTheme="minorHAnsi"/>
        </w:rPr>
      </w:pPr>
      <w:r w:rsidRPr="00BF7167">
        <w:rPr>
          <w:rFonts w:eastAsiaTheme="minorHAnsi"/>
        </w:rPr>
        <w:lastRenderedPageBreak/>
        <w:t>Table 3.9 provide</w:t>
      </w:r>
      <w:r>
        <w:rPr>
          <w:rFonts w:eastAsiaTheme="minorHAnsi"/>
        </w:rPr>
        <w:t>s</w:t>
      </w:r>
      <w:r w:rsidRPr="00BF7167">
        <w:rPr>
          <w:rFonts w:eastAsiaTheme="minorHAnsi"/>
        </w:rPr>
        <w:t xml:space="preserve"> projections of several indicators of financial sustainability for the</w:t>
      </w:r>
      <w:r>
        <w:rPr>
          <w:rFonts w:eastAsiaTheme="minorHAnsi"/>
        </w:rPr>
        <w:t xml:space="preserve"> NFP sector, which are </w:t>
      </w:r>
      <w:r w:rsidRPr="00BF7167">
        <w:rPr>
          <w:rFonts w:eastAsiaTheme="minorHAnsi"/>
        </w:rPr>
        <w:t xml:space="preserve">stabilising </w:t>
      </w:r>
      <w:r>
        <w:rPr>
          <w:rFonts w:eastAsiaTheme="minorHAnsi"/>
        </w:rPr>
        <w:t>over the forward</w:t>
      </w:r>
      <w:r w:rsidRPr="00BF7167">
        <w:rPr>
          <w:rFonts w:eastAsiaTheme="minorHAnsi"/>
        </w:rPr>
        <w:t xml:space="preserve"> years.</w:t>
      </w:r>
    </w:p>
    <w:p w:rsidR="00566E9A" w:rsidRPr="00BF7167" w:rsidRDefault="00566E9A" w:rsidP="00AE5760">
      <w:pPr>
        <w:rPr>
          <w:rFonts w:eastAsiaTheme="minorHAnsi"/>
        </w:rPr>
      </w:pPr>
      <w:r w:rsidRPr="00BF7167">
        <w:rPr>
          <w:rFonts w:eastAsiaTheme="minorHAnsi"/>
        </w:rPr>
        <w:t>The ratio of operating cash flow to revenue is a measure of the relative size of the operating result and therefore provides a measure of operating performance. The growth in this ratio over the forward estimates indicates an increasing level of cash generated from operati</w:t>
      </w:r>
      <w:r>
        <w:rPr>
          <w:rFonts w:eastAsiaTheme="minorHAnsi"/>
        </w:rPr>
        <w:t>ons</w:t>
      </w:r>
      <w:r w:rsidRPr="00BF7167">
        <w:rPr>
          <w:rFonts w:eastAsiaTheme="minorHAnsi"/>
        </w:rPr>
        <w:t>, which can be used to fund necessary infrastructure and also meet the State’s commitment to fully fund the superannuation liability by 2035.</w:t>
      </w:r>
      <w:r w:rsidRPr="00901D63">
        <w:rPr>
          <w:rFonts w:eastAsiaTheme="minorHAnsi"/>
        </w:rPr>
        <w:t xml:space="preserve"> </w:t>
      </w:r>
      <w:r>
        <w:rPr>
          <w:rFonts w:eastAsiaTheme="minorHAnsi"/>
        </w:rPr>
        <w:t>The operating cash flow surplus to revenue ratio is high in 2016</w:t>
      </w:r>
      <w:r>
        <w:rPr>
          <w:rFonts w:eastAsiaTheme="minorHAnsi"/>
        </w:rPr>
        <w:noBreakHyphen/>
        <w:t>17 due to the recognition of cash proceeds from the medium-term lease of the operations of the Port of Melbourne in 2016</w:t>
      </w:r>
      <w:r>
        <w:rPr>
          <w:rFonts w:eastAsiaTheme="minorHAnsi"/>
        </w:rPr>
        <w:noBreakHyphen/>
        <w:t>17.</w:t>
      </w:r>
    </w:p>
    <w:p w:rsidR="00566E9A" w:rsidRPr="00BF7167" w:rsidRDefault="00566E9A" w:rsidP="00AE5760">
      <w:pPr>
        <w:ind w:right="-235"/>
        <w:rPr>
          <w:rFonts w:eastAsiaTheme="minorHAnsi"/>
        </w:rPr>
      </w:pPr>
      <w:r w:rsidRPr="00BF7167">
        <w:rPr>
          <w:rFonts w:eastAsiaTheme="minorHAnsi"/>
        </w:rPr>
        <w:t xml:space="preserve">The ratio of NFP sector’s interest expense to revenue ratio is a measure of the State’s debt service burden. </w:t>
      </w:r>
      <w:r>
        <w:rPr>
          <w:rFonts w:eastAsiaTheme="minorHAnsi"/>
        </w:rPr>
        <w:t>This ratio is expected to be 4.1</w:t>
      </w:r>
      <w:r w:rsidRPr="00BF7167">
        <w:rPr>
          <w:rFonts w:eastAsiaTheme="minorHAnsi"/>
        </w:rPr>
        <w:t xml:space="preserve"> per cent in 2</w:t>
      </w:r>
      <w:r>
        <w:rPr>
          <w:rFonts w:eastAsiaTheme="minorHAnsi"/>
        </w:rPr>
        <w:t>016</w:t>
      </w:r>
      <w:r>
        <w:rPr>
          <w:rFonts w:eastAsiaTheme="minorHAnsi"/>
        </w:rPr>
        <w:noBreakHyphen/>
        <w:t>17, before declining to 3.8 </w:t>
      </w:r>
      <w:r w:rsidRPr="00BF7167">
        <w:rPr>
          <w:rFonts w:eastAsiaTheme="minorHAnsi"/>
        </w:rPr>
        <w:t>per cent by 2019</w:t>
      </w:r>
      <w:r>
        <w:rPr>
          <w:rFonts w:eastAsiaTheme="minorHAnsi"/>
        </w:rPr>
        <w:noBreakHyphen/>
      </w:r>
      <w:r w:rsidRPr="00BF7167">
        <w:rPr>
          <w:rFonts w:eastAsiaTheme="minorHAnsi"/>
        </w:rPr>
        <w:t>20 as</w:t>
      </w:r>
      <w:r>
        <w:rPr>
          <w:rFonts w:eastAsiaTheme="minorHAnsi"/>
        </w:rPr>
        <w:t xml:space="preserve"> a result of increasing revenue and moderating debt levels</w:t>
      </w:r>
      <w:r w:rsidRPr="00BF7167">
        <w:rPr>
          <w:rFonts w:eastAsiaTheme="minorHAnsi"/>
        </w:rPr>
        <w:t xml:space="preserve">. The </w:t>
      </w:r>
      <w:r>
        <w:rPr>
          <w:rFonts w:eastAsiaTheme="minorHAnsi"/>
        </w:rPr>
        <w:t xml:space="preserve">overall </w:t>
      </w:r>
      <w:r w:rsidRPr="00BF7167">
        <w:rPr>
          <w:rFonts w:eastAsiaTheme="minorHAnsi"/>
        </w:rPr>
        <w:t xml:space="preserve">debt burden is demonstrated by the ratio of gross debt to revenue, which is estimated to be </w:t>
      </w:r>
      <w:r>
        <w:rPr>
          <w:rFonts w:eastAsiaTheme="minorHAnsi"/>
        </w:rPr>
        <w:t>68.2</w:t>
      </w:r>
      <w:r w:rsidRPr="00BF7167">
        <w:rPr>
          <w:rFonts w:eastAsiaTheme="minorHAnsi"/>
        </w:rPr>
        <w:t xml:space="preserve"> per cent in 2016</w:t>
      </w:r>
      <w:r>
        <w:rPr>
          <w:rFonts w:eastAsiaTheme="minorHAnsi"/>
        </w:rPr>
        <w:noBreakHyphen/>
      </w:r>
      <w:r w:rsidRPr="00BF7167">
        <w:rPr>
          <w:rFonts w:eastAsiaTheme="minorHAnsi"/>
        </w:rPr>
        <w:t xml:space="preserve">17. This figure is estimated to increase to </w:t>
      </w:r>
      <w:r>
        <w:rPr>
          <w:rFonts w:eastAsiaTheme="minorHAnsi"/>
        </w:rPr>
        <w:t>74.7 </w:t>
      </w:r>
      <w:r w:rsidRPr="00BF7167">
        <w:rPr>
          <w:rFonts w:eastAsiaTheme="minorHAnsi"/>
        </w:rPr>
        <w:t>per</w:t>
      </w:r>
      <w:r>
        <w:rPr>
          <w:rFonts w:eastAsiaTheme="minorHAnsi"/>
        </w:rPr>
        <w:t> c</w:t>
      </w:r>
      <w:r w:rsidRPr="00BF7167">
        <w:rPr>
          <w:rFonts w:eastAsiaTheme="minorHAnsi"/>
        </w:rPr>
        <w:t>ent by 2019</w:t>
      </w:r>
      <w:r>
        <w:rPr>
          <w:rFonts w:eastAsiaTheme="minorHAnsi"/>
        </w:rPr>
        <w:noBreakHyphen/>
      </w:r>
      <w:r w:rsidRPr="00BF7167">
        <w:rPr>
          <w:rFonts w:eastAsiaTheme="minorHAnsi"/>
        </w:rPr>
        <w:t>20.</w:t>
      </w:r>
      <w:r>
        <w:rPr>
          <w:rFonts w:eastAsiaTheme="minorHAnsi"/>
        </w:rPr>
        <w:t xml:space="preserve"> </w:t>
      </w:r>
    </w:p>
    <w:p w:rsidR="00566E9A" w:rsidRPr="00BF7167" w:rsidRDefault="00566E9A" w:rsidP="00AE5760">
      <w:pPr>
        <w:pStyle w:val="Tableheading"/>
        <w:rPr>
          <w:rFonts w:eastAsiaTheme="minorHAnsi"/>
        </w:rPr>
      </w:pPr>
      <w:r>
        <w:rPr>
          <w:rFonts w:eastAsiaTheme="minorHAnsi"/>
        </w:rPr>
        <w:t>Table 3.9:</w:t>
      </w:r>
      <w:r>
        <w:rPr>
          <w:rFonts w:eastAsiaTheme="minorHAnsi"/>
        </w:rPr>
        <w:tab/>
      </w:r>
      <w:r w:rsidRPr="00BF7167">
        <w:rPr>
          <w:rFonts w:eastAsiaTheme="minorHAnsi"/>
        </w:rPr>
        <w:t>Indicators of financial sustainability of non</w:t>
      </w:r>
      <w:r>
        <w:rPr>
          <w:rFonts w:eastAsiaTheme="minorHAnsi"/>
        </w:rPr>
        <w:noBreakHyphen/>
      </w:r>
      <w:r w:rsidRPr="00BF7167">
        <w:rPr>
          <w:rFonts w:eastAsiaTheme="minorHAnsi"/>
        </w:rPr>
        <w:t>financial public sector</w:t>
      </w:r>
    </w:p>
    <w:p w:rsidR="00566E9A" w:rsidRPr="00811D38" w:rsidRDefault="00566E9A" w:rsidP="00AE5760">
      <w:pPr>
        <w:pStyle w:val="million"/>
        <w:rPr>
          <w:rFonts w:asciiTheme="minorHAnsi" w:eastAsiaTheme="minorHAnsi" w:hAnsiTheme="minorHAnsi"/>
          <w:b/>
          <w:bCs/>
          <w:sz w:val="22"/>
          <w:lang w:val="en-US"/>
        </w:rPr>
      </w:pPr>
      <w:r>
        <w:rPr>
          <w:rFonts w:eastAsiaTheme="minorHAnsi"/>
        </w:rPr>
        <w:t>(per cent)</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811D38"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single" w:sz="6" w:space="0" w:color="auto"/>
              <w:right w:val="nil"/>
            </w:tcBorders>
            <w:shd w:val="solid" w:color="000000" w:fill="auto"/>
          </w:tcPr>
          <w:p w:rsidR="00AE5760" w:rsidRPr="00811D38" w:rsidRDefault="00AE5760" w:rsidP="00AE5760">
            <w:pPr>
              <w:autoSpaceDE w:val="0"/>
              <w:autoSpaceDN w:val="0"/>
              <w:adjustRightInd w:val="0"/>
              <w:rPr>
                <w:rFonts w:eastAsiaTheme="minorEastAsia" w:cs="Calibri"/>
                <w:iCs/>
                <w:color w:val="FFFFFF"/>
                <w:szCs w:val="19"/>
                <w:lang w:eastAsia="en-AU"/>
              </w:rPr>
            </w:pPr>
            <w:r w:rsidRPr="00811D38">
              <w:rPr>
                <w:rFonts w:eastAsiaTheme="minorEastAsia" w:cs="Calibri"/>
                <w:iCs/>
                <w:color w:val="FFFFFF"/>
                <w:szCs w:val="19"/>
                <w:lang w:eastAsia="en-AU"/>
              </w:rPr>
              <w:t xml:space="preserve">  </w:t>
            </w:r>
          </w:p>
        </w:tc>
        <w:tc>
          <w:tcPr>
            <w:tcW w:w="850" w:type="dxa"/>
            <w:tcBorders>
              <w:top w:val="single" w:sz="6" w:space="0" w:color="auto"/>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2016-17</w:t>
            </w:r>
            <w:r>
              <w:rPr>
                <w:rFonts w:eastAsiaTheme="minorEastAsia" w:cs="Calibri"/>
                <w:iCs/>
                <w:color w:val="FFFFFF"/>
                <w:szCs w:val="19"/>
                <w:lang w:eastAsia="en-AU"/>
              </w:rPr>
              <w:br/>
            </w:r>
            <w:r w:rsidRPr="00811D38">
              <w:rPr>
                <w:rFonts w:eastAsiaTheme="minorEastAsia" w:cs="Calibri"/>
                <w:iCs/>
                <w:color w:val="FFFFFF"/>
                <w:szCs w:val="19"/>
                <w:lang w:eastAsia="en-AU"/>
              </w:rPr>
              <w:t>revised</w:t>
            </w:r>
          </w:p>
        </w:tc>
        <w:tc>
          <w:tcPr>
            <w:tcW w:w="850" w:type="dxa"/>
            <w:tcBorders>
              <w:top w:val="single" w:sz="6" w:space="0" w:color="auto"/>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2017-18</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single" w:sz="6" w:space="0" w:color="auto"/>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2018-19</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single" w:sz="6" w:space="0" w:color="auto"/>
              <w:left w:val="nil"/>
              <w:right w:val="single" w:sz="6" w:space="0" w:color="auto"/>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2019-20</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Operating cash flow surplus to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21.7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8.1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vertAlign w:val="superscript"/>
                <w:lang w:eastAsia="en-AU"/>
              </w:rPr>
            </w:pPr>
            <w:r w:rsidRPr="00811D38">
              <w:rPr>
                <w:rFonts w:eastAsiaTheme="minorEastAsia" w:cs="Calibri"/>
                <w:color w:val="000000"/>
                <w:szCs w:val="19"/>
                <w:lang w:eastAsia="en-AU"/>
              </w:rPr>
              <w:t xml:space="preserve">Gross debt to revenue </w:t>
            </w:r>
            <w:r w:rsidRPr="00811D38">
              <w:rPr>
                <w:rFonts w:eastAsiaTheme="minorEastAsia" w:cs="Calibri"/>
                <w:color w:val="000000"/>
                <w:szCs w:val="19"/>
                <w:vertAlign w:val="superscript"/>
                <w:lang w:eastAsia="en-AU"/>
              </w:rPr>
              <w:t>(a)</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68.2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72.6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74.6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74.7</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Interest expense to revenue</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4.1</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4.0</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3.9</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3.8</w:t>
            </w:r>
          </w:p>
        </w:tc>
      </w:tr>
    </w:tbl>
    <w:p w:rsidR="00566E9A" w:rsidRPr="00BF7167" w:rsidRDefault="00566E9A" w:rsidP="00AE5760">
      <w:pPr>
        <w:pStyle w:val="Source"/>
        <w:rPr>
          <w:rFonts w:eastAsiaTheme="minorHAnsi"/>
        </w:rPr>
      </w:pPr>
      <w:r w:rsidRPr="00BF7167">
        <w:rPr>
          <w:rFonts w:eastAsiaTheme="minorHAnsi"/>
        </w:rPr>
        <w:t>Source: Department of Treasury and Finance</w:t>
      </w:r>
    </w:p>
    <w:p w:rsidR="00566E9A" w:rsidRPr="00BF7167" w:rsidRDefault="00566E9A" w:rsidP="00AE5760">
      <w:pPr>
        <w:pStyle w:val="Notes"/>
        <w:rPr>
          <w:rFonts w:eastAsiaTheme="minorHAnsi"/>
        </w:rPr>
      </w:pPr>
      <w:r w:rsidRPr="00BF7167">
        <w:rPr>
          <w:rFonts w:eastAsiaTheme="minorHAnsi"/>
        </w:rPr>
        <w:t>Note:</w:t>
      </w:r>
    </w:p>
    <w:p w:rsidR="00566E9A" w:rsidRPr="00BF7167" w:rsidRDefault="00566E9A" w:rsidP="00AE5760">
      <w:pPr>
        <w:pStyle w:val="Notes"/>
        <w:rPr>
          <w:rFonts w:eastAsiaTheme="minorHAnsi"/>
        </w:rPr>
      </w:pPr>
      <w:r w:rsidRPr="00BF7167">
        <w:rPr>
          <w:rFonts w:eastAsiaTheme="minorHAnsi"/>
        </w:rPr>
        <w:t>(a)</w:t>
      </w:r>
      <w:r w:rsidRPr="00BF7167">
        <w:rPr>
          <w:rFonts w:eastAsiaTheme="minorHAnsi"/>
        </w:rPr>
        <w:tab/>
        <w:t>Gross debt includes borrowings and depos</w:t>
      </w:r>
      <w:r>
        <w:rPr>
          <w:rFonts w:eastAsiaTheme="minorHAnsi"/>
        </w:rPr>
        <w:t>its held and advances received.</w:t>
      </w:r>
    </w:p>
    <w:p w:rsidR="00566E9A" w:rsidRPr="00BF7167" w:rsidRDefault="00566E9A" w:rsidP="00AE5760">
      <w:pPr>
        <w:rPr>
          <w:rFonts w:eastAsiaTheme="minorHAnsi"/>
        </w:rPr>
      </w:pPr>
    </w:p>
    <w:p w:rsidR="00566E9A" w:rsidRDefault="00566E9A">
      <w:pPr>
        <w:spacing w:after="0"/>
        <w:rPr>
          <w:rFonts w:asciiTheme="majorHAnsi" w:eastAsiaTheme="minorHAnsi" w:hAnsiTheme="majorHAnsi"/>
          <w:b/>
          <w:caps/>
          <w:sz w:val="26"/>
        </w:rPr>
      </w:pPr>
      <w:r>
        <w:rPr>
          <w:rFonts w:eastAsiaTheme="minorHAnsi"/>
        </w:rPr>
        <w:br w:type="page"/>
      </w:r>
    </w:p>
    <w:p w:rsidR="00566E9A" w:rsidRPr="00884562" w:rsidRDefault="00566E9A" w:rsidP="00AE5760">
      <w:pPr>
        <w:pStyle w:val="Heading1"/>
        <w:rPr>
          <w:rFonts w:eastAsiaTheme="minorHAnsi"/>
        </w:rPr>
      </w:pPr>
      <w:bookmarkStart w:id="45" w:name="_Toc468983282"/>
      <w:r w:rsidRPr="00884562">
        <w:rPr>
          <w:rFonts w:eastAsiaTheme="minorHAnsi"/>
        </w:rPr>
        <w:lastRenderedPageBreak/>
        <w:t>State of Victoria</w:t>
      </w:r>
      <w:bookmarkEnd w:id="45"/>
    </w:p>
    <w:p w:rsidR="00566E9A" w:rsidRPr="00BF7167" w:rsidRDefault="00566E9A" w:rsidP="00AE5760">
      <w:pPr>
        <w:rPr>
          <w:rFonts w:eastAsiaTheme="minorHAnsi"/>
        </w:rPr>
      </w:pPr>
      <w:r w:rsidRPr="00BF7167">
        <w:rPr>
          <w:rFonts w:eastAsiaTheme="minorHAnsi"/>
        </w:rPr>
        <w:t>The State of Victoria financial results are obtained by consolidating the PFC sector with the NFP sector. There are two broad types of PFCs: those that provide</w:t>
      </w:r>
      <w:r>
        <w:rPr>
          <w:rFonts w:eastAsiaTheme="minorHAnsi"/>
        </w:rPr>
        <w:t xml:space="preserve"> services</w:t>
      </w:r>
      <w:r w:rsidRPr="00BF7167">
        <w:rPr>
          <w:rFonts w:eastAsiaTheme="minorHAnsi"/>
        </w:rPr>
        <w:t xml:space="preserve"> to the general public and businesses (statutory insurers such as TAC and </w:t>
      </w:r>
      <w:proofErr w:type="spellStart"/>
      <w:r>
        <w:rPr>
          <w:rFonts w:eastAsiaTheme="minorHAnsi"/>
        </w:rPr>
        <w:t>WorkS</w:t>
      </w:r>
      <w:r w:rsidRPr="00BF7167">
        <w:rPr>
          <w:rFonts w:eastAsiaTheme="minorHAnsi"/>
        </w:rPr>
        <w:t>afe</w:t>
      </w:r>
      <w:proofErr w:type="spellEnd"/>
      <w:r w:rsidRPr="00BF7167">
        <w:rPr>
          <w:rFonts w:eastAsiaTheme="minorHAnsi"/>
        </w:rPr>
        <w:t xml:space="preserve"> Victoria) and those that provide financial services predominantly to other government entities (such as the Victorian Funds Management Corporation and the Treasury Corporation of Victoria).</w:t>
      </w:r>
    </w:p>
    <w:p w:rsidR="00566E9A" w:rsidRPr="00BF7167" w:rsidRDefault="00566E9A" w:rsidP="00AE5760">
      <w:pPr>
        <w:pStyle w:val="Tableheading"/>
        <w:rPr>
          <w:rFonts w:eastAsiaTheme="minorHAnsi"/>
        </w:rPr>
      </w:pPr>
      <w:r w:rsidRPr="00BF7167">
        <w:rPr>
          <w:rFonts w:eastAsiaTheme="minorHAnsi"/>
        </w:rPr>
        <w:t xml:space="preserve">Table 3.10: </w:t>
      </w:r>
      <w:r>
        <w:rPr>
          <w:rFonts w:eastAsiaTheme="minorHAnsi"/>
        </w:rPr>
        <w:tab/>
      </w:r>
      <w:r w:rsidRPr="00BF7167">
        <w:rPr>
          <w:rFonts w:eastAsiaTheme="minorHAnsi"/>
        </w:rPr>
        <w:t xml:space="preserve">Summary operating statement of the State of Victoria </w:t>
      </w:r>
      <w:r w:rsidRPr="006939D1">
        <w:rPr>
          <w:rFonts w:eastAsiaTheme="minorHAnsi"/>
          <w:vertAlign w:val="superscript"/>
        </w:rPr>
        <w:t>(a)</w:t>
      </w:r>
    </w:p>
    <w:p w:rsidR="00566E9A" w:rsidRPr="00AE5760" w:rsidRDefault="00566E9A" w:rsidP="00AE5760">
      <w:pPr>
        <w:pStyle w:val="million"/>
        <w:rPr>
          <w:rFonts w:eastAsiaTheme="minorHAnsi"/>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811D38"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811D38" w:rsidRDefault="00AE5760" w:rsidP="00AE5760">
            <w:pPr>
              <w:autoSpaceDE w:val="0"/>
              <w:autoSpaceDN w:val="0"/>
              <w:adjustRightInd w:val="0"/>
              <w:rPr>
                <w:rFonts w:eastAsiaTheme="minorEastAsia" w:cs="Calibri"/>
                <w:iCs/>
                <w:color w:val="FFFFFF"/>
                <w:szCs w:val="19"/>
                <w:lang w:eastAsia="en-AU"/>
              </w:rPr>
            </w:pPr>
            <w:r w:rsidRPr="00811D38">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2016-17</w:t>
            </w:r>
            <w:r>
              <w:rPr>
                <w:rFonts w:eastAsiaTheme="minorEastAsia" w:cs="Calibri"/>
                <w:iCs/>
                <w:color w:val="FFFFFF"/>
                <w:szCs w:val="19"/>
                <w:lang w:eastAsia="en-AU"/>
              </w:rPr>
              <w:br/>
            </w:r>
            <w:r w:rsidRPr="00811D38">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2017-18</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2018-19</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2019-20</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Taxation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21 254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21 117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22 238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23 105</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Dividends, income tax equivalent and interest</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1 974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1 923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2 041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2 065</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Sales of goods and services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14 472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14 968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15 441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15 797</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Grant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27 455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28 424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30 292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30 183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Other current revenue</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3 152</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2 829</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2 809</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2 842</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revenue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68 306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69 261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72 821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73 993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i/>
                <w:iCs/>
                <w:color w:val="000000"/>
                <w:szCs w:val="19"/>
                <w:vertAlign w:val="superscript"/>
                <w:lang w:eastAsia="en-AU"/>
              </w:rPr>
            </w:pPr>
            <w:r w:rsidRPr="00811D38">
              <w:rPr>
                <w:rFonts w:eastAsiaTheme="minorEastAsia" w:cs="Calibri"/>
                <w:i/>
                <w:iCs/>
                <w:color w:val="000000"/>
                <w:szCs w:val="19"/>
                <w:lang w:eastAsia="en-AU"/>
              </w:rPr>
              <w:t xml:space="preserve">% change </w:t>
            </w:r>
            <w:r w:rsidRPr="00811D38">
              <w:rPr>
                <w:rFonts w:eastAsiaTheme="minorEastAsia" w:cs="Calibri"/>
                <w:i/>
                <w:iCs/>
                <w:color w:val="000000"/>
                <w:szCs w:val="19"/>
                <w:vertAlign w:val="superscript"/>
                <w:lang w:eastAsia="en-AU"/>
              </w:rPr>
              <w:t>(b)</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7765" w:type="dxa"/>
            <w:gridSpan w:val="5"/>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b/>
                <w:bCs/>
                <w:color w:val="000000"/>
                <w:szCs w:val="19"/>
                <w:lang w:eastAsia="en-AU"/>
              </w:rPr>
              <w:t>Expenses</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Employee expenses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22 669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23 534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24 756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25 427</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vertAlign w:val="superscript"/>
                <w:lang w:eastAsia="en-AU"/>
              </w:rPr>
            </w:pPr>
            <w:r w:rsidRPr="00811D38">
              <w:rPr>
                <w:rFonts w:eastAsiaTheme="minorEastAsia" w:cs="Calibri"/>
                <w:color w:val="000000"/>
                <w:szCs w:val="19"/>
                <w:lang w:eastAsia="en-AU"/>
              </w:rPr>
              <w:t xml:space="preserve">Superannuation </w:t>
            </w:r>
            <w:r w:rsidRPr="00811D38">
              <w:rPr>
                <w:rFonts w:eastAsiaTheme="minorEastAsia" w:cs="Calibri"/>
                <w:color w:val="000000"/>
                <w:szCs w:val="19"/>
                <w:vertAlign w:val="superscript"/>
                <w:lang w:eastAsia="en-AU"/>
              </w:rPr>
              <w:t>(c)</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3 146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3 123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3 146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3 183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 xml:space="preserve">Depreciation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4 922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5 156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5 478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5 713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Interest expense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2 562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2 669</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2 698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2 680</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Grant expense</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7 475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7 185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7 876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7 864</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Other operating expenses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27 933</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28 944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29 450</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29 595</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expenses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68 707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70 611</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73 403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74 463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i/>
                <w:iCs/>
                <w:color w:val="000000"/>
                <w:szCs w:val="19"/>
                <w:lang w:eastAsia="en-AU"/>
              </w:rPr>
            </w:pPr>
            <w:r w:rsidRPr="00811D38">
              <w:rPr>
                <w:rFonts w:eastAsiaTheme="minorEastAsia" w:cs="Calibri"/>
                <w:i/>
                <w:iCs/>
                <w:color w:val="000000"/>
                <w:szCs w:val="19"/>
                <w:lang w:eastAsia="en-AU"/>
              </w:rPr>
              <w:t>% change</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9.0</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2.8</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4.0</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1.4</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Net result from transactions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(401)</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(1 350)</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(583)</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(470)</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other economic flows included in net result</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1 728</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1 713</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1 431</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1 544</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Net result</w:t>
            </w:r>
          </w:p>
        </w:tc>
        <w:tc>
          <w:tcPr>
            <w:tcW w:w="850" w:type="dxa"/>
            <w:tcBorders>
              <w:top w:val="single" w:sz="6" w:space="0" w:color="auto"/>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1 327</w:t>
            </w:r>
          </w:p>
        </w:tc>
        <w:tc>
          <w:tcPr>
            <w:tcW w:w="850" w:type="dxa"/>
            <w:tcBorders>
              <w:top w:val="single" w:sz="6" w:space="0" w:color="auto"/>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363</w:t>
            </w:r>
          </w:p>
        </w:tc>
        <w:tc>
          <w:tcPr>
            <w:tcW w:w="850" w:type="dxa"/>
            <w:tcBorders>
              <w:top w:val="single" w:sz="6" w:space="0" w:color="auto"/>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849</w:t>
            </w:r>
          </w:p>
        </w:tc>
        <w:tc>
          <w:tcPr>
            <w:tcW w:w="850" w:type="dxa"/>
            <w:tcBorders>
              <w:top w:val="single" w:sz="6" w:space="0" w:color="auto"/>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811D38">
              <w:rPr>
                <w:rFonts w:eastAsiaTheme="minorEastAsia" w:cs="Calibri"/>
                <w:b/>
                <w:bCs/>
                <w:color w:val="000000"/>
                <w:szCs w:val="19"/>
                <w:lang w:eastAsia="en-AU"/>
              </w:rPr>
              <w:t>1 074</w:t>
            </w:r>
          </w:p>
        </w:tc>
      </w:tr>
    </w:tbl>
    <w:p w:rsidR="00566E9A" w:rsidRPr="00BF7167" w:rsidRDefault="00566E9A" w:rsidP="00AE5760">
      <w:pPr>
        <w:pStyle w:val="Source"/>
        <w:rPr>
          <w:rFonts w:eastAsiaTheme="minorHAnsi"/>
        </w:rPr>
      </w:pPr>
      <w:r w:rsidRPr="00BF7167">
        <w:rPr>
          <w:rFonts w:eastAsiaTheme="minorHAnsi"/>
        </w:rPr>
        <w:t>Source: Department of Treasury and Finance</w:t>
      </w:r>
    </w:p>
    <w:p w:rsidR="00566E9A" w:rsidRPr="00BF7167" w:rsidRDefault="00566E9A" w:rsidP="00AE5760">
      <w:pPr>
        <w:pStyle w:val="Notes"/>
        <w:rPr>
          <w:rFonts w:eastAsiaTheme="minorHAnsi"/>
        </w:rPr>
      </w:pPr>
      <w:r w:rsidRPr="00BF7167">
        <w:rPr>
          <w:rFonts w:eastAsiaTheme="minorHAnsi"/>
        </w:rPr>
        <w:t>Notes:</w:t>
      </w:r>
    </w:p>
    <w:p w:rsidR="00566E9A" w:rsidRPr="00BF7167" w:rsidRDefault="00566E9A" w:rsidP="00AE5760">
      <w:pPr>
        <w:pStyle w:val="Notes"/>
        <w:rPr>
          <w:rFonts w:eastAsiaTheme="minorHAnsi"/>
        </w:rPr>
      </w:pPr>
      <w:r w:rsidRPr="00BF7167">
        <w:rPr>
          <w:rFonts w:eastAsiaTheme="minorHAnsi"/>
        </w:rPr>
        <w:t>(a)</w:t>
      </w:r>
      <w:r w:rsidRPr="00BF7167">
        <w:rPr>
          <w:rFonts w:eastAsiaTheme="minorHAnsi"/>
        </w:rPr>
        <w:tab/>
        <w:t xml:space="preserve">This is a summary operating statement. The comprehensive operating statement is presented in Chapter 5 </w:t>
      </w:r>
      <w:r w:rsidRPr="006F2F04">
        <w:rPr>
          <w:rFonts w:eastAsiaTheme="minorHAnsi"/>
          <w:i w:val="0"/>
        </w:rPr>
        <w:t>Supplementary uniform presentation framework tables</w:t>
      </w:r>
      <w:r w:rsidRPr="00BF7167">
        <w:rPr>
          <w:rFonts w:eastAsiaTheme="minorHAnsi"/>
        </w:rPr>
        <w:t xml:space="preserve">. Figures in this table are subject to rounding to the nearest dollar and may not add up to totals. </w:t>
      </w:r>
    </w:p>
    <w:p w:rsidR="00566E9A" w:rsidRPr="00BF7167" w:rsidRDefault="00566E9A" w:rsidP="00AE5760">
      <w:pPr>
        <w:pStyle w:val="Notes"/>
        <w:rPr>
          <w:rFonts w:eastAsiaTheme="minorHAnsi"/>
        </w:rPr>
      </w:pPr>
      <w:r w:rsidRPr="00BF7167">
        <w:rPr>
          <w:rFonts w:eastAsiaTheme="minorHAnsi"/>
        </w:rPr>
        <w:t>(b)</w:t>
      </w:r>
      <w:r w:rsidRPr="00BF7167">
        <w:rPr>
          <w:rFonts w:eastAsiaTheme="minorHAnsi"/>
        </w:rPr>
        <w:tab/>
        <w:t>The revenue and expense growth for 2016</w:t>
      </w:r>
      <w:r>
        <w:rPr>
          <w:rFonts w:eastAsiaTheme="minorHAnsi"/>
        </w:rPr>
        <w:noBreakHyphen/>
      </w:r>
      <w:r w:rsidRPr="00BF7167">
        <w:rPr>
          <w:rFonts w:eastAsiaTheme="minorHAnsi"/>
        </w:rPr>
        <w:t xml:space="preserve">17 is based on published </w:t>
      </w:r>
      <w:r>
        <w:rPr>
          <w:rFonts w:eastAsiaTheme="minorHAnsi"/>
        </w:rPr>
        <w:t>figure</w:t>
      </w:r>
      <w:r w:rsidRPr="00BF7167">
        <w:rPr>
          <w:rFonts w:eastAsiaTheme="minorHAnsi"/>
        </w:rPr>
        <w:t xml:space="preserve">s in the </w:t>
      </w:r>
      <w:r w:rsidRPr="006939D1">
        <w:rPr>
          <w:rFonts w:eastAsiaTheme="minorHAnsi"/>
          <w:i w:val="0"/>
        </w:rPr>
        <w:t>2015</w:t>
      </w:r>
      <w:r>
        <w:rPr>
          <w:rFonts w:eastAsiaTheme="minorHAnsi"/>
          <w:i w:val="0"/>
        </w:rPr>
        <w:noBreakHyphen/>
      </w:r>
      <w:r w:rsidRPr="006939D1">
        <w:rPr>
          <w:rFonts w:eastAsiaTheme="minorHAnsi"/>
          <w:i w:val="0"/>
        </w:rPr>
        <w:t>16 Financial Report</w:t>
      </w:r>
      <w:r w:rsidRPr="00BF7167">
        <w:rPr>
          <w:rFonts w:eastAsiaTheme="minorHAnsi"/>
        </w:rPr>
        <w:t>.</w:t>
      </w:r>
    </w:p>
    <w:p w:rsidR="00566E9A" w:rsidRPr="00BF7167" w:rsidRDefault="00566E9A" w:rsidP="00AE5760">
      <w:pPr>
        <w:pStyle w:val="Notes"/>
        <w:rPr>
          <w:rFonts w:eastAsiaTheme="minorHAnsi"/>
        </w:rPr>
      </w:pPr>
      <w:r w:rsidRPr="00BF7167">
        <w:rPr>
          <w:rFonts w:eastAsiaTheme="minorHAnsi"/>
        </w:rPr>
        <w:t>(c)</w:t>
      </w:r>
      <w:r w:rsidRPr="00BF7167">
        <w:rPr>
          <w:rFonts w:eastAsiaTheme="minorHAnsi"/>
        </w:rPr>
        <w:tab/>
        <w:t>Comprises superannuation interest expense and other superannuation expenses.</w:t>
      </w:r>
    </w:p>
    <w:p w:rsidR="00566E9A" w:rsidRPr="00BF7167" w:rsidRDefault="00566E9A" w:rsidP="00AE5760">
      <w:pPr>
        <w:rPr>
          <w:rFonts w:eastAsiaTheme="minorHAnsi"/>
        </w:rPr>
      </w:pPr>
    </w:p>
    <w:p w:rsidR="00566E9A" w:rsidRPr="00BF7167" w:rsidRDefault="00566E9A" w:rsidP="00AE5760">
      <w:pPr>
        <w:rPr>
          <w:rFonts w:eastAsiaTheme="minorHAnsi"/>
        </w:rPr>
      </w:pPr>
      <w:r>
        <w:rPr>
          <w:rFonts w:eastAsiaTheme="minorHAnsi"/>
        </w:rPr>
        <w:t xml:space="preserve">Table 3.10 shows </w:t>
      </w:r>
      <w:r w:rsidRPr="00BF7167">
        <w:rPr>
          <w:rFonts w:eastAsiaTheme="minorHAnsi"/>
        </w:rPr>
        <w:t>the State of Victoria is projected to record a surplus net result of $1.</w:t>
      </w:r>
      <w:r>
        <w:rPr>
          <w:rFonts w:eastAsiaTheme="minorHAnsi"/>
        </w:rPr>
        <w:t>3 billion</w:t>
      </w:r>
      <w:r w:rsidRPr="00BF7167">
        <w:rPr>
          <w:rFonts w:eastAsiaTheme="minorHAnsi"/>
        </w:rPr>
        <w:t xml:space="preserve"> in 2016</w:t>
      </w:r>
      <w:r>
        <w:rPr>
          <w:rFonts w:eastAsiaTheme="minorHAnsi"/>
        </w:rPr>
        <w:noBreakHyphen/>
      </w:r>
      <w:r w:rsidRPr="00BF7167">
        <w:rPr>
          <w:rFonts w:eastAsiaTheme="minorHAnsi"/>
        </w:rPr>
        <w:t>17. Thereafter, the surplus net result sta</w:t>
      </w:r>
      <w:r>
        <w:rPr>
          <w:rFonts w:eastAsiaTheme="minorHAnsi"/>
        </w:rPr>
        <w:t>bilises at $1.1 billion by 2019</w:t>
      </w:r>
      <w:r>
        <w:rPr>
          <w:rFonts w:eastAsiaTheme="minorHAnsi"/>
        </w:rPr>
        <w:noBreakHyphen/>
      </w:r>
      <w:r w:rsidRPr="00BF7167">
        <w:rPr>
          <w:rFonts w:eastAsiaTheme="minorHAnsi"/>
        </w:rPr>
        <w:t>20.</w:t>
      </w:r>
    </w:p>
    <w:p w:rsidR="00566E9A" w:rsidRDefault="00566E9A">
      <w:pPr>
        <w:spacing w:after="0"/>
        <w:rPr>
          <w:rFonts w:eastAsiaTheme="minorHAnsi"/>
        </w:rPr>
      </w:pPr>
      <w:r>
        <w:rPr>
          <w:rFonts w:eastAsiaTheme="minorHAnsi"/>
        </w:rPr>
        <w:br w:type="page"/>
      </w:r>
    </w:p>
    <w:p w:rsidR="00566E9A" w:rsidRPr="00CD076A" w:rsidRDefault="00566E9A" w:rsidP="00AE5760">
      <w:pPr>
        <w:rPr>
          <w:rFonts w:eastAsiaTheme="minorHAnsi"/>
        </w:rPr>
      </w:pPr>
      <w:r>
        <w:rPr>
          <w:rFonts w:eastAsiaTheme="minorHAnsi"/>
        </w:rPr>
        <w:lastRenderedPageBreak/>
        <w:t>The State’</w:t>
      </w:r>
      <w:r w:rsidRPr="00CD076A">
        <w:rPr>
          <w:rFonts w:eastAsiaTheme="minorHAnsi"/>
        </w:rPr>
        <w:t>s net results from transactions do not include other economic flows. Other economic flows contribute significantly to the positive net results over the budget and forward estimates period. Other economic flows largely comprise projected investment returns of the</w:t>
      </w:r>
      <w:r>
        <w:rPr>
          <w:rFonts w:eastAsiaTheme="minorHAnsi"/>
        </w:rPr>
        <w:t xml:space="preserve"> State’s insurers, which </w:t>
      </w:r>
      <w:r w:rsidRPr="00CD076A">
        <w:rPr>
          <w:rFonts w:eastAsiaTheme="minorHAnsi"/>
        </w:rPr>
        <w:t>form part of the insurers</w:t>
      </w:r>
      <w:r>
        <w:rPr>
          <w:rFonts w:eastAsiaTheme="minorHAnsi"/>
        </w:rPr>
        <w:t>’</w:t>
      </w:r>
      <w:r w:rsidRPr="00CD076A">
        <w:rPr>
          <w:rFonts w:eastAsiaTheme="minorHAnsi"/>
        </w:rPr>
        <w:t xml:space="preserve"> normal operations. Due to the inclusion of investment income, the net result is considered a more meaningful measure of the expected operating position of the PFC sector and the State.</w:t>
      </w:r>
    </w:p>
    <w:p w:rsidR="00566E9A" w:rsidRPr="00BF7167" w:rsidRDefault="00566E9A" w:rsidP="00AE5760">
      <w:pPr>
        <w:rPr>
          <w:rFonts w:eastAsiaTheme="minorHAnsi"/>
        </w:rPr>
      </w:pPr>
      <w:r>
        <w:rPr>
          <w:rFonts w:eastAsiaTheme="minorHAnsi"/>
        </w:rPr>
        <w:t>In 2016-17 the net result from transactions for the State is projected to be a deficit of $401 million decreasing to a deficit of $470 million by 2019-20.</w:t>
      </w:r>
      <w:r w:rsidRPr="00CD076A">
        <w:rPr>
          <w:rFonts w:eastAsiaTheme="minorHAnsi"/>
        </w:rPr>
        <w:t xml:space="preserve"> The insurers contribute substantially to these deficits. This is primarily due to a significant portion of investment returns for the State’s insurers being reported in other economic flows. At the net result level, the insurers are expected to report surpluses. As a result the net result at </w:t>
      </w:r>
      <w:r>
        <w:rPr>
          <w:rFonts w:eastAsiaTheme="minorHAnsi"/>
        </w:rPr>
        <w:t>State level is a surplus of $1.3</w:t>
      </w:r>
      <w:r w:rsidRPr="00CD076A">
        <w:rPr>
          <w:rFonts w:eastAsiaTheme="minorHAnsi"/>
        </w:rPr>
        <w:t xml:space="preserve"> billi</w:t>
      </w:r>
      <w:r>
        <w:rPr>
          <w:rFonts w:eastAsiaTheme="minorHAnsi"/>
        </w:rPr>
        <w:t>on in 2016-17 moderating to $1.1</w:t>
      </w:r>
      <w:r w:rsidRPr="00CD076A">
        <w:rPr>
          <w:rFonts w:eastAsiaTheme="minorHAnsi"/>
        </w:rPr>
        <w:t xml:space="preserve"> billion by 2019-20.</w:t>
      </w:r>
    </w:p>
    <w:p w:rsidR="00566E9A" w:rsidRPr="00BF7167" w:rsidRDefault="00566E9A" w:rsidP="00AE5760">
      <w:pPr>
        <w:pStyle w:val="Tableheading"/>
        <w:rPr>
          <w:rFonts w:eastAsiaTheme="minorHAnsi"/>
        </w:rPr>
      </w:pPr>
      <w:r w:rsidRPr="00BF7167">
        <w:rPr>
          <w:rFonts w:eastAsiaTheme="minorHAnsi"/>
        </w:rPr>
        <w:t xml:space="preserve">Table 3.11: </w:t>
      </w:r>
      <w:r>
        <w:rPr>
          <w:rFonts w:eastAsiaTheme="minorHAnsi"/>
        </w:rPr>
        <w:tab/>
      </w:r>
      <w:r w:rsidRPr="00BF7167">
        <w:rPr>
          <w:rFonts w:eastAsiaTheme="minorHAnsi"/>
        </w:rPr>
        <w:t xml:space="preserve">Summary balance </w:t>
      </w:r>
      <w:r>
        <w:rPr>
          <w:rFonts w:eastAsiaTheme="minorHAnsi"/>
        </w:rPr>
        <w:t xml:space="preserve">sheet for the State of Victoria </w:t>
      </w:r>
      <w:r w:rsidRPr="00A7269E">
        <w:rPr>
          <w:rFonts w:eastAsiaTheme="minorHAnsi"/>
          <w:vertAlign w:val="superscript"/>
        </w:rPr>
        <w:t>(a)</w:t>
      </w:r>
    </w:p>
    <w:p w:rsidR="00566E9A" w:rsidRPr="00AE5760" w:rsidRDefault="00566E9A" w:rsidP="00AE5760">
      <w:pPr>
        <w:pStyle w:val="million"/>
        <w:rPr>
          <w:rFonts w:eastAsiaTheme="minorHAnsi"/>
        </w:rPr>
      </w:pPr>
      <w:r>
        <w:rPr>
          <w:rFonts w:eastAsiaTheme="minorHAnsi"/>
        </w:rPr>
        <w:t>($ billion)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811D38"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E5760" w:rsidRPr="00811D38" w:rsidRDefault="00AE5760" w:rsidP="00AE5760">
            <w:pPr>
              <w:autoSpaceDE w:val="0"/>
              <w:autoSpaceDN w:val="0"/>
              <w:adjustRightInd w:val="0"/>
              <w:rPr>
                <w:rFonts w:eastAsiaTheme="minorEastAsia" w:cs="Calibri"/>
                <w:iCs/>
                <w:color w:val="FFFFFF"/>
                <w:szCs w:val="19"/>
                <w:lang w:eastAsia="en-AU"/>
              </w:rPr>
            </w:pPr>
            <w:r w:rsidRPr="00811D38">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2016-17</w:t>
            </w:r>
            <w:r>
              <w:rPr>
                <w:rFonts w:eastAsiaTheme="minorEastAsia" w:cs="Calibri"/>
                <w:iCs/>
                <w:color w:val="FFFFFF"/>
                <w:szCs w:val="19"/>
                <w:lang w:eastAsia="en-AU"/>
              </w:rPr>
              <w:br/>
            </w:r>
            <w:r w:rsidRPr="00811D38">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2017-18</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2018-19</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E5760" w:rsidRPr="00811D38"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811D38">
              <w:rPr>
                <w:rFonts w:eastAsiaTheme="minorEastAsia" w:cs="Calibri"/>
                <w:iCs/>
                <w:color w:val="FFFFFF"/>
                <w:szCs w:val="19"/>
                <w:lang w:eastAsia="en-AU"/>
              </w:rPr>
              <w:t>2019-20</w:t>
            </w:r>
            <w:r>
              <w:rPr>
                <w:rFonts w:eastAsiaTheme="minorEastAsia" w:cs="Calibri"/>
                <w:iCs/>
                <w:color w:val="FFFFFF"/>
                <w:szCs w:val="19"/>
                <w:lang w:eastAsia="en-AU"/>
              </w:rPr>
              <w:br/>
            </w:r>
            <w:r w:rsidRPr="00811D38">
              <w:rPr>
                <w:rFonts w:eastAsiaTheme="minorEastAsia" w:cs="Calibri"/>
                <w:iCs/>
                <w:color w:val="FFFFFF"/>
                <w:szCs w:val="19"/>
                <w:lang w:eastAsia="en-AU"/>
              </w:rPr>
              <w:t>estimate</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Assets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Total financial assets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58</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Total non-financial assets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236</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248</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255</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266</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assets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293</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304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312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323</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Liabilities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811D38">
              <w:rPr>
                <w:rFonts w:eastAsiaTheme="minorEastAsia" w:cs="Calibri"/>
                <w:color w:val="000000"/>
                <w:szCs w:val="19"/>
                <w:lang w:eastAsia="en-AU"/>
              </w:rPr>
              <w:t xml:space="preserve"> </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Superannuation</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27</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26</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25</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Borrowings</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54</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55</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58</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59</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Deposits held and advances received</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w:t>
            </w:r>
          </w:p>
        </w:tc>
        <w:tc>
          <w:tcPr>
            <w:tcW w:w="850" w:type="dxa"/>
            <w:tcBorders>
              <w:top w:val="nil"/>
              <w:left w:val="nil"/>
              <w:bottom w:val="nil"/>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color w:val="000000"/>
                <w:szCs w:val="19"/>
                <w:lang w:eastAsia="en-AU"/>
              </w:rPr>
            </w:pPr>
            <w:r w:rsidRPr="00811D38">
              <w:rPr>
                <w:rFonts w:eastAsiaTheme="minorEastAsia" w:cs="Calibri"/>
                <w:color w:val="000000"/>
                <w:szCs w:val="19"/>
                <w:lang w:eastAsia="en-AU"/>
              </w:rPr>
              <w:t>Other liabilities</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54</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56</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58</w:t>
            </w:r>
          </w:p>
        </w:tc>
        <w:tc>
          <w:tcPr>
            <w:tcW w:w="850" w:type="dxa"/>
            <w:tcBorders>
              <w:top w:val="nil"/>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59</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Total liabilities</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138</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140</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143</w:t>
            </w:r>
          </w:p>
        </w:tc>
        <w:tc>
          <w:tcPr>
            <w:tcW w:w="850" w:type="dxa"/>
            <w:tcBorders>
              <w:top w:val="single" w:sz="6" w:space="0" w:color="auto"/>
              <w:left w:val="nil"/>
              <w:bottom w:val="single" w:sz="6"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145</w:t>
            </w:r>
          </w:p>
        </w:tc>
      </w:tr>
      <w:tr w:rsidR="00566E9A" w:rsidRPr="00811D3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566E9A" w:rsidRPr="00811D38" w:rsidRDefault="00566E9A" w:rsidP="00AE5760">
            <w:pPr>
              <w:autoSpaceDE w:val="0"/>
              <w:autoSpaceDN w:val="0"/>
              <w:adjustRightInd w:val="0"/>
              <w:rPr>
                <w:rFonts w:eastAsiaTheme="minorEastAsia" w:cs="Calibri"/>
                <w:b/>
                <w:bCs/>
                <w:color w:val="000000"/>
                <w:szCs w:val="19"/>
                <w:lang w:eastAsia="en-AU"/>
              </w:rPr>
            </w:pPr>
            <w:r w:rsidRPr="00811D38">
              <w:rPr>
                <w:rFonts w:eastAsiaTheme="minorEastAsia" w:cs="Calibri"/>
                <w:b/>
                <w:bCs/>
                <w:color w:val="000000"/>
                <w:szCs w:val="19"/>
                <w:lang w:eastAsia="en-AU"/>
              </w:rPr>
              <w:t>Net assets</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155</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164</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169</w:t>
            </w:r>
          </w:p>
        </w:tc>
        <w:tc>
          <w:tcPr>
            <w:tcW w:w="850" w:type="dxa"/>
            <w:tcBorders>
              <w:top w:val="nil"/>
              <w:left w:val="nil"/>
              <w:bottom w:val="single" w:sz="12" w:space="0" w:color="auto"/>
              <w:right w:val="nil"/>
            </w:tcBorders>
          </w:tcPr>
          <w:p w:rsidR="00566E9A" w:rsidRPr="00811D3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178</w:t>
            </w:r>
          </w:p>
        </w:tc>
      </w:tr>
    </w:tbl>
    <w:p w:rsidR="00566E9A" w:rsidRPr="00BF7167" w:rsidRDefault="00566E9A" w:rsidP="00AE5760">
      <w:pPr>
        <w:pStyle w:val="Source"/>
        <w:rPr>
          <w:rFonts w:eastAsiaTheme="minorHAnsi"/>
        </w:rPr>
      </w:pPr>
      <w:r w:rsidRPr="00BF7167">
        <w:rPr>
          <w:rFonts w:eastAsiaTheme="minorHAnsi"/>
        </w:rPr>
        <w:t>Source: Department of Treasury and Finance</w:t>
      </w:r>
    </w:p>
    <w:p w:rsidR="00566E9A" w:rsidRPr="00BF7167" w:rsidRDefault="00566E9A" w:rsidP="00AE5760">
      <w:pPr>
        <w:pStyle w:val="Notes"/>
        <w:rPr>
          <w:rFonts w:eastAsiaTheme="minorHAnsi"/>
        </w:rPr>
      </w:pPr>
      <w:r>
        <w:rPr>
          <w:rFonts w:eastAsiaTheme="minorHAnsi"/>
        </w:rPr>
        <w:t>Note</w:t>
      </w:r>
      <w:r w:rsidRPr="00BF7167">
        <w:rPr>
          <w:rFonts w:eastAsiaTheme="minorHAnsi"/>
        </w:rPr>
        <w:t>:</w:t>
      </w:r>
    </w:p>
    <w:p w:rsidR="00566E9A" w:rsidRPr="00BF7167" w:rsidRDefault="00566E9A" w:rsidP="00AE5760">
      <w:pPr>
        <w:pStyle w:val="Notes"/>
        <w:rPr>
          <w:rFonts w:eastAsiaTheme="minorHAnsi"/>
        </w:rPr>
      </w:pPr>
      <w:r w:rsidRPr="00BF7167">
        <w:rPr>
          <w:rFonts w:eastAsiaTheme="minorHAnsi"/>
        </w:rPr>
        <w:t>(a)</w:t>
      </w:r>
      <w:r w:rsidRPr="00BF7167">
        <w:rPr>
          <w:rFonts w:eastAsiaTheme="minorHAnsi"/>
        </w:rPr>
        <w:tab/>
        <w:t xml:space="preserve">This is a summary </w:t>
      </w:r>
      <w:r>
        <w:rPr>
          <w:rFonts w:eastAsiaTheme="minorHAnsi"/>
        </w:rPr>
        <w:t>balance sheet</w:t>
      </w:r>
      <w:r w:rsidRPr="00BF7167">
        <w:rPr>
          <w:rFonts w:eastAsiaTheme="minorHAnsi"/>
        </w:rPr>
        <w:t xml:space="preserve">. The comprehensive </w:t>
      </w:r>
      <w:r>
        <w:rPr>
          <w:rFonts w:eastAsiaTheme="minorHAnsi"/>
        </w:rPr>
        <w:t>balance sheet is</w:t>
      </w:r>
      <w:r w:rsidRPr="00BF7167">
        <w:rPr>
          <w:rFonts w:eastAsiaTheme="minorHAnsi"/>
        </w:rPr>
        <w:t xml:space="preserve"> presented in Chapter 5 </w:t>
      </w:r>
      <w:r w:rsidRPr="006D17FB">
        <w:rPr>
          <w:rFonts w:eastAsiaTheme="minorHAnsi"/>
          <w:i w:val="0"/>
        </w:rPr>
        <w:t>Supplementary uniform presentation framework tables</w:t>
      </w:r>
      <w:r w:rsidRPr="00BF7167">
        <w:rPr>
          <w:rFonts w:eastAsiaTheme="minorHAnsi"/>
        </w:rPr>
        <w:t>. Figures in this table are subject to rounding to the nearest</w:t>
      </w:r>
      <w:r>
        <w:rPr>
          <w:rFonts w:eastAsiaTheme="minorHAnsi"/>
        </w:rPr>
        <w:t> billion</w:t>
      </w:r>
      <w:r w:rsidRPr="00BF7167">
        <w:rPr>
          <w:rFonts w:eastAsiaTheme="minorHAnsi"/>
        </w:rPr>
        <w:t xml:space="preserve"> and may not add up to totals. </w:t>
      </w:r>
    </w:p>
    <w:p w:rsidR="00566E9A" w:rsidRDefault="00566E9A" w:rsidP="00AE5760">
      <w:pPr>
        <w:rPr>
          <w:rFonts w:eastAsiaTheme="minorHAnsi"/>
        </w:rPr>
      </w:pPr>
    </w:p>
    <w:p w:rsidR="00566E9A" w:rsidRDefault="00566E9A" w:rsidP="00AE5760">
      <w:pPr>
        <w:rPr>
          <w:rFonts w:eastAsiaTheme="minorHAnsi"/>
        </w:rPr>
      </w:pPr>
      <w:r w:rsidRPr="00BF7167">
        <w:rPr>
          <w:rFonts w:eastAsiaTheme="minorHAnsi"/>
        </w:rPr>
        <w:t>Table 3.11 highlights that the State’s financial position over the forward estimates. Borrowings</w:t>
      </w:r>
      <w:r>
        <w:rPr>
          <w:rFonts w:eastAsiaTheme="minorHAnsi"/>
        </w:rPr>
        <w:t xml:space="preserve"> and other liabilities</w:t>
      </w:r>
      <w:r w:rsidRPr="00BF7167">
        <w:rPr>
          <w:rFonts w:eastAsiaTheme="minorHAnsi"/>
        </w:rPr>
        <w:t xml:space="preserve"> are projected to increase</w:t>
      </w:r>
      <w:r>
        <w:rPr>
          <w:rFonts w:eastAsiaTheme="minorHAnsi"/>
        </w:rPr>
        <w:t xml:space="preserve"> to $145 billion by 2019-20. Offsetting this are financial assets which</w:t>
      </w:r>
      <w:r w:rsidRPr="00BF7167">
        <w:rPr>
          <w:rFonts w:eastAsiaTheme="minorHAnsi"/>
        </w:rPr>
        <w:t xml:space="preserve"> are projected to increase in line with </w:t>
      </w:r>
      <w:r>
        <w:rPr>
          <w:rFonts w:eastAsiaTheme="minorHAnsi"/>
        </w:rPr>
        <w:t xml:space="preserve">assumed growth </w:t>
      </w:r>
      <w:r w:rsidRPr="00BF7167">
        <w:rPr>
          <w:rFonts w:eastAsiaTheme="minorHAnsi"/>
        </w:rPr>
        <w:t>in investments returns</w:t>
      </w:r>
      <w:r>
        <w:rPr>
          <w:rFonts w:eastAsiaTheme="minorHAnsi"/>
        </w:rPr>
        <w:t xml:space="preserve"> and non</w:t>
      </w:r>
      <w:r>
        <w:rPr>
          <w:rFonts w:eastAsiaTheme="minorHAnsi"/>
        </w:rPr>
        <w:noBreakHyphen/>
        <w:t xml:space="preserve">financial assets which are estimated to grow by $30 billion. </w:t>
      </w:r>
      <w:r w:rsidRPr="00BF7167">
        <w:rPr>
          <w:rFonts w:eastAsiaTheme="minorHAnsi"/>
        </w:rPr>
        <w:t>As a result, the State’s net assets are forecast to increase from $155</w:t>
      </w:r>
      <w:r>
        <w:rPr>
          <w:rFonts w:eastAsiaTheme="minorHAnsi"/>
        </w:rPr>
        <w:t> billion</w:t>
      </w:r>
      <w:r w:rsidRPr="00BF7167">
        <w:rPr>
          <w:rFonts w:eastAsiaTheme="minorHAnsi"/>
        </w:rPr>
        <w:t xml:space="preserve"> in 2016</w:t>
      </w:r>
      <w:r>
        <w:rPr>
          <w:rFonts w:eastAsiaTheme="minorHAnsi"/>
        </w:rPr>
        <w:noBreakHyphen/>
      </w:r>
      <w:r w:rsidRPr="00BF7167">
        <w:rPr>
          <w:rFonts w:eastAsiaTheme="minorHAnsi"/>
        </w:rPr>
        <w:t>1</w:t>
      </w:r>
      <w:r>
        <w:rPr>
          <w:rFonts w:eastAsiaTheme="minorHAnsi"/>
        </w:rPr>
        <w:t>7 to $178 billion</w:t>
      </w:r>
      <w:r w:rsidRPr="00BF7167">
        <w:rPr>
          <w:rFonts w:eastAsiaTheme="minorHAnsi"/>
        </w:rPr>
        <w:t xml:space="preserve"> in 2019</w:t>
      </w:r>
      <w:r>
        <w:rPr>
          <w:rFonts w:eastAsiaTheme="minorHAnsi"/>
        </w:rPr>
        <w:noBreakHyphen/>
      </w:r>
      <w:r w:rsidRPr="00BF7167">
        <w:rPr>
          <w:rFonts w:eastAsiaTheme="minorHAnsi"/>
        </w:rPr>
        <w:t>20.</w:t>
      </w:r>
    </w:p>
    <w:p w:rsidR="00566E9A" w:rsidRDefault="00566E9A" w:rsidP="00AE5760">
      <w:pPr>
        <w:rPr>
          <w:rFonts w:eastAsiaTheme="minorHAnsi"/>
        </w:rPr>
      </w:pPr>
    </w:p>
    <w:p w:rsidR="00566E9A" w:rsidRDefault="00566E9A" w:rsidP="00B47029">
      <w:pPr>
        <w:rPr>
          <w:rFonts w:eastAsiaTheme="minorHAnsi"/>
        </w:rPr>
      </w:pPr>
    </w:p>
    <w:p w:rsidR="00566E9A" w:rsidRDefault="00566E9A" w:rsidP="009F1202">
      <w:pPr>
        <w:rPr>
          <w:rFonts w:eastAsiaTheme="minorHAnsi"/>
        </w:rPr>
        <w:sectPr w:rsidR="00566E9A" w:rsidSect="00FA720C">
          <w:footerReference w:type="even" r:id="rId20"/>
          <w:footerReference w:type="default" r:id="rId21"/>
          <w:type w:val="continuous"/>
          <w:pgSz w:w="9979" w:h="14181" w:code="138"/>
          <w:pgMar w:top="1138" w:right="1138" w:bottom="1138" w:left="1138" w:header="720" w:footer="432" w:gutter="0"/>
          <w:cols w:space="708"/>
          <w:docGrid w:linePitch="360"/>
        </w:sectPr>
      </w:pPr>
    </w:p>
    <w:p w:rsidR="00566E9A" w:rsidRDefault="00566E9A" w:rsidP="00AE5760">
      <w:pPr>
        <w:pStyle w:val="ChapterHeading"/>
        <w:rPr>
          <w:rFonts w:eastAsiaTheme="minorHAnsi"/>
        </w:rPr>
      </w:pPr>
      <w:bookmarkStart w:id="46" w:name="_Toc467669769"/>
      <w:bookmarkStart w:id="47" w:name="_Toc468983283"/>
      <w:r>
        <w:rPr>
          <w:rFonts w:eastAsiaTheme="minorHAnsi"/>
        </w:rPr>
        <w:lastRenderedPageBreak/>
        <w:t>Chapter 4 – Estimated financial statements and notes</w:t>
      </w:r>
      <w:bookmarkEnd w:id="46"/>
      <w:bookmarkEnd w:id="47"/>
    </w:p>
    <w:p w:rsidR="00566E9A" w:rsidRDefault="00566E9A" w:rsidP="00AE5760">
      <w:pPr>
        <w:pStyle w:val="Tableheading"/>
        <w:rPr>
          <w:rFonts w:eastAsiaTheme="minorHAnsi"/>
        </w:rPr>
      </w:pPr>
      <w:r>
        <w:rPr>
          <w:rFonts w:eastAsiaTheme="minorHAnsi"/>
        </w:rPr>
        <w:t>Table 4.1:</w:t>
      </w:r>
      <w:r>
        <w:rPr>
          <w:rFonts w:eastAsiaTheme="minorHAnsi"/>
        </w:rPr>
        <w:tab/>
        <w:t>Estimated general government sector comprehensive operating statement for the financial year ended 30 June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2976"/>
        <w:gridCol w:w="539"/>
        <w:gridCol w:w="850"/>
        <w:gridCol w:w="850"/>
        <w:gridCol w:w="850"/>
        <w:gridCol w:w="850"/>
        <w:gridCol w:w="852"/>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539" w:type="dxa"/>
            <w:tcBorders>
              <w:top w:val="nil"/>
              <w:left w:val="nil"/>
              <w:right w:val="nil"/>
            </w:tcBorders>
            <w:shd w:val="solid" w:color="000000" w:fill="auto"/>
          </w:tcPr>
          <w:p w:rsidR="00AE5760" w:rsidRPr="007208F6" w:rsidRDefault="00AE5760" w:rsidP="00AE57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rPr>
            </w:pPr>
            <w:r w:rsidRPr="007208F6">
              <w:rPr>
                <w:rFonts w:eastAsiaTheme="minorEastAsia" w:cs="Calibri"/>
                <w:iCs/>
                <w:color w:val="FFFFFF"/>
              </w:rPr>
              <w:t xml:space="preserve"> </w:t>
            </w:r>
            <w:r>
              <w:rPr>
                <w:rFonts w:eastAsiaTheme="minorEastAsia" w:cs="Calibri"/>
                <w:iCs/>
                <w:color w:val="FFFFFF"/>
              </w:rPr>
              <w:br/>
            </w:r>
            <w:r w:rsidRPr="007208F6">
              <w:rPr>
                <w:rFonts w:eastAsiaTheme="minorEastAsia" w:cs="Calibri"/>
                <w:iCs/>
                <w:color w:val="FFFFFF"/>
                <w:szCs w:val="16"/>
              </w:rPr>
              <w:t>Notes</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Revenue from transactions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Taxation revenue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21 594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21 631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21 489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22 670</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23 553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Interest revenue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906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894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867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830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Dividends, income tax equivalent and rate equivalent revenue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1 059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983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656</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789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Sales of goods and services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6 843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6 813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7 090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7 345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7 351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 revenue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27 424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27 623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28 762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30 627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31 318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revenue</w:t>
            </w:r>
          </w:p>
        </w:tc>
        <w:tc>
          <w:tcPr>
            <w:tcW w:w="539" w:type="dxa"/>
            <w:tcBorders>
              <w:top w:val="nil"/>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2 569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2 539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2 257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2 266</w:t>
            </w:r>
          </w:p>
        </w:tc>
        <w:tc>
          <w:tcPr>
            <w:tcW w:w="852"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2 301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revenue from transactions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60 370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60 224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61 474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64 430</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66 143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Expenses from transactions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Employee expenses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21 298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21 568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22 401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23 620</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24 293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superannuation interest expense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623</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599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superannuation</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2 239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2 327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2 346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2 393</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2 451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Depreciation</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2 620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2 633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2 791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3 047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3 221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Interest expense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2 433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2 147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2 121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2 145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2 076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 expense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9 451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10 312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10 404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11 074</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11 028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operating expenses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18 669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18 817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19 536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19 750</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19 849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expenses from transactions</w:t>
            </w:r>
          </w:p>
        </w:tc>
        <w:tc>
          <w:tcPr>
            <w:tcW w:w="539" w:type="dxa"/>
            <w:tcBorders>
              <w:top w:val="single" w:sz="6" w:space="0" w:color="000000"/>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bCs/>
                <w:color w:val="000000"/>
                <w:szCs w:val="18"/>
              </w:rPr>
            </w:pPr>
            <w:r w:rsidRPr="007208F6">
              <w:rPr>
                <w:rFonts w:eastAsiaTheme="minorEastAsia" w:cs="Arial"/>
                <w:bCs/>
                <w:color w:val="000000"/>
                <w:szCs w:val="18"/>
              </w:rPr>
              <w:t>12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57 501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58 495</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60 246</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62 652</w:t>
            </w:r>
          </w:p>
        </w:tc>
        <w:tc>
          <w:tcPr>
            <w:tcW w:w="852"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63 519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Net result from transactions – </w:t>
            </w:r>
            <w:r>
              <w:rPr>
                <w:rFonts w:eastAsiaTheme="minorEastAsia" w:cs="Calibri"/>
                <w:b/>
                <w:bCs/>
                <w:color w:val="000000"/>
                <w:szCs w:val="16"/>
              </w:rPr>
              <w:br/>
              <w:t>net operating balance</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2 869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1 729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1 228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1 778</w:t>
            </w:r>
          </w:p>
        </w:tc>
        <w:tc>
          <w:tcPr>
            <w:tcW w:w="8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2 624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6"/>
              </w:rPr>
              <w:t>Other economic flows included in net result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Net gain/(loss) on disposal of </w:t>
            </w:r>
            <w:r>
              <w:rPr>
                <w:rFonts w:eastAsiaTheme="minorEastAsia" w:cs="Calibri"/>
                <w:color w:val="000000"/>
                <w:szCs w:val="16"/>
              </w:rPr>
              <w:br/>
              <w:t>non-financial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gain/(loss) on financial assets or liabilities at fair value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gains/(losses) from other economic flows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(325)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(333)</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other economic flows included in net result</w:t>
            </w:r>
          </w:p>
        </w:tc>
        <w:tc>
          <w:tcPr>
            <w:tcW w:w="539" w:type="dxa"/>
            <w:tcBorders>
              <w:top w:val="single" w:sz="6" w:space="0" w:color="000000"/>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(234)</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(252)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30</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(237)</w:t>
            </w:r>
          </w:p>
        </w:tc>
        <w:tc>
          <w:tcPr>
            <w:tcW w:w="852"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(262)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Net result</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2 635</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1 477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1 258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1 541</w:t>
            </w:r>
          </w:p>
        </w:tc>
        <w:tc>
          <w:tcPr>
            <w:tcW w:w="8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2 362</w:t>
            </w:r>
          </w:p>
        </w:tc>
      </w:tr>
    </w:tbl>
    <w:p w:rsidR="00566E9A" w:rsidRDefault="00566E9A" w:rsidP="00AE5760">
      <w:pPr>
        <w:pStyle w:val="Tableheadingcontinued"/>
        <w:rPr>
          <w:rFonts w:eastAsiaTheme="minorHAnsi"/>
        </w:rPr>
      </w:pPr>
      <w:r>
        <w:rPr>
          <w:rFonts w:eastAsiaTheme="minorHAnsi"/>
        </w:rPr>
        <w:lastRenderedPageBreak/>
        <w:t>Table 4.1:</w:t>
      </w:r>
      <w:r>
        <w:rPr>
          <w:rFonts w:eastAsiaTheme="minorHAnsi"/>
        </w:rPr>
        <w:tab/>
        <w:t>Estimated general government sector comprehensive operating statement for the financial year ended 30 Jun</w:t>
      </w:r>
      <w:r w:rsidRPr="007208F6">
        <w:rPr>
          <w:rFonts w:eastAsiaTheme="minorHAnsi"/>
          <w:i/>
        </w:rPr>
        <w:t>e (continued)</w:t>
      </w:r>
    </w:p>
    <w:p w:rsidR="00566E9A" w:rsidRDefault="00566E9A" w:rsidP="00AE5760">
      <w:pPr>
        <w:pStyle w:val="million"/>
      </w:pPr>
      <w: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2976"/>
        <w:gridCol w:w="539"/>
        <w:gridCol w:w="850"/>
        <w:gridCol w:w="850"/>
        <w:gridCol w:w="850"/>
        <w:gridCol w:w="850"/>
        <w:gridCol w:w="852"/>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539" w:type="dxa"/>
            <w:tcBorders>
              <w:top w:val="nil"/>
              <w:left w:val="nil"/>
              <w:right w:val="nil"/>
            </w:tcBorders>
            <w:shd w:val="solid" w:color="000000" w:fill="auto"/>
          </w:tcPr>
          <w:p w:rsidR="00AE5760" w:rsidRPr="007208F6" w:rsidRDefault="00AE5760" w:rsidP="00AE57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rPr>
            </w:pPr>
            <w:r w:rsidRPr="007208F6">
              <w:rPr>
                <w:rFonts w:eastAsiaTheme="minorEastAsia" w:cs="Calibri"/>
                <w:iCs/>
                <w:color w:val="FFFFFF"/>
              </w:rPr>
              <w:t xml:space="preserve"> </w:t>
            </w:r>
            <w:r>
              <w:rPr>
                <w:rFonts w:eastAsiaTheme="minorEastAsia" w:cs="Calibri"/>
                <w:iCs/>
                <w:color w:val="FFFFFF"/>
              </w:rPr>
              <w:br/>
            </w:r>
            <w:r w:rsidRPr="007208F6">
              <w:rPr>
                <w:rFonts w:eastAsiaTheme="minorEastAsia" w:cs="Calibri"/>
                <w:iCs/>
                <w:color w:val="FFFFFF"/>
                <w:szCs w:val="16"/>
              </w:rPr>
              <w:t>Notes</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6"/>
              </w:rPr>
              <w:t>Other economic flows – other comprehensive income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6"/>
              </w:rPr>
              <w:t>Items that will not be reclassified to net result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Changes in non-financial assets revaluation surplus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7 089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1 665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7 444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proofErr w:type="spellStart"/>
            <w:r w:rsidRPr="007208F6">
              <w:rPr>
                <w:rFonts w:eastAsiaTheme="minorEastAsia" w:cs="Calibri"/>
                <w:color w:val="000000"/>
                <w:szCs w:val="16"/>
              </w:rPr>
              <w:t>Remeasurement</w:t>
            </w:r>
            <w:proofErr w:type="spellEnd"/>
            <w:r w:rsidRPr="007208F6">
              <w:rPr>
                <w:rFonts w:eastAsiaTheme="minorEastAsia" w:cs="Calibri"/>
                <w:color w:val="000000"/>
                <w:szCs w:val="16"/>
              </w:rPr>
              <w:t xml:space="preserve"> of superannuation defined benefit plans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7a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877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1 058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1 075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1 092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movements in equity</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6"/>
              </w:rPr>
              <w:t>Items that may be reclassified subsequently to net result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gain/(loss) on financial assets at fair value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gain/(loss) on equity investments in other sector entities at proportional share of the carrying amount of net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2 707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1 106</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Total other economic flows – </w:t>
            </w:r>
            <w:r>
              <w:rPr>
                <w:rFonts w:eastAsiaTheme="minorEastAsia" w:cs="Calibri"/>
                <w:b/>
                <w:bCs/>
                <w:color w:val="000000"/>
                <w:szCs w:val="16"/>
              </w:rPr>
              <w:br/>
              <w:t>other comprehensive income</w:t>
            </w:r>
          </w:p>
        </w:tc>
        <w:tc>
          <w:tcPr>
            <w:tcW w:w="539" w:type="dxa"/>
            <w:tcBorders>
              <w:top w:val="single" w:sz="6" w:space="0" w:color="000000"/>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3 693</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1 244</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7 725</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3 871</w:t>
            </w:r>
          </w:p>
        </w:tc>
        <w:tc>
          <w:tcPr>
            <w:tcW w:w="852"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8 512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Comprehensive result – </w:t>
            </w:r>
            <w:r>
              <w:rPr>
                <w:rFonts w:eastAsiaTheme="minorEastAsia" w:cs="Calibri"/>
                <w:b/>
                <w:bCs/>
                <w:color w:val="000000"/>
                <w:szCs w:val="16"/>
              </w:rPr>
              <w:br/>
              <w:t>total change in net worth</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6 328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2 721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8 983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5 412</w:t>
            </w:r>
          </w:p>
        </w:tc>
        <w:tc>
          <w:tcPr>
            <w:tcW w:w="8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10 874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KEY FISCAL AGGREGATES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Net operating balance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2 869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1 729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1 228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1 778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2 624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Less: Net acquisition of non-financial assets from transactions </w:t>
            </w:r>
            <w:r w:rsidRPr="007208F6">
              <w:rPr>
                <w:rFonts w:eastAsiaTheme="minorEastAsia" w:cs="Calibri"/>
                <w:color w:val="000000"/>
                <w:szCs w:val="16"/>
                <w:vertAlign w:val="superscript"/>
              </w:rPr>
              <w:t>(a)</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1 132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1 103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1 413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725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452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vertAlign w:val="superscript"/>
              </w:rPr>
            </w:pPr>
            <w:r w:rsidRPr="007208F6">
              <w:rPr>
                <w:rFonts w:eastAsiaTheme="minorEastAsia" w:cs="Calibri"/>
                <w:b/>
                <w:bCs/>
                <w:color w:val="000000"/>
                <w:szCs w:val="16"/>
              </w:rPr>
              <w:t xml:space="preserve">Net lending/(borrowing) </w:t>
            </w:r>
            <w:r w:rsidRPr="007208F6">
              <w:rPr>
                <w:rFonts w:eastAsiaTheme="minorEastAsia" w:cs="Calibri"/>
                <w:b/>
                <w:bCs/>
                <w:color w:val="000000"/>
                <w:szCs w:val="16"/>
                <w:vertAlign w:val="superscript"/>
              </w:rPr>
              <w:t>(a)</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1 737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626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(185)</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1 053</w:t>
            </w:r>
          </w:p>
        </w:tc>
        <w:tc>
          <w:tcPr>
            <w:tcW w:w="8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2 173</w:t>
            </w:r>
          </w:p>
        </w:tc>
      </w:tr>
    </w:tbl>
    <w:p w:rsidR="00566E9A" w:rsidRDefault="00566E9A" w:rsidP="00AE5760">
      <w:pPr>
        <w:pStyle w:val="Source"/>
        <w:rPr>
          <w:rFonts w:eastAsiaTheme="minorHAnsi"/>
        </w:rPr>
      </w:pPr>
      <w:r>
        <w:rPr>
          <w:rFonts w:eastAsiaTheme="minorHAnsi"/>
        </w:rPr>
        <w:t>The accompanying notes form part of these estimated financial statements.</w:t>
      </w:r>
    </w:p>
    <w:p w:rsidR="00566E9A" w:rsidRPr="007E256C" w:rsidRDefault="00566E9A" w:rsidP="00AE5760">
      <w:pPr>
        <w:pStyle w:val="Notes"/>
        <w:rPr>
          <w:rFonts w:eastAsiaTheme="minorHAnsi"/>
        </w:rPr>
      </w:pPr>
      <w:r w:rsidRPr="007E256C">
        <w:rPr>
          <w:rFonts w:eastAsiaTheme="minorHAnsi"/>
        </w:rPr>
        <w:t>Note:</w:t>
      </w:r>
    </w:p>
    <w:p w:rsidR="00566E9A" w:rsidRPr="00142B7B" w:rsidRDefault="00566E9A" w:rsidP="00AE5760">
      <w:pPr>
        <w:pStyle w:val="Notes"/>
        <w:rPr>
          <w:rFonts w:eastAsiaTheme="minorHAnsi"/>
        </w:rPr>
      </w:pPr>
      <w:r w:rsidRPr="00B74ADE">
        <w:rPr>
          <w:rFonts w:eastAsiaTheme="minorHAnsi"/>
        </w:rPr>
        <w:t>(a)</w:t>
      </w:r>
      <w:r w:rsidRPr="007E256C">
        <w:rPr>
          <w:rFonts w:eastAsiaTheme="minorHAnsi"/>
          <w:i w:val="0"/>
        </w:rPr>
        <w:tab/>
        <w:t xml:space="preserve">2016-17 Budget </w:t>
      </w:r>
      <w:r w:rsidRPr="007E256C">
        <w:rPr>
          <w:rFonts w:eastAsiaTheme="minorHAnsi"/>
        </w:rPr>
        <w:t>figures have been restated to reflect more current information.</w:t>
      </w:r>
    </w:p>
    <w:p w:rsidR="00566E9A" w:rsidRDefault="00566E9A" w:rsidP="00AE5760">
      <w:pPr>
        <w:pStyle w:val="Heading1"/>
        <w:rPr>
          <w:rFonts w:eastAsiaTheme="minorHAnsi"/>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4.2:</w:t>
      </w:r>
      <w:r>
        <w:rPr>
          <w:rFonts w:eastAsiaTheme="minorHAnsi"/>
        </w:rPr>
        <w:tab/>
        <w:t>Estimated general government sector balance sheet as at 30 June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2976"/>
        <w:gridCol w:w="539"/>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539" w:type="dxa"/>
            <w:tcBorders>
              <w:top w:val="nil"/>
              <w:left w:val="nil"/>
              <w:right w:val="nil"/>
            </w:tcBorders>
            <w:shd w:val="solid" w:color="000000" w:fill="auto"/>
          </w:tcPr>
          <w:p w:rsidR="00AE5760" w:rsidRPr="007208F6" w:rsidRDefault="00AE5760" w:rsidP="00AE57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rPr>
            </w:pPr>
            <w:r w:rsidRPr="007208F6">
              <w:rPr>
                <w:rFonts w:eastAsiaTheme="minorEastAsia" w:cs="Calibri"/>
                <w:iCs/>
                <w:color w:val="FFFFFF"/>
              </w:rPr>
              <w:t xml:space="preserve"> </w:t>
            </w:r>
            <w:r>
              <w:rPr>
                <w:rFonts w:eastAsiaTheme="minorEastAsia" w:cs="Calibri"/>
                <w:iCs/>
                <w:color w:val="FFFFFF"/>
              </w:rPr>
              <w:br/>
            </w:r>
            <w:r w:rsidRPr="007208F6">
              <w:rPr>
                <w:rFonts w:eastAsiaTheme="minorEastAsia" w:cs="Calibri"/>
                <w:iCs/>
                <w:color w:val="FFFFFF"/>
                <w:szCs w:val="18"/>
              </w:rPr>
              <w:t>Notes</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 xml:space="preserve">budget </w:t>
            </w:r>
            <w:r w:rsidRPr="007208F6">
              <w:rPr>
                <w:rFonts w:eastAsiaTheme="minorEastAsia" w:cs="Calibri"/>
                <w:iCs/>
                <w:color w:val="FFFFFF"/>
                <w:szCs w:val="18"/>
                <w:vertAlign w:val="superscript"/>
              </w:rPr>
              <w:t>(a)</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Financial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Cash and deposits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5 201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5 003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4 865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5 124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5 420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Advances paid</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10 118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12 589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10 335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7 896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5 937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Receivables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5 601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5 595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5 680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5 944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6 131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Investments, loans and placements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2 943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3 733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3 117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3 230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3 371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Investments accounted for using equity method</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Investments in other sector entities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95 242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90 351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92 879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97 388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99 456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financial assets</w:t>
            </w:r>
          </w:p>
        </w:tc>
        <w:tc>
          <w:tcPr>
            <w:tcW w:w="539"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119 151</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117 317</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116 922</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119 627</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120 360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Non-financial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Inventories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204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Non-financial assets held for sale</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186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Land, buildings, infrastructure, plant and equipment</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17,18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115 572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115 558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124 493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127 144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135 136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Other non-financial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1 103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1 136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949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906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805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non-financial assets</w:t>
            </w:r>
          </w:p>
        </w:tc>
        <w:tc>
          <w:tcPr>
            <w:tcW w:w="539"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117 052</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117 061</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125 808</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128 422</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136 319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8"/>
              </w:rPr>
            </w:pPr>
            <w:r w:rsidRPr="007208F6">
              <w:rPr>
                <w:rFonts w:eastAsiaTheme="minorEastAsia" w:cs="Calibri"/>
                <w:bCs/>
                <w:color w:val="000000"/>
                <w:szCs w:val="18"/>
              </w:rPr>
              <w:t>20(d)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236 203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234 378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242 730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248 049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256 679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Liabilities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Deposits held and advances received</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6 288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8 763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6 570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4 198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2 315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Payables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5 663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5 461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5 292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5 220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4 985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Borrowings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30 391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30 153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32 780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36 038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36 910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Employee benefits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6 534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6 541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6 777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7 041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7 253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Superannuation</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7(d)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28 453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28 245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27 136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25 937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24 696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Other provisions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852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825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855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885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liabilities</w:t>
            </w:r>
          </w:p>
        </w:tc>
        <w:tc>
          <w:tcPr>
            <w:tcW w:w="539" w:type="dxa"/>
            <w:tcBorders>
              <w:top w:val="single" w:sz="6" w:space="0" w:color="000000"/>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78 181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80 012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79 381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79 289</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77 044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Net assets</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158 022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154 366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163 349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168 761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179 635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Accumulated surplus/(deficit)</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47 963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47 045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49 367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52 004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55 444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Reserves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110 009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107 321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113 982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116 757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124 190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Non-controlling interest</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Net worth</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158 022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154 366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163 349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168 761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179 635</w:t>
            </w:r>
          </w:p>
        </w:tc>
      </w:tr>
      <w:tr w:rsidR="00566E9A" w:rsidRPr="007208F6"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rPr>
            </w:pPr>
            <w:r w:rsidRPr="007208F6">
              <w:rPr>
                <w:rFonts w:eastAsiaTheme="minorEastAsia" w:cs="Calibri"/>
                <w:color w:val="000000"/>
              </w:rPr>
              <w:t xml:space="preserve"> </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FISCAL AGGREGATES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Net financial worth</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40 970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37 305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37 541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40 338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43 316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Net financial liabilities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54 272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53 046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55 338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57 050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56 140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Net debt</w:t>
            </w:r>
          </w:p>
        </w:tc>
        <w:tc>
          <w:tcPr>
            <w:tcW w:w="539" w:type="dxa"/>
            <w:tcBorders>
              <w:top w:val="nil"/>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18 418</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17 590</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21 033</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23 987</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24 497</w:t>
            </w:r>
          </w:p>
        </w:tc>
      </w:tr>
    </w:tbl>
    <w:p w:rsidR="00566E9A" w:rsidRDefault="00566E9A" w:rsidP="00AE5760">
      <w:pPr>
        <w:pStyle w:val="Source"/>
        <w:rPr>
          <w:rFonts w:eastAsiaTheme="minorHAnsi"/>
        </w:rPr>
      </w:pPr>
      <w:r>
        <w:rPr>
          <w:rFonts w:eastAsiaTheme="minorHAnsi"/>
        </w:rPr>
        <w:t>The accompanying notes form part of these estimated financial statements.</w:t>
      </w:r>
    </w:p>
    <w:p w:rsidR="00566E9A" w:rsidRDefault="00566E9A" w:rsidP="00AE5760">
      <w:pPr>
        <w:pStyle w:val="Notes"/>
        <w:rPr>
          <w:rFonts w:eastAsiaTheme="minorHAnsi"/>
        </w:rPr>
      </w:pPr>
      <w:r>
        <w:rPr>
          <w:rFonts w:eastAsiaTheme="minorHAnsi"/>
        </w:rPr>
        <w:t>Note:</w:t>
      </w:r>
    </w:p>
    <w:p w:rsidR="00566E9A" w:rsidRPr="00926603" w:rsidRDefault="00566E9A" w:rsidP="00AE5760">
      <w:pPr>
        <w:pStyle w:val="Notes"/>
        <w:rPr>
          <w:rFonts w:eastAsiaTheme="minorHAnsi"/>
        </w:rPr>
      </w:pPr>
      <w:r w:rsidRPr="00926603">
        <w:rPr>
          <w:rFonts w:eastAsiaTheme="minorHAnsi"/>
        </w:rPr>
        <w:t>(a)</w:t>
      </w:r>
      <w:r w:rsidRPr="00926603">
        <w:rPr>
          <w:rFonts w:eastAsiaTheme="minorHAnsi"/>
        </w:rPr>
        <w:tab/>
        <w:t>Balances represent actual opening balances at 1 July 2016 plus 2016-17 budgeted movements.</w:t>
      </w:r>
    </w:p>
    <w:p w:rsidR="00566E9A" w:rsidRDefault="00566E9A" w:rsidP="00AE5760">
      <w:pPr>
        <w:pStyle w:val="Heading1"/>
        <w:rPr>
          <w:rFonts w:eastAsiaTheme="minorHAnsi"/>
        </w:rPr>
      </w:pPr>
      <w:r>
        <w:rPr>
          <w:rFonts w:eastAsiaTheme="minorHAnsi"/>
        </w:rPr>
        <w:br w:type="page"/>
      </w:r>
    </w:p>
    <w:p w:rsidR="00566E9A" w:rsidRPr="00504625" w:rsidRDefault="00566E9A" w:rsidP="00AE5760">
      <w:pPr>
        <w:pStyle w:val="Tableheading"/>
        <w:rPr>
          <w:rFonts w:eastAsiaTheme="minorHAnsi"/>
        </w:rPr>
      </w:pPr>
      <w:r>
        <w:rPr>
          <w:rFonts w:eastAsiaTheme="minorHAnsi"/>
        </w:rPr>
        <w:lastRenderedPageBreak/>
        <w:t>Table 4.3:</w:t>
      </w:r>
      <w:r>
        <w:rPr>
          <w:rFonts w:eastAsiaTheme="minorHAnsi"/>
        </w:rPr>
        <w:tab/>
        <w:t>Estimated general government sector cash flow statement for the financial year ended 30 June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2976"/>
        <w:gridCol w:w="142"/>
        <w:gridCol w:w="397"/>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539" w:type="dxa"/>
            <w:gridSpan w:val="2"/>
            <w:tcBorders>
              <w:top w:val="nil"/>
              <w:left w:val="nil"/>
              <w:right w:val="nil"/>
            </w:tcBorders>
            <w:shd w:val="solid" w:color="000000" w:fill="auto"/>
          </w:tcPr>
          <w:p w:rsidR="00AE5760" w:rsidRPr="007208F6" w:rsidRDefault="00AE5760" w:rsidP="00AE57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rPr>
            </w:pPr>
            <w:r w:rsidRPr="007208F6">
              <w:rPr>
                <w:rFonts w:eastAsiaTheme="minorEastAsia" w:cs="Calibri"/>
                <w:iCs/>
                <w:color w:val="FFFFFF"/>
              </w:rPr>
              <w:t xml:space="preserve"> </w:t>
            </w:r>
            <w:r>
              <w:rPr>
                <w:rFonts w:eastAsiaTheme="minorEastAsia" w:cs="Calibri"/>
                <w:iCs/>
                <w:color w:val="FFFFFF"/>
              </w:rPr>
              <w:br/>
            </w:r>
            <w:r w:rsidRPr="007208F6">
              <w:rPr>
                <w:rFonts w:eastAsiaTheme="minorEastAsia" w:cs="Calibri"/>
                <w:iCs/>
                <w:color w:val="FFFFFF"/>
                <w:szCs w:val="16"/>
              </w:rPr>
              <w:t>Notes</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2017-18 </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2018-19 </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2019-20 </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Cash flows from operating activities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Receipts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Taxes received</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21 483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21 525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21 350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22 492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23 385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27 424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27 623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28 761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30 627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31 318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Sales of goods and services </w:t>
            </w:r>
            <w:r w:rsidRPr="007208F6">
              <w:rPr>
                <w:rFonts w:eastAsiaTheme="minorEastAsia" w:cs="Calibri"/>
                <w:color w:val="000000"/>
                <w:szCs w:val="16"/>
                <w:vertAlign w:val="superscript"/>
              </w:rPr>
              <w:t>(a)</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7 602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7 547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7 862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8 018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8 028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Interest received</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905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893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829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Dividends, income tax equivalent and rate equivalent receipts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1 079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986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receipts</w:t>
            </w:r>
          </w:p>
        </w:tc>
        <w:tc>
          <w:tcPr>
            <w:tcW w:w="539" w:type="dxa"/>
            <w:gridSpan w:val="2"/>
            <w:tcBorders>
              <w:top w:val="nil"/>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1 877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1 852</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1 795</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1 712</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1 745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receipts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60 345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60 185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61 648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64 309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66 090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Payments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Payments for employees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(20 902)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(21 164)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(22 166)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(23 356)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(24 082)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Superannuation</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(2 991)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(3 024)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(3 045)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(3 141)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(3 199)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Interest paid</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(2 396)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(2 110)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(2 084)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(2 108)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(2 039)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Grants and subsidies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(9 501)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(10 409)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(10 364)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(11 071)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(10 982)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Goods and services </w:t>
            </w:r>
            <w:r w:rsidRPr="007208F6">
              <w:rPr>
                <w:rFonts w:eastAsiaTheme="minorEastAsia" w:cs="Calibri"/>
                <w:color w:val="000000"/>
                <w:szCs w:val="16"/>
                <w:vertAlign w:val="superscript"/>
              </w:rPr>
              <w:t>(a)</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(18 729)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(18 826)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(19 623)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(19 799)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(19 841)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payments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(697)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(710)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payments</w:t>
            </w:r>
          </w:p>
        </w:tc>
        <w:tc>
          <w:tcPr>
            <w:tcW w:w="539" w:type="dxa"/>
            <w:gridSpan w:val="2"/>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(55 143)</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(56 229)</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(57 937)</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(60 154)</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(60 853)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118" w:type="dxa"/>
            <w:gridSpan w:val="2"/>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Net cash flows from operating activities</w:t>
            </w:r>
          </w:p>
        </w:tc>
        <w:tc>
          <w:tcPr>
            <w:tcW w:w="397"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5 202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3 956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3 711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4 155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5 237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Cash flows from investing activities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Purchases of non-financial assets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20a,b</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(7 206)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(7 768)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(7 802)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(7 349)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(6 278)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Sales of non-financial assets</w:t>
            </w:r>
          </w:p>
        </w:tc>
        <w:tc>
          <w:tcPr>
            <w:tcW w:w="539" w:type="dxa"/>
            <w:gridSpan w:val="2"/>
            <w:tcBorders>
              <w:top w:val="nil"/>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487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432</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680</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484</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352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Cash flows from investments in </w:t>
            </w:r>
            <w:r>
              <w:rPr>
                <w:rFonts w:eastAsiaTheme="minorEastAsia" w:cs="Calibri"/>
                <w:color w:val="000000"/>
                <w:szCs w:val="16"/>
              </w:rPr>
              <w:br/>
              <w:t>non-financial assets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(6 720)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(7 336)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(7 123)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(6 864)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(5 927)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118" w:type="dxa"/>
            <w:gridSpan w:val="2"/>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Net cash flows from investments in financial assets for policy purposes </w:t>
            </w:r>
            <w:r w:rsidRPr="007208F6">
              <w:rPr>
                <w:rFonts w:eastAsiaTheme="minorEastAsia" w:cs="Calibri"/>
                <w:color w:val="000000"/>
                <w:szCs w:val="16"/>
                <w:vertAlign w:val="superscript"/>
              </w:rPr>
              <w:t>(b)</w:t>
            </w:r>
          </w:p>
        </w:tc>
        <w:tc>
          <w:tcPr>
            <w:tcW w:w="397" w:type="dxa"/>
            <w:tcBorders>
              <w:top w:val="nil"/>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391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605</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2 863</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2 781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2 453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Subtotal</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(6 328)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(6 730)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(4 260)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(4 083)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(3 473)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cash flows from investment in financial assets for liquidity management purposes</w:t>
            </w:r>
          </w:p>
        </w:tc>
        <w:tc>
          <w:tcPr>
            <w:tcW w:w="539" w:type="dxa"/>
            <w:gridSpan w:val="2"/>
            <w:tcBorders>
              <w:top w:val="nil"/>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(84)</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(871)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629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118" w:type="dxa"/>
            <w:gridSpan w:val="2"/>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Net cash flows from investing activities</w:t>
            </w:r>
          </w:p>
        </w:tc>
        <w:tc>
          <w:tcPr>
            <w:tcW w:w="397"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(6 413)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(7 601)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(3 631)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(4 181)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(3 575)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Cash flows from financing activities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Advances received (net)</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5 583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8 057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(2 193)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(2 371)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(1 883)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borrowings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(3 943)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(4 181)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1 975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2 650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Deposits received (net)</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118" w:type="dxa"/>
            <w:gridSpan w:val="2"/>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Net cash flows from financing activities</w:t>
            </w:r>
          </w:p>
        </w:tc>
        <w:tc>
          <w:tcPr>
            <w:tcW w:w="397"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1 640</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3 876</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(218)</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278</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(1 368)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Net increase/(decrease) in cash and cash equivalents</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252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294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Cash and cash equivalents at beginning of reporting period </w:t>
            </w:r>
            <w:r w:rsidRPr="007208F6">
              <w:rPr>
                <w:rFonts w:eastAsiaTheme="minorEastAsia" w:cs="Calibri"/>
                <w:color w:val="000000"/>
                <w:szCs w:val="16"/>
                <w:vertAlign w:val="superscript"/>
              </w:rPr>
              <w:t>(c)</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4 772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4 772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5 003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4 865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5 117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vertAlign w:val="superscript"/>
              </w:rPr>
            </w:pPr>
            <w:r w:rsidRPr="007208F6">
              <w:rPr>
                <w:rFonts w:eastAsiaTheme="minorEastAsia" w:cs="Calibri"/>
                <w:b/>
                <w:bCs/>
                <w:color w:val="000000"/>
                <w:szCs w:val="16"/>
              </w:rPr>
              <w:t xml:space="preserve">Cash and cash equivalents at end of reporting period </w:t>
            </w:r>
            <w:r w:rsidRPr="007208F6">
              <w:rPr>
                <w:rFonts w:eastAsiaTheme="minorEastAsia" w:cs="Calibri"/>
                <w:b/>
                <w:bCs/>
                <w:color w:val="000000"/>
                <w:szCs w:val="16"/>
                <w:vertAlign w:val="superscript"/>
              </w:rPr>
              <w:t>(c)(d)</w:t>
            </w:r>
          </w:p>
        </w:tc>
        <w:tc>
          <w:tcPr>
            <w:tcW w:w="539" w:type="dxa"/>
            <w:gridSpan w:val="2"/>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5 201</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5 003</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4 865</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5 117</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5 411</w:t>
            </w:r>
          </w:p>
        </w:tc>
      </w:tr>
      <w:tr w:rsidR="00566E9A" w:rsidRPr="007208F6"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rPr>
            </w:pPr>
            <w:r w:rsidRPr="007208F6">
              <w:rPr>
                <w:rFonts w:eastAsiaTheme="minorEastAsia" w:cs="Calibri"/>
                <w:color w:val="000000"/>
              </w:rPr>
              <w:t xml:space="preserve"> </w:t>
            </w:r>
          </w:p>
        </w:tc>
        <w:tc>
          <w:tcPr>
            <w:tcW w:w="539" w:type="dxa"/>
            <w:gridSpan w:val="2"/>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r>
    </w:tbl>
    <w:p w:rsidR="00566E9A" w:rsidRPr="00504625" w:rsidRDefault="00566E9A" w:rsidP="00AE5760">
      <w:pPr>
        <w:pStyle w:val="Tableheadingcontinued"/>
        <w:rPr>
          <w:rFonts w:eastAsiaTheme="minorHAnsi"/>
        </w:rPr>
      </w:pPr>
      <w:r>
        <w:rPr>
          <w:rFonts w:eastAsiaTheme="minorHAnsi"/>
        </w:rPr>
        <w:lastRenderedPageBreak/>
        <w:t>Table 4.3:</w:t>
      </w:r>
      <w:r>
        <w:rPr>
          <w:rFonts w:eastAsiaTheme="minorHAnsi"/>
        </w:rPr>
        <w:tab/>
        <w:t>Estimated general government sector cash flow statement for the financial year ended 30 Jun</w:t>
      </w:r>
      <w:r w:rsidRPr="007208F6">
        <w:rPr>
          <w:rFonts w:eastAsiaTheme="minorHAnsi"/>
          <w:i/>
        </w:rPr>
        <w:t>e (continued)</w:t>
      </w:r>
    </w:p>
    <w:p w:rsidR="00566E9A" w:rsidRDefault="00566E9A" w:rsidP="00AE5760">
      <w:pPr>
        <w:pStyle w:val="million"/>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2976"/>
        <w:gridCol w:w="539"/>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539" w:type="dxa"/>
            <w:tcBorders>
              <w:top w:val="nil"/>
              <w:left w:val="nil"/>
              <w:right w:val="nil"/>
            </w:tcBorders>
            <w:shd w:val="solid" w:color="000000" w:fill="auto"/>
          </w:tcPr>
          <w:p w:rsidR="00AE5760" w:rsidRPr="007208F6" w:rsidRDefault="00AE5760" w:rsidP="00AE57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rPr>
            </w:pPr>
            <w:r w:rsidRPr="007208F6">
              <w:rPr>
                <w:rFonts w:eastAsiaTheme="minorEastAsia" w:cs="Calibri"/>
                <w:iCs/>
                <w:color w:val="FFFFFF"/>
              </w:rPr>
              <w:t xml:space="preserve"> </w:t>
            </w:r>
            <w:r>
              <w:rPr>
                <w:rFonts w:eastAsiaTheme="minorEastAsia" w:cs="Calibri"/>
                <w:iCs/>
                <w:color w:val="FFFFFF"/>
              </w:rPr>
              <w:br/>
            </w:r>
            <w:r w:rsidRPr="007208F6">
              <w:rPr>
                <w:rFonts w:eastAsiaTheme="minorEastAsia" w:cs="Calibri"/>
                <w:iCs/>
                <w:color w:val="FFFFFF"/>
                <w:szCs w:val="16"/>
              </w:rPr>
              <w:t>Notes</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2017-18 </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2018-19 </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2019-20 </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FISCAL AGGREGATES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cash flows from operating activities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5 202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3 956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3 711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4 155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5 237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cash flows from investments in non-financial assets</w:t>
            </w:r>
          </w:p>
        </w:tc>
        <w:tc>
          <w:tcPr>
            <w:tcW w:w="539" w:type="dxa"/>
            <w:tcBorders>
              <w:top w:val="nil"/>
              <w:left w:val="nil"/>
              <w:bottom w:val="nil"/>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(6 720)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(7 336)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(7 123)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(6 864)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(5 927)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Cash surplus/(deficit)</w:t>
            </w:r>
          </w:p>
        </w:tc>
        <w:tc>
          <w:tcPr>
            <w:tcW w:w="53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rPr>
            </w:pPr>
            <w:r w:rsidRPr="007208F6">
              <w:rPr>
                <w:rFonts w:eastAsiaTheme="minorEastAsia" w:cs="Calibri"/>
                <w:bCs/>
                <w:color w:val="000000"/>
              </w:rPr>
              <w:t xml:space="preserve"> </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(1 518)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(3 379)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(3 412)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(2 710)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(689)</w:t>
            </w:r>
          </w:p>
        </w:tc>
      </w:tr>
    </w:tbl>
    <w:p w:rsidR="00566E9A" w:rsidRDefault="00566E9A" w:rsidP="00AE5760">
      <w:pPr>
        <w:pStyle w:val="Source"/>
        <w:rPr>
          <w:rFonts w:eastAsiaTheme="minorHAnsi"/>
        </w:rPr>
      </w:pPr>
      <w:r>
        <w:rPr>
          <w:rFonts w:eastAsiaTheme="minorHAnsi"/>
        </w:rPr>
        <w:t>The accompanying notes form part of these estimated financial statements.</w:t>
      </w:r>
    </w:p>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Inclusive of goods and services tax.</w:t>
      </w:r>
    </w:p>
    <w:p w:rsidR="00566E9A" w:rsidRPr="00BE2377" w:rsidRDefault="00566E9A" w:rsidP="00AE5760">
      <w:pPr>
        <w:pStyle w:val="Notes"/>
        <w:rPr>
          <w:rFonts w:eastAsiaTheme="minorHAnsi"/>
        </w:rPr>
      </w:pPr>
      <w:r w:rsidRPr="00BE2377">
        <w:rPr>
          <w:rFonts w:eastAsiaTheme="minorHAnsi"/>
        </w:rPr>
        <w:t>(b)</w:t>
      </w:r>
      <w:r w:rsidRPr="00BE2377">
        <w:rPr>
          <w:rFonts w:eastAsiaTheme="minorHAnsi"/>
        </w:rPr>
        <w:tab/>
      </w:r>
      <w:r w:rsidRPr="002A5DB2">
        <w:rPr>
          <w:rFonts w:eastAsiaTheme="minorHAnsi"/>
        </w:rPr>
        <w:t>Includes net advances to public non-financial corporations for policy purposes of $889 million in 2016-17, $2 193 million in 2017-18, $2 371 million in 2018-19 and $1 883 million in 2019-20.</w:t>
      </w:r>
    </w:p>
    <w:p w:rsidR="00566E9A" w:rsidRDefault="00566E9A" w:rsidP="00AE5760">
      <w:pPr>
        <w:pStyle w:val="Notes"/>
        <w:rPr>
          <w:rFonts w:eastAsiaTheme="minorHAnsi"/>
        </w:rPr>
      </w:pPr>
      <w:r>
        <w:rPr>
          <w:rFonts w:eastAsiaTheme="minorHAnsi"/>
        </w:rPr>
        <w:t>(c)</w:t>
      </w:r>
      <w:r>
        <w:rPr>
          <w:rFonts w:eastAsiaTheme="minorHAnsi"/>
        </w:rPr>
        <w:tab/>
      </w:r>
      <w:r>
        <w:rPr>
          <w:rFonts w:eastAsiaTheme="minorHAnsi"/>
          <w:i w:val="0"/>
        </w:rPr>
        <w:t>2016-17 Budget</w:t>
      </w:r>
      <w:r>
        <w:rPr>
          <w:rFonts w:eastAsiaTheme="minorHAnsi"/>
        </w:rPr>
        <w:t xml:space="preserve"> figures have been restated to represent actual opening balances at 1 July 2016.</w:t>
      </w:r>
    </w:p>
    <w:p w:rsidR="00566E9A" w:rsidRPr="00440998" w:rsidRDefault="00566E9A" w:rsidP="00AE5760">
      <w:pPr>
        <w:pStyle w:val="Notes"/>
        <w:rPr>
          <w:rFonts w:eastAsiaTheme="minorHAnsi"/>
        </w:rPr>
      </w:pPr>
      <w:r>
        <w:rPr>
          <w:rFonts w:eastAsiaTheme="minorHAnsi"/>
        </w:rPr>
        <w:t>(d)</w:t>
      </w:r>
      <w:r>
        <w:rPr>
          <w:rFonts w:eastAsiaTheme="minorHAnsi"/>
        </w:rPr>
        <w:tab/>
        <w:t>Cash and cash equivalents at the end of the reporting period does not equal cash and deposits on the balance sheet. This is due to overdrafts being included in the cash flow statement balances.</w:t>
      </w:r>
    </w:p>
    <w:p w:rsidR="00566E9A" w:rsidRDefault="00566E9A" w:rsidP="00AE5760">
      <w:pPr>
        <w:pStyle w:val="Heading1"/>
        <w:rPr>
          <w:rFonts w:eastAsiaTheme="minorHAnsi"/>
        </w:rPr>
      </w:pPr>
      <w:r>
        <w:rPr>
          <w:rFonts w:eastAsiaTheme="minorHAnsi"/>
        </w:rPr>
        <w:br w:type="page"/>
      </w:r>
    </w:p>
    <w:p w:rsidR="00566E9A" w:rsidRPr="00504625" w:rsidRDefault="00566E9A" w:rsidP="00AE5760">
      <w:pPr>
        <w:pStyle w:val="Tableheading"/>
        <w:rPr>
          <w:rFonts w:eastAsiaTheme="minorHAnsi"/>
        </w:rPr>
      </w:pPr>
      <w:r>
        <w:rPr>
          <w:rFonts w:eastAsiaTheme="minorHAnsi"/>
        </w:rPr>
        <w:lastRenderedPageBreak/>
        <w:t>Table 4.4:</w:t>
      </w:r>
      <w:r>
        <w:rPr>
          <w:rFonts w:eastAsiaTheme="minorHAnsi"/>
        </w:rPr>
        <w:tab/>
        <w:t>Estimated general government sector statement of changes in equity for the financial year ended 30 June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961"/>
        <w:gridCol w:w="1417"/>
        <w:gridCol w:w="1389"/>
      </w:tblGrid>
      <w:tr w:rsidR="00566E9A" w:rsidRPr="007208F6"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shd w:val="solid" w:color="000000" w:fill="auto"/>
          </w:tcPr>
          <w:p w:rsidR="00566E9A" w:rsidRPr="007208F6" w:rsidRDefault="00566E9A"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1417" w:type="dxa"/>
            <w:tcBorders>
              <w:top w:val="nil"/>
              <w:left w:val="nil"/>
              <w:bottom w:val="nil"/>
              <w:right w:val="nil"/>
            </w:tcBorders>
            <w:shd w:val="solid" w:color="000000" w:fill="auto"/>
          </w:tcPr>
          <w:p w:rsidR="00566E9A" w:rsidRPr="007208F6"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7208F6">
              <w:rPr>
                <w:rFonts w:eastAsiaTheme="minorEastAsia" w:cs="Calibri"/>
                <w:iCs/>
                <w:color w:val="FFFFFF"/>
                <w:szCs w:val="21"/>
              </w:rPr>
              <w:t>Accumulated surplus/(deficit)</w:t>
            </w:r>
          </w:p>
        </w:tc>
        <w:tc>
          <w:tcPr>
            <w:tcW w:w="1389" w:type="dxa"/>
            <w:tcBorders>
              <w:top w:val="nil"/>
              <w:left w:val="nil"/>
              <w:bottom w:val="nil"/>
              <w:right w:val="nil"/>
            </w:tcBorders>
            <w:shd w:val="solid" w:color="000000" w:fill="auto"/>
          </w:tcPr>
          <w:p w:rsidR="00566E9A" w:rsidRPr="007208F6"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7208F6">
              <w:rPr>
                <w:rFonts w:eastAsiaTheme="minorEastAsia" w:cs="Calibri"/>
                <w:iCs/>
                <w:color w:val="FFFFFF"/>
                <w:szCs w:val="21"/>
              </w:rPr>
              <w:t>Non-controlling Interest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21"/>
                <w:vertAlign w:val="superscript"/>
              </w:rPr>
            </w:pPr>
            <w:r w:rsidRPr="007208F6">
              <w:rPr>
                <w:rFonts w:eastAsiaTheme="minorEastAsia" w:cs="Calibri"/>
                <w:b/>
                <w:bCs/>
                <w:color w:val="000000"/>
                <w:szCs w:val="21"/>
              </w:rPr>
              <w:t xml:space="preserve">2016-17 budget </w:t>
            </w:r>
            <w:r w:rsidRPr="007208F6">
              <w:rPr>
                <w:rFonts w:eastAsiaTheme="minorEastAsia" w:cs="Calibri"/>
                <w:b/>
                <w:bCs/>
                <w:color w:val="000000"/>
                <w:szCs w:val="21"/>
                <w:vertAlign w:val="superscript"/>
              </w:rPr>
              <w:t>(a)</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Balance at 1 July 2016</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44 453</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Net result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2 635</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875</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 xml:space="preserve">Transfer to/(from) accumulated surplus </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Total equity as at 30 June 2017</w:t>
            </w:r>
          </w:p>
        </w:tc>
        <w:tc>
          <w:tcPr>
            <w:tcW w:w="141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47 963</w:t>
            </w:r>
          </w:p>
        </w:tc>
        <w:tc>
          <w:tcPr>
            <w:tcW w:w="138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2016-17 revised</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Balance at 1 July 2016</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44 454</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Net result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1 477</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1 114</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 xml:space="preserve">Transfer to/(from) accumulated surplus </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Total equity as at 30 June 2017</w:t>
            </w:r>
          </w:p>
        </w:tc>
        <w:tc>
          <w:tcPr>
            <w:tcW w:w="141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47 045</w:t>
            </w:r>
          </w:p>
        </w:tc>
        <w:tc>
          <w:tcPr>
            <w:tcW w:w="138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2017-18 estimate</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Balance at 1 July 2017</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47 045</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Net result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1 258</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1 064</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 xml:space="preserve">Transfer to/(from) accumulated surplus </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Total equity as at 30 June 2018</w:t>
            </w:r>
          </w:p>
        </w:tc>
        <w:tc>
          <w:tcPr>
            <w:tcW w:w="141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49 367</w:t>
            </w:r>
          </w:p>
        </w:tc>
        <w:tc>
          <w:tcPr>
            <w:tcW w:w="138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2018-19 estimate</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Balance at 1 July 2018</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49 367</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Net result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1 541</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1 096</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 xml:space="preserve">Transfer to/(from) accumulated surplus </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Total equity as at 30 June 2019</w:t>
            </w:r>
          </w:p>
        </w:tc>
        <w:tc>
          <w:tcPr>
            <w:tcW w:w="141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52 004</w:t>
            </w:r>
          </w:p>
        </w:tc>
        <w:tc>
          <w:tcPr>
            <w:tcW w:w="138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2019-20 estimate</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Balance at 1 July 2019</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52 004</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Net result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2 362</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1 078</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 xml:space="preserve">Transfer to/(from) accumulated surplus </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1"/>
              </w:rPr>
            </w:pPr>
            <w:r w:rsidRPr="007208F6">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38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496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21"/>
              </w:rPr>
            </w:pPr>
            <w:r w:rsidRPr="007208F6">
              <w:rPr>
                <w:rFonts w:eastAsiaTheme="minorEastAsia" w:cs="Calibri"/>
                <w:b/>
                <w:bCs/>
                <w:color w:val="000000"/>
                <w:szCs w:val="21"/>
              </w:rPr>
              <w:t>Total equity as at 30 June 2020</w:t>
            </w:r>
          </w:p>
        </w:tc>
        <w:tc>
          <w:tcPr>
            <w:tcW w:w="141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55 444</w:t>
            </w:r>
          </w:p>
        </w:tc>
        <w:tc>
          <w:tcPr>
            <w:tcW w:w="138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bl>
    <w:p w:rsidR="00566E9A" w:rsidRDefault="00566E9A" w:rsidP="00AE5760">
      <w:pPr>
        <w:pStyle w:val="Source"/>
        <w:rPr>
          <w:rFonts w:eastAsiaTheme="minorHAnsi"/>
        </w:rPr>
      </w:pPr>
      <w:r>
        <w:rPr>
          <w:rFonts w:eastAsiaTheme="minorHAnsi"/>
        </w:rPr>
        <w:t>The accompanying notes form part of these estimated financial statements.</w:t>
      </w:r>
    </w:p>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t>Balances represent actual opening balances at 1 July 2016 plus 2016-17 budgeted movements.</w:t>
      </w:r>
    </w:p>
    <w:p w:rsidR="00566E9A" w:rsidRDefault="00566E9A" w:rsidP="00AE5760">
      <w:pPr>
        <w:pStyle w:val="Heading1"/>
        <w:rPr>
          <w:rFonts w:eastAsiaTheme="minorHAnsi"/>
          <w:sz w:val="15"/>
        </w:rPr>
      </w:pPr>
      <w:r>
        <w:rPr>
          <w:rFonts w:eastAsiaTheme="minorHAnsi"/>
        </w:rPr>
        <w:br w:type="page"/>
      </w:r>
    </w:p>
    <w:p w:rsidR="00566E9A" w:rsidRPr="00705A3D" w:rsidRDefault="00566E9A" w:rsidP="00AE5760">
      <w:pPr>
        <w:pStyle w:val="Tableheading"/>
        <w:rPr>
          <w:rFonts w:eastAsiaTheme="minorHAnsi"/>
        </w:rPr>
      </w:pPr>
      <w:r w:rsidRPr="00705A3D">
        <w:rPr>
          <w:rFonts w:eastAsiaTheme="minorHAnsi"/>
        </w:rPr>
        <w:lastRenderedPageBreak/>
        <w:br/>
      </w:r>
    </w:p>
    <w:p w:rsidR="00566E9A" w:rsidRPr="007208F6" w:rsidRDefault="00566E9A" w:rsidP="00AE5760">
      <w:pPr>
        <w:pStyle w:val="million"/>
        <w:rPr>
          <w:rFonts w:eastAsiaTheme="minorHAnsi"/>
          <w:b/>
          <w:bCs/>
          <w:lang w:val="en-US"/>
        </w:rPr>
      </w:pP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2552"/>
        <w:gridCol w:w="2409"/>
        <w:gridCol w:w="1559"/>
        <w:gridCol w:w="1247"/>
      </w:tblGrid>
      <w:tr w:rsidR="00566E9A" w:rsidRPr="007208F6" w:rsidTr="00AE576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shd w:val="solid" w:color="000000" w:fill="auto"/>
          </w:tcPr>
          <w:p w:rsidR="00566E9A" w:rsidRPr="007208F6" w:rsidRDefault="00566E9A" w:rsidP="00AE5760">
            <w:pPr>
              <w:autoSpaceDE w:val="0"/>
              <w:autoSpaceDN w:val="0"/>
              <w:adjustRightInd w:val="0"/>
              <w:jc w:val="right"/>
              <w:rPr>
                <w:rFonts w:eastAsiaTheme="minorEastAsia" w:cs="Calibri"/>
                <w:iCs/>
                <w:color w:val="FFFFFF"/>
                <w:szCs w:val="21"/>
              </w:rPr>
            </w:pPr>
            <w:r w:rsidRPr="007208F6">
              <w:rPr>
                <w:rFonts w:eastAsiaTheme="minorEastAsia" w:cs="Calibri"/>
                <w:iCs/>
                <w:color w:val="FFFFFF"/>
                <w:szCs w:val="21"/>
              </w:rPr>
              <w:t xml:space="preserve">Non-financial assets </w:t>
            </w:r>
            <w:r w:rsidRPr="007208F6">
              <w:rPr>
                <w:rFonts w:eastAsiaTheme="minorEastAsia" w:cs="Calibri"/>
                <w:iCs/>
                <w:color w:val="FFFFFF"/>
                <w:szCs w:val="21"/>
              </w:rPr>
              <w:br/>
              <w:t>revaluation surplus</w:t>
            </w:r>
          </w:p>
        </w:tc>
        <w:tc>
          <w:tcPr>
            <w:tcW w:w="2409" w:type="dxa"/>
            <w:tcBorders>
              <w:top w:val="nil"/>
              <w:left w:val="nil"/>
              <w:bottom w:val="nil"/>
              <w:right w:val="nil"/>
            </w:tcBorders>
            <w:shd w:val="solid" w:color="000000" w:fill="auto"/>
          </w:tcPr>
          <w:p w:rsidR="00566E9A" w:rsidRPr="007208F6"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7208F6">
              <w:rPr>
                <w:rFonts w:eastAsiaTheme="minorEastAsia" w:cs="Calibri"/>
                <w:iCs/>
                <w:color w:val="FFFFFF"/>
                <w:szCs w:val="21"/>
              </w:rPr>
              <w:t>Investment in other sector entities revaluation surplus</w:t>
            </w:r>
          </w:p>
        </w:tc>
        <w:tc>
          <w:tcPr>
            <w:tcW w:w="1559" w:type="dxa"/>
            <w:tcBorders>
              <w:top w:val="nil"/>
              <w:left w:val="nil"/>
              <w:bottom w:val="nil"/>
              <w:right w:val="nil"/>
            </w:tcBorders>
            <w:shd w:val="solid" w:color="000000" w:fill="auto"/>
          </w:tcPr>
          <w:p w:rsidR="00566E9A" w:rsidRPr="007208F6"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7208F6">
              <w:rPr>
                <w:rFonts w:eastAsiaTheme="minorEastAsia" w:cs="Calibri"/>
                <w:iCs/>
                <w:color w:val="FFFFFF"/>
                <w:szCs w:val="21"/>
              </w:rPr>
              <w:t xml:space="preserve">Other </w:t>
            </w:r>
            <w:r w:rsidRPr="007208F6">
              <w:rPr>
                <w:rFonts w:eastAsiaTheme="minorEastAsia" w:cs="Calibri"/>
                <w:iCs/>
                <w:color w:val="FFFFFF"/>
                <w:szCs w:val="21"/>
              </w:rPr>
              <w:br/>
              <w:t>reserves</w:t>
            </w:r>
          </w:p>
        </w:tc>
        <w:tc>
          <w:tcPr>
            <w:tcW w:w="1247" w:type="dxa"/>
            <w:tcBorders>
              <w:top w:val="nil"/>
              <w:left w:val="nil"/>
              <w:bottom w:val="nil"/>
              <w:right w:val="nil"/>
            </w:tcBorders>
            <w:shd w:val="solid" w:color="000000" w:fill="auto"/>
          </w:tcPr>
          <w:p w:rsidR="00566E9A" w:rsidRPr="007208F6"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7208F6">
              <w:rPr>
                <w:rFonts w:eastAsiaTheme="minorEastAsia" w:cs="Calibri"/>
                <w:iCs/>
                <w:color w:val="FFFFFF"/>
                <w:szCs w:val="21"/>
              </w:rPr>
              <w:t>Total</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b/>
                <w:bCs/>
                <w:color w:val="000000"/>
              </w:rPr>
            </w:pPr>
            <w:r w:rsidRPr="007208F6">
              <w:rPr>
                <w:rFonts w:eastAsiaTheme="minorEastAsia" w:cs="Calibri"/>
                <w:b/>
                <w:bCs/>
                <w:color w:val="000000"/>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49 613</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57 027</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551</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151 694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2 635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109</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2 707</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2</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3 693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right"/>
              <w:rPr>
                <w:rFonts w:eastAsiaTheme="minorEastAsia" w:cs="Calibri"/>
                <w:b/>
                <w:bCs/>
                <w:color w:val="000000"/>
                <w:szCs w:val="21"/>
              </w:rPr>
            </w:pPr>
            <w:r w:rsidRPr="007208F6">
              <w:rPr>
                <w:rFonts w:eastAsiaTheme="minorEastAsia" w:cs="Calibri"/>
                <w:b/>
                <w:bCs/>
                <w:color w:val="000000"/>
                <w:szCs w:val="21"/>
              </w:rPr>
              <w:t>49 722</w:t>
            </w:r>
          </w:p>
        </w:tc>
        <w:tc>
          <w:tcPr>
            <w:tcW w:w="240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59 733</w:t>
            </w:r>
          </w:p>
        </w:tc>
        <w:tc>
          <w:tcPr>
            <w:tcW w:w="155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554</w:t>
            </w:r>
          </w:p>
        </w:tc>
        <w:tc>
          <w:tcPr>
            <w:tcW w:w="124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158 022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b/>
                <w:bCs/>
                <w:color w:val="000000"/>
              </w:rPr>
            </w:pPr>
            <w:r w:rsidRPr="007208F6">
              <w:rPr>
                <w:rFonts w:eastAsiaTheme="minorEastAsia" w:cs="Calibri"/>
                <w:b/>
                <w:bCs/>
                <w:color w:val="000000"/>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49 613</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57 027</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551</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151 695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1 477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60</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81</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(11)</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1 244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right"/>
              <w:rPr>
                <w:rFonts w:eastAsiaTheme="minorEastAsia" w:cs="Calibri"/>
                <w:b/>
                <w:bCs/>
                <w:color w:val="000000"/>
                <w:szCs w:val="21"/>
              </w:rPr>
            </w:pPr>
            <w:r w:rsidRPr="007208F6">
              <w:rPr>
                <w:rFonts w:eastAsiaTheme="minorEastAsia" w:cs="Calibri"/>
                <w:b/>
                <w:bCs/>
                <w:color w:val="000000"/>
                <w:szCs w:val="21"/>
              </w:rPr>
              <w:t>49 673</w:t>
            </w:r>
          </w:p>
        </w:tc>
        <w:tc>
          <w:tcPr>
            <w:tcW w:w="240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57 108</w:t>
            </w:r>
          </w:p>
        </w:tc>
        <w:tc>
          <w:tcPr>
            <w:tcW w:w="155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540</w:t>
            </w:r>
          </w:p>
        </w:tc>
        <w:tc>
          <w:tcPr>
            <w:tcW w:w="124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154 366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b/>
                <w:bCs/>
                <w:color w:val="000000"/>
              </w:rPr>
            </w:pPr>
            <w:r w:rsidRPr="007208F6">
              <w:rPr>
                <w:rFonts w:eastAsiaTheme="minorEastAsia" w:cs="Calibri"/>
                <w:b/>
                <w:bCs/>
                <w:color w:val="000000"/>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49 673</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57 108</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540</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154 366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1 258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7 089</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(432)</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7 725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right"/>
              <w:rPr>
                <w:rFonts w:eastAsiaTheme="minorEastAsia" w:cs="Calibri"/>
                <w:b/>
                <w:bCs/>
                <w:color w:val="000000"/>
                <w:szCs w:val="21"/>
              </w:rPr>
            </w:pPr>
            <w:r w:rsidRPr="007208F6">
              <w:rPr>
                <w:rFonts w:eastAsiaTheme="minorEastAsia" w:cs="Calibri"/>
                <w:b/>
                <w:bCs/>
                <w:color w:val="000000"/>
                <w:szCs w:val="21"/>
              </w:rPr>
              <w:t>56 762</w:t>
            </w:r>
          </w:p>
        </w:tc>
        <w:tc>
          <w:tcPr>
            <w:tcW w:w="240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56 676</w:t>
            </w:r>
          </w:p>
        </w:tc>
        <w:tc>
          <w:tcPr>
            <w:tcW w:w="155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543</w:t>
            </w:r>
          </w:p>
        </w:tc>
        <w:tc>
          <w:tcPr>
            <w:tcW w:w="124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163 349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b/>
                <w:bCs/>
                <w:color w:val="000000"/>
              </w:rPr>
            </w:pPr>
            <w:r w:rsidRPr="007208F6">
              <w:rPr>
                <w:rFonts w:eastAsiaTheme="minorEastAsia" w:cs="Calibri"/>
                <w:b/>
                <w:bCs/>
                <w:color w:val="000000"/>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56 762</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56 676</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543</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163 349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1 541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1 665</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1 106</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4</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3 871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right"/>
              <w:rPr>
                <w:rFonts w:eastAsiaTheme="minorEastAsia" w:cs="Calibri"/>
                <w:b/>
                <w:bCs/>
                <w:color w:val="000000"/>
                <w:szCs w:val="21"/>
              </w:rPr>
            </w:pPr>
            <w:r w:rsidRPr="007208F6">
              <w:rPr>
                <w:rFonts w:eastAsiaTheme="minorEastAsia" w:cs="Calibri"/>
                <w:b/>
                <w:bCs/>
                <w:color w:val="000000"/>
                <w:szCs w:val="21"/>
              </w:rPr>
              <w:t>58 427</w:t>
            </w:r>
          </w:p>
        </w:tc>
        <w:tc>
          <w:tcPr>
            <w:tcW w:w="240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57 782</w:t>
            </w:r>
          </w:p>
        </w:tc>
        <w:tc>
          <w:tcPr>
            <w:tcW w:w="155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547</w:t>
            </w:r>
          </w:p>
        </w:tc>
        <w:tc>
          <w:tcPr>
            <w:tcW w:w="124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168 761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b/>
                <w:bCs/>
                <w:color w:val="000000"/>
              </w:rPr>
            </w:pPr>
            <w:r w:rsidRPr="007208F6">
              <w:rPr>
                <w:rFonts w:eastAsiaTheme="minorEastAsia" w:cs="Calibri"/>
                <w:b/>
                <w:bCs/>
                <w:color w:val="000000"/>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58 427</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57 782</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547</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168 761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2 362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sidRPr="007208F6">
              <w:rPr>
                <w:rFonts w:eastAsiaTheme="minorEastAsia" w:cs="Calibri"/>
                <w:color w:val="000000"/>
                <w:szCs w:val="21"/>
              </w:rPr>
              <w:t>7 444</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(16)</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6</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7208F6">
              <w:rPr>
                <w:rFonts w:eastAsiaTheme="minorEastAsia" w:cs="Calibri"/>
                <w:color w:val="000000"/>
                <w:szCs w:val="21"/>
              </w:rPr>
              <w:t>8 512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nil"/>
              <w:left w:val="nil"/>
              <w:bottom w:val="nil"/>
              <w:right w:val="nil"/>
            </w:tcBorders>
          </w:tcPr>
          <w:p w:rsidR="00566E9A" w:rsidRPr="007208F6"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24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55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c>
          <w:tcPr>
            <w:tcW w:w="1247"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7208F6">
              <w:rPr>
                <w:rFonts w:eastAsiaTheme="minorEastAsia" w:cs="Calibri"/>
                <w:color w:val="000000"/>
                <w:szCs w:val="21"/>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255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jc w:val="right"/>
              <w:rPr>
                <w:rFonts w:eastAsiaTheme="minorEastAsia" w:cs="Calibri"/>
                <w:b/>
                <w:bCs/>
                <w:color w:val="000000"/>
                <w:szCs w:val="21"/>
              </w:rPr>
            </w:pPr>
            <w:r w:rsidRPr="007208F6">
              <w:rPr>
                <w:rFonts w:eastAsiaTheme="minorEastAsia" w:cs="Calibri"/>
                <w:b/>
                <w:bCs/>
                <w:color w:val="000000"/>
                <w:szCs w:val="21"/>
              </w:rPr>
              <w:t>65 871</w:t>
            </w:r>
          </w:p>
        </w:tc>
        <w:tc>
          <w:tcPr>
            <w:tcW w:w="240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57 766</w:t>
            </w:r>
          </w:p>
        </w:tc>
        <w:tc>
          <w:tcPr>
            <w:tcW w:w="155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553</w:t>
            </w:r>
          </w:p>
        </w:tc>
        <w:tc>
          <w:tcPr>
            <w:tcW w:w="1247"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7208F6">
              <w:rPr>
                <w:rFonts w:eastAsiaTheme="minorEastAsia" w:cs="Calibri"/>
                <w:b/>
                <w:bCs/>
                <w:color w:val="000000"/>
                <w:szCs w:val="21"/>
              </w:rPr>
              <w:t>179 635</w:t>
            </w:r>
          </w:p>
        </w:tc>
      </w:tr>
    </w:tbl>
    <w:p w:rsidR="00566E9A" w:rsidRDefault="00566E9A" w:rsidP="00AE5760">
      <w:pPr>
        <w:pStyle w:val="Tableheading"/>
        <w:rPr>
          <w:rFonts w:eastAsiaTheme="minorHAnsi"/>
        </w:rPr>
      </w:pPr>
    </w:p>
    <w:p w:rsidR="00566E9A" w:rsidRDefault="00566E9A" w:rsidP="00AE5760">
      <w:pPr>
        <w:pStyle w:val="Heading1"/>
        <w:rPr>
          <w:rFonts w:eastAsiaTheme="minorHAnsi"/>
        </w:rPr>
      </w:pPr>
      <w:r>
        <w:rPr>
          <w:rFonts w:eastAsiaTheme="minorHAnsi"/>
        </w:rPr>
        <w:br w:type="page"/>
      </w:r>
    </w:p>
    <w:p w:rsidR="00566E9A" w:rsidRPr="00D87D22" w:rsidRDefault="00566E9A" w:rsidP="00AE5760">
      <w:pPr>
        <w:pStyle w:val="Heading2Notes"/>
        <w:rPr>
          <w:rFonts w:eastAsiaTheme="minorHAnsi"/>
        </w:rPr>
      </w:pPr>
      <w:r w:rsidRPr="00D87D22">
        <w:rPr>
          <w:rFonts w:eastAsiaTheme="minorHAnsi"/>
        </w:rPr>
        <w:lastRenderedPageBreak/>
        <w:t>Note 1:</w:t>
      </w:r>
      <w:r w:rsidRPr="00D87D22">
        <w:rPr>
          <w:rFonts w:eastAsiaTheme="minorHAnsi"/>
        </w:rPr>
        <w:tab/>
        <w:t>Statement of significant accounting policies and forecast assumptions</w:t>
      </w:r>
    </w:p>
    <w:p w:rsidR="00566E9A" w:rsidRPr="00D87D22" w:rsidRDefault="00566E9A" w:rsidP="00AE5760">
      <w:pPr>
        <w:rPr>
          <w:rFonts w:eastAsiaTheme="minorHAnsi"/>
        </w:rPr>
      </w:pPr>
      <w:r w:rsidRPr="00D87D22">
        <w:rPr>
          <w:rFonts w:eastAsiaTheme="minorHAnsi"/>
        </w:rPr>
        <w:t>The note summarises the basis applied in the preparation and presentation of these updated Estimated Financial Statements for the general government sector, which includes the budget year and the estimates for the three subsequent years (referred to as the budget and forward estimates period).</w:t>
      </w:r>
    </w:p>
    <w:p w:rsidR="00566E9A" w:rsidRPr="00D87D22" w:rsidRDefault="00566E9A" w:rsidP="00AE5760">
      <w:pPr>
        <w:rPr>
          <w:rFonts w:eastAsiaTheme="minorHAnsi"/>
        </w:rPr>
      </w:pPr>
      <w:r w:rsidRPr="00D87D22">
        <w:rPr>
          <w:rFonts w:eastAsiaTheme="minorHAnsi"/>
        </w:rPr>
        <w:t xml:space="preserve">The accounting policies and forecast assumptions applied are consistent with those of the Estimated Financial Statements as published in the 2016-17 Budget Paper No. 5 </w:t>
      </w:r>
      <w:r w:rsidRPr="00D87D22">
        <w:rPr>
          <w:rFonts w:eastAsiaTheme="minorHAnsi"/>
          <w:i/>
        </w:rPr>
        <w:t>Statement of Finances</w:t>
      </w:r>
      <w:r w:rsidRPr="00D87D22">
        <w:rPr>
          <w:rFonts w:eastAsiaTheme="minorHAnsi"/>
        </w:rPr>
        <w:t xml:space="preserve">, which should be read in conjunction with this statement. For further details of the accounting policies, refer to Chapter 4 </w:t>
      </w:r>
      <w:r w:rsidRPr="00D87D22">
        <w:rPr>
          <w:rFonts w:eastAsiaTheme="minorHAnsi"/>
          <w:i/>
        </w:rPr>
        <w:t>Annual Financial Report</w:t>
      </w:r>
      <w:r w:rsidRPr="00D87D22">
        <w:rPr>
          <w:rFonts w:eastAsiaTheme="minorHAnsi"/>
        </w:rPr>
        <w:t xml:space="preserve"> of the </w:t>
      </w:r>
      <w:r w:rsidRPr="00D87D22">
        <w:rPr>
          <w:rFonts w:eastAsiaTheme="minorHAnsi"/>
          <w:i/>
        </w:rPr>
        <w:t>2015-16 Financial Report</w:t>
      </w:r>
      <w:r w:rsidRPr="00D87D22">
        <w:rPr>
          <w:rFonts w:eastAsiaTheme="minorHAnsi"/>
        </w:rPr>
        <w:t xml:space="preserve"> for the State of Victoria as presented to Parliament.</w:t>
      </w:r>
    </w:p>
    <w:p w:rsidR="00566E9A" w:rsidRPr="00D87D22" w:rsidRDefault="00566E9A" w:rsidP="00AE5760">
      <w:pPr>
        <w:rPr>
          <w:rFonts w:eastAsiaTheme="minorHAnsi"/>
        </w:rPr>
      </w:pPr>
      <w:r w:rsidRPr="00D87D22">
        <w:rPr>
          <w:rFonts w:eastAsiaTheme="minorHAnsi"/>
        </w:rPr>
        <w:t xml:space="preserve">To gain a better understanding of the terminology and key aggregates used in this report, a glossary of terms can be found in Note 9.8 of Chapter 4 </w:t>
      </w:r>
      <w:r w:rsidRPr="00D87D22">
        <w:rPr>
          <w:rFonts w:eastAsiaTheme="minorHAnsi"/>
          <w:i/>
        </w:rPr>
        <w:t>Annual Financial Report</w:t>
      </w:r>
      <w:r w:rsidRPr="00D87D22">
        <w:rPr>
          <w:rFonts w:eastAsiaTheme="minorHAnsi"/>
        </w:rPr>
        <w:t xml:space="preserve"> of the </w:t>
      </w:r>
      <w:r w:rsidRPr="00D87D22">
        <w:rPr>
          <w:rFonts w:eastAsiaTheme="minorHAnsi"/>
          <w:i/>
        </w:rPr>
        <w:t>2015-16 Financial Report</w:t>
      </w:r>
      <w:r w:rsidRPr="00D87D22">
        <w:rPr>
          <w:rFonts w:eastAsiaTheme="minorHAnsi"/>
        </w:rPr>
        <w:t xml:space="preserve"> for the State of Victoria.</w:t>
      </w:r>
    </w:p>
    <w:p w:rsidR="00566E9A" w:rsidRPr="00D87D22" w:rsidRDefault="00566E9A" w:rsidP="00AE5760">
      <w:pPr>
        <w:pStyle w:val="Heading3Numbering"/>
        <w:rPr>
          <w:rFonts w:eastAsiaTheme="minorHAnsi"/>
        </w:rPr>
      </w:pPr>
      <w:r w:rsidRPr="00D87D22">
        <w:rPr>
          <w:rFonts w:eastAsiaTheme="minorHAnsi"/>
        </w:rPr>
        <w:t>Statement of compliance</w:t>
      </w:r>
    </w:p>
    <w:p w:rsidR="00566E9A" w:rsidRPr="00D87D22" w:rsidRDefault="00566E9A" w:rsidP="00AE5760">
      <w:pPr>
        <w:rPr>
          <w:rFonts w:eastAsiaTheme="minorHAnsi"/>
        </w:rPr>
      </w:pPr>
      <w:r w:rsidRPr="00D87D22">
        <w:rPr>
          <w:rFonts w:eastAsiaTheme="minorHAnsi"/>
        </w:rPr>
        <w:t>These Estimated Financial Statements have been prepared in accordance with Section</w:t>
      </w:r>
      <w:r>
        <w:rPr>
          <w:rFonts w:eastAsiaTheme="minorHAnsi"/>
        </w:rPr>
        <w:t>s</w:t>
      </w:r>
      <w:r w:rsidRPr="00D87D22">
        <w:rPr>
          <w:rFonts w:eastAsiaTheme="minorHAnsi"/>
        </w:rPr>
        <w:t xml:space="preserve"> 23L </w:t>
      </w:r>
      <w:r>
        <w:rPr>
          <w:rFonts w:eastAsiaTheme="minorHAnsi"/>
        </w:rPr>
        <w:t xml:space="preserve">to 23N </w:t>
      </w:r>
      <w:r w:rsidRPr="00D87D22">
        <w:rPr>
          <w:rFonts w:eastAsiaTheme="minorHAnsi"/>
        </w:rPr>
        <w:t xml:space="preserve">of the </w:t>
      </w:r>
      <w:r w:rsidRPr="00D87D22">
        <w:rPr>
          <w:rFonts w:eastAsiaTheme="minorHAnsi"/>
          <w:i/>
        </w:rPr>
        <w:t>Financial Management Act 1994</w:t>
      </w:r>
      <w:r w:rsidRPr="00D87D22">
        <w:rPr>
          <w:rFonts w:eastAsiaTheme="minorHAnsi"/>
        </w:rPr>
        <w:t xml:space="preserve">, having regard to Australian Accounting Standards (AAS). AAS include Interpretations issued by the Australian Accounting Standards Board (AASB). </w:t>
      </w:r>
    </w:p>
    <w:p w:rsidR="00566E9A" w:rsidRPr="00D87D22" w:rsidRDefault="00566E9A" w:rsidP="00AE5760">
      <w:pPr>
        <w:rPr>
          <w:rFonts w:eastAsiaTheme="minorHAnsi"/>
        </w:rPr>
      </w:pPr>
      <w:r w:rsidRPr="00D87D22">
        <w:rPr>
          <w:rFonts w:eastAsiaTheme="minorHAnsi"/>
        </w:rPr>
        <w:t xml:space="preserve">The Estimated Financial Statements are presented in a manner consistent with the principles of AASB 1049 </w:t>
      </w:r>
      <w:r w:rsidRPr="00D87D22">
        <w:rPr>
          <w:rFonts w:eastAsiaTheme="minorHAnsi"/>
          <w:i/>
        </w:rPr>
        <w:t>Whole of Government and General Government Sector Financial Reporting</w:t>
      </w:r>
      <w:r w:rsidRPr="00D87D22">
        <w:rPr>
          <w:rFonts w:eastAsiaTheme="minorHAnsi"/>
        </w:rPr>
        <w:t xml:space="preserve"> (AASB 1049). However, the prospective nature of these Estimated Financial Statements means that some AAS disclosures are neither relevant nor practical, and have been omitted. Where appropriate, those AAS paragraphs relevant to not for profit entities have been applied. As AAS do not prescribe requirements for preparing and presenting prospective financial statements, the Estimated Financial Statements have been prepared having regard to the principles set out in New Zealand Financial Reporting Standard 42 </w:t>
      </w:r>
      <w:r w:rsidRPr="00D87D22">
        <w:rPr>
          <w:rFonts w:eastAsiaTheme="minorHAnsi"/>
          <w:i/>
        </w:rPr>
        <w:t>Prospective Financial Statements</w:t>
      </w:r>
      <w:r w:rsidRPr="00D87D22">
        <w:rPr>
          <w:rFonts w:eastAsiaTheme="minorHAnsi"/>
        </w:rPr>
        <w:t>.</w:t>
      </w:r>
    </w:p>
    <w:p w:rsidR="00566E9A" w:rsidRPr="00D87D22" w:rsidRDefault="00566E9A" w:rsidP="00AE5760">
      <w:pPr>
        <w:rPr>
          <w:rFonts w:eastAsiaTheme="minorHAnsi"/>
        </w:rPr>
      </w:pPr>
      <w:r w:rsidRPr="00D87D22">
        <w:rPr>
          <w:rFonts w:eastAsiaTheme="minorHAnsi"/>
        </w:rPr>
        <w:t xml:space="preserve">The Government Finance Statistics (GFS) information included in this report is based on the </w:t>
      </w:r>
      <w:r w:rsidRPr="00D87D22">
        <w:rPr>
          <w:rFonts w:eastAsiaTheme="minorHAnsi"/>
          <w:i/>
        </w:rPr>
        <w:t>Australian System of Government Finance Statistics: Concepts, Sources and Methods 2005 Cat</w:t>
      </w:r>
      <w:r>
        <w:rPr>
          <w:rFonts w:eastAsiaTheme="minorHAnsi"/>
          <w:i/>
        </w:rPr>
        <w:t>alogue</w:t>
      </w:r>
      <w:r w:rsidRPr="00D87D22">
        <w:rPr>
          <w:rFonts w:eastAsiaTheme="minorHAnsi"/>
          <w:i/>
        </w:rPr>
        <w:t>. No. 5514.0.</w:t>
      </w:r>
      <w:r w:rsidRPr="00D87D22">
        <w:rPr>
          <w:rFonts w:eastAsiaTheme="minorHAnsi"/>
        </w:rPr>
        <w:t xml:space="preserve"> and the </w:t>
      </w:r>
      <w:r w:rsidRPr="00D87D22">
        <w:rPr>
          <w:rFonts w:eastAsiaTheme="minorHAnsi"/>
          <w:i/>
        </w:rPr>
        <w:t>Amendments to Australian System of Government Finance Statistics, 2005 (ABS Catalogue No</w:t>
      </w:r>
      <w:r>
        <w:rPr>
          <w:rFonts w:eastAsiaTheme="minorHAnsi"/>
          <w:i/>
        </w:rPr>
        <w:t>.</w:t>
      </w:r>
      <w:r w:rsidRPr="00D87D22">
        <w:rPr>
          <w:rFonts w:eastAsiaTheme="minorHAnsi"/>
          <w:i/>
        </w:rPr>
        <w:t xml:space="preserve"> 5514.0) (the GFS manual)</w:t>
      </w:r>
      <w:r w:rsidRPr="00D87D22">
        <w:rPr>
          <w:rFonts w:eastAsiaTheme="minorHAnsi"/>
        </w:rPr>
        <w:t>.</w:t>
      </w:r>
    </w:p>
    <w:p w:rsidR="00566E9A" w:rsidRPr="00D87D22" w:rsidRDefault="00566E9A" w:rsidP="00AE5760">
      <w:pPr>
        <w:rPr>
          <w:rFonts w:eastAsiaTheme="minorHAnsi"/>
        </w:rPr>
      </w:pPr>
      <w:r w:rsidRPr="00D87D22">
        <w:rPr>
          <w:rFonts w:eastAsiaTheme="minorHAnsi"/>
        </w:rPr>
        <w:t xml:space="preserve">The information presented in the Estimated Financial Statements takes into account all policy decisions taken by the Government and circumstances that may have a material effect on the Estimated Financial Statements </w:t>
      </w:r>
      <w:r>
        <w:rPr>
          <w:rFonts w:eastAsiaTheme="minorHAnsi"/>
        </w:rPr>
        <w:t>as at 29</w:t>
      </w:r>
      <w:r w:rsidRPr="00982187">
        <w:rPr>
          <w:rFonts w:eastAsiaTheme="minorHAnsi"/>
        </w:rPr>
        <w:t xml:space="preserve"> November 2016.</w:t>
      </w:r>
      <w:r w:rsidRPr="00D87D22">
        <w:rPr>
          <w:rFonts w:eastAsiaTheme="minorHAnsi"/>
        </w:rPr>
        <w:t xml:space="preserve"> </w:t>
      </w:r>
    </w:p>
    <w:p w:rsidR="00566E9A" w:rsidRDefault="00566E9A">
      <w:pPr>
        <w:rPr>
          <w:rFonts w:asciiTheme="majorHAnsi" w:eastAsiaTheme="minorHAnsi" w:hAnsiTheme="majorHAnsi"/>
          <w:b/>
          <w:i/>
          <w:kern w:val="28"/>
          <w:sz w:val="24"/>
        </w:rPr>
      </w:pPr>
      <w:r>
        <w:rPr>
          <w:rFonts w:eastAsiaTheme="minorHAnsi"/>
        </w:rPr>
        <w:br w:type="page"/>
      </w:r>
    </w:p>
    <w:p w:rsidR="00566E9A" w:rsidRPr="00D87D22" w:rsidRDefault="00566E9A" w:rsidP="00AE5760">
      <w:pPr>
        <w:pStyle w:val="Heading3Numbering"/>
        <w:rPr>
          <w:rFonts w:eastAsiaTheme="minorHAnsi"/>
        </w:rPr>
      </w:pPr>
      <w:r w:rsidRPr="00D87D22">
        <w:rPr>
          <w:rFonts w:eastAsiaTheme="minorHAnsi"/>
        </w:rPr>
        <w:lastRenderedPageBreak/>
        <w:t>Basis of accounting, preparation and measurement</w:t>
      </w:r>
    </w:p>
    <w:p w:rsidR="00566E9A" w:rsidRPr="00D87D22" w:rsidRDefault="00566E9A" w:rsidP="00AE5760">
      <w:pPr>
        <w:rPr>
          <w:rFonts w:eastAsiaTheme="minorHAnsi"/>
        </w:rPr>
      </w:pPr>
      <w:r w:rsidRPr="00D87D22">
        <w:rPr>
          <w:rFonts w:eastAsiaTheme="minorHAnsi"/>
        </w:rPr>
        <w:t>The Estimated Financial Statements have been prepared for the 2016-17 year in accordance with accounting policies expected to be used in preparing historically oriented general purpose financial statements for that year, and the same accounting policies have been used for the subsequent forecast years.</w:t>
      </w:r>
    </w:p>
    <w:p w:rsidR="00566E9A" w:rsidRPr="00D87D22" w:rsidRDefault="00566E9A" w:rsidP="00AE5760">
      <w:pPr>
        <w:rPr>
          <w:rFonts w:eastAsiaTheme="minorHAnsi"/>
        </w:rPr>
      </w:pPr>
      <w:r w:rsidRPr="00D87D22">
        <w:rPr>
          <w:rFonts w:eastAsiaTheme="minorHAnsi"/>
        </w:rPr>
        <w:t>The accrual basis of accounting has been applied in preparing the Estimated Financial Statements whereby assets, liabilities, equity, revenue and expenses are recognised in the reporting period to which they relate, regardless of when cash is received or paid.</w:t>
      </w:r>
    </w:p>
    <w:p w:rsidR="00566E9A" w:rsidRPr="00D87D22" w:rsidRDefault="00566E9A" w:rsidP="00AE5760">
      <w:pPr>
        <w:rPr>
          <w:rFonts w:eastAsiaTheme="minorHAnsi"/>
        </w:rPr>
      </w:pPr>
      <w:r w:rsidRPr="00D87D22">
        <w:rPr>
          <w:rFonts w:eastAsiaTheme="minorHAnsi"/>
        </w:rPr>
        <w:t>The Estimated Financial Statements are presented in Australian dollars</w:t>
      </w:r>
      <w:r>
        <w:rPr>
          <w:rFonts w:eastAsiaTheme="minorHAnsi"/>
        </w:rPr>
        <w:t>,</w:t>
      </w:r>
      <w:r w:rsidRPr="00D87D22">
        <w:rPr>
          <w:rFonts w:eastAsiaTheme="minorHAnsi"/>
        </w:rPr>
        <w:t xml:space="preserve"> which is also the functional currency of the general government sector.</w:t>
      </w:r>
    </w:p>
    <w:p w:rsidR="00566E9A" w:rsidRPr="00D87D22" w:rsidRDefault="00566E9A" w:rsidP="00AE5760">
      <w:pPr>
        <w:rPr>
          <w:rFonts w:eastAsiaTheme="minorHAnsi"/>
        </w:rPr>
      </w:pPr>
      <w:r w:rsidRPr="00D87D22">
        <w:rPr>
          <w:rFonts w:eastAsiaTheme="minorHAnsi"/>
        </w:rPr>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Given the prospective nature of the Estimated Financial Statements, actual results are likely to differ from these estimates. Revisions to accounting estimates are recognised in the period in which the estimate is revised and also in future periods that are affected. </w:t>
      </w:r>
    </w:p>
    <w:p w:rsidR="00566E9A" w:rsidRPr="00D87D22" w:rsidRDefault="00566E9A" w:rsidP="00AE5760">
      <w:pPr>
        <w:rPr>
          <w:rFonts w:eastAsiaTheme="minorHAnsi"/>
        </w:rPr>
      </w:pPr>
      <w:r w:rsidRPr="00D87D22">
        <w:rPr>
          <w:rFonts w:eastAsiaTheme="minorHAnsi"/>
        </w:rPr>
        <w:t>The Estimated Financial Statements have been prepared in accordance with the historical cost convention. Historical cost is based on the fair values of the consideration given in exchange for assets. Exceptions to the historical cost convention include:</w:t>
      </w:r>
    </w:p>
    <w:p w:rsidR="00566E9A" w:rsidRPr="00D87D22" w:rsidRDefault="00566E9A" w:rsidP="00AE5760">
      <w:pPr>
        <w:pStyle w:val="BulletText"/>
        <w:rPr>
          <w:rFonts w:eastAsiaTheme="minorHAnsi"/>
        </w:rPr>
      </w:pPr>
      <w:r w:rsidRPr="00D87D22">
        <w:rPr>
          <w:rFonts w:eastAsiaTheme="minorHAnsi"/>
        </w:rPr>
        <w:t>general government sector investments in other sector entities that are measured at net asset value;</w:t>
      </w:r>
    </w:p>
    <w:p w:rsidR="00566E9A" w:rsidRPr="00D87D22" w:rsidRDefault="00566E9A" w:rsidP="00AE5760">
      <w:pPr>
        <w:pStyle w:val="BulletText"/>
        <w:rPr>
          <w:rFonts w:eastAsiaTheme="minorHAnsi"/>
        </w:rPr>
      </w:pPr>
      <w:r w:rsidRPr="00D87D22">
        <w:rPr>
          <w:rFonts w:eastAsiaTheme="minorHAnsi"/>
        </w:rPr>
        <w:t>non</w:t>
      </w:r>
      <w:r>
        <w:rPr>
          <w:rFonts w:eastAsiaTheme="minorHAnsi"/>
        </w:rPr>
        <w:t>-</w:t>
      </w:r>
      <w:r w:rsidRPr="00D87D22">
        <w:rPr>
          <w:rFonts w:eastAsiaTheme="minorHAnsi"/>
        </w:rPr>
        <w:t xml:space="preserve">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 </w:t>
      </w:r>
    </w:p>
    <w:p w:rsidR="00566E9A" w:rsidRPr="00D87D22" w:rsidRDefault="00566E9A" w:rsidP="00AE5760">
      <w:pPr>
        <w:pStyle w:val="BulletText"/>
        <w:rPr>
          <w:rFonts w:eastAsiaTheme="minorHAnsi"/>
        </w:rPr>
      </w:pPr>
      <w:r w:rsidRPr="00D87D22">
        <w:rPr>
          <w:rFonts w:eastAsiaTheme="minorHAnsi"/>
        </w:rPr>
        <w:t>productive trees in commercial native forests, which are measured at their fair value less costs to sell;</w:t>
      </w:r>
    </w:p>
    <w:p w:rsidR="00566E9A" w:rsidRPr="00D87D22" w:rsidRDefault="00566E9A" w:rsidP="00AE5760">
      <w:pPr>
        <w:pStyle w:val="BulletText"/>
        <w:rPr>
          <w:rFonts w:eastAsiaTheme="minorHAnsi"/>
        </w:rPr>
      </w:pPr>
      <w:r w:rsidRPr="00D87D22">
        <w:rPr>
          <w:rFonts w:eastAsiaTheme="minorHAnsi"/>
        </w:rPr>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and loss); </w:t>
      </w:r>
    </w:p>
    <w:p w:rsidR="00566E9A" w:rsidRPr="00D87D22" w:rsidRDefault="00566E9A" w:rsidP="00AE5760">
      <w:pPr>
        <w:pStyle w:val="BulletText"/>
        <w:rPr>
          <w:rFonts w:eastAsiaTheme="minorHAnsi"/>
        </w:rPr>
      </w:pPr>
      <w:r w:rsidRPr="00D87D22">
        <w:rPr>
          <w:rFonts w:eastAsiaTheme="minorHAnsi"/>
        </w:rPr>
        <w:t>certain liabilities, most notably unfunded superannuation and some insurance claim provisions, which are subject to an actuarial assessment; and</w:t>
      </w:r>
    </w:p>
    <w:p w:rsidR="00566E9A" w:rsidRPr="00D87D22" w:rsidRDefault="00566E9A" w:rsidP="00AE5760">
      <w:pPr>
        <w:pStyle w:val="BulletText"/>
        <w:rPr>
          <w:rFonts w:eastAsiaTheme="minorHAnsi"/>
        </w:rPr>
      </w:pPr>
      <w:r w:rsidRPr="00D87D22">
        <w:rPr>
          <w:rFonts w:eastAsiaTheme="minorHAnsi"/>
        </w:rPr>
        <w:t>available for sale investments</w:t>
      </w:r>
      <w:r>
        <w:rPr>
          <w:rFonts w:eastAsiaTheme="minorHAnsi"/>
        </w:rPr>
        <w:t>,</w:t>
      </w:r>
      <w:r w:rsidRPr="00D87D22">
        <w:rPr>
          <w:rFonts w:eastAsiaTheme="minorHAnsi"/>
        </w:rPr>
        <w:t xml:space="preserve"> which are measured at fair value with movements reflected in ‘Other economic flows – other comprehensive income’.</w:t>
      </w:r>
    </w:p>
    <w:p w:rsidR="00566E9A" w:rsidRPr="00D87D22" w:rsidRDefault="00566E9A" w:rsidP="00AE5760">
      <w:pPr>
        <w:rPr>
          <w:rFonts w:eastAsiaTheme="minorHAnsi"/>
        </w:rPr>
      </w:pPr>
      <w:r w:rsidRPr="00D87D22">
        <w:rPr>
          <w:rFonts w:eastAsiaTheme="minorHAnsi"/>
        </w:rPr>
        <w:t xml:space="preserve">For assets and liabilities measured at fair value in the estimated balance sheet, the principles under AASB 13 </w:t>
      </w:r>
      <w:r w:rsidRPr="00D87D22">
        <w:rPr>
          <w:rFonts w:eastAsiaTheme="minorHAnsi"/>
          <w:i/>
        </w:rPr>
        <w:t>Fair Value Measurement</w:t>
      </w:r>
      <w:r w:rsidRPr="00D87D22">
        <w:rPr>
          <w:rFonts w:eastAsiaTheme="minorHAnsi"/>
        </w:rPr>
        <w:t xml:space="preserve"> have been applied. </w:t>
      </w:r>
    </w:p>
    <w:p w:rsidR="00566E9A" w:rsidRPr="00D87D22" w:rsidRDefault="00566E9A" w:rsidP="00AE5760">
      <w:pPr>
        <w:rPr>
          <w:rFonts w:eastAsiaTheme="minorHAnsi"/>
        </w:rPr>
      </w:pPr>
      <w:r w:rsidRPr="00D87D22">
        <w:rPr>
          <w:rFonts w:eastAsiaTheme="minorHAnsi"/>
        </w:rPr>
        <w:lastRenderedPageBreak/>
        <w:t xml:space="preserve">As required by AASB 1049, the estimated comprehensive operating statement distinguishes between ‘Transactions’ and ‘Other economic flows’ based on the principles in the Australian Bureau of Statistics </w:t>
      </w:r>
      <w:r>
        <w:rPr>
          <w:rFonts w:eastAsiaTheme="minorHAnsi"/>
        </w:rPr>
        <w:t>(</w:t>
      </w:r>
      <w:r w:rsidRPr="00D87D22">
        <w:rPr>
          <w:rFonts w:eastAsiaTheme="minorHAnsi"/>
        </w:rPr>
        <w:t>ABS</w:t>
      </w:r>
      <w:r>
        <w:rPr>
          <w:rFonts w:eastAsiaTheme="minorHAnsi"/>
        </w:rPr>
        <w:t>)</w:t>
      </w:r>
      <w:r w:rsidRPr="00D87D22">
        <w:rPr>
          <w:rFonts w:eastAsiaTheme="minorHAnsi"/>
        </w:rPr>
        <w:t xml:space="preserve"> GFS manual. ‘Transactions’ are those economic flows that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government and the taxpayer. Transactions may be settled in kind or for cash (e.g. assets provided/given free of charge or for nominal consideration).</w:t>
      </w:r>
    </w:p>
    <w:p w:rsidR="00566E9A" w:rsidRPr="00D87D22" w:rsidRDefault="00566E9A" w:rsidP="00AE5760">
      <w:pPr>
        <w:rPr>
          <w:rFonts w:eastAsiaTheme="minorHAnsi"/>
        </w:rPr>
      </w:pPr>
      <w:r w:rsidRPr="00D87D22">
        <w:rPr>
          <w:rFonts w:eastAsiaTheme="minorHAnsi"/>
        </w:rPr>
        <w:t xml:space="preserve">‘Other economic flows’ are changes arising from market </w:t>
      </w:r>
      <w:proofErr w:type="spellStart"/>
      <w:r w:rsidRPr="00D87D22">
        <w:rPr>
          <w:rFonts w:eastAsiaTheme="minorHAnsi"/>
        </w:rPr>
        <w:t>remeasurements</w:t>
      </w:r>
      <w:proofErr w:type="spellEnd"/>
      <w:r w:rsidRPr="00D87D22">
        <w:rPr>
          <w:rFonts w:eastAsiaTheme="minorHAnsi"/>
        </w:rPr>
        <w:t xml:space="preserve">. They include: </w:t>
      </w:r>
    </w:p>
    <w:p w:rsidR="00566E9A" w:rsidRPr="00D87D22" w:rsidRDefault="00566E9A" w:rsidP="00AE5760">
      <w:pPr>
        <w:pStyle w:val="BulletText"/>
        <w:rPr>
          <w:rFonts w:eastAsiaTheme="minorHAnsi"/>
        </w:rPr>
      </w:pPr>
      <w:r w:rsidRPr="00D87D22">
        <w:rPr>
          <w:rFonts w:eastAsiaTheme="minorHAnsi"/>
        </w:rPr>
        <w:t>gains and losses from disposals;</w:t>
      </w:r>
    </w:p>
    <w:p w:rsidR="00566E9A" w:rsidRPr="00D87D22" w:rsidRDefault="00566E9A" w:rsidP="00AE5760">
      <w:pPr>
        <w:pStyle w:val="BulletText"/>
        <w:rPr>
          <w:rFonts w:eastAsiaTheme="minorHAnsi"/>
        </w:rPr>
      </w:pPr>
      <w:r w:rsidRPr="00D87D22">
        <w:rPr>
          <w:rFonts w:eastAsiaTheme="minorHAnsi"/>
        </w:rPr>
        <w:t>revaluations and impairments of non</w:t>
      </w:r>
      <w:r>
        <w:rPr>
          <w:rFonts w:eastAsiaTheme="minorHAnsi"/>
        </w:rPr>
        <w:t>-</w:t>
      </w:r>
      <w:r w:rsidRPr="00D87D22">
        <w:rPr>
          <w:rFonts w:eastAsiaTheme="minorHAnsi"/>
        </w:rPr>
        <w:t xml:space="preserve">financial physical and intangible assets; </w:t>
      </w:r>
    </w:p>
    <w:p w:rsidR="00566E9A" w:rsidRPr="00D87D22" w:rsidRDefault="00566E9A" w:rsidP="00AE5760">
      <w:pPr>
        <w:pStyle w:val="BulletText"/>
        <w:rPr>
          <w:rFonts w:eastAsiaTheme="minorHAnsi"/>
        </w:rPr>
      </w:pPr>
      <w:proofErr w:type="spellStart"/>
      <w:r w:rsidRPr="00D87D22">
        <w:rPr>
          <w:rFonts w:eastAsiaTheme="minorHAnsi"/>
        </w:rPr>
        <w:t>remeasurement</w:t>
      </w:r>
      <w:proofErr w:type="spellEnd"/>
      <w:r w:rsidRPr="00D87D22">
        <w:rPr>
          <w:rFonts w:eastAsiaTheme="minorHAnsi"/>
        </w:rPr>
        <w:t xml:space="preserve"> arising from defined benefit superannuation plans;</w:t>
      </w:r>
    </w:p>
    <w:p w:rsidR="00566E9A" w:rsidRPr="00D87D22" w:rsidRDefault="00566E9A" w:rsidP="00AE5760">
      <w:pPr>
        <w:pStyle w:val="BulletText"/>
        <w:rPr>
          <w:rFonts w:eastAsiaTheme="minorHAnsi"/>
        </w:rPr>
      </w:pPr>
      <w:r w:rsidRPr="00D87D22">
        <w:rPr>
          <w:rFonts w:eastAsiaTheme="minorHAnsi"/>
        </w:rPr>
        <w:t xml:space="preserve">fair value changes of financial instruments and agricultural assets; and </w:t>
      </w:r>
    </w:p>
    <w:p w:rsidR="00566E9A" w:rsidRPr="00D87D22" w:rsidRDefault="00566E9A" w:rsidP="00AE5760">
      <w:pPr>
        <w:pStyle w:val="BulletText"/>
        <w:rPr>
          <w:rFonts w:eastAsiaTheme="minorHAnsi"/>
        </w:rPr>
      </w:pPr>
      <w:r w:rsidRPr="00D87D22">
        <w:rPr>
          <w:rFonts w:eastAsiaTheme="minorHAnsi"/>
        </w:rPr>
        <w:t>d</w:t>
      </w:r>
      <w:r>
        <w:rPr>
          <w:rFonts w:eastAsiaTheme="minorHAnsi"/>
        </w:rPr>
        <w:t>epletion of natural assets (non-</w:t>
      </w:r>
      <w:r w:rsidRPr="00D87D22">
        <w:rPr>
          <w:rFonts w:eastAsiaTheme="minorHAnsi"/>
        </w:rPr>
        <w:t>produced) from their use or removal.</w:t>
      </w:r>
    </w:p>
    <w:p w:rsidR="00566E9A" w:rsidRPr="00D87D22" w:rsidRDefault="00566E9A" w:rsidP="00AE5760">
      <w:pPr>
        <w:pStyle w:val="Heading3Numbering"/>
        <w:rPr>
          <w:rFonts w:eastAsiaTheme="minorHAnsi"/>
        </w:rPr>
      </w:pPr>
      <w:r w:rsidRPr="00D87D22">
        <w:rPr>
          <w:rFonts w:eastAsiaTheme="minorHAnsi"/>
        </w:rPr>
        <w:t>Reporting entity</w:t>
      </w:r>
    </w:p>
    <w:p w:rsidR="00566E9A" w:rsidRPr="00D87D22" w:rsidRDefault="00566E9A" w:rsidP="00AE5760">
      <w:pPr>
        <w:rPr>
          <w:rFonts w:eastAsiaTheme="minorHAnsi"/>
        </w:rPr>
      </w:pPr>
      <w:r w:rsidRPr="00D87D22">
        <w:rPr>
          <w:rFonts w:eastAsiaTheme="minorHAnsi"/>
        </w:rPr>
        <w:t xml:space="preserve">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w:t>
      </w:r>
      <w:r>
        <w:rPr>
          <w:rFonts w:eastAsiaTheme="minorHAnsi"/>
        </w:rPr>
        <w:t>(outputs), which are mainly non-</w:t>
      </w:r>
      <w:r w:rsidRPr="00D87D22">
        <w:rPr>
          <w:rFonts w:eastAsiaTheme="minorHAnsi"/>
        </w:rPr>
        <w:t xml:space="preserve">market in nature, for the collective consumption of the community, and involve transferring or redistributing revenue that is funded mainly through taxes and other compulsory levies. </w:t>
      </w:r>
    </w:p>
    <w:p w:rsidR="00566E9A" w:rsidRPr="00D87D22" w:rsidRDefault="00566E9A" w:rsidP="00AE5760">
      <w:pPr>
        <w:rPr>
          <w:rFonts w:eastAsiaTheme="minorHAnsi"/>
        </w:rPr>
      </w:pPr>
      <w:r w:rsidRPr="00D87D22">
        <w:rPr>
          <w:rFonts w:eastAsiaTheme="minorHAnsi"/>
        </w:rPr>
        <w:t>The general government sector is not a separate entity but represents a sector within the State of Victoria reporting entity. Unless otherwise noted, accounting policies applied by the State apply equally to the general government sector.</w:t>
      </w:r>
    </w:p>
    <w:p w:rsidR="00566E9A" w:rsidRPr="00D87D22" w:rsidRDefault="00566E9A" w:rsidP="00AE5760">
      <w:pPr>
        <w:pStyle w:val="Heading3Numbering"/>
        <w:rPr>
          <w:rFonts w:eastAsiaTheme="minorHAnsi"/>
        </w:rPr>
      </w:pPr>
      <w:r w:rsidRPr="00D87D22">
        <w:rPr>
          <w:rFonts w:eastAsiaTheme="minorHAnsi"/>
        </w:rPr>
        <w:t>Basis of consolidation</w:t>
      </w:r>
    </w:p>
    <w:p w:rsidR="00566E9A" w:rsidRPr="00D87D22" w:rsidRDefault="00566E9A" w:rsidP="00AE5760">
      <w:pPr>
        <w:rPr>
          <w:rFonts w:eastAsiaTheme="minorHAnsi"/>
        </w:rPr>
      </w:pPr>
      <w:r w:rsidRPr="00D87D22">
        <w:rPr>
          <w:rFonts w:eastAsiaTheme="minorHAnsi"/>
        </w:rPr>
        <w:t xml:space="preserve">The Estimated Financial Statements present the estimated consolidated results and position of all reporting entities in the general government sector that are controlled by the State, consistent with the principles of AASB 1049 and AASB 10 </w:t>
      </w:r>
      <w:r w:rsidRPr="00D87D22">
        <w:rPr>
          <w:rFonts w:eastAsiaTheme="minorHAnsi"/>
          <w:i/>
        </w:rPr>
        <w:t>Consolidated Financial Statements</w:t>
      </w:r>
      <w:r w:rsidRPr="00D87D22">
        <w:rPr>
          <w:rFonts w:eastAsiaTheme="minorHAnsi"/>
        </w:rPr>
        <w:t xml:space="preserve">. </w:t>
      </w:r>
    </w:p>
    <w:p w:rsidR="00566E9A" w:rsidRPr="00D87D22" w:rsidRDefault="00566E9A" w:rsidP="00AE5760">
      <w:pPr>
        <w:rPr>
          <w:rFonts w:eastAsiaTheme="minorHAnsi"/>
        </w:rPr>
      </w:pPr>
      <w:r w:rsidRPr="00D87D22">
        <w:rPr>
          <w:rFonts w:eastAsiaTheme="minorHAnsi"/>
        </w:rPr>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rsidR="00566E9A" w:rsidRDefault="00566E9A">
      <w:pPr>
        <w:rPr>
          <w:rFonts w:eastAsiaTheme="minorHAnsi"/>
        </w:rPr>
      </w:pPr>
      <w:r>
        <w:rPr>
          <w:rFonts w:eastAsiaTheme="minorHAnsi"/>
        </w:rPr>
        <w:br w:type="page"/>
      </w:r>
    </w:p>
    <w:p w:rsidR="00566E9A" w:rsidRPr="00D87D22" w:rsidRDefault="00566E9A" w:rsidP="00AE5760">
      <w:pPr>
        <w:rPr>
          <w:rFonts w:eastAsiaTheme="minorHAnsi"/>
        </w:rPr>
      </w:pPr>
      <w:r>
        <w:rPr>
          <w:rFonts w:eastAsiaTheme="minorHAnsi"/>
        </w:rPr>
        <w:lastRenderedPageBreak/>
        <w:t>Entities in the public non-</w:t>
      </w:r>
      <w:r w:rsidRPr="00D87D22">
        <w:rPr>
          <w:rFonts w:eastAsiaTheme="minorHAnsi"/>
        </w:rPr>
        <w:t xml:space="preserve">financial corporations (PNFC) and public financial corporations (PFC) sectors are not consolidated into the financial statements of the general government sector, but are accounted for as equity investments measured at the Government’s proportional share of the carrying amount of net assets of PNFC and PFC sector entities before consolidation eliminations. Where the carrying amount of a PNFC or PFC entity’s net assets before consolidation eliminations is less than zero, the amount is not included at the general government sector but the net liabilities will be consolidated at the State level. </w:t>
      </w:r>
    </w:p>
    <w:p w:rsidR="00566E9A" w:rsidRPr="00D87D22" w:rsidRDefault="00566E9A" w:rsidP="00AE5760">
      <w:pPr>
        <w:rPr>
          <w:rFonts w:eastAsiaTheme="minorHAnsi"/>
        </w:rPr>
      </w:pPr>
      <w:r w:rsidRPr="00D87D22">
        <w:rPr>
          <w:rFonts w:eastAsiaTheme="minorHAnsi"/>
        </w:rPr>
        <w:t xml:space="preserve">Any change in the carrying amount of the investment from period to period is accounted for as if the change in carrying amount is a change in fair value and accounted for consistent with AASB 139 </w:t>
      </w:r>
      <w:r w:rsidRPr="00D87D22">
        <w:rPr>
          <w:rFonts w:eastAsiaTheme="minorHAnsi"/>
          <w:i/>
        </w:rPr>
        <w:t>Financial Instruments: Recognition and Measurement</w:t>
      </w:r>
      <w:r w:rsidRPr="00D87D22">
        <w:rPr>
          <w:rFonts w:eastAsiaTheme="minorHAnsi"/>
        </w:rPr>
        <w:t xml:space="preserve"> and AASB 1049.</w:t>
      </w:r>
    </w:p>
    <w:p w:rsidR="00566E9A" w:rsidRPr="00D87D22" w:rsidRDefault="00566E9A" w:rsidP="00AE5760">
      <w:pPr>
        <w:rPr>
          <w:rFonts w:eastAsiaTheme="minorHAnsi"/>
        </w:rPr>
      </w:pPr>
      <w:r w:rsidRPr="00D87D22">
        <w:rPr>
          <w:rFonts w:eastAsiaTheme="minorHAnsi"/>
        </w:rPr>
        <w:t>All material transactions and balances between entities within the general government sector are eliminated.</w:t>
      </w:r>
    </w:p>
    <w:p w:rsidR="00566E9A" w:rsidRPr="00D87D22" w:rsidRDefault="00566E9A" w:rsidP="00AE5760">
      <w:pPr>
        <w:rPr>
          <w:rFonts w:eastAsiaTheme="minorHAnsi"/>
        </w:rPr>
      </w:pPr>
      <w:r w:rsidRPr="00D87D22">
        <w:rPr>
          <w:rFonts w:eastAsiaTheme="minorHAnsi"/>
        </w:rPr>
        <w:t xml:space="preserve">The significant entities consolidated within the sector comprise those entities listed in Note 9.7 of Chapter 4 </w:t>
      </w:r>
      <w:r w:rsidRPr="00D87D22">
        <w:rPr>
          <w:rFonts w:eastAsiaTheme="minorHAnsi"/>
          <w:i/>
        </w:rPr>
        <w:t>Annual Financial Report</w:t>
      </w:r>
      <w:r w:rsidRPr="00D87D22">
        <w:rPr>
          <w:rFonts w:eastAsiaTheme="minorHAnsi"/>
        </w:rPr>
        <w:t xml:space="preserve"> of the </w:t>
      </w:r>
      <w:r w:rsidRPr="00D87D22">
        <w:rPr>
          <w:rFonts w:eastAsiaTheme="minorHAnsi"/>
          <w:i/>
        </w:rPr>
        <w:t>2015-16 Financial Report</w:t>
      </w:r>
      <w:r w:rsidRPr="00D87D22">
        <w:rPr>
          <w:rFonts w:eastAsiaTheme="minorHAnsi"/>
        </w:rPr>
        <w:t xml:space="preserve"> for the State of Victoria, except as stated in Note 27 of the Estimated Financial Statements.</w:t>
      </w:r>
    </w:p>
    <w:p w:rsidR="00566E9A" w:rsidRPr="00D87D22" w:rsidRDefault="00566E9A" w:rsidP="00AE5760">
      <w:pPr>
        <w:pStyle w:val="Heading3Numbering"/>
        <w:rPr>
          <w:rFonts w:eastAsiaTheme="minorHAnsi"/>
        </w:rPr>
      </w:pPr>
      <w:r w:rsidRPr="00D87D22">
        <w:rPr>
          <w:rFonts w:eastAsiaTheme="minorHAnsi"/>
        </w:rPr>
        <w:t>Rounding</w:t>
      </w:r>
    </w:p>
    <w:p w:rsidR="00566E9A" w:rsidRPr="00D87D22" w:rsidRDefault="00566E9A" w:rsidP="00AE5760">
      <w:pPr>
        <w:rPr>
          <w:rFonts w:eastAsiaTheme="minorHAnsi"/>
        </w:rPr>
      </w:pPr>
      <w:r w:rsidRPr="00D87D22">
        <w:rPr>
          <w:rFonts w:eastAsiaTheme="minorHAnsi"/>
        </w:rPr>
        <w:t>All amounts in the Estimated Financial Statements have been rounded to the nearest $1</w:t>
      </w:r>
      <w:r>
        <w:rPr>
          <w:rFonts w:eastAsiaTheme="minorHAnsi"/>
        </w:rPr>
        <w:t> </w:t>
      </w:r>
      <w:r w:rsidRPr="00D87D22">
        <w:rPr>
          <w:rFonts w:eastAsiaTheme="minorHAnsi"/>
        </w:rPr>
        <w:t>million unless otherwise stated. Figures in the Estimated Financial Statements may not add due to rounding.</w:t>
      </w:r>
    </w:p>
    <w:p w:rsidR="00566E9A" w:rsidRPr="00D87D22" w:rsidRDefault="00566E9A" w:rsidP="00AE5760">
      <w:pPr>
        <w:pStyle w:val="Heading3Numbering"/>
        <w:rPr>
          <w:rFonts w:eastAsiaTheme="minorHAnsi"/>
        </w:rPr>
      </w:pPr>
      <w:r w:rsidRPr="00D87D22">
        <w:rPr>
          <w:rFonts w:eastAsiaTheme="minorHAnsi"/>
        </w:rPr>
        <w:t>Key financial measure</w:t>
      </w:r>
    </w:p>
    <w:p w:rsidR="00566E9A" w:rsidRDefault="00566E9A" w:rsidP="00AE5760">
      <w:pPr>
        <w:rPr>
          <w:rFonts w:eastAsiaTheme="minorHAnsi"/>
        </w:rPr>
      </w:pPr>
      <w:r w:rsidRPr="00D87D22">
        <w:rPr>
          <w:rFonts w:eastAsiaTheme="minorHAnsi"/>
        </w:rPr>
        <w:t xml:space="preserve">The Government expects to achieve a net operating surplus (net result from transactions) consistent with maintaining general government net debt at a sustainable level over the medium term, as set out in Chapter 1 </w:t>
      </w:r>
      <w:r w:rsidRPr="00350D3A">
        <w:rPr>
          <w:rFonts w:eastAsiaTheme="minorHAnsi"/>
          <w:i/>
        </w:rPr>
        <w:t>Economic and Fiscal Overview</w:t>
      </w:r>
      <w:r w:rsidRPr="00D87D22">
        <w:rPr>
          <w:rFonts w:eastAsiaTheme="minorHAnsi"/>
        </w:rPr>
        <w:t>.</w:t>
      </w:r>
    </w:p>
    <w:p w:rsidR="00566E9A" w:rsidRDefault="00566E9A" w:rsidP="00AE5760">
      <w:pPr>
        <w:rPr>
          <w:rFonts w:eastAsiaTheme="minorHAnsi"/>
        </w:rPr>
      </w:pPr>
      <w:r>
        <w:rPr>
          <w:rFonts w:eastAsiaTheme="minorHAnsi"/>
        </w:rPr>
        <w:t xml:space="preserve">For the </w:t>
      </w:r>
      <w:r w:rsidRPr="00E94C4A">
        <w:rPr>
          <w:rFonts w:eastAsiaTheme="minorHAnsi"/>
          <w:i/>
        </w:rPr>
        <w:t>2016-17 Budget</w:t>
      </w:r>
      <w:r>
        <w:rPr>
          <w:rFonts w:eastAsiaTheme="minorHAnsi"/>
        </w:rPr>
        <w:t xml:space="preserve">, the Government set its sustainability objective as: </w:t>
      </w:r>
    </w:p>
    <w:p w:rsidR="00566E9A" w:rsidRDefault="00566E9A" w:rsidP="00AE5760">
      <w:pPr>
        <w:pStyle w:val="BulletText"/>
        <w:rPr>
          <w:rFonts w:eastAsiaTheme="minorHAnsi"/>
        </w:rPr>
      </w:pPr>
      <w:r>
        <w:rPr>
          <w:rFonts w:eastAsiaTheme="minorHAnsi"/>
        </w:rPr>
        <w:t>net operating surpluses in each year over the budget and forward estimates;</w:t>
      </w:r>
    </w:p>
    <w:p w:rsidR="00566E9A" w:rsidRDefault="00566E9A" w:rsidP="00AE5760">
      <w:pPr>
        <w:pStyle w:val="BulletText"/>
        <w:rPr>
          <w:rFonts w:eastAsiaTheme="minorHAnsi"/>
        </w:rPr>
      </w:pPr>
      <w:r>
        <w:rPr>
          <w:rFonts w:eastAsiaTheme="minorHAnsi"/>
        </w:rPr>
        <w:t>expenditure growth no greater than revenue growth, on average, over the budget and forward estimates; and</w:t>
      </w:r>
    </w:p>
    <w:p w:rsidR="00566E9A" w:rsidRPr="00E94C4A" w:rsidRDefault="00566E9A" w:rsidP="00AE5760">
      <w:pPr>
        <w:pStyle w:val="BulletText"/>
        <w:rPr>
          <w:rFonts w:eastAsiaTheme="minorHAnsi"/>
        </w:rPr>
      </w:pPr>
      <w:r>
        <w:rPr>
          <w:rFonts w:eastAsiaTheme="minorHAnsi"/>
        </w:rPr>
        <w:t xml:space="preserve">net debt to GSP no greater than its peak over the last five years by the end of the forward estimates. </w:t>
      </w:r>
    </w:p>
    <w:p w:rsidR="00566E9A" w:rsidRDefault="00566E9A">
      <w:pPr>
        <w:rPr>
          <w:rFonts w:asciiTheme="majorHAnsi" w:eastAsiaTheme="minorHAnsi" w:hAnsiTheme="majorHAnsi"/>
          <w:b/>
          <w:i/>
          <w:kern w:val="28"/>
          <w:sz w:val="24"/>
        </w:rPr>
      </w:pPr>
      <w:r>
        <w:rPr>
          <w:rFonts w:eastAsiaTheme="minorHAnsi"/>
        </w:rPr>
        <w:br w:type="page"/>
      </w:r>
    </w:p>
    <w:p w:rsidR="00566E9A" w:rsidRPr="00D87D22" w:rsidRDefault="00566E9A" w:rsidP="00AE5760">
      <w:pPr>
        <w:pStyle w:val="Heading3Numbering"/>
        <w:rPr>
          <w:rFonts w:eastAsiaTheme="minorHAnsi"/>
        </w:rPr>
      </w:pPr>
      <w:r w:rsidRPr="00D87D22">
        <w:rPr>
          <w:rFonts w:eastAsiaTheme="minorHAnsi"/>
        </w:rPr>
        <w:lastRenderedPageBreak/>
        <w:t>Revised material economic and other assumptions</w:t>
      </w:r>
    </w:p>
    <w:p w:rsidR="00566E9A" w:rsidRPr="00D87D22" w:rsidRDefault="00566E9A" w:rsidP="00AE5760">
      <w:pPr>
        <w:rPr>
          <w:rFonts w:eastAsiaTheme="minorHAnsi"/>
        </w:rPr>
      </w:pPr>
      <w:r w:rsidRPr="00D87D22">
        <w:rPr>
          <w:rFonts w:eastAsiaTheme="minorHAnsi"/>
        </w:rPr>
        <w:t xml:space="preserve">The estimated financial statements have been prepared using material economic and other assumptions listed below, which have been updated since the publication of the </w:t>
      </w:r>
      <w:r>
        <w:rPr>
          <w:rFonts w:eastAsiaTheme="minorHAnsi"/>
          <w:i/>
        </w:rPr>
        <w:t>2016</w:t>
      </w:r>
      <w:r>
        <w:rPr>
          <w:rFonts w:eastAsiaTheme="minorHAnsi"/>
          <w:i/>
        </w:rPr>
        <w:noBreakHyphen/>
        <w:t>17 </w:t>
      </w:r>
      <w:r w:rsidRPr="00D87D22">
        <w:rPr>
          <w:rFonts w:eastAsiaTheme="minorHAnsi"/>
          <w:i/>
        </w:rPr>
        <w:t>Budget.</w:t>
      </w:r>
    </w:p>
    <w:p w:rsidR="00566E9A" w:rsidRPr="00D87D22" w:rsidRDefault="00566E9A" w:rsidP="00AE5760">
      <w:pPr>
        <w:pStyle w:val="Tableheading"/>
        <w:rPr>
          <w:rFonts w:eastAsiaTheme="minorHAnsi"/>
        </w:rPr>
      </w:pPr>
      <w:r w:rsidRPr="00D87D22">
        <w:rPr>
          <w:rFonts w:eastAsiaTheme="minorHAnsi"/>
        </w:rPr>
        <w:t>Key economic assumptions</w:t>
      </w:r>
      <w:r>
        <w:rPr>
          <w:rFonts w:eastAsiaTheme="minorHAnsi"/>
        </w:rPr>
        <w:t xml:space="preserve"> </w:t>
      </w:r>
      <w:r w:rsidRPr="00D87D22">
        <w:rPr>
          <w:rFonts w:eastAsiaTheme="minorHAnsi"/>
          <w:vertAlign w:val="superscript"/>
        </w:rPr>
        <w:t>(a)</w:t>
      </w:r>
    </w:p>
    <w:tbl>
      <w:tblPr>
        <w:tblStyle w:val="DTFFinancialTable"/>
        <w:tblW w:w="7811" w:type="dxa"/>
        <w:tblLayout w:type="fixed"/>
        <w:tblLook w:val="06A0" w:firstRow="1" w:lastRow="0" w:firstColumn="1" w:lastColumn="0" w:noHBand="1" w:noVBand="1"/>
      </w:tblPr>
      <w:tblGrid>
        <w:gridCol w:w="4055"/>
        <w:gridCol w:w="854"/>
        <w:gridCol w:w="847"/>
        <w:gridCol w:w="1062"/>
        <w:gridCol w:w="993"/>
      </w:tblGrid>
      <w:tr w:rsidR="00566E9A" w:rsidRPr="004B6706" w:rsidTr="00AE5760">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055" w:type="dxa"/>
          </w:tcPr>
          <w:p w:rsidR="00566E9A" w:rsidRPr="004B6706" w:rsidRDefault="00566E9A" w:rsidP="00AE5760">
            <w:pPr>
              <w:ind w:left="0" w:firstLine="0"/>
            </w:pPr>
          </w:p>
        </w:tc>
        <w:tc>
          <w:tcPr>
            <w:tcW w:w="854" w:type="dxa"/>
            <w:hideMark/>
          </w:tcPr>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2016-17</w:t>
            </w:r>
          </w:p>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forecast</w:t>
            </w:r>
          </w:p>
        </w:tc>
        <w:tc>
          <w:tcPr>
            <w:tcW w:w="847" w:type="dxa"/>
            <w:hideMark/>
          </w:tcPr>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2017-18</w:t>
            </w:r>
          </w:p>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forecast</w:t>
            </w:r>
          </w:p>
        </w:tc>
        <w:tc>
          <w:tcPr>
            <w:tcW w:w="1062" w:type="dxa"/>
            <w:hideMark/>
          </w:tcPr>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2018-19</w:t>
            </w:r>
          </w:p>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projection</w:t>
            </w:r>
          </w:p>
        </w:tc>
        <w:tc>
          <w:tcPr>
            <w:tcW w:w="993" w:type="dxa"/>
            <w:hideMark/>
          </w:tcPr>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2019-20</w:t>
            </w:r>
          </w:p>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projection</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pPr>
              <w:ind w:left="0" w:firstLine="0"/>
            </w:pPr>
            <w:r w:rsidRPr="004B6706">
              <w:t xml:space="preserve"> </w:t>
            </w:r>
          </w:p>
        </w:tc>
        <w:tc>
          <w:tcPr>
            <w:tcW w:w="3756" w:type="dxa"/>
            <w:gridSpan w:val="4"/>
            <w:hideMark/>
          </w:tcPr>
          <w:p w:rsidR="00566E9A" w:rsidRPr="00A75420" w:rsidRDefault="00566E9A" w:rsidP="00AE5760">
            <w:pPr>
              <w:jc w:val="center"/>
              <w:cnfStyle w:val="000000000000" w:firstRow="0" w:lastRow="0" w:firstColumn="0" w:lastColumn="0" w:oddVBand="0" w:evenVBand="0" w:oddHBand="0" w:evenHBand="0" w:firstRowFirstColumn="0" w:firstRowLastColumn="0" w:lastRowFirstColumn="0" w:lastRowLastColumn="0"/>
              <w:rPr>
                <w:i/>
              </w:rPr>
            </w:pPr>
            <w:r w:rsidRPr="00A75420">
              <w:rPr>
                <w:i/>
              </w:rPr>
              <w:t>($ billion)</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pPr>
              <w:ind w:left="0" w:firstLine="0"/>
            </w:pPr>
            <w:r w:rsidRPr="004B6706">
              <w:t>Nominal gross state product</w:t>
            </w:r>
          </w:p>
        </w:tc>
        <w:tc>
          <w:tcPr>
            <w:tcW w:w="854"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39</w:t>
            </w:r>
            <w:r>
              <w:t>2</w:t>
            </w:r>
            <w:r w:rsidRPr="004B6706">
              <w:t>.</w:t>
            </w:r>
            <w:r w:rsidR="000B2C97">
              <w:t>7</w:t>
            </w:r>
          </w:p>
        </w:tc>
        <w:tc>
          <w:tcPr>
            <w:tcW w:w="847"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41</w:t>
            </w:r>
            <w:r>
              <w:t>2</w:t>
            </w:r>
            <w:r w:rsidRPr="004B6706">
              <w:t>.</w:t>
            </w:r>
            <w:r w:rsidR="000B2C97">
              <w:t>5</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43</w:t>
            </w:r>
            <w:r>
              <w:t>3</w:t>
            </w:r>
            <w:r w:rsidRPr="004B6706">
              <w:t>.</w:t>
            </w:r>
            <w:r w:rsidR="000B2C97">
              <w:t>2</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4</w:t>
            </w:r>
            <w:r>
              <w:t>55</w:t>
            </w:r>
            <w:r w:rsidRPr="004B6706">
              <w:t>.</w:t>
            </w:r>
            <w:r w:rsidR="000B2C97">
              <w:t>5</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pPr>
              <w:ind w:left="0" w:firstLine="0"/>
            </w:pPr>
            <w:r w:rsidRPr="004B6706">
              <w:t xml:space="preserve"> </w:t>
            </w:r>
          </w:p>
        </w:tc>
        <w:tc>
          <w:tcPr>
            <w:tcW w:w="3756" w:type="dxa"/>
            <w:gridSpan w:val="4"/>
            <w:hideMark/>
          </w:tcPr>
          <w:p w:rsidR="00566E9A" w:rsidRPr="00A75420" w:rsidRDefault="00566E9A" w:rsidP="00AE5760">
            <w:pPr>
              <w:jc w:val="center"/>
              <w:cnfStyle w:val="000000000000" w:firstRow="0" w:lastRow="0" w:firstColumn="0" w:lastColumn="0" w:oddVBand="0" w:evenVBand="0" w:oddHBand="0" w:evenHBand="0" w:firstRowFirstColumn="0" w:firstRowLastColumn="0" w:lastRowFirstColumn="0" w:lastRowLastColumn="0"/>
              <w:rPr>
                <w:i/>
              </w:rPr>
            </w:pPr>
            <w:r w:rsidRPr="00A75420">
              <w:rPr>
                <w:i/>
              </w:rPr>
              <w:t xml:space="preserve">(percentage change) </w:t>
            </w:r>
            <w:r w:rsidRPr="00A75420">
              <w:rPr>
                <w:i/>
                <w:vertAlign w:val="superscript"/>
              </w:rPr>
              <w:t>(b)</w:t>
            </w:r>
          </w:p>
        </w:tc>
      </w:tr>
      <w:tr w:rsidR="00566E9A" w:rsidRPr="004B6706" w:rsidTr="00AE5760">
        <w:trPr>
          <w:trHeight w:val="145"/>
        </w:trPr>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r w:rsidRPr="004B6706">
              <w:t>Real gross state product</w:t>
            </w:r>
          </w:p>
        </w:tc>
        <w:tc>
          <w:tcPr>
            <w:tcW w:w="854" w:type="dxa"/>
          </w:tcPr>
          <w:p w:rsidR="00566E9A" w:rsidRPr="004B6706" w:rsidRDefault="000B2C97" w:rsidP="00AE5760">
            <w:pPr>
              <w:cnfStyle w:val="000000000000" w:firstRow="0" w:lastRow="0" w:firstColumn="0" w:lastColumn="0" w:oddVBand="0" w:evenVBand="0" w:oddHBand="0" w:evenHBand="0" w:firstRowFirstColumn="0" w:firstRowLastColumn="0" w:lastRowFirstColumn="0" w:lastRowLastColumn="0"/>
            </w:pPr>
            <w:r>
              <w:t>3.00</w:t>
            </w:r>
          </w:p>
        </w:tc>
        <w:tc>
          <w:tcPr>
            <w:tcW w:w="847" w:type="dxa"/>
          </w:tcPr>
          <w:p w:rsidR="00566E9A" w:rsidRPr="004B6706" w:rsidRDefault="000B2C97" w:rsidP="00AE5760">
            <w:pPr>
              <w:cnfStyle w:val="000000000000" w:firstRow="0" w:lastRow="0" w:firstColumn="0" w:lastColumn="0" w:oddVBand="0" w:evenVBand="0" w:oddHBand="0" w:evenHBand="0" w:firstRowFirstColumn="0" w:firstRowLastColumn="0" w:lastRowFirstColumn="0" w:lastRowLastColumn="0"/>
            </w:pPr>
            <w:r>
              <w:t>2.75</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2.75</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2.75</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r w:rsidRPr="004B6706">
              <w:t>Employment</w:t>
            </w:r>
          </w:p>
        </w:tc>
        <w:tc>
          <w:tcPr>
            <w:tcW w:w="854"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w:t>
            </w:r>
            <w:r>
              <w:t>7</w:t>
            </w:r>
            <w:r w:rsidRPr="004B6706">
              <w:t>5</w:t>
            </w:r>
          </w:p>
        </w:tc>
        <w:tc>
          <w:tcPr>
            <w:tcW w:w="847"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t>2.00</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1.50</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1.50</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r>
              <w:t>Unemployment rate</w:t>
            </w:r>
          </w:p>
        </w:tc>
        <w:tc>
          <w:tcPr>
            <w:tcW w:w="854"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5.75</w:t>
            </w:r>
          </w:p>
        </w:tc>
        <w:tc>
          <w:tcPr>
            <w:tcW w:w="847"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5.50</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5.50</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5.50</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r w:rsidRPr="004B6706">
              <w:t xml:space="preserve">Consumer price index </w:t>
            </w:r>
            <w:r w:rsidRPr="00A75420">
              <w:rPr>
                <w:vertAlign w:val="superscript"/>
              </w:rPr>
              <w:t>(c)</w:t>
            </w:r>
          </w:p>
        </w:tc>
        <w:tc>
          <w:tcPr>
            <w:tcW w:w="854"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1.75</w:t>
            </w:r>
          </w:p>
        </w:tc>
        <w:tc>
          <w:tcPr>
            <w:tcW w:w="847"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2.00</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2.25</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2.50</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r w:rsidRPr="004B6706">
              <w:t xml:space="preserve">Wage price index </w:t>
            </w:r>
            <w:r w:rsidRPr="00A75420">
              <w:rPr>
                <w:vertAlign w:val="superscript"/>
              </w:rPr>
              <w:t>(d)</w:t>
            </w:r>
          </w:p>
        </w:tc>
        <w:tc>
          <w:tcPr>
            <w:tcW w:w="854"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w:t>
            </w:r>
            <w:r>
              <w:t>25</w:t>
            </w:r>
          </w:p>
        </w:tc>
        <w:tc>
          <w:tcPr>
            <w:tcW w:w="847"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w:t>
            </w:r>
            <w:r>
              <w:t>50</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t>3.00</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3.50</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4055" w:type="dxa"/>
            <w:hideMark/>
          </w:tcPr>
          <w:p w:rsidR="00566E9A" w:rsidRPr="004B6706" w:rsidRDefault="00566E9A" w:rsidP="00AE5760">
            <w:r>
              <w:t>Population</w:t>
            </w:r>
          </w:p>
        </w:tc>
        <w:tc>
          <w:tcPr>
            <w:tcW w:w="854"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1.9</w:t>
            </w:r>
          </w:p>
        </w:tc>
        <w:tc>
          <w:tcPr>
            <w:tcW w:w="847"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1.9</w:t>
            </w:r>
          </w:p>
        </w:tc>
        <w:tc>
          <w:tcPr>
            <w:tcW w:w="1062"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1.8</w:t>
            </w:r>
          </w:p>
        </w:tc>
        <w:tc>
          <w:tcPr>
            <w:tcW w:w="99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1.8</w:t>
            </w:r>
          </w:p>
        </w:tc>
      </w:tr>
    </w:tbl>
    <w:p w:rsidR="00566E9A" w:rsidRPr="00D87D22" w:rsidRDefault="00566E9A" w:rsidP="00AE5760">
      <w:pPr>
        <w:pStyle w:val="Source"/>
        <w:rPr>
          <w:rFonts w:eastAsiaTheme="minorHAnsi"/>
        </w:rPr>
      </w:pPr>
      <w:r w:rsidRPr="00D87D22">
        <w:rPr>
          <w:rFonts w:eastAsiaTheme="minorHAnsi"/>
        </w:rPr>
        <w:t>Source: Department of Treasury and Finance</w:t>
      </w:r>
    </w:p>
    <w:p w:rsidR="00566E9A" w:rsidRPr="00D87D22" w:rsidRDefault="00566E9A" w:rsidP="00AE5760">
      <w:pPr>
        <w:pStyle w:val="Notes"/>
        <w:rPr>
          <w:rFonts w:eastAsiaTheme="minorHAnsi"/>
        </w:rPr>
      </w:pPr>
      <w:r w:rsidRPr="00D87D22">
        <w:rPr>
          <w:rFonts w:eastAsiaTheme="minorHAnsi"/>
        </w:rPr>
        <w:t>Notes:</w:t>
      </w:r>
    </w:p>
    <w:p w:rsidR="00566E9A" w:rsidRDefault="00566E9A" w:rsidP="00AE5760">
      <w:pPr>
        <w:pStyle w:val="Notes"/>
        <w:rPr>
          <w:rFonts w:eastAsiaTheme="minorHAnsi"/>
        </w:rPr>
      </w:pPr>
      <w:r w:rsidRPr="00D87D22">
        <w:rPr>
          <w:rFonts w:eastAsiaTheme="minorHAnsi"/>
        </w:rPr>
        <w:t>(a)</w:t>
      </w:r>
      <w:r w:rsidRPr="00D87D22">
        <w:rPr>
          <w:rFonts w:eastAsiaTheme="minorHAnsi"/>
        </w:rPr>
        <w:tab/>
        <w:t>The key assumptions underlying the economic forecasts include: interest rates that follow movements in market expectations in the short term, and stabilise thereafter; a trade-weighted index of 64.</w:t>
      </w:r>
      <w:r>
        <w:rPr>
          <w:rFonts w:eastAsiaTheme="minorHAnsi"/>
        </w:rPr>
        <w:t>0;</w:t>
      </w:r>
      <w:r w:rsidRPr="00D87D22">
        <w:rPr>
          <w:rFonts w:eastAsiaTheme="minorHAnsi"/>
        </w:rPr>
        <w:t xml:space="preserve"> and oil prices that follow the path suggested by oil futures.</w:t>
      </w:r>
    </w:p>
    <w:p w:rsidR="00566E9A" w:rsidRPr="00D87D22" w:rsidRDefault="00566E9A" w:rsidP="00AE5760">
      <w:pPr>
        <w:pStyle w:val="Notes"/>
        <w:rPr>
          <w:rFonts w:eastAsiaTheme="minorHAnsi"/>
        </w:rPr>
      </w:pPr>
      <w:r>
        <w:rPr>
          <w:rFonts w:eastAsiaTheme="minorHAnsi"/>
        </w:rPr>
        <w:tab/>
        <w:t xml:space="preserve">Projections for 2018-19 and 2019-20 represent trend rates, except for the wage price index and consumer price index, which show a path towards trend in 2019-20. </w:t>
      </w:r>
    </w:p>
    <w:p w:rsidR="00566E9A" w:rsidRPr="00D87D22" w:rsidRDefault="00566E9A" w:rsidP="00AE5760">
      <w:pPr>
        <w:pStyle w:val="Notes"/>
        <w:rPr>
          <w:rFonts w:eastAsiaTheme="minorHAnsi"/>
        </w:rPr>
      </w:pPr>
      <w:r w:rsidRPr="00D87D22">
        <w:rPr>
          <w:rFonts w:eastAsiaTheme="minorHAnsi"/>
        </w:rPr>
        <w:t xml:space="preserve">(b) </w:t>
      </w:r>
      <w:r w:rsidRPr="00D87D22">
        <w:rPr>
          <w:rFonts w:eastAsiaTheme="minorHAnsi"/>
        </w:rPr>
        <w:tab/>
        <w:t>Percentage change in year-average compared with previous year, except for the unemployment rate which is year-average per cent and population</w:t>
      </w:r>
      <w:r>
        <w:rPr>
          <w:rFonts w:eastAsiaTheme="minorHAnsi"/>
        </w:rPr>
        <w:t>,</w:t>
      </w:r>
      <w:r w:rsidRPr="00D87D22">
        <w:rPr>
          <w:rFonts w:eastAsiaTheme="minorHAnsi"/>
        </w:rPr>
        <w:t xml:space="preserve"> which is percentage change over the year to 30 June. Forecasts are rounded to the nearest 0.25 percentage points, except for population which is rounded to the nearest 0.1 percentage point.</w:t>
      </w:r>
    </w:p>
    <w:p w:rsidR="00566E9A" w:rsidRPr="00D87D22" w:rsidRDefault="00566E9A" w:rsidP="00AE5760">
      <w:pPr>
        <w:pStyle w:val="Notes"/>
        <w:rPr>
          <w:rFonts w:eastAsiaTheme="minorHAnsi"/>
        </w:rPr>
      </w:pPr>
      <w:r w:rsidRPr="00D87D22">
        <w:rPr>
          <w:rFonts w:eastAsiaTheme="minorHAnsi"/>
        </w:rPr>
        <w:t>(c)</w:t>
      </w:r>
      <w:r w:rsidRPr="00D87D22">
        <w:rPr>
          <w:rFonts w:eastAsiaTheme="minorHAnsi"/>
        </w:rPr>
        <w:tab/>
        <w:t>Melbourne consumer price index.</w:t>
      </w:r>
    </w:p>
    <w:p w:rsidR="00566E9A" w:rsidRPr="00D87D22" w:rsidRDefault="00566E9A" w:rsidP="00AE5760">
      <w:pPr>
        <w:pStyle w:val="Notes"/>
        <w:rPr>
          <w:rFonts w:eastAsiaTheme="minorHAnsi"/>
        </w:rPr>
      </w:pPr>
      <w:r w:rsidRPr="00D87D22">
        <w:rPr>
          <w:rFonts w:eastAsiaTheme="minorHAnsi"/>
        </w:rPr>
        <w:t>(d)</w:t>
      </w:r>
      <w:r w:rsidRPr="00D87D22">
        <w:rPr>
          <w:rFonts w:eastAsiaTheme="minorHAnsi"/>
        </w:rPr>
        <w:tab/>
        <w:t>Wage price index, Victoria (based on total hourly rates of pay, excluding bonuses).</w:t>
      </w:r>
    </w:p>
    <w:p w:rsidR="00566E9A" w:rsidRDefault="00566E9A">
      <w:pPr>
        <w:rPr>
          <w:rFonts w:asciiTheme="majorHAnsi" w:eastAsiaTheme="minorHAnsi" w:hAnsiTheme="majorHAnsi"/>
          <w:b/>
        </w:rPr>
      </w:pPr>
      <w:r>
        <w:rPr>
          <w:rFonts w:eastAsiaTheme="minorHAnsi"/>
        </w:rPr>
        <w:br w:type="page"/>
      </w:r>
    </w:p>
    <w:p w:rsidR="00566E9A" w:rsidRPr="00D87D22" w:rsidRDefault="00566E9A" w:rsidP="00AE5760">
      <w:pPr>
        <w:pStyle w:val="Heading5"/>
        <w:rPr>
          <w:rFonts w:eastAsiaTheme="minorHAnsi"/>
        </w:rPr>
      </w:pPr>
      <w:r w:rsidRPr="00D87D22">
        <w:rPr>
          <w:rFonts w:eastAsiaTheme="minorHAnsi"/>
        </w:rPr>
        <w:lastRenderedPageBreak/>
        <w:t xml:space="preserve">Revised forecast assumptions for superannuation </w:t>
      </w:r>
    </w:p>
    <w:p w:rsidR="00566E9A" w:rsidRPr="00D87D22" w:rsidRDefault="00566E9A" w:rsidP="00AE5760">
      <w:pPr>
        <w:rPr>
          <w:rFonts w:eastAsiaTheme="minorHAnsi"/>
        </w:rPr>
      </w:pPr>
      <w:r w:rsidRPr="00D87D22">
        <w:rPr>
          <w:rFonts w:eastAsiaTheme="minorHAnsi"/>
        </w:rPr>
        <w:t xml:space="preserve">The accounting policies relating to superannuation expenses and liabilities are consistent with those applied in preparing and presenting the </w:t>
      </w:r>
      <w:r w:rsidRPr="00D87D22">
        <w:rPr>
          <w:rFonts w:eastAsiaTheme="minorHAnsi"/>
          <w:i/>
        </w:rPr>
        <w:t>2016-17 Budget</w:t>
      </w:r>
      <w:r w:rsidRPr="00D87D22">
        <w:rPr>
          <w:rFonts w:eastAsiaTheme="minorHAnsi"/>
        </w:rPr>
        <w:t>. However, the forecast assumptions have been revised for the budget year and forward years for each relevant defined benefit superannuation scheme as disclosed in the following table.</w:t>
      </w:r>
    </w:p>
    <w:tbl>
      <w:tblPr>
        <w:tblStyle w:val="DTFFinancialTable"/>
        <w:tblW w:w="7665" w:type="dxa"/>
        <w:tblLayout w:type="fixed"/>
        <w:tblLook w:val="06A0" w:firstRow="1" w:lastRow="0" w:firstColumn="1" w:lastColumn="0" w:noHBand="1" w:noVBand="1"/>
      </w:tblPr>
      <w:tblGrid>
        <w:gridCol w:w="6532"/>
        <w:gridCol w:w="1133"/>
      </w:tblGrid>
      <w:tr w:rsidR="00566E9A" w:rsidRPr="004B6706"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hideMark/>
          </w:tcPr>
          <w:p w:rsidR="00566E9A" w:rsidRPr="004B6706" w:rsidRDefault="00566E9A" w:rsidP="00AE5760">
            <w:pPr>
              <w:ind w:left="0" w:firstLine="0"/>
            </w:pPr>
            <w:r w:rsidRPr="004B6706">
              <w:t xml:space="preserve">Underlying assumptions for all listed schemes </w:t>
            </w:r>
            <w:r w:rsidRPr="00A75420">
              <w:rPr>
                <w:vertAlign w:val="superscript"/>
              </w:rPr>
              <w:t>(a)</w:t>
            </w:r>
          </w:p>
        </w:tc>
        <w:tc>
          <w:tcPr>
            <w:tcW w:w="1133" w:type="dxa"/>
            <w:hideMark/>
          </w:tcPr>
          <w:p w:rsidR="00566E9A" w:rsidRPr="004B6706" w:rsidRDefault="00566E9A" w:rsidP="00AE5760">
            <w:pPr>
              <w:cnfStyle w:val="100000000000" w:firstRow="1" w:lastRow="0" w:firstColumn="0" w:lastColumn="0" w:oddVBand="0" w:evenVBand="0" w:oddHBand="0" w:evenHBand="0" w:firstRowFirstColumn="0" w:firstRowLastColumn="0" w:lastRowFirstColumn="0" w:lastRowLastColumn="0"/>
            </w:pPr>
            <w:r w:rsidRPr="004B6706">
              <w:t>Per cent</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6532" w:type="dxa"/>
            <w:hideMark/>
          </w:tcPr>
          <w:p w:rsidR="00566E9A" w:rsidRPr="004B6706" w:rsidRDefault="00566E9A" w:rsidP="00AE5760">
            <w:pPr>
              <w:ind w:left="0" w:firstLine="0"/>
            </w:pPr>
            <w:r w:rsidRPr="004B6706">
              <w:t xml:space="preserve">Discount rate </w:t>
            </w:r>
            <w:r w:rsidRPr="00A75420">
              <w:rPr>
                <w:vertAlign w:val="superscript"/>
              </w:rPr>
              <w:t>(b)</w:t>
            </w:r>
          </w:p>
        </w:tc>
        <w:tc>
          <w:tcPr>
            <w:tcW w:w="113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2.3</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6532" w:type="dxa"/>
            <w:hideMark/>
          </w:tcPr>
          <w:p w:rsidR="00566E9A" w:rsidRPr="004B6706" w:rsidRDefault="00566E9A" w:rsidP="00AE5760">
            <w:pPr>
              <w:ind w:left="0" w:firstLine="0"/>
            </w:pPr>
            <w:r w:rsidRPr="004B6706">
              <w:t xml:space="preserve">Wages growth </w:t>
            </w:r>
            <w:r w:rsidRPr="00A75420">
              <w:rPr>
                <w:vertAlign w:val="superscript"/>
              </w:rPr>
              <w:t>(c)</w:t>
            </w:r>
          </w:p>
        </w:tc>
        <w:tc>
          <w:tcPr>
            <w:tcW w:w="113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3.1</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6532" w:type="dxa"/>
            <w:tcBorders>
              <w:bottom w:val="nil"/>
            </w:tcBorders>
            <w:hideMark/>
          </w:tcPr>
          <w:p w:rsidR="00566E9A" w:rsidRPr="004B6706" w:rsidRDefault="00566E9A" w:rsidP="00AE5760">
            <w:pPr>
              <w:ind w:left="0" w:firstLine="0"/>
            </w:pPr>
            <w:r w:rsidRPr="004B6706">
              <w:t xml:space="preserve">Inflation rate </w:t>
            </w:r>
            <w:r w:rsidRPr="00A75420">
              <w:rPr>
                <w:vertAlign w:val="superscript"/>
              </w:rPr>
              <w:t>(d)</w:t>
            </w:r>
          </w:p>
        </w:tc>
        <w:tc>
          <w:tcPr>
            <w:tcW w:w="1133" w:type="dxa"/>
            <w:tcBorders>
              <w:bottom w:val="nil"/>
            </w:tcBorders>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1.6</w:t>
            </w:r>
          </w:p>
        </w:tc>
      </w:tr>
      <w:tr w:rsidR="00566E9A" w:rsidRPr="002738AC" w:rsidTr="00AE5760">
        <w:tc>
          <w:tcPr>
            <w:cnfStyle w:val="001000000000" w:firstRow="0" w:lastRow="0" w:firstColumn="1" w:lastColumn="0" w:oddVBand="0" w:evenVBand="0" w:oddHBand="0" w:evenHBand="0" w:firstRowFirstColumn="0" w:firstRowLastColumn="0" w:lastRowFirstColumn="0" w:lastRowLastColumn="0"/>
            <w:tcW w:w="6532" w:type="dxa"/>
            <w:tcBorders>
              <w:bottom w:val="nil"/>
            </w:tcBorders>
            <w:shd w:val="solid" w:color="auto" w:fill="auto"/>
            <w:hideMark/>
          </w:tcPr>
          <w:p w:rsidR="00566E9A" w:rsidRPr="002738AC" w:rsidRDefault="00566E9A" w:rsidP="00AE5760">
            <w:pPr>
              <w:ind w:left="0" w:firstLine="0"/>
              <w:rPr>
                <w:i/>
              </w:rPr>
            </w:pPr>
            <w:r w:rsidRPr="002738AC">
              <w:rPr>
                <w:i/>
              </w:rPr>
              <w:t xml:space="preserve">Expected return on assets </w:t>
            </w:r>
            <w:r w:rsidRPr="00BB7637">
              <w:rPr>
                <w:i/>
                <w:vertAlign w:val="superscript"/>
              </w:rPr>
              <w:t>(e)</w:t>
            </w:r>
          </w:p>
        </w:tc>
        <w:tc>
          <w:tcPr>
            <w:tcW w:w="1133" w:type="dxa"/>
            <w:tcBorders>
              <w:bottom w:val="nil"/>
            </w:tcBorders>
            <w:shd w:val="solid" w:color="auto" w:fill="auto"/>
          </w:tcPr>
          <w:p w:rsidR="00566E9A" w:rsidRPr="002738AC" w:rsidRDefault="00566E9A" w:rsidP="00AE5760">
            <w:pPr>
              <w:cnfStyle w:val="000000000000" w:firstRow="0" w:lastRow="0" w:firstColumn="0" w:lastColumn="0" w:oddVBand="0" w:evenVBand="0" w:oddHBand="0" w:evenHBand="0" w:firstRowFirstColumn="0" w:firstRowLastColumn="0" w:lastRowFirstColumn="0" w:lastRowLastColumn="0"/>
              <w:rPr>
                <w:i/>
              </w:rPr>
            </w:pP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6532" w:type="dxa"/>
            <w:tcBorders>
              <w:top w:val="nil"/>
            </w:tcBorders>
            <w:hideMark/>
          </w:tcPr>
          <w:p w:rsidR="00566E9A" w:rsidRPr="004B6706" w:rsidRDefault="00566E9A" w:rsidP="00AE5760">
            <w:pPr>
              <w:ind w:left="0" w:firstLine="0"/>
            </w:pPr>
            <w:r w:rsidRPr="004B6706">
              <w:t xml:space="preserve">Emergency Services and State Super </w:t>
            </w:r>
          </w:p>
        </w:tc>
        <w:tc>
          <w:tcPr>
            <w:tcW w:w="1133" w:type="dxa"/>
            <w:tcBorders>
              <w:top w:val="nil"/>
            </w:tcBorders>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8.0</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6532" w:type="dxa"/>
            <w:hideMark/>
          </w:tcPr>
          <w:p w:rsidR="00566E9A" w:rsidRPr="004B6706" w:rsidRDefault="00566E9A" w:rsidP="00AE5760">
            <w:pPr>
              <w:ind w:left="0" w:firstLine="0"/>
            </w:pPr>
            <w:r w:rsidRPr="004B6706">
              <w:t>Health Super Fund Defined Benefit Scheme</w:t>
            </w:r>
          </w:p>
        </w:tc>
        <w:tc>
          <w:tcPr>
            <w:tcW w:w="113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r w:rsidRPr="004B6706">
              <w:t>5.8</w:t>
            </w:r>
          </w:p>
        </w:tc>
      </w:tr>
      <w:tr w:rsidR="00566E9A" w:rsidRPr="004B6706" w:rsidTr="00AE5760">
        <w:tc>
          <w:tcPr>
            <w:cnfStyle w:val="001000000000" w:firstRow="0" w:lastRow="0" w:firstColumn="1" w:lastColumn="0" w:oddVBand="0" w:evenVBand="0" w:oddHBand="0" w:evenHBand="0" w:firstRowFirstColumn="0" w:firstRowLastColumn="0" w:lastRowFirstColumn="0" w:lastRowLastColumn="0"/>
            <w:tcW w:w="6532" w:type="dxa"/>
            <w:hideMark/>
          </w:tcPr>
          <w:p w:rsidR="00566E9A" w:rsidRPr="004B6706" w:rsidRDefault="00566E9A" w:rsidP="00AE5760">
            <w:pPr>
              <w:ind w:left="0" w:firstLine="0"/>
            </w:pPr>
            <w:r w:rsidRPr="004B6706">
              <w:t xml:space="preserve">Constitutionally protected schemes </w:t>
            </w:r>
            <w:r w:rsidRPr="00A75420">
              <w:rPr>
                <w:vertAlign w:val="superscript"/>
              </w:rPr>
              <w:t>(f)</w:t>
            </w:r>
          </w:p>
        </w:tc>
        <w:tc>
          <w:tcPr>
            <w:tcW w:w="1133" w:type="dxa"/>
          </w:tcPr>
          <w:p w:rsidR="00566E9A" w:rsidRPr="004B6706" w:rsidRDefault="00566E9A" w:rsidP="00AE5760">
            <w:pPr>
              <w:cnfStyle w:val="000000000000" w:firstRow="0" w:lastRow="0" w:firstColumn="0" w:lastColumn="0" w:oddVBand="0" w:evenVBand="0" w:oddHBand="0" w:evenHBand="0" w:firstRowFirstColumn="0" w:firstRowLastColumn="0" w:lastRowFirstColumn="0" w:lastRowLastColumn="0"/>
            </w:pPr>
            <w:proofErr w:type="spellStart"/>
            <w:r w:rsidRPr="004B6706">
              <w:t>n.a</w:t>
            </w:r>
            <w:proofErr w:type="spellEnd"/>
            <w:r w:rsidRPr="004B6706">
              <w:t>.</w:t>
            </w:r>
          </w:p>
        </w:tc>
      </w:tr>
    </w:tbl>
    <w:p w:rsidR="00566E9A" w:rsidRPr="00D87D22" w:rsidRDefault="00566E9A" w:rsidP="00AE5760">
      <w:pPr>
        <w:pStyle w:val="Source"/>
        <w:rPr>
          <w:rFonts w:eastAsiaTheme="minorHAnsi"/>
        </w:rPr>
      </w:pPr>
      <w:r w:rsidRPr="00D87D22">
        <w:rPr>
          <w:rFonts w:eastAsiaTheme="minorHAnsi"/>
        </w:rPr>
        <w:t>Source: Department of Treasury and Finance</w:t>
      </w:r>
    </w:p>
    <w:p w:rsidR="00566E9A" w:rsidRPr="00D87D22" w:rsidRDefault="00566E9A" w:rsidP="00AE5760">
      <w:pPr>
        <w:pStyle w:val="Notes"/>
        <w:rPr>
          <w:rFonts w:eastAsiaTheme="minorHAnsi"/>
        </w:rPr>
      </w:pPr>
      <w:r w:rsidRPr="00D87D22">
        <w:rPr>
          <w:rFonts w:eastAsiaTheme="minorHAnsi"/>
        </w:rPr>
        <w:t>Notes:</w:t>
      </w:r>
    </w:p>
    <w:p w:rsidR="00566E9A" w:rsidRPr="00D87D22" w:rsidRDefault="00566E9A" w:rsidP="00AE5760">
      <w:pPr>
        <w:pStyle w:val="Notes"/>
        <w:rPr>
          <w:rFonts w:eastAsiaTheme="minorHAnsi"/>
        </w:rPr>
      </w:pPr>
      <w:r w:rsidRPr="00D87D22">
        <w:rPr>
          <w:rFonts w:eastAsiaTheme="minorHAnsi"/>
        </w:rPr>
        <w:t>(a)</w:t>
      </w:r>
      <w:r w:rsidRPr="00D87D22">
        <w:rPr>
          <w:rFonts w:eastAsiaTheme="minorHAnsi"/>
        </w:rPr>
        <w:tab/>
        <w:t>All rates are nominal annual rates and are applicable to all the listed schemes.</w:t>
      </w:r>
    </w:p>
    <w:p w:rsidR="00566E9A" w:rsidRPr="00D87D22" w:rsidRDefault="00566E9A" w:rsidP="00AE5760">
      <w:pPr>
        <w:pStyle w:val="Notes"/>
        <w:rPr>
          <w:rFonts w:eastAsiaTheme="minorHAnsi"/>
        </w:rPr>
      </w:pPr>
      <w:r w:rsidRPr="00D87D22">
        <w:rPr>
          <w:rFonts w:eastAsiaTheme="minorHAnsi"/>
        </w:rPr>
        <w:t>(b)</w:t>
      </w:r>
      <w:r w:rsidRPr="00D87D22">
        <w:rPr>
          <w:rFonts w:eastAsiaTheme="minorHAnsi"/>
        </w:rPr>
        <w:tab/>
        <w:t>The d</w:t>
      </w:r>
      <w:r>
        <w:rPr>
          <w:rFonts w:eastAsiaTheme="minorHAnsi"/>
        </w:rPr>
        <w:t>iscount rate is based on a long-</w:t>
      </w:r>
      <w:r w:rsidRPr="00D87D22">
        <w:rPr>
          <w:rFonts w:eastAsiaTheme="minorHAnsi"/>
        </w:rPr>
        <w:t>term fixed interest Commonwealth bond rate. The rate stated above is an annual effective rate, gross of tax.</w:t>
      </w:r>
    </w:p>
    <w:p w:rsidR="00566E9A" w:rsidRPr="00D87D22" w:rsidRDefault="00566E9A" w:rsidP="00AE5760">
      <w:pPr>
        <w:pStyle w:val="Notes"/>
        <w:rPr>
          <w:rFonts w:eastAsiaTheme="minorHAnsi"/>
        </w:rPr>
      </w:pPr>
      <w:r w:rsidRPr="00D87D22">
        <w:rPr>
          <w:rFonts w:eastAsiaTheme="minorHAnsi"/>
        </w:rPr>
        <w:t>(c)</w:t>
      </w:r>
      <w:r w:rsidRPr="00D87D22">
        <w:rPr>
          <w:rFonts w:eastAsiaTheme="minorHAnsi"/>
        </w:rPr>
        <w:tab/>
        <w:t>Based on the historical relationship between price and wage inflation, wages growth is assumed to be 1.5 per cent higher than price inflation.</w:t>
      </w:r>
    </w:p>
    <w:p w:rsidR="00566E9A" w:rsidRDefault="00566E9A" w:rsidP="00AE5760">
      <w:pPr>
        <w:pStyle w:val="Notes"/>
        <w:rPr>
          <w:rFonts w:eastAsiaTheme="minorHAnsi"/>
        </w:rPr>
      </w:pPr>
      <w:r w:rsidRPr="00D87D22">
        <w:rPr>
          <w:rFonts w:eastAsiaTheme="minorHAnsi"/>
        </w:rPr>
        <w:t>(d)</w:t>
      </w:r>
      <w:r w:rsidRPr="00D87D22">
        <w:rPr>
          <w:rFonts w:eastAsiaTheme="minorHAnsi"/>
        </w:rPr>
        <w:tab/>
        <w:t xml:space="preserve">The superannuation assumptions are determined in accordance with Australian accounting standard </w:t>
      </w:r>
      <w:r w:rsidRPr="00350D3A">
        <w:rPr>
          <w:rFonts w:eastAsiaTheme="minorHAnsi"/>
          <w:i w:val="0"/>
        </w:rPr>
        <w:t>AASB 119 Employee Benefits</w:t>
      </w:r>
      <w:r>
        <w:rPr>
          <w:rFonts w:eastAsiaTheme="minorHAnsi"/>
          <w:i w:val="0"/>
        </w:rPr>
        <w:t>,</w:t>
      </w:r>
      <w:r w:rsidRPr="00D87D22">
        <w:rPr>
          <w:rFonts w:eastAsiaTheme="minorHAnsi"/>
        </w:rPr>
        <w:t xml:space="preserve"> which requires that the discount rate be based on Commonwealth bond yields. To ensure consistency with the market-based discount rate, the inflation rate assumed by the actuary reflects market expectations of price inflation</w:t>
      </w:r>
      <w:r>
        <w:rPr>
          <w:rFonts w:eastAsiaTheme="minorHAnsi"/>
        </w:rPr>
        <w:t>,</w:t>
      </w:r>
      <w:r w:rsidRPr="00D87D22">
        <w:rPr>
          <w:rFonts w:eastAsiaTheme="minorHAnsi"/>
        </w:rPr>
        <w:t xml:space="preserve"> as implied by the relationship between the yields on nominal and inflation linked Commonwealth bonds. Therefore, these assumptions differ from the key economic assumptions in this note</w:t>
      </w:r>
      <w:r>
        <w:rPr>
          <w:rFonts w:eastAsiaTheme="minorHAnsi"/>
        </w:rPr>
        <w:t>,</w:t>
      </w:r>
      <w:r w:rsidRPr="00D87D22">
        <w:rPr>
          <w:rFonts w:eastAsiaTheme="minorHAnsi"/>
        </w:rPr>
        <w:t xml:space="preserve"> which reflect the expected change in consumer prices in Melbourne and movements in wages and salaries in the Victorian labour market.</w:t>
      </w:r>
    </w:p>
    <w:p w:rsidR="00566E9A" w:rsidRPr="00D87D22" w:rsidRDefault="00566E9A" w:rsidP="00AE5760">
      <w:pPr>
        <w:pStyle w:val="Notes"/>
        <w:rPr>
          <w:rFonts w:eastAsiaTheme="minorHAnsi"/>
        </w:rPr>
      </w:pPr>
      <w:r w:rsidRPr="00D87D22">
        <w:rPr>
          <w:rFonts w:eastAsiaTheme="minorHAnsi"/>
        </w:rPr>
        <w:t>(e)</w:t>
      </w:r>
      <w:r w:rsidRPr="00D87D22">
        <w:rPr>
          <w:rFonts w:eastAsiaTheme="minorHAnsi"/>
        </w:rPr>
        <w:tab/>
        <w:t>The expected return on assets stated is gross of tax. Estimated tax payments are explicitly allowed for in the calculation process.</w:t>
      </w:r>
    </w:p>
    <w:p w:rsidR="00566E9A" w:rsidRPr="00D87D22" w:rsidRDefault="00566E9A" w:rsidP="00AE5760">
      <w:pPr>
        <w:pStyle w:val="Notes"/>
        <w:rPr>
          <w:rFonts w:eastAsiaTheme="minorHAnsi"/>
        </w:rPr>
      </w:pPr>
      <w:r w:rsidRPr="00D87D22">
        <w:rPr>
          <w:rFonts w:eastAsiaTheme="minorHAnsi"/>
        </w:rPr>
        <w:t>(f)</w:t>
      </w:r>
      <w:r w:rsidRPr="00D87D22">
        <w:rPr>
          <w:rFonts w:eastAsiaTheme="minorHAnsi"/>
        </w:rPr>
        <w:tab/>
        <w:t>Pensions payable from constitutionally protected schemes are paid from the Consolidated Fund. These schemes hold no assets so there is no expected return on assets.</w:t>
      </w:r>
    </w:p>
    <w:p w:rsidR="00566E9A" w:rsidRPr="00D87D22" w:rsidRDefault="00566E9A" w:rsidP="00AE5760">
      <w:pPr>
        <w:rPr>
          <w:rFonts w:eastAsiaTheme="minorHAnsi"/>
        </w:rPr>
      </w:pPr>
    </w:p>
    <w:p w:rsidR="00566E9A" w:rsidRDefault="00566E9A" w:rsidP="00AE5760">
      <w:pPr>
        <w:rPr>
          <w:rFonts w:eastAsiaTheme="minorHAnsi"/>
        </w:rPr>
      </w:pPr>
      <w:r w:rsidRPr="00D87D22">
        <w:rPr>
          <w:rFonts w:eastAsiaTheme="minorHAnsi"/>
        </w:rPr>
        <w:t>The expected return on assets, as shown above, is determined by weighting the expected long</w:t>
      </w:r>
      <w:r>
        <w:rPr>
          <w:rFonts w:eastAsiaTheme="minorHAnsi"/>
        </w:rPr>
        <w:noBreakHyphen/>
      </w:r>
      <w:r w:rsidRPr="00D87D22">
        <w:rPr>
          <w:rFonts w:eastAsiaTheme="minorHAnsi"/>
        </w:rPr>
        <w:t>term return for each asset class by the target allocation of assets to that class (as detailed in the table below).</w:t>
      </w:r>
    </w:p>
    <w:p w:rsidR="00566E9A" w:rsidRPr="00D87D22" w:rsidRDefault="00566E9A" w:rsidP="00AE5760">
      <w:pPr>
        <w:pStyle w:val="Heading5"/>
        <w:rPr>
          <w:rFonts w:eastAsiaTheme="minorHAnsi"/>
        </w:rPr>
      </w:pPr>
      <w:r>
        <w:rPr>
          <w:rFonts w:eastAsiaTheme="minorHAnsi"/>
        </w:rPr>
        <w:t>Asset allocation</w:t>
      </w:r>
    </w:p>
    <w:tbl>
      <w:tblPr>
        <w:tblStyle w:val="DTFFinancialTable"/>
        <w:tblW w:w="7665" w:type="dxa"/>
        <w:tblLayout w:type="fixed"/>
        <w:tblLook w:val="06E0" w:firstRow="1" w:lastRow="1" w:firstColumn="1" w:lastColumn="0" w:noHBand="1" w:noVBand="1"/>
      </w:tblPr>
      <w:tblGrid>
        <w:gridCol w:w="5951"/>
        <w:gridCol w:w="1714"/>
      </w:tblGrid>
      <w:tr w:rsidR="00566E9A" w:rsidRPr="00B32854"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Asset class</w:t>
            </w:r>
          </w:p>
        </w:tc>
        <w:tc>
          <w:tcPr>
            <w:tcW w:w="1714" w:type="dxa"/>
            <w:hideMark/>
          </w:tcPr>
          <w:p w:rsidR="00566E9A" w:rsidRPr="00B32854" w:rsidRDefault="00566E9A" w:rsidP="00AE5760">
            <w:pPr>
              <w:cnfStyle w:val="100000000000" w:firstRow="1" w:lastRow="0" w:firstColumn="0" w:lastColumn="0" w:oddVBand="0" w:evenVBand="0" w:oddHBand="0" w:evenHBand="0" w:firstRowFirstColumn="0" w:firstRowLastColumn="0" w:lastRowFirstColumn="0" w:lastRowLastColumn="0"/>
            </w:pPr>
            <w:r w:rsidRPr="00B32854">
              <w:t>Per cent</w:t>
            </w:r>
          </w:p>
        </w:tc>
      </w:tr>
      <w:tr w:rsidR="00566E9A" w:rsidRPr="00B32854" w:rsidTr="00AE5760">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Domestic equity</w:t>
            </w:r>
          </w:p>
        </w:tc>
        <w:tc>
          <w:tcPr>
            <w:tcW w:w="1714" w:type="dxa"/>
          </w:tcPr>
          <w:p w:rsidR="00566E9A" w:rsidRPr="00B32854" w:rsidRDefault="00566E9A" w:rsidP="00AE5760">
            <w:pPr>
              <w:cnfStyle w:val="000000000000" w:firstRow="0" w:lastRow="0" w:firstColumn="0" w:lastColumn="0" w:oddVBand="0" w:evenVBand="0" w:oddHBand="0" w:evenHBand="0" w:firstRowFirstColumn="0" w:firstRowLastColumn="0" w:lastRowFirstColumn="0" w:lastRowLastColumn="0"/>
            </w:pPr>
            <w:r w:rsidRPr="00B32854">
              <w:t>26.7</w:t>
            </w:r>
          </w:p>
        </w:tc>
      </w:tr>
      <w:tr w:rsidR="00566E9A" w:rsidRPr="00B32854" w:rsidTr="00AE5760">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International equity</w:t>
            </w:r>
          </w:p>
        </w:tc>
        <w:tc>
          <w:tcPr>
            <w:tcW w:w="1714" w:type="dxa"/>
          </w:tcPr>
          <w:p w:rsidR="00566E9A" w:rsidRPr="00B32854" w:rsidRDefault="00566E9A" w:rsidP="00AE5760">
            <w:pPr>
              <w:cnfStyle w:val="000000000000" w:firstRow="0" w:lastRow="0" w:firstColumn="0" w:lastColumn="0" w:oddVBand="0" w:evenVBand="0" w:oddHBand="0" w:evenHBand="0" w:firstRowFirstColumn="0" w:firstRowLastColumn="0" w:lastRowFirstColumn="0" w:lastRowLastColumn="0"/>
            </w:pPr>
            <w:r w:rsidRPr="00B32854">
              <w:t>26.7</w:t>
            </w:r>
          </w:p>
        </w:tc>
      </w:tr>
      <w:tr w:rsidR="00566E9A" w:rsidRPr="00B32854" w:rsidTr="00AE5760">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Domestic and international debt assets</w:t>
            </w:r>
          </w:p>
        </w:tc>
        <w:tc>
          <w:tcPr>
            <w:tcW w:w="1714" w:type="dxa"/>
          </w:tcPr>
          <w:p w:rsidR="00566E9A" w:rsidRPr="00B32854" w:rsidRDefault="00566E9A" w:rsidP="00AE5760">
            <w:pPr>
              <w:cnfStyle w:val="000000000000" w:firstRow="0" w:lastRow="0" w:firstColumn="0" w:lastColumn="0" w:oddVBand="0" w:evenVBand="0" w:oddHBand="0" w:evenHBand="0" w:firstRowFirstColumn="0" w:firstRowLastColumn="0" w:lastRowFirstColumn="0" w:lastRowLastColumn="0"/>
            </w:pPr>
            <w:r w:rsidRPr="00B32854">
              <w:t>17.5</w:t>
            </w:r>
          </w:p>
        </w:tc>
      </w:tr>
      <w:tr w:rsidR="00566E9A" w:rsidRPr="00B32854" w:rsidTr="00AE5760">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Property</w:t>
            </w:r>
          </w:p>
        </w:tc>
        <w:tc>
          <w:tcPr>
            <w:tcW w:w="1714" w:type="dxa"/>
          </w:tcPr>
          <w:p w:rsidR="00566E9A" w:rsidRPr="00B32854" w:rsidRDefault="00566E9A" w:rsidP="00AE5760">
            <w:pPr>
              <w:cnfStyle w:val="000000000000" w:firstRow="0" w:lastRow="0" w:firstColumn="0" w:lastColumn="0" w:oddVBand="0" w:evenVBand="0" w:oddHBand="0" w:evenHBand="0" w:firstRowFirstColumn="0" w:firstRowLastColumn="0" w:lastRowFirstColumn="0" w:lastRowLastColumn="0"/>
            </w:pPr>
            <w:r w:rsidRPr="00B32854">
              <w:t>7.6</w:t>
            </w:r>
          </w:p>
        </w:tc>
      </w:tr>
      <w:tr w:rsidR="00566E9A" w:rsidRPr="00B32854" w:rsidTr="00AE5760">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Cash</w:t>
            </w:r>
          </w:p>
        </w:tc>
        <w:tc>
          <w:tcPr>
            <w:tcW w:w="1714" w:type="dxa"/>
          </w:tcPr>
          <w:p w:rsidR="00566E9A" w:rsidRPr="00B32854" w:rsidRDefault="00566E9A" w:rsidP="00AE5760">
            <w:pPr>
              <w:cnfStyle w:val="000000000000" w:firstRow="0" w:lastRow="0" w:firstColumn="0" w:lastColumn="0" w:oddVBand="0" w:evenVBand="0" w:oddHBand="0" w:evenHBand="0" w:firstRowFirstColumn="0" w:firstRowLastColumn="0" w:lastRowFirstColumn="0" w:lastRowLastColumn="0"/>
            </w:pPr>
            <w:r w:rsidRPr="00B32854">
              <w:t>4.2</w:t>
            </w:r>
          </w:p>
        </w:tc>
      </w:tr>
      <w:tr w:rsidR="00566E9A" w:rsidRPr="00B32854" w:rsidTr="00AE5760">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Other (including private equity, hedge funds and infrastructure)</w:t>
            </w:r>
          </w:p>
        </w:tc>
        <w:tc>
          <w:tcPr>
            <w:tcW w:w="1714" w:type="dxa"/>
          </w:tcPr>
          <w:p w:rsidR="00566E9A" w:rsidRPr="00B32854" w:rsidRDefault="00566E9A" w:rsidP="00AE5760">
            <w:pPr>
              <w:cnfStyle w:val="000000000000" w:firstRow="0" w:lastRow="0" w:firstColumn="0" w:lastColumn="0" w:oddVBand="0" w:evenVBand="0" w:oddHBand="0" w:evenHBand="0" w:firstRowFirstColumn="0" w:firstRowLastColumn="0" w:lastRowFirstColumn="0" w:lastRowLastColumn="0"/>
            </w:pPr>
            <w:r w:rsidRPr="00B32854">
              <w:t>17.3</w:t>
            </w:r>
          </w:p>
        </w:tc>
      </w:tr>
      <w:tr w:rsidR="00566E9A" w:rsidRPr="00B32854" w:rsidTr="00AE57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hideMark/>
          </w:tcPr>
          <w:p w:rsidR="00566E9A" w:rsidRPr="00B32854" w:rsidRDefault="00566E9A" w:rsidP="00AE5760">
            <w:pPr>
              <w:ind w:left="0" w:firstLine="0"/>
            </w:pPr>
            <w:r w:rsidRPr="00B32854">
              <w:t>Total</w:t>
            </w:r>
          </w:p>
        </w:tc>
        <w:tc>
          <w:tcPr>
            <w:tcW w:w="1714" w:type="dxa"/>
          </w:tcPr>
          <w:p w:rsidR="00566E9A" w:rsidRPr="00B32854" w:rsidRDefault="00566E9A" w:rsidP="00AE5760">
            <w:pPr>
              <w:cnfStyle w:val="010000000000" w:firstRow="0" w:lastRow="1" w:firstColumn="0" w:lastColumn="0" w:oddVBand="0" w:evenVBand="0" w:oddHBand="0" w:evenHBand="0" w:firstRowFirstColumn="0" w:firstRowLastColumn="0" w:lastRowFirstColumn="0" w:lastRowLastColumn="0"/>
            </w:pPr>
            <w:r w:rsidRPr="00B32854">
              <w:t>100.0</w:t>
            </w:r>
          </w:p>
        </w:tc>
      </w:tr>
    </w:tbl>
    <w:p w:rsidR="00566E9A" w:rsidRPr="00D87D22" w:rsidRDefault="00566E9A" w:rsidP="00AE5760">
      <w:pPr>
        <w:pStyle w:val="Source"/>
        <w:rPr>
          <w:rFonts w:eastAsiaTheme="minorHAnsi"/>
        </w:rPr>
      </w:pPr>
      <w:r w:rsidRPr="00D87D22">
        <w:rPr>
          <w:rFonts w:eastAsiaTheme="minorHAnsi"/>
        </w:rPr>
        <w:t>Source: Department of Treasury and Finance</w:t>
      </w:r>
    </w:p>
    <w:p w:rsidR="00C14B16" w:rsidRPr="00C14B16" w:rsidRDefault="00C14B16" w:rsidP="00C14B16">
      <w:pPr>
        <w:rPr>
          <w:rFonts w:eastAsiaTheme="minorHAnsi"/>
        </w:rPr>
      </w:pPr>
      <w:r w:rsidRPr="00C14B16">
        <w:rPr>
          <w:rFonts w:eastAsiaTheme="minorHAnsi"/>
        </w:rPr>
        <w:br w:type="page"/>
      </w:r>
    </w:p>
    <w:p w:rsidR="00566E9A" w:rsidRPr="00D87D22" w:rsidRDefault="00566E9A" w:rsidP="00AE5760">
      <w:pPr>
        <w:pStyle w:val="Heading3Numbering"/>
        <w:rPr>
          <w:rFonts w:eastAsiaTheme="minorHAnsi"/>
        </w:rPr>
      </w:pPr>
      <w:r w:rsidRPr="00D87D22">
        <w:rPr>
          <w:rFonts w:eastAsiaTheme="minorHAnsi"/>
        </w:rPr>
        <w:lastRenderedPageBreak/>
        <w:t>Sensitivity analysis</w:t>
      </w:r>
    </w:p>
    <w:p w:rsidR="00566E9A" w:rsidRPr="00D87D22" w:rsidRDefault="00566E9A" w:rsidP="00AE5760">
      <w:pPr>
        <w:rPr>
          <w:rFonts w:eastAsiaTheme="minorHAnsi"/>
        </w:rPr>
      </w:pPr>
      <w:r w:rsidRPr="00D87D22">
        <w:rPr>
          <w:rFonts w:eastAsiaTheme="minorHAnsi"/>
        </w:rPr>
        <w:t xml:space="preserve">Appendix D </w:t>
      </w:r>
      <w:r w:rsidRPr="00A75420">
        <w:rPr>
          <w:rFonts w:eastAsiaTheme="minorHAnsi"/>
          <w:i/>
        </w:rPr>
        <w:t>Sensitivity analysis</w:t>
      </w:r>
      <w:r w:rsidRPr="00D87D22">
        <w:rPr>
          <w:rFonts w:eastAsiaTheme="minorHAnsi"/>
        </w:rPr>
        <w:t xml:space="preserve"> provides an estimate of the impact on revenue, expenses, the net result from transactions, the net result, and net debt associated with variations to forecasts of selected economic and financial variables. </w:t>
      </w:r>
    </w:p>
    <w:p w:rsidR="00566E9A" w:rsidRPr="00D87D22" w:rsidRDefault="00566E9A" w:rsidP="00AE5760">
      <w:pPr>
        <w:pStyle w:val="Heading3Numbering"/>
        <w:rPr>
          <w:rFonts w:eastAsiaTheme="minorHAnsi"/>
        </w:rPr>
      </w:pPr>
      <w:r w:rsidRPr="00D87D22">
        <w:rPr>
          <w:rFonts w:eastAsiaTheme="minorHAnsi"/>
        </w:rPr>
        <w:t>Prospective accounting changes</w:t>
      </w:r>
    </w:p>
    <w:p w:rsidR="00566E9A" w:rsidRPr="00D87D22" w:rsidRDefault="00566E9A" w:rsidP="00AE5760">
      <w:pPr>
        <w:rPr>
          <w:rFonts w:eastAsiaTheme="minorHAnsi"/>
        </w:rPr>
      </w:pPr>
      <w:r w:rsidRPr="00D87D22">
        <w:rPr>
          <w:rFonts w:eastAsiaTheme="minorHAnsi"/>
        </w:rPr>
        <w:t>Certain new and revised accounting standards have been issued but are not effective for the 2016-17 reporting period. The State is reviewing its existing policies to assess the potential implications and make changes as required. They include:</w:t>
      </w:r>
    </w:p>
    <w:p w:rsidR="00566E9A" w:rsidRPr="00D87D22" w:rsidRDefault="00566E9A" w:rsidP="00AE5760">
      <w:pPr>
        <w:pStyle w:val="BulletText"/>
        <w:rPr>
          <w:rFonts w:eastAsiaTheme="minorHAnsi"/>
        </w:rPr>
      </w:pPr>
      <w:r w:rsidRPr="00D87D22">
        <w:rPr>
          <w:rFonts w:eastAsiaTheme="minorHAnsi"/>
        </w:rPr>
        <w:t xml:space="preserve">AASB 9 </w:t>
      </w:r>
      <w:r w:rsidRPr="00A75420">
        <w:rPr>
          <w:rFonts w:eastAsiaTheme="minorHAnsi"/>
          <w:i/>
        </w:rPr>
        <w:t>Financial Instruments</w:t>
      </w:r>
      <w:r w:rsidRPr="00D87D22">
        <w:rPr>
          <w:rFonts w:eastAsiaTheme="minorHAnsi"/>
        </w:rPr>
        <w:t xml:space="preserve">, operative for reporting periods beginning from 1 January 2018 as revised by AASB 2014 1 </w:t>
      </w:r>
      <w:r w:rsidRPr="00A75420">
        <w:rPr>
          <w:rFonts w:eastAsiaTheme="minorHAnsi"/>
          <w:i/>
        </w:rPr>
        <w:t>Amendments to Australian Accounting Standards</w:t>
      </w:r>
      <w:r w:rsidRPr="00D87D22">
        <w:rPr>
          <w:rFonts w:eastAsiaTheme="minorHAnsi"/>
        </w:rPr>
        <w:t xml:space="preserve"> (Part</w:t>
      </w:r>
      <w:r>
        <w:rPr>
          <w:rFonts w:eastAsiaTheme="minorHAnsi"/>
        </w:rPr>
        <w:t> </w:t>
      </w:r>
      <w:r w:rsidRPr="00D87D22">
        <w:rPr>
          <w:rFonts w:eastAsiaTheme="minorHAnsi"/>
        </w:rPr>
        <w:t>E</w:t>
      </w:r>
      <w:r>
        <w:rPr>
          <w:rFonts w:eastAsiaTheme="minorHAnsi"/>
        </w:rPr>
        <w:t> </w:t>
      </w:r>
      <w:r w:rsidRPr="00A75420">
        <w:rPr>
          <w:rFonts w:eastAsiaTheme="minorHAnsi"/>
          <w:i/>
        </w:rPr>
        <w:t>Financial Instruments</w:t>
      </w:r>
      <w:r w:rsidRPr="00D87D22">
        <w:rPr>
          <w:rFonts w:eastAsiaTheme="minorHAnsi"/>
        </w:rPr>
        <w:t xml:space="preserve">). AASB 9 simplifies requirements for the classification and measurement of financial assets, introduces a new hedging accounting model and also considers a revised impairment loss model to recognise impairment loss earlier, as opposed to the current approach that recognises impairment loss only when incurred. </w:t>
      </w:r>
    </w:p>
    <w:p w:rsidR="00566E9A" w:rsidRDefault="00566E9A" w:rsidP="00AE5760">
      <w:pPr>
        <w:pStyle w:val="BulletText"/>
        <w:rPr>
          <w:rFonts w:eastAsiaTheme="minorHAnsi"/>
        </w:rPr>
      </w:pPr>
      <w:r w:rsidRPr="003E1567">
        <w:rPr>
          <w:rFonts w:eastAsiaTheme="minorHAnsi"/>
        </w:rPr>
        <w:t xml:space="preserve">AASB 15 </w:t>
      </w:r>
      <w:r w:rsidRPr="003E1567">
        <w:rPr>
          <w:rFonts w:eastAsiaTheme="minorHAnsi"/>
          <w:i/>
        </w:rPr>
        <w:t>Revenue from Contracts with Customers</w:t>
      </w:r>
      <w:r w:rsidRPr="003E1567">
        <w:rPr>
          <w:rFonts w:eastAsiaTheme="minorHAnsi"/>
        </w:rPr>
        <w:t>, operative for reporting periods commencing 1 January 2019. The core principle of AASB 15 requires an entity to recognise revenue when the entity satisfies a performance obligation by transferring a promised good or service to a customer</w:t>
      </w:r>
      <w:r>
        <w:rPr>
          <w:rFonts w:eastAsiaTheme="minorHAnsi"/>
        </w:rPr>
        <w:t>.</w:t>
      </w:r>
    </w:p>
    <w:p w:rsidR="00566E9A" w:rsidRDefault="00566E9A" w:rsidP="00AE5760">
      <w:pPr>
        <w:pStyle w:val="BulletText"/>
        <w:rPr>
          <w:rFonts w:eastAsiaTheme="minorHAnsi"/>
        </w:rPr>
      </w:pPr>
      <w:r w:rsidRPr="003E1567">
        <w:rPr>
          <w:rFonts w:eastAsiaTheme="minorHAnsi"/>
        </w:rPr>
        <w:t xml:space="preserve">AASB 16 </w:t>
      </w:r>
      <w:r w:rsidRPr="003E1567">
        <w:rPr>
          <w:rFonts w:eastAsiaTheme="minorHAnsi"/>
          <w:i/>
        </w:rPr>
        <w:t>Leases</w:t>
      </w:r>
      <w:r w:rsidRPr="003E1567">
        <w:rPr>
          <w:rFonts w:eastAsiaTheme="minorHAnsi"/>
        </w:rPr>
        <w:t xml:space="preserve">, operative for reporting periods commencing 1 January 2019. The key changes include the recognition of most operating leases on balance sheet. </w:t>
      </w:r>
    </w:p>
    <w:p w:rsidR="00566E9A" w:rsidRPr="003E1567" w:rsidRDefault="00566E9A" w:rsidP="00AE5760">
      <w:pPr>
        <w:pStyle w:val="BulletText"/>
        <w:numPr>
          <w:ilvl w:val="0"/>
          <w:numId w:val="0"/>
        </w:numPr>
        <w:rPr>
          <w:rFonts w:eastAsiaTheme="minorHAnsi"/>
        </w:rPr>
      </w:pPr>
      <w:r w:rsidRPr="003E1567">
        <w:rPr>
          <w:rFonts w:eastAsiaTheme="minorHAnsi"/>
        </w:rPr>
        <w:t>There is no intention to early adopt the above accounting standards.</w:t>
      </w:r>
    </w:p>
    <w:p w:rsidR="00566E9A" w:rsidRPr="00D87D22" w:rsidRDefault="00566E9A" w:rsidP="00AE5760">
      <w:pPr>
        <w:rPr>
          <w:rFonts w:eastAsiaTheme="minorHAnsi"/>
        </w:rPr>
      </w:pPr>
      <w:r w:rsidRPr="00D87D22">
        <w:rPr>
          <w:rFonts w:eastAsiaTheme="minorHAnsi"/>
        </w:rPr>
        <w:t xml:space="preserve">Several other amending standards and AASB interpretations have been issued that apply for future reporting periods, but are considered to have limited impact on public sector reporting. </w:t>
      </w:r>
    </w:p>
    <w:p w:rsidR="00566E9A" w:rsidRPr="00D87D22" w:rsidRDefault="00566E9A" w:rsidP="00AE5760">
      <w:pPr>
        <w:rPr>
          <w:rFonts w:eastAsiaTheme="minorHAnsi"/>
        </w:rPr>
      </w:pPr>
      <w:r w:rsidRPr="00D87D22">
        <w:rPr>
          <w:rFonts w:eastAsiaTheme="minorHAnsi"/>
        </w:rPr>
        <w:t xml:space="preserve">The ABS recently released a new manual, </w:t>
      </w:r>
      <w:r w:rsidRPr="00350D3A">
        <w:rPr>
          <w:rFonts w:eastAsiaTheme="minorHAnsi"/>
          <w:i/>
        </w:rPr>
        <w:t>Australian System of Government Finance Statistics: Concepts, Sources and Methods 2015</w:t>
      </w:r>
      <w:r>
        <w:rPr>
          <w:rFonts w:eastAsiaTheme="minorHAnsi"/>
        </w:rPr>
        <w:t xml:space="preserve"> on 23 </w:t>
      </w:r>
      <w:r w:rsidRPr="00D87D22">
        <w:rPr>
          <w:rFonts w:eastAsiaTheme="minorHAnsi"/>
        </w:rPr>
        <w:t>December 2015. For financial reporting under AASB 1049, the new manual will apply for reporting periods beginning from 1 July 2018. The State will assess the potential reporting implications of the amendments.</w:t>
      </w:r>
    </w:p>
    <w:p w:rsidR="00566E9A" w:rsidRPr="00553327" w:rsidRDefault="00566E9A" w:rsidP="00AE5760">
      <w:pPr>
        <w:rPr>
          <w:rFonts w:eastAsiaTheme="minorHAnsi"/>
        </w:rPr>
      </w:pPr>
    </w:p>
    <w:p w:rsidR="00566E9A" w:rsidRDefault="00566E9A" w:rsidP="00AE5760">
      <w:pPr>
        <w:rPr>
          <w:rFonts w:eastAsiaTheme="minorHAnsi"/>
        </w:rPr>
      </w:pPr>
    </w:p>
    <w:p w:rsidR="00566E9A" w:rsidRDefault="00566E9A">
      <w:pPr>
        <w:spacing w:after="0"/>
        <w:rPr>
          <w:rFonts w:asciiTheme="majorHAnsi" w:eastAsiaTheme="minorHAnsi" w:hAnsiTheme="majorHAnsi"/>
          <w:b/>
        </w:rPr>
      </w:pPr>
      <w:r>
        <w:rPr>
          <w:rFonts w:eastAsiaTheme="minorHAnsi"/>
        </w:rPr>
        <w:br w:type="page"/>
      </w:r>
    </w:p>
    <w:p w:rsidR="00566E9A" w:rsidRPr="00504625" w:rsidRDefault="00566E9A" w:rsidP="00AE5760">
      <w:pPr>
        <w:pStyle w:val="Heading2Notes"/>
        <w:rPr>
          <w:rFonts w:eastAsiaTheme="minorHAnsi"/>
        </w:rPr>
      </w:pPr>
      <w:r>
        <w:rPr>
          <w:rFonts w:eastAsiaTheme="minorHAnsi"/>
        </w:rPr>
        <w:lastRenderedPageBreak/>
        <w:t>Note 2:</w:t>
      </w:r>
      <w:r>
        <w:rPr>
          <w:rFonts w:eastAsiaTheme="minorHAnsi"/>
        </w:rPr>
        <w:tab/>
        <w:t>Taxation revenue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2"/>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Taxes on employers’ payroll and labour force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5 671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5 668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5 927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6 195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6 493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Taxes on property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Taxes on immovable property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Land tax</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2 225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2 359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2 319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2 632</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2 579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Fire Services Property Levy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662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684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678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687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Congestion levy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112</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Metropolitan improvement levy</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158</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158</w:t>
            </w:r>
          </w:p>
        </w:tc>
        <w:tc>
          <w:tcPr>
            <w:tcW w:w="852"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taxes on immovable property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3 171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3 286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3 271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3 581</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3 539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Financial and capital transactions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Land transfer duty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5 677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5 705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5 887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6 164</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6 532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property duties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Metropolitan planning levy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Financial accommodation levy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Growth areas infrastructure contributions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184</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financial and capital transactions</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5 991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6 032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6 241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6 543</w:t>
            </w:r>
          </w:p>
        </w:tc>
        <w:tc>
          <w:tcPr>
            <w:tcW w:w="852"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6 934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taxes on property</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9 162</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9 318</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9 512</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10 123</w:t>
            </w:r>
          </w:p>
        </w:tc>
        <w:tc>
          <w:tcPr>
            <w:tcW w:w="852"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10 473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Taxes on the provision of goods and services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Gambling taxes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Public lotteries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484</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506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Electronic gaming machines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1 126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1 145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1 164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Casino</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248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256</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Racing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71</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32</w:t>
            </w:r>
          </w:p>
        </w:tc>
        <w:tc>
          <w:tcPr>
            <w:tcW w:w="852"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gambling taxes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1 911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1 881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1 938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1 989</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2 038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Levies on statutory corporations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157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157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Taxes on insurance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1 220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1 224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1 306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1 395</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1 492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taxes on the provision of goods and services</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3 243</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3 216</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3 357</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3 541</w:t>
            </w:r>
          </w:p>
        </w:tc>
        <w:tc>
          <w:tcPr>
            <w:tcW w:w="852"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3 687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6"/>
              </w:rPr>
              <w:t>Taxes on the use of goods and performance of activities</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Motor vehicle taxes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Vehicle registration fees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1 532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1 537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1 589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1 648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1 711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Duty on vehicle registrations and transfers</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802</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813</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838</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861</w:t>
            </w:r>
          </w:p>
        </w:tc>
        <w:tc>
          <w:tcPr>
            <w:tcW w:w="852"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886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motor vehicle taxes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2 334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2 349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2 426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2 509</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2 597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Liquor licence fees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24</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vertAlign w:val="superscript"/>
              </w:rPr>
            </w:pPr>
            <w:r w:rsidRPr="007208F6">
              <w:rPr>
                <w:rFonts w:eastAsiaTheme="minorEastAsia" w:cs="Calibri"/>
                <w:b/>
                <w:bCs/>
                <w:color w:val="000000"/>
                <w:szCs w:val="16"/>
              </w:rPr>
              <w:t xml:space="preserve">Other </w:t>
            </w:r>
            <w:r w:rsidRPr="007208F6">
              <w:rPr>
                <w:rFonts w:eastAsiaTheme="minorEastAsia" w:cs="Calibri"/>
                <w:b/>
                <w:bCs/>
                <w:color w:val="000000"/>
                <w:szCs w:val="16"/>
                <w:vertAlign w:val="superscript"/>
              </w:rPr>
              <w:t>(a)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1 161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1 057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278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280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taxes on the use of goods and performance of activities</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3 518</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3 429</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2 693</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2 811</w:t>
            </w:r>
          </w:p>
        </w:tc>
        <w:tc>
          <w:tcPr>
            <w:tcW w:w="852"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2 901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taxation revenue</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21 594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21 631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21 489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22 670</w:t>
            </w:r>
          </w:p>
        </w:tc>
        <w:tc>
          <w:tcPr>
            <w:tcW w:w="8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23 553</w:t>
            </w:r>
          </w:p>
        </w:tc>
      </w:tr>
    </w:tbl>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t>Includes prepaid port licence fees.</w:t>
      </w:r>
    </w:p>
    <w:p w:rsidR="00566E9A" w:rsidRDefault="00566E9A" w:rsidP="00AE5760">
      <w:pPr>
        <w:pStyle w:val="Heading1"/>
        <w:rPr>
          <w:rFonts w:eastAsiaTheme="minorHAnsi"/>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3:</w:t>
      </w:r>
      <w:r>
        <w:rPr>
          <w:rFonts w:eastAsiaTheme="minorHAnsi"/>
        </w:rPr>
        <w:tab/>
        <w:t>Dividends, income tax equivalent and rate equivalent revenue</w:t>
      </w:r>
    </w:p>
    <w:p w:rsidR="00566E9A" w:rsidRDefault="00566E9A" w:rsidP="00AE5760">
      <w:pPr>
        <w:pStyle w:val="Heading5"/>
        <w:rPr>
          <w:rFonts w:eastAsiaTheme="minorHAnsi"/>
        </w:rPr>
      </w:pPr>
      <w:r>
        <w:rPr>
          <w:rFonts w:eastAsiaTheme="minorHAnsi"/>
        </w:rPr>
        <w:t>(a)</w:t>
      </w:r>
      <w:r>
        <w:rPr>
          <w:rFonts w:eastAsiaTheme="minorHAnsi"/>
        </w:rPr>
        <w:tab/>
        <w:t>Dividends, income tax equivalent and rate equivalent revenue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685"/>
        <w:gridCol w:w="816"/>
        <w:gridCol w:w="816"/>
        <w:gridCol w:w="816"/>
        <w:gridCol w:w="816"/>
        <w:gridCol w:w="816"/>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Dividends from PFC sector</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526</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318</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374</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322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Dividends from PNFC sector</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372</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189</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Dividends from non-public sector</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Dividends</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805</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529</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769</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395</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490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Income tax equivalent revenue from PFC sector</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89</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Income tax equivalent revenue from PNFC sector</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192</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169</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184</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160</w:t>
            </w:r>
          </w:p>
        </w:tc>
        <w:tc>
          <w:tcPr>
            <w:tcW w:w="816"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Income tax equivalent revenue</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243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172</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201</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248</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285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Local government rate equivalent revenue</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dividends, income tax equivalent and rate equivalent revenue</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1 059</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712</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983</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656</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789</w:t>
            </w:r>
          </w:p>
        </w:tc>
      </w:tr>
    </w:tbl>
    <w:p w:rsidR="00566E9A" w:rsidRDefault="00566E9A" w:rsidP="00AE5760">
      <w:pPr>
        <w:rPr>
          <w:rFonts w:eastAsiaTheme="minorHAnsi"/>
        </w:rPr>
      </w:pPr>
    </w:p>
    <w:p w:rsidR="00566E9A" w:rsidRDefault="00566E9A" w:rsidP="00AE5760">
      <w:pPr>
        <w:pStyle w:val="Heading5"/>
        <w:rPr>
          <w:rFonts w:eastAsiaTheme="minorHAnsi"/>
        </w:rPr>
      </w:pPr>
      <w:r>
        <w:rPr>
          <w:rFonts w:eastAsiaTheme="minorHAnsi"/>
        </w:rPr>
        <w:t>(b)</w:t>
      </w:r>
      <w:r>
        <w:rPr>
          <w:rFonts w:eastAsiaTheme="minorHAnsi"/>
        </w:rPr>
        <w:tab/>
        <w:t>Dividends by entity</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4" w:type="dxa"/>
        <w:tblInd w:w="45" w:type="dxa"/>
        <w:tblLayout w:type="fixed"/>
        <w:tblCellMar>
          <w:left w:w="45" w:type="dxa"/>
          <w:right w:w="45" w:type="dxa"/>
        </w:tblCellMar>
        <w:tblLook w:val="06A0" w:firstRow="1" w:lastRow="0" w:firstColumn="1" w:lastColumn="0" w:noHBand="1" w:noVBand="1"/>
      </w:tblPr>
      <w:tblGrid>
        <w:gridCol w:w="3514"/>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4"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Public financial corporations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Victorian Managed Insurance Authority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Transport Accident Commission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Treasury Corporation of Victoria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State Trustees Ltd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Victorian Funds Management Corporation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Dividends from PFC sector</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526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318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374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183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322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Public non-financial corporations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City West Water Corporation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Melbourne Water Corporation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South East Water Corporation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Yarra Valley Water Corporation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 xml:space="preserve">State Electricity Commission of Victoria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Port of Melbourne Corporation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Places Victoria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Dividends from PNFC sector</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250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190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372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189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146</w:t>
            </w:r>
          </w:p>
        </w:tc>
      </w:tr>
    </w:tbl>
    <w:p w:rsidR="00566E9A" w:rsidRDefault="00566E9A" w:rsidP="00AE5760">
      <w:pPr>
        <w:rPr>
          <w:rFonts w:eastAsiaTheme="minorHAnsi"/>
        </w:rPr>
      </w:pPr>
    </w:p>
    <w:p w:rsidR="00566E9A" w:rsidRDefault="00566E9A" w:rsidP="00AE5760">
      <w:pPr>
        <w:rPr>
          <w:rFonts w:eastAsiaTheme="minorHAnsi"/>
          <w:kern w:val="28"/>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4:</w:t>
      </w:r>
      <w:r>
        <w:rPr>
          <w:rFonts w:eastAsiaTheme="minorHAnsi"/>
        </w:rPr>
        <w:tab/>
        <w:t>Sales of goods and services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Motor vehicle regulatory fees</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216</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223</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206</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217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224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regulatory fees</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499</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510</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527</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Sale of goods</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71</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75</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76</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82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Provision of services</w:t>
            </w:r>
            <w:r>
              <w:rPr>
                <w:rFonts w:eastAsiaTheme="minorEastAsia" w:cs="Calibri"/>
                <w:color w:val="000000"/>
                <w:szCs w:val="16"/>
              </w:rPr>
              <w:t xml:space="preserve"> </w:t>
            </w:r>
            <w:r w:rsidRPr="005B1D7D">
              <w:rPr>
                <w:rFonts w:eastAsiaTheme="minorEastAsia" w:cs="Calibri"/>
                <w:color w:val="000000"/>
                <w:szCs w:val="16"/>
                <w:vertAlign w:val="superscript"/>
              </w:rPr>
              <w:t>(a)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4 017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3 964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4 092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4 226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4 197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Rental</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61</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62</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62</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64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Refunds and reimbursements</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56</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56</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56</w:t>
            </w:r>
          </w:p>
        </w:tc>
        <w:tc>
          <w:tcPr>
            <w:tcW w:w="850" w:type="dxa"/>
            <w:tcBorders>
              <w:top w:val="nil"/>
              <w:left w:val="nil"/>
              <w:bottom w:val="nil"/>
              <w:right w:val="nil"/>
            </w:tcBorders>
          </w:tcPr>
          <w:p w:rsidR="00566E9A" w:rsidRPr="007208F6" w:rsidRDefault="00162E92"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Pr>
                <w:rFonts w:eastAsiaTheme="minorEastAsia" w:cs="Arial"/>
                <w:color w:val="000000"/>
                <w:szCs w:val="14"/>
              </w:rPr>
              <w:t>56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Inter-sector capital asset charge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1 924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1 924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2 071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2 171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rPr>
            </w:pPr>
            <w:r w:rsidRPr="007208F6">
              <w:rPr>
                <w:rFonts w:eastAsiaTheme="minorEastAsia" w:cs="Arial"/>
                <w:color w:val="000000"/>
                <w:szCs w:val="14"/>
              </w:rPr>
              <w:t>2 179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sales of goods and services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rPr>
            </w:pPr>
            <w:r w:rsidRPr="007208F6">
              <w:rPr>
                <w:rFonts w:eastAsiaTheme="minorEastAsia" w:cs="Arial"/>
                <w:b/>
                <w:bCs/>
                <w:color w:val="000000"/>
                <w:szCs w:val="14"/>
              </w:rPr>
              <w:t>6 843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rPr>
            </w:pPr>
            <w:r w:rsidRPr="007208F6">
              <w:rPr>
                <w:rFonts w:eastAsiaTheme="minorEastAsia" w:cs="Arial"/>
                <w:b/>
                <w:bCs/>
                <w:color w:val="000000"/>
                <w:szCs w:val="14"/>
              </w:rPr>
              <w:t>6 813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rPr>
            </w:pPr>
            <w:r w:rsidRPr="007208F6">
              <w:rPr>
                <w:rFonts w:eastAsiaTheme="minorEastAsia" w:cs="Arial"/>
                <w:b/>
                <w:bCs/>
                <w:color w:val="000000"/>
                <w:szCs w:val="14"/>
              </w:rPr>
              <w:t>7 090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rPr>
            </w:pPr>
            <w:r w:rsidRPr="007208F6">
              <w:rPr>
                <w:rFonts w:eastAsiaTheme="minorEastAsia" w:cs="Arial"/>
                <w:b/>
                <w:bCs/>
                <w:color w:val="000000"/>
                <w:szCs w:val="14"/>
              </w:rPr>
              <w:t>7 345</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rPr>
            </w:pPr>
            <w:r w:rsidRPr="007208F6">
              <w:rPr>
                <w:rFonts w:eastAsiaTheme="minorEastAsia" w:cs="Arial"/>
                <w:b/>
                <w:bCs/>
                <w:color w:val="000000"/>
                <w:szCs w:val="14"/>
              </w:rPr>
              <w:t>7 351</w:t>
            </w:r>
          </w:p>
        </w:tc>
      </w:tr>
    </w:tbl>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t>Further disclosure on provision of services by department is available on the Department of Treasury and Finance’s website.</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5:</w:t>
      </w:r>
      <w:r>
        <w:rPr>
          <w:rFonts w:eastAsiaTheme="minorHAnsi"/>
        </w:rPr>
        <w:tab/>
        <w:t>Grant revenue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General purpose grants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13 885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13 911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14 756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16 151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16 924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Specific purpose grants for on-passing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3 576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3 557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3 739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3 921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4 112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Grants for specific purposes</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9 731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9 943</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9 816</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10 055</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9 038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27 192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27 411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28 310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30 127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30 073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Other contributions and grants </w:t>
            </w:r>
            <w:r w:rsidRPr="007208F6">
              <w:rPr>
                <w:rFonts w:eastAsiaTheme="minorEastAsia" w:cs="Calibri"/>
                <w:color w:val="000000"/>
                <w:szCs w:val="16"/>
                <w:vertAlign w:val="superscript"/>
              </w:rPr>
              <w:t>(a)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452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500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1 245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grant revenue</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27 424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27 623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28 762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30 627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31 318</w:t>
            </w:r>
          </w:p>
        </w:tc>
      </w:tr>
    </w:tbl>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t>Includes reclassification of  contributions from Public Financial Corporations.</w:t>
      </w:r>
    </w:p>
    <w:p w:rsidR="00566E9A" w:rsidRDefault="00566E9A" w:rsidP="00F941FD">
      <w:pPr>
        <w:rPr>
          <w:rFonts w:eastAsiaTheme="minorHAnsi"/>
        </w:rPr>
      </w:pPr>
    </w:p>
    <w:p w:rsidR="002803AA" w:rsidRDefault="002803AA" w:rsidP="00F941FD">
      <w:pPr>
        <w:rPr>
          <w:rFonts w:eastAsiaTheme="minorHAnsi"/>
        </w:rPr>
      </w:pPr>
    </w:p>
    <w:p w:rsidR="00566E9A" w:rsidRDefault="00566E9A" w:rsidP="00AE5760">
      <w:pPr>
        <w:pStyle w:val="Heading2Notes"/>
        <w:rPr>
          <w:rFonts w:eastAsiaTheme="minorHAnsi"/>
        </w:rPr>
      </w:pPr>
      <w:r>
        <w:rPr>
          <w:rFonts w:eastAsiaTheme="minorHAnsi"/>
        </w:rPr>
        <w:t>Note 6:</w:t>
      </w:r>
      <w:r>
        <w:rPr>
          <w:rFonts w:eastAsiaTheme="minorHAnsi"/>
        </w:rPr>
        <w:tab/>
        <w:t>Other revenue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Fair value of assets received free of charge or for nominal consideration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Fines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773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847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Royalties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Donations and gifts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non-property rental</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miscellaneous revenue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1 084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1 034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other revenue</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2 569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2 539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2 257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2 266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2 301</w:t>
            </w:r>
          </w:p>
        </w:tc>
      </w:tr>
    </w:tbl>
    <w:p w:rsidR="00566E9A" w:rsidRDefault="00566E9A" w:rsidP="00AE5760">
      <w:pPr>
        <w:rPr>
          <w:rFonts w:eastAsiaTheme="minorHAnsi"/>
        </w:rPr>
      </w:pPr>
    </w:p>
    <w:p w:rsidR="00566E9A" w:rsidRDefault="00566E9A" w:rsidP="00AE5760">
      <w:pPr>
        <w:pStyle w:val="Heading2Notes"/>
        <w:rPr>
          <w:rFonts w:eastAsiaTheme="minorHAnsi"/>
        </w:rPr>
      </w:pPr>
      <w:r>
        <w:rPr>
          <w:rFonts w:eastAsiaTheme="minorHAnsi"/>
        </w:rPr>
        <w:lastRenderedPageBreak/>
        <w:t>Note 7:</w:t>
      </w:r>
      <w:r>
        <w:rPr>
          <w:rFonts w:eastAsiaTheme="minorHAnsi"/>
        </w:rPr>
        <w:tab/>
        <w:t>Superannuation</w:t>
      </w:r>
    </w:p>
    <w:p w:rsidR="00566E9A" w:rsidRDefault="00566E9A" w:rsidP="00AE5760">
      <w:pPr>
        <w:pStyle w:val="Heading5"/>
        <w:rPr>
          <w:rFonts w:eastAsiaTheme="minorHAnsi"/>
        </w:rPr>
      </w:pPr>
      <w:r>
        <w:rPr>
          <w:rFonts w:eastAsiaTheme="minorHAnsi"/>
        </w:rPr>
        <w:t>(a)</w:t>
      </w:r>
      <w:r>
        <w:rPr>
          <w:rFonts w:eastAsiaTheme="minorHAnsi"/>
        </w:rPr>
        <w:tab/>
        <w:t>Superannuation costs recognised in the operating statement</w:t>
      </w:r>
    </w:p>
    <w:p w:rsidR="00566E9A" w:rsidRPr="0000362F"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00362F"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00362F" w:rsidRDefault="00AE5760" w:rsidP="00AE5760">
            <w:pPr>
              <w:autoSpaceDE w:val="0"/>
              <w:autoSpaceDN w:val="0"/>
              <w:adjustRightInd w:val="0"/>
              <w:rPr>
                <w:rFonts w:eastAsiaTheme="minorEastAsia" w:cs="Calibri"/>
                <w:iCs/>
                <w:color w:val="FFFFFF"/>
              </w:rPr>
            </w:pPr>
            <w:r w:rsidRPr="0000362F">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00362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00362F">
              <w:rPr>
                <w:rFonts w:eastAsiaTheme="minorEastAsia" w:cs="Calibri"/>
                <w:iCs/>
                <w:color w:val="FFFFFF"/>
                <w:szCs w:val="16"/>
              </w:rPr>
              <w:t>2016-17</w:t>
            </w:r>
            <w:r>
              <w:rPr>
                <w:rFonts w:eastAsiaTheme="minorEastAsia" w:cs="Calibri"/>
                <w:iCs/>
                <w:color w:val="FFFFFF"/>
                <w:szCs w:val="16"/>
              </w:rPr>
              <w:br/>
            </w:r>
            <w:r w:rsidRPr="0000362F">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00362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00362F">
              <w:rPr>
                <w:rFonts w:eastAsiaTheme="minorEastAsia" w:cs="Calibri"/>
                <w:iCs/>
                <w:color w:val="FFFFFF"/>
                <w:szCs w:val="16"/>
              </w:rPr>
              <w:t>2016-17</w:t>
            </w:r>
            <w:r>
              <w:rPr>
                <w:rFonts w:eastAsiaTheme="minorEastAsia" w:cs="Calibri"/>
                <w:iCs/>
                <w:color w:val="FFFFFF"/>
                <w:szCs w:val="16"/>
              </w:rPr>
              <w:br/>
            </w:r>
            <w:r w:rsidRPr="0000362F">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00362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00362F">
              <w:rPr>
                <w:rFonts w:eastAsiaTheme="minorEastAsia" w:cs="Calibri"/>
                <w:iCs/>
                <w:color w:val="FFFFFF"/>
                <w:szCs w:val="16"/>
              </w:rPr>
              <w:t>2017-18</w:t>
            </w:r>
            <w:r>
              <w:rPr>
                <w:rFonts w:eastAsiaTheme="minorEastAsia" w:cs="Calibri"/>
                <w:iCs/>
                <w:color w:val="FFFFFF"/>
                <w:szCs w:val="16"/>
              </w:rPr>
              <w:br/>
            </w:r>
            <w:r w:rsidRPr="0000362F">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00362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00362F">
              <w:rPr>
                <w:rFonts w:eastAsiaTheme="minorEastAsia" w:cs="Calibri"/>
                <w:iCs/>
                <w:color w:val="FFFFFF"/>
                <w:szCs w:val="16"/>
              </w:rPr>
              <w:t>2018-19</w:t>
            </w:r>
            <w:r>
              <w:rPr>
                <w:rFonts w:eastAsiaTheme="minorEastAsia" w:cs="Calibri"/>
                <w:iCs/>
                <w:color w:val="FFFFFF"/>
                <w:szCs w:val="16"/>
              </w:rPr>
              <w:br/>
            </w:r>
            <w:r w:rsidRPr="0000362F">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00362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00362F">
              <w:rPr>
                <w:rFonts w:eastAsiaTheme="minorEastAsia" w:cs="Calibri"/>
                <w:iCs/>
                <w:color w:val="FFFFFF"/>
                <w:szCs w:val="16"/>
              </w:rPr>
              <w:t>2019-20</w:t>
            </w:r>
            <w:r>
              <w:rPr>
                <w:rFonts w:eastAsiaTheme="minorEastAsia" w:cs="Calibri"/>
                <w:iCs/>
                <w:color w:val="FFFFFF"/>
                <w:szCs w:val="16"/>
              </w:rPr>
              <w:br/>
            </w:r>
            <w:r w:rsidRPr="0000362F">
              <w:rPr>
                <w:rFonts w:eastAsiaTheme="minorEastAsia" w:cs="Calibri"/>
                <w:iCs/>
                <w:color w:val="FFFFFF"/>
                <w:szCs w:val="16"/>
              </w:rPr>
              <w:t>estimate</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Defined benefit plans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Net superannuation interest expense</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692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647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599</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 xml:space="preserve">Current service cost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780</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843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835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820</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816</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proofErr w:type="spellStart"/>
            <w:r w:rsidRPr="0000362F">
              <w:rPr>
                <w:rFonts w:eastAsiaTheme="minorEastAsia" w:cs="Calibri"/>
                <w:color w:val="000000"/>
                <w:szCs w:val="16"/>
              </w:rPr>
              <w:t>Remeasurements</w:t>
            </w:r>
            <w:proofErr w:type="spellEnd"/>
            <w:r w:rsidRPr="0000362F">
              <w:rPr>
                <w:rFonts w:eastAsiaTheme="minorEastAsia" w:cs="Calibri"/>
                <w:color w:val="000000"/>
                <w:szCs w:val="16"/>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00362F">
              <w:rPr>
                <w:rFonts w:eastAsiaTheme="minorEastAsia" w:cs="Calibri"/>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00362F">
              <w:rPr>
                <w:rFonts w:eastAsiaTheme="minorEastAsia" w:cs="Calibri"/>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00362F">
              <w:rPr>
                <w:rFonts w:eastAsiaTheme="minorEastAsia" w:cs="Calibri"/>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00362F">
              <w:rPr>
                <w:rFonts w:eastAsiaTheme="minorEastAsia" w:cs="Calibri"/>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00362F">
              <w:rPr>
                <w:rFonts w:eastAsiaTheme="minorEastAsia" w:cs="Calibri"/>
                <w:color w:val="00000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Expected return on superannuation assets excluding interest income</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(877)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(1 006)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(1 058)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(1 075)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(1 092)</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Other actuarial (gain)/loss on superannuation assets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Actuarial and other adjustments to unfunded superannuation liability</w:t>
            </w:r>
          </w:p>
        </w:tc>
        <w:tc>
          <w:tcPr>
            <w:tcW w:w="850" w:type="dxa"/>
            <w:tcBorders>
              <w:top w:val="nil"/>
              <w:left w:val="nil"/>
              <w:bottom w:val="single" w:sz="6"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c>
          <w:tcPr>
            <w:tcW w:w="850" w:type="dxa"/>
            <w:tcBorders>
              <w:top w:val="nil"/>
              <w:left w:val="nil"/>
              <w:bottom w:val="single" w:sz="6"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253</w:t>
            </w:r>
          </w:p>
        </w:tc>
        <w:tc>
          <w:tcPr>
            <w:tcW w:w="850" w:type="dxa"/>
            <w:tcBorders>
              <w:top w:val="nil"/>
              <w:left w:val="nil"/>
              <w:bottom w:val="single" w:sz="6"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c>
          <w:tcPr>
            <w:tcW w:w="850" w:type="dxa"/>
            <w:tcBorders>
              <w:top w:val="nil"/>
              <w:left w:val="nil"/>
              <w:bottom w:val="single" w:sz="6"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c>
          <w:tcPr>
            <w:tcW w:w="850" w:type="dxa"/>
            <w:tcBorders>
              <w:top w:val="nil"/>
              <w:left w:val="nil"/>
              <w:bottom w:val="single" w:sz="6"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Total expense recognised in respect of defined benefit plans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694</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493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425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368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323</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Defined contribution plans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 xml:space="preserve">Employer contributions to defined contribution plans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1 396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1 421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1 447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1 507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1 567</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Other (including pensions)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68</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Total expense recognised in respect of defined contribution plans</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1 459</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1 485</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1 511</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1 574</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1 635</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Total superannuation (gain)/expense recognised in operating statement</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2 153</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1 978</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1 936</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1 942</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1 958</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Represented by:</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00362F">
              <w:rPr>
                <w:rFonts w:eastAsiaTheme="minorEastAsia" w:cs="Calibri"/>
                <w:b/>
                <w:bCs/>
                <w:color w:val="00000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Net superannuation interest expense</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692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647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599</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16"/>
              </w:rPr>
            </w:pPr>
            <w:r w:rsidRPr="0000362F">
              <w:rPr>
                <w:rFonts w:eastAsiaTheme="minorEastAsia" w:cs="Calibri"/>
                <w:color w:val="000000"/>
                <w:szCs w:val="16"/>
              </w:rPr>
              <w:t>Other superannuation</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2 239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2 327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2 346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2 393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00362F">
              <w:rPr>
                <w:rFonts w:eastAsiaTheme="minorEastAsia" w:cs="Arial"/>
                <w:color w:val="000000"/>
                <w:szCs w:val="18"/>
              </w:rPr>
              <w:t>2 451</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Superannuation expense from transactions</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3 030</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3 019</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2 994</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3 017</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3 051</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16"/>
              </w:rPr>
            </w:pPr>
            <w:proofErr w:type="spellStart"/>
            <w:r w:rsidRPr="0000362F">
              <w:rPr>
                <w:rFonts w:eastAsiaTheme="minorEastAsia" w:cs="Calibri"/>
                <w:b/>
                <w:bCs/>
                <w:color w:val="000000"/>
                <w:szCs w:val="16"/>
              </w:rPr>
              <w:t>Remeasurements</w:t>
            </w:r>
            <w:proofErr w:type="spellEnd"/>
            <w:r w:rsidRPr="0000362F">
              <w:rPr>
                <w:rFonts w:eastAsiaTheme="minorEastAsia" w:cs="Calibri"/>
                <w:b/>
                <w:bCs/>
                <w:color w:val="000000"/>
                <w:szCs w:val="16"/>
              </w:rPr>
              <w:t xml:space="preserve"> recognised in other comprehensive income</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(877)</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(1 041)</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(1 058)</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(1 075)</w:t>
            </w:r>
          </w:p>
        </w:tc>
        <w:tc>
          <w:tcPr>
            <w:tcW w:w="850" w:type="dxa"/>
            <w:tcBorders>
              <w:top w:val="single" w:sz="6" w:space="0" w:color="000000"/>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(1 092)</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rPr>
                <w:rFonts w:eastAsiaTheme="minorEastAsia" w:cs="Calibri"/>
                <w:b/>
                <w:bCs/>
                <w:color w:val="000000"/>
                <w:szCs w:val="16"/>
              </w:rPr>
            </w:pPr>
            <w:r w:rsidRPr="0000362F">
              <w:rPr>
                <w:rFonts w:eastAsiaTheme="minorEastAsia" w:cs="Calibri"/>
                <w:b/>
                <w:bCs/>
                <w:color w:val="000000"/>
                <w:szCs w:val="16"/>
              </w:rPr>
              <w:t>Total superannuation expense recognised in operating statement</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2 153</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1 978</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1 936</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1 942</w:t>
            </w:r>
          </w:p>
        </w:tc>
        <w:tc>
          <w:tcPr>
            <w:tcW w:w="850" w:type="dxa"/>
            <w:tcBorders>
              <w:top w:val="single" w:sz="6" w:space="0" w:color="000000"/>
              <w:left w:val="nil"/>
              <w:bottom w:val="single" w:sz="12" w:space="0" w:color="000000"/>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00362F">
              <w:rPr>
                <w:rFonts w:eastAsiaTheme="minorEastAsia" w:cs="Arial"/>
                <w:b/>
                <w:bCs/>
                <w:color w:val="000000"/>
                <w:szCs w:val="18"/>
              </w:rPr>
              <w:t>1 958</w:t>
            </w:r>
          </w:p>
        </w:tc>
      </w:tr>
    </w:tbl>
    <w:p w:rsidR="00566E9A" w:rsidRDefault="00566E9A" w:rsidP="00AE5760">
      <w:pPr>
        <w:pStyle w:val="Notes"/>
        <w:rPr>
          <w:rFonts w:eastAsiaTheme="minorHAnsi"/>
        </w:rPr>
      </w:pPr>
    </w:p>
    <w:p w:rsidR="00566E9A" w:rsidRDefault="00566E9A" w:rsidP="00AE5760">
      <w:pPr>
        <w:rPr>
          <w:rFonts w:eastAsiaTheme="minorHAnsi"/>
        </w:rPr>
      </w:pP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7:</w:t>
      </w:r>
      <w:r>
        <w:rPr>
          <w:rFonts w:eastAsiaTheme="minorHAnsi"/>
        </w:rPr>
        <w:tab/>
        <w:t xml:space="preserve">Superannuation </w:t>
      </w:r>
      <w:r w:rsidRPr="005C68F1">
        <w:rPr>
          <w:rFonts w:eastAsiaTheme="minorHAnsi"/>
          <w:i/>
        </w:rPr>
        <w:t>(continued)</w:t>
      </w:r>
    </w:p>
    <w:p w:rsidR="00566E9A" w:rsidRDefault="00566E9A" w:rsidP="00AE5760">
      <w:pPr>
        <w:pStyle w:val="Heading5"/>
        <w:rPr>
          <w:rFonts w:eastAsiaTheme="minorHAnsi"/>
        </w:rPr>
      </w:pPr>
      <w:r>
        <w:rPr>
          <w:rFonts w:eastAsiaTheme="minorHAnsi"/>
        </w:rPr>
        <w:t>(b)</w:t>
      </w:r>
      <w:r>
        <w:rPr>
          <w:rFonts w:eastAsiaTheme="minorHAnsi"/>
        </w:rPr>
        <w:tab/>
        <w:t>Reconciliation of the present value of the defined benefit obligation</w:t>
      </w:r>
    </w:p>
    <w:p w:rsidR="00566E9A" w:rsidRPr="00E815F7"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171"/>
        <w:gridCol w:w="679"/>
        <w:gridCol w:w="850"/>
        <w:gridCol w:w="850"/>
        <w:gridCol w:w="850"/>
        <w:gridCol w:w="850"/>
      </w:tblGrid>
      <w:tr w:rsidR="00AE5760" w:rsidRPr="00E815F7"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E5760" w:rsidRPr="00E815F7" w:rsidRDefault="00AE5760" w:rsidP="00AE5760">
            <w:pPr>
              <w:autoSpaceDE w:val="0"/>
              <w:autoSpaceDN w:val="0"/>
              <w:adjustRightInd w:val="0"/>
              <w:rPr>
                <w:rFonts w:eastAsiaTheme="minorEastAsia" w:cs="Calibri"/>
                <w:color w:val="000000"/>
                <w:szCs w:val="20"/>
              </w:rPr>
            </w:pPr>
            <w:r w:rsidRPr="00E815F7">
              <w:rPr>
                <w:rFonts w:eastAsiaTheme="minorEastAsia" w:cs="Calibri"/>
                <w:color w:val="000000"/>
                <w:szCs w:val="20"/>
              </w:rPr>
              <w:t xml:space="preserve">  </w:t>
            </w:r>
          </w:p>
        </w:tc>
        <w:tc>
          <w:tcPr>
            <w:tcW w:w="850" w:type="dxa"/>
            <w:gridSpan w:val="2"/>
            <w:tcBorders>
              <w:top w:val="single" w:sz="6" w:space="0" w:color="auto"/>
              <w:left w:val="nil"/>
              <w:right w:val="nil"/>
            </w:tcBorders>
            <w:shd w:val="solid" w:color="000000" w:fill="auto"/>
          </w:tcPr>
          <w:p w:rsidR="00AE5760" w:rsidRPr="00E815F7"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2017</w:t>
            </w:r>
            <w:r>
              <w:rPr>
                <w:rFonts w:eastAsiaTheme="minorEastAsia" w:cs="Calibri"/>
                <w:iCs/>
                <w:color w:val="FFFFFF"/>
                <w:szCs w:val="20"/>
              </w:rPr>
              <w:br/>
            </w:r>
            <w:r w:rsidRPr="00E815F7">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E815F7"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2017</w:t>
            </w:r>
            <w:r>
              <w:rPr>
                <w:rFonts w:eastAsiaTheme="minorEastAsia" w:cs="Calibri"/>
                <w:iCs/>
                <w:color w:val="FFFFFF"/>
                <w:szCs w:val="20"/>
              </w:rPr>
              <w:br/>
            </w:r>
            <w:r w:rsidRPr="00E815F7">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E815F7"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2018</w:t>
            </w:r>
            <w:r>
              <w:rPr>
                <w:rFonts w:eastAsiaTheme="minorEastAsia" w:cs="Calibri"/>
                <w:iCs/>
                <w:color w:val="FFFFFF"/>
                <w:szCs w:val="20"/>
              </w:rPr>
              <w:br/>
            </w:r>
            <w:r w:rsidRPr="00E815F7">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E815F7"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2019</w:t>
            </w:r>
            <w:r>
              <w:rPr>
                <w:rFonts w:eastAsiaTheme="minorEastAsia" w:cs="Calibri"/>
                <w:iCs/>
                <w:color w:val="FFFFFF"/>
                <w:szCs w:val="20"/>
              </w:rPr>
              <w:br/>
            </w:r>
            <w:r w:rsidRPr="00E815F7">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E815F7"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2020</w:t>
            </w:r>
            <w:r>
              <w:rPr>
                <w:rFonts w:eastAsiaTheme="minorEastAsia" w:cs="Calibri"/>
                <w:iCs/>
                <w:color w:val="FFFFFF"/>
                <w:szCs w:val="20"/>
              </w:rPr>
              <w:br/>
            </w:r>
            <w:r w:rsidRPr="00E815F7">
              <w:rPr>
                <w:rFonts w:eastAsiaTheme="minorEastAsia" w:cs="Calibri"/>
                <w:iCs/>
                <w:color w:val="FFFFFF"/>
                <w:szCs w:val="20"/>
              </w:rPr>
              <w:t>estimate</w:t>
            </w:r>
          </w:p>
        </w:tc>
      </w:tr>
      <w:tr w:rsidR="00566E9A" w:rsidRPr="00E815F7" w:rsidTr="00162E92">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566E9A" w:rsidRPr="00E815F7" w:rsidRDefault="00566E9A" w:rsidP="00AE5760">
            <w:pPr>
              <w:autoSpaceDE w:val="0"/>
              <w:autoSpaceDN w:val="0"/>
              <w:adjustRightInd w:val="0"/>
              <w:rPr>
                <w:rFonts w:eastAsiaTheme="minorEastAsia" w:cs="Calibri"/>
                <w:b/>
                <w:bCs/>
                <w:color w:val="000000"/>
                <w:szCs w:val="20"/>
              </w:rPr>
            </w:pPr>
            <w:r w:rsidRPr="00E815F7">
              <w:rPr>
                <w:rFonts w:eastAsiaTheme="minorEastAsia" w:cs="Calibri"/>
                <w:b/>
                <w:bCs/>
                <w:color w:val="000000"/>
                <w:szCs w:val="20"/>
              </w:rPr>
              <w:t>Opening balance of defined benefit obligation</w:t>
            </w:r>
          </w:p>
        </w:tc>
        <w:tc>
          <w:tcPr>
            <w:tcW w:w="679"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49 321</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49 321</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48 902</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48 185</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47 386</w:t>
            </w:r>
          </w:p>
        </w:tc>
      </w:tr>
      <w:tr w:rsidR="00566E9A" w:rsidRPr="00E815F7"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815F7" w:rsidRDefault="00566E9A" w:rsidP="00AE5760">
            <w:pPr>
              <w:autoSpaceDE w:val="0"/>
              <w:autoSpaceDN w:val="0"/>
              <w:adjustRightInd w:val="0"/>
              <w:rPr>
                <w:rFonts w:eastAsiaTheme="minorEastAsia" w:cs="Calibri"/>
                <w:color w:val="000000"/>
                <w:szCs w:val="20"/>
              </w:rPr>
            </w:pPr>
            <w:r w:rsidRPr="00E815F7">
              <w:rPr>
                <w:rFonts w:eastAsiaTheme="minorEastAsia" w:cs="Calibri"/>
                <w:color w:val="000000"/>
                <w:szCs w:val="20"/>
              </w:rPr>
              <w:t>Current service cost</w:t>
            </w:r>
          </w:p>
        </w:tc>
        <w:tc>
          <w:tcPr>
            <w:tcW w:w="850" w:type="dxa"/>
            <w:gridSpan w:val="2"/>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780</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843</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835</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820</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816</w:t>
            </w:r>
          </w:p>
        </w:tc>
      </w:tr>
      <w:tr w:rsidR="00566E9A" w:rsidRPr="00E815F7"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815F7" w:rsidRDefault="00566E9A" w:rsidP="00AE5760">
            <w:pPr>
              <w:autoSpaceDE w:val="0"/>
              <w:autoSpaceDN w:val="0"/>
              <w:adjustRightInd w:val="0"/>
              <w:rPr>
                <w:rFonts w:eastAsiaTheme="minorEastAsia" w:cs="Calibri"/>
                <w:color w:val="000000"/>
                <w:szCs w:val="20"/>
              </w:rPr>
            </w:pPr>
            <w:r w:rsidRPr="00E815F7">
              <w:rPr>
                <w:rFonts w:eastAsiaTheme="minorEastAsia" w:cs="Calibri"/>
                <w:color w:val="000000"/>
                <w:szCs w:val="20"/>
              </w:rPr>
              <w:t>Interest expense</w:t>
            </w:r>
          </w:p>
        </w:tc>
        <w:tc>
          <w:tcPr>
            <w:tcW w:w="850" w:type="dxa"/>
            <w:gridSpan w:val="2"/>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1 347</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1 154</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1 105</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1 090</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1 075</w:t>
            </w:r>
          </w:p>
        </w:tc>
      </w:tr>
      <w:tr w:rsidR="00566E9A" w:rsidRPr="00E815F7"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815F7" w:rsidRDefault="00566E9A" w:rsidP="00AE5760">
            <w:pPr>
              <w:autoSpaceDE w:val="0"/>
              <w:autoSpaceDN w:val="0"/>
              <w:adjustRightInd w:val="0"/>
              <w:rPr>
                <w:rFonts w:eastAsiaTheme="minorEastAsia" w:cs="Calibri"/>
                <w:color w:val="000000"/>
                <w:szCs w:val="20"/>
              </w:rPr>
            </w:pPr>
            <w:r w:rsidRPr="00E815F7">
              <w:rPr>
                <w:rFonts w:eastAsiaTheme="minorEastAsia" w:cs="Calibri"/>
                <w:color w:val="000000"/>
                <w:szCs w:val="20"/>
              </w:rPr>
              <w:t>Contributions by plan participants</w:t>
            </w:r>
          </w:p>
        </w:tc>
        <w:tc>
          <w:tcPr>
            <w:tcW w:w="850" w:type="dxa"/>
            <w:gridSpan w:val="2"/>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189</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192</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186</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180</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174</w:t>
            </w:r>
          </w:p>
        </w:tc>
      </w:tr>
      <w:tr w:rsidR="00566E9A" w:rsidRPr="00E815F7"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815F7" w:rsidRDefault="00566E9A" w:rsidP="00AE5760">
            <w:pPr>
              <w:autoSpaceDE w:val="0"/>
              <w:autoSpaceDN w:val="0"/>
              <w:adjustRightInd w:val="0"/>
              <w:rPr>
                <w:rFonts w:eastAsiaTheme="minorEastAsia" w:cs="Calibri"/>
                <w:color w:val="000000"/>
                <w:szCs w:val="20"/>
              </w:rPr>
            </w:pPr>
            <w:r w:rsidRPr="00E815F7">
              <w:rPr>
                <w:rFonts w:eastAsiaTheme="minorEastAsia" w:cs="Calibri"/>
                <w:color w:val="000000"/>
                <w:szCs w:val="20"/>
              </w:rPr>
              <w:t>Actuarial and other adjustments to unfunded superannuation liability</w:t>
            </w:r>
          </w:p>
        </w:tc>
        <w:tc>
          <w:tcPr>
            <w:tcW w:w="850" w:type="dxa"/>
            <w:gridSpan w:val="2"/>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253</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w:t>
            </w:r>
          </w:p>
        </w:tc>
      </w:tr>
      <w:tr w:rsidR="00566E9A" w:rsidRPr="00E815F7"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815F7" w:rsidRDefault="00566E9A" w:rsidP="00AE5760">
            <w:pPr>
              <w:autoSpaceDE w:val="0"/>
              <w:autoSpaceDN w:val="0"/>
              <w:adjustRightInd w:val="0"/>
              <w:rPr>
                <w:rFonts w:eastAsiaTheme="minorEastAsia" w:cs="Calibri"/>
                <w:color w:val="000000"/>
                <w:szCs w:val="20"/>
              </w:rPr>
            </w:pPr>
            <w:r w:rsidRPr="00E815F7">
              <w:rPr>
                <w:rFonts w:eastAsiaTheme="minorEastAsia" w:cs="Calibri"/>
                <w:color w:val="000000"/>
                <w:szCs w:val="20"/>
              </w:rPr>
              <w:t>Benefits paid</w:t>
            </w:r>
          </w:p>
        </w:tc>
        <w:tc>
          <w:tcPr>
            <w:tcW w:w="850" w:type="dxa"/>
            <w:gridSpan w:val="2"/>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(2 766)</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(2 861)</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(2 843)</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(2 889)</w:t>
            </w:r>
          </w:p>
        </w:tc>
        <w:tc>
          <w:tcPr>
            <w:tcW w:w="850" w:type="dxa"/>
            <w:tcBorders>
              <w:top w:val="nil"/>
              <w:left w:val="nil"/>
              <w:bottom w:val="nil"/>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815F7">
              <w:rPr>
                <w:rFonts w:eastAsiaTheme="minorEastAsia" w:cs="Calibri"/>
                <w:color w:val="000000"/>
                <w:szCs w:val="20"/>
              </w:rPr>
              <w:t>(2 931)</w:t>
            </w:r>
          </w:p>
        </w:tc>
      </w:tr>
      <w:tr w:rsidR="00566E9A" w:rsidRPr="00E815F7"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E815F7" w:rsidRDefault="00566E9A" w:rsidP="00AE5760">
            <w:pPr>
              <w:autoSpaceDE w:val="0"/>
              <w:autoSpaceDN w:val="0"/>
              <w:adjustRightInd w:val="0"/>
              <w:rPr>
                <w:rFonts w:eastAsiaTheme="minorEastAsia" w:cs="Calibri"/>
                <w:b/>
                <w:bCs/>
                <w:color w:val="000000"/>
                <w:szCs w:val="20"/>
              </w:rPr>
            </w:pPr>
            <w:r w:rsidRPr="00E815F7">
              <w:rPr>
                <w:rFonts w:eastAsiaTheme="minorEastAsia" w:cs="Calibri"/>
                <w:b/>
                <w:bCs/>
                <w:color w:val="000000"/>
                <w:szCs w:val="20"/>
              </w:rPr>
              <w:t>Closing balance of defined benefit obligation</w:t>
            </w:r>
          </w:p>
        </w:tc>
        <w:tc>
          <w:tcPr>
            <w:tcW w:w="850" w:type="dxa"/>
            <w:gridSpan w:val="2"/>
            <w:tcBorders>
              <w:top w:val="single" w:sz="6" w:space="0" w:color="auto"/>
              <w:left w:val="nil"/>
              <w:bottom w:val="single" w:sz="12" w:space="0" w:color="auto"/>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48 870</w:t>
            </w:r>
          </w:p>
        </w:tc>
        <w:tc>
          <w:tcPr>
            <w:tcW w:w="850" w:type="dxa"/>
            <w:tcBorders>
              <w:top w:val="single" w:sz="6" w:space="0" w:color="auto"/>
              <w:left w:val="nil"/>
              <w:bottom w:val="single" w:sz="12" w:space="0" w:color="auto"/>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48 902</w:t>
            </w:r>
          </w:p>
        </w:tc>
        <w:tc>
          <w:tcPr>
            <w:tcW w:w="850" w:type="dxa"/>
            <w:tcBorders>
              <w:top w:val="single" w:sz="6" w:space="0" w:color="auto"/>
              <w:left w:val="nil"/>
              <w:bottom w:val="single" w:sz="12" w:space="0" w:color="auto"/>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48 185</w:t>
            </w:r>
          </w:p>
        </w:tc>
        <w:tc>
          <w:tcPr>
            <w:tcW w:w="850" w:type="dxa"/>
            <w:tcBorders>
              <w:top w:val="single" w:sz="6" w:space="0" w:color="auto"/>
              <w:left w:val="nil"/>
              <w:bottom w:val="single" w:sz="12" w:space="0" w:color="auto"/>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47 386</w:t>
            </w:r>
          </w:p>
        </w:tc>
        <w:tc>
          <w:tcPr>
            <w:tcW w:w="850" w:type="dxa"/>
            <w:tcBorders>
              <w:top w:val="single" w:sz="6" w:space="0" w:color="auto"/>
              <w:left w:val="nil"/>
              <w:bottom w:val="single" w:sz="12" w:space="0" w:color="auto"/>
              <w:right w:val="nil"/>
            </w:tcBorders>
          </w:tcPr>
          <w:p w:rsidR="00566E9A" w:rsidRPr="00E815F7"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815F7">
              <w:rPr>
                <w:rFonts w:eastAsiaTheme="minorEastAsia" w:cs="Calibri"/>
                <w:b/>
                <w:bCs/>
                <w:color w:val="000000"/>
                <w:szCs w:val="20"/>
              </w:rPr>
              <w:t>46 521</w:t>
            </w:r>
          </w:p>
        </w:tc>
      </w:tr>
    </w:tbl>
    <w:p w:rsidR="00566E9A" w:rsidRPr="00747310" w:rsidRDefault="00566E9A" w:rsidP="00AE5760">
      <w:pPr>
        <w:rPr>
          <w:rFonts w:eastAsiaTheme="minorHAnsi"/>
        </w:rPr>
      </w:pPr>
    </w:p>
    <w:p w:rsidR="00566E9A" w:rsidRDefault="00566E9A" w:rsidP="00AE5760">
      <w:pPr>
        <w:pStyle w:val="Heading5"/>
        <w:rPr>
          <w:rFonts w:eastAsiaTheme="minorHAnsi"/>
        </w:rPr>
      </w:pPr>
      <w:r>
        <w:rPr>
          <w:rFonts w:eastAsiaTheme="minorHAnsi"/>
        </w:rPr>
        <w:t>(c)</w:t>
      </w:r>
      <w:r>
        <w:rPr>
          <w:rFonts w:eastAsiaTheme="minorHAnsi"/>
        </w:rPr>
        <w:tab/>
        <w:t>Reconciliation of the fair value of superannuation plan assets</w:t>
      </w:r>
    </w:p>
    <w:p w:rsidR="00566E9A" w:rsidRPr="0000362F"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00362F"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E5760" w:rsidRPr="0000362F" w:rsidRDefault="00AE5760"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2017</w:t>
            </w:r>
            <w:r>
              <w:rPr>
                <w:rFonts w:eastAsiaTheme="minorEastAsia" w:cs="Calibri"/>
                <w:iCs/>
                <w:color w:val="FFFFFF"/>
                <w:szCs w:val="20"/>
              </w:rPr>
              <w:br/>
            </w:r>
            <w:r w:rsidRPr="0000362F">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2017</w:t>
            </w:r>
            <w:r>
              <w:rPr>
                <w:rFonts w:eastAsiaTheme="minorEastAsia" w:cs="Calibri"/>
                <w:iCs/>
                <w:color w:val="FFFFFF"/>
                <w:szCs w:val="20"/>
              </w:rPr>
              <w:br/>
            </w:r>
            <w:r w:rsidRPr="0000362F">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2018</w:t>
            </w:r>
            <w:r>
              <w:rPr>
                <w:rFonts w:eastAsiaTheme="minorEastAsia" w:cs="Calibri"/>
                <w:iCs/>
                <w:color w:val="FFFFFF"/>
                <w:szCs w:val="20"/>
              </w:rPr>
              <w:br/>
            </w:r>
            <w:r w:rsidRPr="0000362F">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00362F">
              <w:rPr>
                <w:rFonts w:eastAsiaTheme="minorEastAsia" w:cs="Calibri"/>
                <w:iCs/>
                <w:color w:val="FFFFFF"/>
                <w:szCs w:val="20"/>
              </w:rPr>
              <w:t>2018-19</w:t>
            </w:r>
            <w:r>
              <w:rPr>
                <w:rFonts w:eastAsiaTheme="minorEastAsia" w:cs="Calibri"/>
                <w:iCs/>
                <w:color w:val="FFFFFF"/>
                <w:szCs w:val="20"/>
              </w:rPr>
              <w:br/>
            </w:r>
            <w:r w:rsidRPr="0000362F">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2020</w:t>
            </w:r>
            <w:r>
              <w:rPr>
                <w:rFonts w:eastAsiaTheme="minorEastAsia" w:cs="Calibri"/>
                <w:iCs/>
                <w:color w:val="FFFFFF"/>
                <w:szCs w:val="20"/>
              </w:rPr>
              <w:br/>
            </w:r>
            <w:r w:rsidRPr="0000362F">
              <w:rPr>
                <w:rFonts w:eastAsiaTheme="minorEastAsia" w:cs="Calibri"/>
                <w:iCs/>
                <w:color w:val="FFFFFF"/>
                <w:szCs w:val="20"/>
              </w:rPr>
              <w:t>estimate</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Opening balance of plan assets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20 032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20 032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20 657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21 048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21 449</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Interest income</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555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462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458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467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475</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Return on plan assets not included in interest income</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877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1 293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1 058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1 075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1 092</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Employer contributions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1 531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1 537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1 533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1 567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1 564</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Contributions by plan participants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189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192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186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180</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174</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Benefits paid (including tax paid)</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(2 766)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(2 861)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(2 843)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(2 889)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(2 931)</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Closing balance of plan assets</w:t>
            </w:r>
          </w:p>
        </w:tc>
        <w:tc>
          <w:tcPr>
            <w:tcW w:w="850" w:type="dxa"/>
            <w:tcBorders>
              <w:top w:val="single" w:sz="6" w:space="0" w:color="auto"/>
              <w:left w:val="nil"/>
              <w:bottom w:val="single" w:sz="12"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20 418</w:t>
            </w:r>
          </w:p>
        </w:tc>
        <w:tc>
          <w:tcPr>
            <w:tcW w:w="850" w:type="dxa"/>
            <w:tcBorders>
              <w:top w:val="single" w:sz="6" w:space="0" w:color="auto"/>
              <w:left w:val="nil"/>
              <w:bottom w:val="single" w:sz="12"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20 657</w:t>
            </w:r>
          </w:p>
        </w:tc>
        <w:tc>
          <w:tcPr>
            <w:tcW w:w="850" w:type="dxa"/>
            <w:tcBorders>
              <w:top w:val="single" w:sz="6" w:space="0" w:color="auto"/>
              <w:left w:val="nil"/>
              <w:bottom w:val="single" w:sz="12"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21 048</w:t>
            </w:r>
          </w:p>
        </w:tc>
        <w:tc>
          <w:tcPr>
            <w:tcW w:w="850" w:type="dxa"/>
            <w:tcBorders>
              <w:top w:val="single" w:sz="6" w:space="0" w:color="auto"/>
              <w:left w:val="nil"/>
              <w:bottom w:val="single" w:sz="12"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21 449</w:t>
            </w:r>
          </w:p>
        </w:tc>
        <w:tc>
          <w:tcPr>
            <w:tcW w:w="850" w:type="dxa"/>
            <w:tcBorders>
              <w:top w:val="single" w:sz="6" w:space="0" w:color="auto"/>
              <w:left w:val="nil"/>
              <w:bottom w:val="single" w:sz="12"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21 825</w:t>
            </w:r>
          </w:p>
        </w:tc>
      </w:tr>
    </w:tbl>
    <w:p w:rsidR="00566E9A" w:rsidRDefault="00566E9A" w:rsidP="00AE5760">
      <w:pPr>
        <w:pStyle w:val="Notes"/>
        <w:rPr>
          <w:rFonts w:eastAsiaTheme="minorHAnsi"/>
        </w:rPr>
      </w:pP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7:</w:t>
      </w:r>
      <w:r>
        <w:rPr>
          <w:rFonts w:eastAsiaTheme="minorHAnsi"/>
        </w:rPr>
        <w:tab/>
        <w:t xml:space="preserve">Superannuation </w:t>
      </w:r>
      <w:r w:rsidRPr="005C68F1">
        <w:rPr>
          <w:rFonts w:eastAsiaTheme="minorHAnsi"/>
          <w:i/>
        </w:rPr>
        <w:t>(continued)</w:t>
      </w:r>
    </w:p>
    <w:p w:rsidR="00566E9A" w:rsidRDefault="00566E9A" w:rsidP="00AE5760">
      <w:pPr>
        <w:pStyle w:val="Heading5"/>
        <w:rPr>
          <w:rFonts w:eastAsiaTheme="minorHAnsi"/>
        </w:rPr>
      </w:pPr>
      <w:r>
        <w:rPr>
          <w:rFonts w:eastAsiaTheme="minorHAnsi"/>
        </w:rPr>
        <w:t>(d)</w:t>
      </w:r>
      <w:r>
        <w:rPr>
          <w:rFonts w:eastAsiaTheme="minorHAnsi"/>
        </w:rPr>
        <w:tab/>
        <w:t>Reconciliation of the superannuation liabilities</w:t>
      </w:r>
    </w:p>
    <w:p w:rsidR="00566E9A" w:rsidRPr="0000362F"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00362F"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E5760" w:rsidRPr="0000362F" w:rsidRDefault="00AE5760"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2017</w:t>
            </w:r>
            <w:r>
              <w:rPr>
                <w:rFonts w:eastAsiaTheme="minorEastAsia" w:cs="Calibri"/>
                <w:iCs/>
                <w:color w:val="FFFFFF"/>
                <w:szCs w:val="20"/>
              </w:rPr>
              <w:br/>
            </w:r>
            <w:r w:rsidRPr="0000362F">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2017</w:t>
            </w:r>
            <w:r>
              <w:rPr>
                <w:rFonts w:eastAsiaTheme="minorEastAsia" w:cs="Calibri"/>
                <w:iCs/>
                <w:color w:val="FFFFFF"/>
                <w:szCs w:val="20"/>
              </w:rPr>
              <w:br/>
            </w:r>
            <w:r w:rsidRPr="0000362F">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2018</w:t>
            </w:r>
            <w:r>
              <w:rPr>
                <w:rFonts w:eastAsiaTheme="minorEastAsia" w:cs="Calibri"/>
                <w:iCs/>
                <w:color w:val="FFFFFF"/>
                <w:szCs w:val="20"/>
              </w:rPr>
              <w:br/>
            </w:r>
            <w:r w:rsidRPr="0000362F">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2019</w:t>
            </w:r>
            <w:r>
              <w:rPr>
                <w:rFonts w:eastAsiaTheme="minorEastAsia" w:cs="Calibri"/>
                <w:iCs/>
                <w:color w:val="FFFFFF"/>
                <w:szCs w:val="20"/>
              </w:rPr>
              <w:br/>
            </w:r>
            <w:r w:rsidRPr="0000362F">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00362F" w:rsidRDefault="00162E92"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2020</w:t>
            </w:r>
            <w:r>
              <w:rPr>
                <w:rFonts w:eastAsiaTheme="minorEastAsia" w:cs="Calibri"/>
                <w:iCs/>
                <w:color w:val="FFFFFF"/>
                <w:szCs w:val="20"/>
              </w:rPr>
              <w:br/>
            </w:r>
            <w:r w:rsidRPr="0000362F">
              <w:rPr>
                <w:rFonts w:eastAsiaTheme="minorEastAsia" w:cs="Calibri"/>
                <w:iCs/>
                <w:color w:val="FFFFFF"/>
                <w:szCs w:val="20"/>
              </w:rPr>
              <w:t>estimate</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Emergency Services and State Super</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Defined benefit obligation</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44 103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44 081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43 445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42 738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41 966</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vertAlign w:val="superscript"/>
              </w:rPr>
            </w:pPr>
            <w:r w:rsidRPr="0000362F">
              <w:rPr>
                <w:rFonts w:eastAsiaTheme="minorEastAsia" w:cs="Calibri"/>
                <w:color w:val="000000"/>
                <w:szCs w:val="20"/>
              </w:rPr>
              <w:t xml:space="preserve">Tax liability </w:t>
            </w:r>
            <w:r w:rsidRPr="0000362F">
              <w:rPr>
                <w:rFonts w:eastAsiaTheme="minorEastAsia" w:cs="Calibri"/>
                <w:color w:val="000000"/>
                <w:szCs w:val="20"/>
                <w:vertAlign w:val="superscript"/>
              </w:rPr>
              <w:t>(a)</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2 667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2 839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2 753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2 657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2 559</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Plan assets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(19 426)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(19 693)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(20 105)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(20 527)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(20 926)</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Net liability/(asset)</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27 344</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27 227</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26 093</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24 869</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23 598</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20"/>
                <w:vertAlign w:val="superscript"/>
              </w:rPr>
            </w:pPr>
            <w:r w:rsidRPr="0000362F">
              <w:rPr>
                <w:rFonts w:eastAsiaTheme="minorEastAsia" w:cs="Calibri"/>
                <w:b/>
                <w:bCs/>
                <w:color w:val="000000"/>
                <w:szCs w:val="20"/>
              </w:rPr>
              <w:t xml:space="preserve">Other funds </w:t>
            </w:r>
            <w:r w:rsidRPr="0000362F">
              <w:rPr>
                <w:rFonts w:eastAsiaTheme="minorEastAsia" w:cs="Calibri"/>
                <w:b/>
                <w:bCs/>
                <w:color w:val="000000"/>
                <w:szCs w:val="20"/>
                <w:vertAlign w:val="superscript"/>
              </w:rPr>
              <w:t>(b)</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Defined benefit obligation</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2 101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1 981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1 987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1 991</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1 996</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vertAlign w:val="superscript"/>
              </w:rPr>
            </w:pPr>
            <w:r w:rsidRPr="0000362F">
              <w:rPr>
                <w:rFonts w:eastAsiaTheme="minorEastAsia" w:cs="Calibri"/>
                <w:color w:val="000000"/>
                <w:szCs w:val="20"/>
              </w:rPr>
              <w:t xml:space="preserve">Tax liability </w:t>
            </w:r>
            <w:r w:rsidRPr="0000362F">
              <w:rPr>
                <w:rFonts w:eastAsiaTheme="minorEastAsia" w:cs="Calibri"/>
                <w:color w:val="000000"/>
                <w:szCs w:val="20"/>
                <w:vertAlign w:val="superscript"/>
              </w:rPr>
              <w:t>(a)</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Plan assets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(992)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(963)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(944)</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(923)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(899)</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Net liability/(asset)</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1 109</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1 018</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1 043</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1 068</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1 098</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Total superannuation</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Defined benefit obligation</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46 204</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46 062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45 432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44 729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43 962</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vertAlign w:val="superscript"/>
              </w:rPr>
            </w:pPr>
            <w:r w:rsidRPr="0000362F">
              <w:rPr>
                <w:rFonts w:eastAsiaTheme="minorEastAsia" w:cs="Calibri"/>
                <w:color w:val="000000"/>
                <w:szCs w:val="20"/>
              </w:rPr>
              <w:t xml:space="preserve">Tax liability </w:t>
            </w:r>
            <w:r w:rsidRPr="0000362F">
              <w:rPr>
                <w:rFonts w:eastAsiaTheme="minorEastAsia" w:cs="Calibri"/>
                <w:color w:val="000000"/>
                <w:szCs w:val="20"/>
                <w:vertAlign w:val="superscript"/>
              </w:rPr>
              <w:t>(a)</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2 667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2 839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2 753</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2 657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2 559</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Plan assets</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(20 418)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(20 657)</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(21 048)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(21 449)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(21 825)</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Superannuation liability</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28 453</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28 245</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27 136</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25 937</w:t>
            </w:r>
          </w:p>
        </w:tc>
        <w:tc>
          <w:tcPr>
            <w:tcW w:w="850" w:type="dxa"/>
            <w:tcBorders>
              <w:top w:val="single" w:sz="6" w:space="0" w:color="auto"/>
              <w:left w:val="nil"/>
              <w:bottom w:val="single" w:sz="6" w:space="0" w:color="auto"/>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24 696</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Represented by:</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 xml:space="preserve"> </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Current liability</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1 036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1 036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1 078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1 082</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1 128</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auto"/>
              <w:right w:val="nil"/>
            </w:tcBorders>
          </w:tcPr>
          <w:p w:rsidR="00566E9A" w:rsidRPr="0000362F" w:rsidRDefault="00566E9A" w:rsidP="00AE5760">
            <w:pPr>
              <w:autoSpaceDE w:val="0"/>
              <w:autoSpaceDN w:val="0"/>
              <w:adjustRightInd w:val="0"/>
              <w:rPr>
                <w:rFonts w:eastAsiaTheme="minorEastAsia" w:cs="Calibri"/>
                <w:color w:val="000000"/>
                <w:szCs w:val="20"/>
              </w:rPr>
            </w:pPr>
            <w:r w:rsidRPr="0000362F">
              <w:rPr>
                <w:rFonts w:eastAsiaTheme="minorEastAsia" w:cs="Calibri"/>
                <w:color w:val="000000"/>
                <w:szCs w:val="20"/>
              </w:rPr>
              <w:t>Non-current liability</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27 416</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27 209</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26 058</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24 855</w:t>
            </w:r>
          </w:p>
        </w:tc>
        <w:tc>
          <w:tcPr>
            <w:tcW w:w="850" w:type="dxa"/>
            <w:tcBorders>
              <w:top w:val="nil"/>
              <w:left w:val="nil"/>
              <w:bottom w:val="nil"/>
              <w:right w:val="nil"/>
            </w:tcBorders>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00362F">
              <w:rPr>
                <w:rFonts w:eastAsiaTheme="minorEastAsia" w:cs="Calibri"/>
                <w:color w:val="000000"/>
                <w:szCs w:val="20"/>
              </w:rPr>
              <w:t>23 568</w:t>
            </w:r>
          </w:p>
        </w:tc>
      </w:tr>
      <w:tr w:rsidR="00566E9A" w:rsidRPr="0000362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12" w:space="0" w:color="auto"/>
              <w:left w:val="nil"/>
              <w:bottom w:val="single" w:sz="12" w:space="0" w:color="auto"/>
              <w:right w:val="nil"/>
            </w:tcBorders>
            <w:shd w:val="solid" w:color="FFFFFF" w:fill="auto"/>
          </w:tcPr>
          <w:p w:rsidR="00566E9A" w:rsidRPr="0000362F" w:rsidRDefault="00566E9A" w:rsidP="00AE5760">
            <w:pPr>
              <w:autoSpaceDE w:val="0"/>
              <w:autoSpaceDN w:val="0"/>
              <w:adjustRightInd w:val="0"/>
              <w:rPr>
                <w:rFonts w:eastAsiaTheme="minorEastAsia" w:cs="Calibri"/>
                <w:b/>
                <w:bCs/>
                <w:color w:val="000000"/>
                <w:szCs w:val="20"/>
              </w:rPr>
            </w:pPr>
            <w:r w:rsidRPr="0000362F">
              <w:rPr>
                <w:rFonts w:eastAsiaTheme="minorEastAsia" w:cs="Calibri"/>
                <w:b/>
                <w:bCs/>
                <w:color w:val="000000"/>
                <w:szCs w:val="20"/>
              </w:rPr>
              <w:t>Total superannuation liability</w:t>
            </w:r>
          </w:p>
        </w:tc>
        <w:tc>
          <w:tcPr>
            <w:tcW w:w="850" w:type="dxa"/>
            <w:tcBorders>
              <w:top w:val="single" w:sz="12" w:space="0" w:color="auto"/>
              <w:left w:val="nil"/>
              <w:bottom w:val="single" w:sz="12" w:space="0" w:color="auto"/>
              <w:right w:val="nil"/>
            </w:tcBorders>
            <w:shd w:val="solid" w:color="FFFFFF" w:fill="auto"/>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28 453</w:t>
            </w:r>
          </w:p>
        </w:tc>
        <w:tc>
          <w:tcPr>
            <w:tcW w:w="850" w:type="dxa"/>
            <w:tcBorders>
              <w:top w:val="single" w:sz="12" w:space="0" w:color="auto"/>
              <w:left w:val="nil"/>
              <w:bottom w:val="single" w:sz="12" w:space="0" w:color="auto"/>
              <w:right w:val="nil"/>
            </w:tcBorders>
            <w:shd w:val="solid" w:color="FFFFFF" w:fill="auto"/>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28 245</w:t>
            </w:r>
          </w:p>
        </w:tc>
        <w:tc>
          <w:tcPr>
            <w:tcW w:w="850" w:type="dxa"/>
            <w:tcBorders>
              <w:top w:val="single" w:sz="12" w:space="0" w:color="auto"/>
              <w:left w:val="nil"/>
              <w:bottom w:val="single" w:sz="12" w:space="0" w:color="auto"/>
              <w:right w:val="nil"/>
            </w:tcBorders>
            <w:shd w:val="solid" w:color="FFFFFF" w:fill="auto"/>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27 136</w:t>
            </w:r>
          </w:p>
        </w:tc>
        <w:tc>
          <w:tcPr>
            <w:tcW w:w="850" w:type="dxa"/>
            <w:tcBorders>
              <w:top w:val="single" w:sz="12" w:space="0" w:color="auto"/>
              <w:left w:val="nil"/>
              <w:bottom w:val="single" w:sz="12" w:space="0" w:color="auto"/>
              <w:right w:val="nil"/>
            </w:tcBorders>
            <w:shd w:val="solid" w:color="FFFFFF" w:fill="auto"/>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25 937</w:t>
            </w:r>
          </w:p>
        </w:tc>
        <w:tc>
          <w:tcPr>
            <w:tcW w:w="850" w:type="dxa"/>
            <w:tcBorders>
              <w:top w:val="single" w:sz="12" w:space="0" w:color="auto"/>
              <w:left w:val="nil"/>
              <w:bottom w:val="single" w:sz="12" w:space="0" w:color="auto"/>
              <w:right w:val="nil"/>
            </w:tcBorders>
            <w:shd w:val="solid" w:color="FFFFFF" w:fill="auto"/>
          </w:tcPr>
          <w:p w:rsidR="00566E9A" w:rsidRPr="0000362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00362F">
              <w:rPr>
                <w:rFonts w:eastAsiaTheme="minorEastAsia" w:cs="Calibri"/>
                <w:b/>
                <w:bCs/>
                <w:color w:val="000000"/>
                <w:szCs w:val="20"/>
              </w:rPr>
              <w:t>24 696</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Tax liability represents the present value of tax payments on contributions that are expected to be required to fund accrued benefits.</w:t>
      </w:r>
    </w:p>
    <w:p w:rsidR="00566E9A" w:rsidRDefault="00566E9A" w:rsidP="00AE5760">
      <w:pPr>
        <w:pStyle w:val="Notes"/>
        <w:rPr>
          <w:rFonts w:eastAsiaTheme="minorHAnsi"/>
        </w:rPr>
      </w:pPr>
      <w:r>
        <w:rPr>
          <w:rFonts w:eastAsiaTheme="minorHAnsi"/>
        </w:rPr>
        <w:t>(b)</w:t>
      </w:r>
      <w:r>
        <w:rPr>
          <w:rFonts w:eastAsiaTheme="minorHAnsi"/>
        </w:rPr>
        <w:tab/>
        <w:t>Other funds include constitutionally protected schemes and the State’s share of liabilities of the Defined Benefit Scheme of the Health Super Fund.</w:t>
      </w:r>
    </w:p>
    <w:p w:rsidR="00566E9A" w:rsidRDefault="00566E9A" w:rsidP="00AE5760">
      <w:pPr>
        <w:rPr>
          <w:rFonts w:eastAsiaTheme="minorHAnsi"/>
        </w:rPr>
      </w:pPr>
    </w:p>
    <w:p w:rsidR="00566E9A" w:rsidRDefault="00566E9A">
      <w:pPr>
        <w:rPr>
          <w:rFonts w:asciiTheme="majorHAnsi" w:eastAsiaTheme="minorHAnsi" w:hAnsiTheme="majorHAnsi"/>
          <w:b/>
          <w:kern w:val="28"/>
          <w:sz w:val="26"/>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8:</w:t>
      </w:r>
      <w:r>
        <w:rPr>
          <w:rFonts w:eastAsiaTheme="minorHAnsi"/>
        </w:rPr>
        <w:tab/>
      </w:r>
      <w:r w:rsidRPr="0096765C">
        <w:rPr>
          <w:rFonts w:eastAsiaTheme="minorHAnsi"/>
        </w:rPr>
        <w:t>Depreciation</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724"/>
        <w:gridCol w:w="808"/>
        <w:gridCol w:w="808"/>
        <w:gridCol w:w="808"/>
        <w:gridCol w:w="808"/>
        <w:gridCol w:w="809"/>
      </w:tblGrid>
      <w:tr w:rsidR="00AE5760" w:rsidRPr="007208F6" w:rsidTr="00162E92">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24"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08"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08"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08"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08"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09"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Buildings </w:t>
            </w:r>
            <w:r w:rsidRPr="007208F6">
              <w:rPr>
                <w:rFonts w:eastAsiaTheme="minorEastAsia" w:cs="Calibri"/>
                <w:color w:val="000000"/>
                <w:szCs w:val="16"/>
                <w:vertAlign w:val="superscript"/>
              </w:rPr>
              <w:t>(a)</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1 141</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1 133</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1 168</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1 222</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1 340</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Leasehold buildings</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108</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109</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139</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156</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155</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Infrastructure systems</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Plant, equipment and vehicles </w:t>
            </w:r>
            <w:r w:rsidRPr="007208F6">
              <w:rPr>
                <w:rFonts w:eastAsiaTheme="minorEastAsia" w:cs="Calibri"/>
                <w:color w:val="000000"/>
                <w:szCs w:val="16"/>
                <w:vertAlign w:val="superscript"/>
              </w:rPr>
              <w:t>(a)</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571</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569</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624</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683</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633</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Roads and road networks </w:t>
            </w:r>
            <w:r w:rsidRPr="007208F6">
              <w:rPr>
                <w:rFonts w:eastAsiaTheme="minorEastAsia" w:cs="Calibri"/>
                <w:color w:val="000000"/>
                <w:szCs w:val="16"/>
                <w:vertAlign w:val="superscript"/>
              </w:rPr>
              <w:t>(a)</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630</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632</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660</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800</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901</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Cultural assets</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Intangible produced assets </w:t>
            </w:r>
            <w:r w:rsidRPr="007208F6">
              <w:rPr>
                <w:rFonts w:eastAsiaTheme="minorEastAsia" w:cs="Calibri"/>
                <w:color w:val="000000"/>
                <w:szCs w:val="16"/>
                <w:vertAlign w:val="superscript"/>
              </w:rPr>
              <w:t>(b)</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121</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139</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141</w:t>
            </w:r>
          </w:p>
        </w:tc>
        <w:tc>
          <w:tcPr>
            <w:tcW w:w="808"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123</w:t>
            </w:r>
          </w:p>
        </w:tc>
        <w:tc>
          <w:tcPr>
            <w:tcW w:w="80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131</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24"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depreciation</w:t>
            </w:r>
          </w:p>
        </w:tc>
        <w:tc>
          <w:tcPr>
            <w:tcW w:w="808"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2 620</w:t>
            </w:r>
          </w:p>
        </w:tc>
        <w:tc>
          <w:tcPr>
            <w:tcW w:w="808"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2 633</w:t>
            </w:r>
          </w:p>
        </w:tc>
        <w:tc>
          <w:tcPr>
            <w:tcW w:w="808"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2 791</w:t>
            </w:r>
          </w:p>
        </w:tc>
        <w:tc>
          <w:tcPr>
            <w:tcW w:w="808"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3 047</w:t>
            </w:r>
          </w:p>
        </w:tc>
        <w:tc>
          <w:tcPr>
            <w:tcW w:w="809"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3 221</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Includes estimated depreciation on amounts not yet allocated to projects in 2016-17 to 2019-20.</w:t>
      </w:r>
    </w:p>
    <w:p w:rsidR="00566E9A" w:rsidRDefault="00566E9A" w:rsidP="00AE5760">
      <w:pPr>
        <w:pStyle w:val="Notes"/>
        <w:rPr>
          <w:rFonts w:eastAsiaTheme="minorHAnsi"/>
        </w:rPr>
      </w:pPr>
      <w:r>
        <w:rPr>
          <w:rFonts w:eastAsiaTheme="minorHAnsi"/>
        </w:rPr>
        <w:t>(b)</w:t>
      </w:r>
      <w:r>
        <w:rPr>
          <w:rFonts w:eastAsiaTheme="minorHAnsi"/>
        </w:rPr>
        <w:tab/>
        <w:t>Amortisation of intangible non-produced assets is included under other gains/(losses) from other economic flows.</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9:</w:t>
      </w:r>
      <w:r>
        <w:rPr>
          <w:rFonts w:eastAsiaTheme="minorHAnsi"/>
        </w:rPr>
        <w:tab/>
        <w:t>Interest expense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80" w:type="dxa"/>
        <w:tblInd w:w="45" w:type="dxa"/>
        <w:tblLayout w:type="fixed"/>
        <w:tblCellMar>
          <w:left w:w="45" w:type="dxa"/>
          <w:right w:w="45" w:type="dxa"/>
        </w:tblCellMar>
        <w:tblLook w:val="06A0" w:firstRow="1" w:lastRow="0" w:firstColumn="1" w:lastColumn="0" w:noHBand="1" w:noVBand="1"/>
      </w:tblPr>
      <w:tblGrid>
        <w:gridCol w:w="3725"/>
        <w:gridCol w:w="811"/>
        <w:gridCol w:w="811"/>
        <w:gridCol w:w="811"/>
        <w:gridCol w:w="811"/>
        <w:gridCol w:w="811"/>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2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11"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11"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11"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11"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11"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Interest on long-term interest-bearing liabilities</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1 528</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1 246</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1 162</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1 185</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1 133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Interest on short-term interest-bearing liabilities</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47</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Finance charges on finance leases</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821</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834</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895</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895</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878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Discount interest on payables</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w:t>
            </w:r>
          </w:p>
        </w:tc>
        <w:tc>
          <w:tcPr>
            <w:tcW w:w="81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2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interest expense</w:t>
            </w:r>
          </w:p>
        </w:tc>
        <w:tc>
          <w:tcPr>
            <w:tcW w:w="81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2 433</w:t>
            </w:r>
          </w:p>
        </w:tc>
        <w:tc>
          <w:tcPr>
            <w:tcW w:w="81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2 147</w:t>
            </w:r>
          </w:p>
        </w:tc>
        <w:tc>
          <w:tcPr>
            <w:tcW w:w="81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2 121</w:t>
            </w:r>
          </w:p>
        </w:tc>
        <w:tc>
          <w:tcPr>
            <w:tcW w:w="81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2 145</w:t>
            </w:r>
          </w:p>
        </w:tc>
        <w:tc>
          <w:tcPr>
            <w:tcW w:w="811"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2 076</w:t>
            </w:r>
          </w:p>
        </w:tc>
      </w:tr>
    </w:tbl>
    <w:p w:rsidR="00566E9A" w:rsidRDefault="00566E9A" w:rsidP="00AE5760">
      <w:pPr>
        <w:rPr>
          <w:rFonts w:eastAsiaTheme="minorHAnsi"/>
        </w:rPr>
      </w:pPr>
    </w:p>
    <w:p w:rsidR="00566E9A" w:rsidRDefault="00566E9A" w:rsidP="00AE5760">
      <w:pPr>
        <w:rPr>
          <w:rFonts w:eastAsiaTheme="minorHAnsi"/>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10:</w:t>
      </w:r>
      <w:r>
        <w:rPr>
          <w:rFonts w:eastAsiaTheme="minorHAnsi"/>
        </w:rPr>
        <w:tab/>
        <w:t>Grant expense</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jc w:val="center"/>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Current grant expense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Commonwealth Government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Local government (including grants for </w:t>
            </w:r>
            <w:r>
              <w:rPr>
                <w:rFonts w:eastAsiaTheme="minorEastAsia" w:cs="Calibri"/>
                <w:color w:val="000000"/>
                <w:szCs w:val="16"/>
              </w:rPr>
              <w:br/>
              <w:t>on-passing)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869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751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Private sector and not-for-profit for </w:t>
            </w:r>
            <w:r>
              <w:rPr>
                <w:rFonts w:eastAsiaTheme="minorEastAsia" w:cs="Calibri"/>
                <w:color w:val="000000"/>
                <w:szCs w:val="16"/>
              </w:rPr>
              <w:br/>
              <w:t>on-passing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3 037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3 015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3 176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3 335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3 492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private sector and not-for-profit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2 011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2 294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2 644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3 223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3 233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Grants within the Victorian Government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3 147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3 235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3 344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3 301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3 283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Grants to other state governments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current grant expense</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9 281</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9 951</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10 311</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10 964</w:t>
            </w:r>
          </w:p>
        </w:tc>
        <w:tc>
          <w:tcPr>
            <w:tcW w:w="850" w:type="dxa"/>
            <w:tcBorders>
              <w:top w:val="single" w:sz="6" w:space="0" w:color="000000"/>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10 959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Capital grant expense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Commonwealth Government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7208F6">
              <w:rPr>
                <w:rFonts w:eastAsiaTheme="minorEastAsia" w:cs="Arial"/>
                <w:color w:val="000000"/>
                <w:szCs w:val="18"/>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7208F6">
              <w:rPr>
                <w:rFonts w:eastAsiaTheme="minorEastAsia" w:cs="Arial"/>
                <w:color w:val="000000"/>
                <w:szCs w:val="18"/>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7208F6">
              <w:rPr>
                <w:rFonts w:eastAsiaTheme="minorEastAsia" w:cs="Arial"/>
                <w:color w:val="000000"/>
                <w:szCs w:val="18"/>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7208F6">
              <w:rPr>
                <w:rFonts w:eastAsiaTheme="minorEastAsia" w:cs="Arial"/>
                <w:color w:val="000000"/>
                <w:szCs w:val="18"/>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7208F6">
              <w:rPr>
                <w:rFonts w:eastAsiaTheme="minorEastAsia" w:cs="Arial"/>
                <w:color w:val="000000"/>
                <w:szCs w:val="18"/>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Local government (including grants for </w:t>
            </w:r>
            <w:r>
              <w:rPr>
                <w:rFonts w:eastAsiaTheme="minorEastAsia" w:cs="Calibri"/>
                <w:color w:val="000000"/>
                <w:szCs w:val="16"/>
              </w:rPr>
              <w:br/>
              <w:t>on-passing)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Private sector and not-for-profit on-passing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private sector and not-for-profit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Grants within the Victorian Government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 grants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capital grant expense</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170</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360</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92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110</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grant expense</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9 451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10 312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10 404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11 074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11 028</w:t>
            </w:r>
          </w:p>
        </w:tc>
      </w:tr>
    </w:tbl>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11:</w:t>
      </w:r>
      <w:r>
        <w:rPr>
          <w:rFonts w:eastAsiaTheme="minorHAnsi"/>
        </w:rPr>
        <w:tab/>
        <w:t>Other operating expenses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4" w:type="dxa"/>
        <w:tblInd w:w="45" w:type="dxa"/>
        <w:tblLayout w:type="fixed"/>
        <w:tblCellMar>
          <w:left w:w="45" w:type="dxa"/>
          <w:right w:w="45" w:type="dxa"/>
        </w:tblCellMar>
        <w:tblLook w:val="06A0" w:firstRow="1" w:lastRow="0" w:firstColumn="1" w:lastColumn="0" w:noHBand="1" w:noVBand="1"/>
      </w:tblPr>
      <w:tblGrid>
        <w:gridCol w:w="3514"/>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4"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Purchase of supplies and consumables </w:t>
            </w:r>
            <w:r w:rsidRPr="007208F6">
              <w:rPr>
                <w:rFonts w:eastAsiaTheme="minorEastAsia" w:cs="Calibri"/>
                <w:color w:val="000000"/>
                <w:szCs w:val="16"/>
                <w:vertAlign w:val="superscript"/>
              </w:rPr>
              <w:t>(a)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4 781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4 913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5 810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6 086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6 409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Cost of goods sold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Finance expenses and fees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Purchase of services </w:t>
            </w:r>
            <w:r w:rsidRPr="007208F6">
              <w:rPr>
                <w:rFonts w:eastAsiaTheme="minorEastAsia" w:cs="Calibri"/>
                <w:color w:val="000000"/>
                <w:szCs w:val="16"/>
                <w:vertAlign w:val="superscript"/>
              </w:rPr>
              <w:t>(a)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11 910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11 864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11 751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11 663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7208F6">
              <w:rPr>
                <w:rFonts w:eastAsiaTheme="minorEastAsia" w:cs="Arial"/>
                <w:color w:val="000000"/>
                <w:szCs w:val="18"/>
              </w:rPr>
              <w:t>11 396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Insurance claims expense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Maintenance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770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730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739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Operating lease payments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298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Other</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677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767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4"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other operating expenses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18 669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18 817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19 536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19 750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7208F6">
              <w:rPr>
                <w:rFonts w:eastAsiaTheme="minorEastAsia" w:cs="Arial"/>
                <w:b/>
                <w:bCs/>
                <w:color w:val="000000"/>
                <w:szCs w:val="18"/>
              </w:rPr>
              <w:t>19 849</w:t>
            </w:r>
          </w:p>
        </w:tc>
      </w:tr>
    </w:tbl>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t>Further disclosure on purchase of supplies and consumables and purchase of services by department is available on the Department of Treasury and Finance’s website.</w:t>
      </w:r>
    </w:p>
    <w:p w:rsidR="00566E9A" w:rsidRDefault="00566E9A" w:rsidP="00AE5760">
      <w:pPr>
        <w:rPr>
          <w:rFonts w:eastAsiaTheme="minorHAnsi"/>
        </w:rPr>
      </w:pPr>
    </w:p>
    <w:p w:rsidR="00566E9A" w:rsidRDefault="00566E9A" w:rsidP="00AE5760">
      <w:pPr>
        <w:pStyle w:val="Heading2Notes"/>
        <w:rPr>
          <w:rFonts w:eastAsiaTheme="minorHAnsi"/>
        </w:rPr>
      </w:pPr>
      <w:r>
        <w:rPr>
          <w:rFonts w:eastAsiaTheme="minorHAnsi"/>
        </w:rPr>
        <w:lastRenderedPageBreak/>
        <w:t>Note 12:</w:t>
      </w:r>
      <w:r>
        <w:rPr>
          <w:rFonts w:eastAsiaTheme="minorHAnsi"/>
        </w:rPr>
        <w:tab/>
        <w:t>Total expenses by government purpose and by department</w:t>
      </w:r>
    </w:p>
    <w:p w:rsidR="00566E9A" w:rsidRDefault="00566E9A" w:rsidP="00AE5760">
      <w:pPr>
        <w:pStyle w:val="Heading5"/>
        <w:rPr>
          <w:rFonts w:eastAsiaTheme="minorHAnsi"/>
        </w:rPr>
      </w:pPr>
      <w:r>
        <w:rPr>
          <w:rFonts w:eastAsiaTheme="minorHAnsi"/>
        </w:rPr>
        <w:t>(a)</w:t>
      </w:r>
      <w:r>
        <w:rPr>
          <w:rFonts w:eastAsiaTheme="minorHAnsi"/>
        </w:rPr>
        <w:tab/>
        <w:t xml:space="preserve">Expenses by government purpose classification </w:t>
      </w:r>
      <w:r w:rsidRPr="00E74089">
        <w:rPr>
          <w:rFonts w:eastAsiaTheme="minorHAnsi"/>
          <w:vertAlign w:val="superscript"/>
        </w:rPr>
        <w:t>(a)</w:t>
      </w:r>
    </w:p>
    <w:p w:rsidR="00566E9A" w:rsidRPr="00E72AD4"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E72AD4"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E72AD4" w:rsidRDefault="00AE5760" w:rsidP="00AE5760">
            <w:pPr>
              <w:autoSpaceDE w:val="0"/>
              <w:autoSpaceDN w:val="0"/>
              <w:adjustRightInd w:val="0"/>
              <w:rPr>
                <w:rFonts w:eastAsiaTheme="minorEastAsia" w:cs="Calibri"/>
                <w:iCs/>
                <w:color w:val="FFFFFF"/>
                <w:szCs w:val="20"/>
              </w:rPr>
            </w:pPr>
            <w:r w:rsidRPr="00E72AD4">
              <w:rPr>
                <w:rFonts w:eastAsiaTheme="minorEastAsia" w:cs="Calibri"/>
                <w:iCs/>
                <w:color w:val="FFFFFF"/>
                <w:szCs w:val="20"/>
              </w:rPr>
              <w:t xml:space="preserve">  </w:t>
            </w:r>
          </w:p>
        </w:tc>
        <w:tc>
          <w:tcPr>
            <w:tcW w:w="850"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2016-17</w:t>
            </w:r>
            <w:r>
              <w:rPr>
                <w:rFonts w:eastAsiaTheme="minorEastAsia" w:cs="Calibri"/>
                <w:iCs/>
                <w:color w:val="FFFFFF"/>
                <w:szCs w:val="20"/>
              </w:rPr>
              <w:br/>
            </w:r>
            <w:r w:rsidRPr="00E72AD4">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2016-17</w:t>
            </w:r>
            <w:r>
              <w:rPr>
                <w:rFonts w:eastAsiaTheme="minorEastAsia" w:cs="Calibri"/>
                <w:iCs/>
                <w:color w:val="FFFFFF"/>
                <w:szCs w:val="20"/>
              </w:rPr>
              <w:br/>
            </w:r>
            <w:r w:rsidRPr="00E72AD4">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2017-18</w:t>
            </w:r>
            <w:r>
              <w:rPr>
                <w:rFonts w:eastAsiaTheme="minorEastAsia" w:cs="Calibri"/>
                <w:iCs/>
                <w:color w:val="FFFFFF"/>
                <w:szCs w:val="20"/>
              </w:rPr>
              <w:br/>
            </w:r>
            <w:r w:rsidRPr="00E72AD4">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2018-19</w:t>
            </w:r>
            <w:r>
              <w:rPr>
                <w:rFonts w:eastAsiaTheme="minorEastAsia" w:cs="Calibri"/>
                <w:iCs/>
                <w:color w:val="FFFFFF"/>
                <w:szCs w:val="20"/>
              </w:rPr>
              <w:br/>
            </w:r>
            <w:r w:rsidRPr="00E72AD4">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2019-20</w:t>
            </w:r>
            <w:r>
              <w:rPr>
                <w:rFonts w:eastAsiaTheme="minorEastAsia" w:cs="Calibri"/>
                <w:iCs/>
                <w:color w:val="FFFFFF"/>
                <w:szCs w:val="20"/>
              </w:rPr>
              <w:br/>
            </w:r>
            <w:r w:rsidRPr="00E72AD4">
              <w:rPr>
                <w:rFonts w:eastAsiaTheme="minorEastAsia" w:cs="Calibri"/>
                <w:iCs/>
                <w:color w:val="FFFFFF"/>
                <w:szCs w:val="20"/>
              </w:rPr>
              <w:t>estimate</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b/>
                <w:bCs/>
                <w:color w:val="000000"/>
                <w:szCs w:val="20"/>
              </w:rPr>
            </w:pPr>
            <w:r w:rsidRPr="00E72AD4">
              <w:rPr>
                <w:rFonts w:eastAsiaTheme="minorEastAsia" w:cs="Calibri"/>
                <w:b/>
                <w:bCs/>
                <w:color w:val="000000"/>
                <w:szCs w:val="20"/>
              </w:rPr>
              <w:t>Expenses</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50" w:type="dxa"/>
            <w:tcBorders>
              <w:top w:val="nil"/>
              <w:left w:val="nil"/>
              <w:bottom w:val="nil"/>
              <w:right w:val="nil"/>
            </w:tcBorders>
          </w:tcPr>
          <w:p w:rsidR="00566E9A" w:rsidRPr="00E72AD4"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50" w:type="dxa"/>
            <w:tcBorders>
              <w:top w:val="nil"/>
              <w:left w:val="nil"/>
              <w:bottom w:val="nil"/>
              <w:right w:val="nil"/>
            </w:tcBorders>
          </w:tcPr>
          <w:p w:rsidR="00566E9A" w:rsidRPr="00E72AD4" w:rsidRDefault="00566E9A" w:rsidP="00AE576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General public services</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2 296</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2 231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2 045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1 960</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2 010</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Public order and safety</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6 645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6 838</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6 805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7 007</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7 202</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Education</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14 801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14 763</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15 018</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15 313</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15 655</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Health</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16 374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16 724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17 043</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17 834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18 762</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vertAlign w:val="superscript"/>
              </w:rPr>
            </w:pPr>
            <w:r w:rsidRPr="00E72AD4">
              <w:rPr>
                <w:rFonts w:eastAsiaTheme="minorEastAsia" w:cs="Calibri"/>
                <w:color w:val="000000"/>
                <w:szCs w:val="20"/>
              </w:rPr>
              <w:t xml:space="preserve">Social security and welfare </w:t>
            </w:r>
            <w:r w:rsidRPr="00E72AD4">
              <w:rPr>
                <w:rFonts w:eastAsiaTheme="minorEastAsia" w:cs="Calibri"/>
                <w:color w:val="000000"/>
                <w:szCs w:val="20"/>
                <w:vertAlign w:val="superscript"/>
              </w:rPr>
              <w:t>(b)</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4 244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4 294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4 590</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4 902</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4 347</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vertAlign w:val="superscript"/>
              </w:rPr>
            </w:pPr>
            <w:r w:rsidRPr="00E72AD4">
              <w:rPr>
                <w:rFonts w:eastAsiaTheme="minorEastAsia" w:cs="Calibri"/>
                <w:color w:val="000000"/>
                <w:szCs w:val="20"/>
              </w:rPr>
              <w:t xml:space="preserve">Housing and community amenities </w:t>
            </w:r>
            <w:r w:rsidRPr="00E72AD4">
              <w:rPr>
                <w:rFonts w:eastAsiaTheme="minorEastAsia" w:cs="Calibri"/>
                <w:color w:val="000000"/>
                <w:szCs w:val="20"/>
                <w:vertAlign w:val="superscript"/>
              </w:rPr>
              <w:t>(c)</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3 226</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3 319</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3 294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2 902</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2 800</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Recreation and culture</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743</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729</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687</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666</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633</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Fuel and energy</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210</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237</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190</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98</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Agriculture, forestry, fishing, and hunting</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388</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475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428</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427</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370</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Transport and communications</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6 751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6 921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6 809</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6 961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7 088</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Other economic affairs</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993</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1 275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914</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758</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555</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Other purposes</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1 515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1 255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1 156</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1 205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1 188</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vertAlign w:val="superscript"/>
              </w:rPr>
            </w:pPr>
            <w:r w:rsidRPr="00E72AD4">
              <w:rPr>
                <w:rFonts w:eastAsiaTheme="minorEastAsia" w:cs="Calibri"/>
                <w:color w:val="000000"/>
                <w:szCs w:val="20"/>
              </w:rPr>
              <w:t>Not allocated by purpose</w:t>
            </w:r>
            <w:r w:rsidRPr="00E72AD4">
              <w:rPr>
                <w:rFonts w:eastAsiaTheme="minorEastAsia" w:cs="Calibri"/>
                <w:color w:val="000000"/>
                <w:szCs w:val="20"/>
                <w:vertAlign w:val="superscript"/>
              </w:rPr>
              <w:t xml:space="preserve"> (d)</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(677)</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(539)</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1 221</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2 525</w:t>
            </w:r>
          </w:p>
        </w:tc>
        <w:tc>
          <w:tcPr>
            <w:tcW w:w="850"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2 810</w:t>
            </w:r>
          </w:p>
        </w:tc>
      </w:tr>
      <w:tr w:rsidR="00566E9A" w:rsidRPr="00E72AD4"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rPr>
                <w:rFonts w:eastAsiaTheme="minorEastAsia" w:cs="Calibri"/>
                <w:b/>
                <w:bCs/>
                <w:color w:val="000000"/>
                <w:szCs w:val="20"/>
              </w:rPr>
            </w:pPr>
            <w:r w:rsidRPr="00E72AD4">
              <w:rPr>
                <w:rFonts w:eastAsiaTheme="minorEastAsia" w:cs="Calibri"/>
                <w:b/>
                <w:bCs/>
                <w:color w:val="000000"/>
                <w:szCs w:val="20"/>
              </w:rPr>
              <w:t xml:space="preserve">Total expenses by government purpose classification </w:t>
            </w:r>
          </w:p>
        </w:tc>
        <w:tc>
          <w:tcPr>
            <w:tcW w:w="850"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57 501</w:t>
            </w:r>
          </w:p>
        </w:tc>
        <w:tc>
          <w:tcPr>
            <w:tcW w:w="850"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58 495</w:t>
            </w:r>
          </w:p>
        </w:tc>
        <w:tc>
          <w:tcPr>
            <w:tcW w:w="850"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60 246</w:t>
            </w:r>
          </w:p>
        </w:tc>
        <w:tc>
          <w:tcPr>
            <w:tcW w:w="850"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62 652</w:t>
            </w:r>
          </w:p>
        </w:tc>
        <w:tc>
          <w:tcPr>
            <w:tcW w:w="850"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Pr>
                <w:rFonts w:eastAsiaTheme="minorEastAsia" w:cs="Calibri"/>
                <w:b/>
                <w:bCs/>
                <w:color w:val="000000"/>
                <w:szCs w:val="20"/>
              </w:rPr>
              <w:t>63 519</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 xml:space="preserve">Note 3.6 of the </w:t>
      </w:r>
      <w:r>
        <w:rPr>
          <w:rFonts w:eastAsiaTheme="minorHAnsi"/>
          <w:i w:val="0"/>
        </w:rPr>
        <w:t>2015-16 Financial Report</w:t>
      </w:r>
      <w:r>
        <w:rPr>
          <w:rFonts w:eastAsiaTheme="minorHAnsi"/>
        </w:rPr>
        <w:t xml:space="preserve"> for the State of Victoria provides definitions and descriptions of government purposes classifications.</w:t>
      </w:r>
    </w:p>
    <w:p w:rsidR="00566E9A" w:rsidRDefault="00566E9A" w:rsidP="00AE5760">
      <w:pPr>
        <w:pStyle w:val="Notes"/>
        <w:rPr>
          <w:rFonts w:eastAsiaTheme="minorHAnsi"/>
        </w:rPr>
      </w:pPr>
      <w:r>
        <w:rPr>
          <w:rFonts w:eastAsiaTheme="minorHAnsi"/>
        </w:rPr>
        <w:t>(b)</w:t>
      </w:r>
      <w:r>
        <w:rPr>
          <w:rFonts w:eastAsiaTheme="minorHAnsi"/>
        </w:rPr>
        <w:tab/>
        <w:t>The National Disability specific purpose payment is ceasing in 2019-20.</w:t>
      </w:r>
    </w:p>
    <w:p w:rsidR="00566E9A" w:rsidRDefault="00566E9A" w:rsidP="00AE5760">
      <w:pPr>
        <w:pStyle w:val="Notes"/>
        <w:rPr>
          <w:rFonts w:eastAsiaTheme="minorHAnsi"/>
        </w:rPr>
      </w:pPr>
      <w:r>
        <w:rPr>
          <w:rFonts w:eastAsiaTheme="minorHAnsi"/>
        </w:rPr>
        <w:t>(c)</w:t>
      </w:r>
      <w:r>
        <w:rPr>
          <w:rFonts w:eastAsiaTheme="minorHAnsi"/>
        </w:rPr>
        <w:tab/>
        <w:t xml:space="preserve">The downward movement from 2017-18 relates to </w:t>
      </w:r>
      <w:proofErr w:type="spellStart"/>
      <w:r>
        <w:rPr>
          <w:rFonts w:eastAsiaTheme="minorHAnsi"/>
        </w:rPr>
        <w:t>sunsetting</w:t>
      </w:r>
      <w:proofErr w:type="spellEnd"/>
      <w:r>
        <w:rPr>
          <w:rFonts w:eastAsiaTheme="minorHAnsi"/>
        </w:rPr>
        <w:t xml:space="preserve"> initiatives and movements in funding across years for various initiatives.</w:t>
      </w:r>
    </w:p>
    <w:p w:rsidR="00566E9A" w:rsidRDefault="00566E9A" w:rsidP="00AE5760">
      <w:pPr>
        <w:pStyle w:val="Notes"/>
        <w:rPr>
          <w:rFonts w:eastAsiaTheme="minorHAnsi"/>
        </w:rPr>
      </w:pPr>
      <w:r>
        <w:rPr>
          <w:rFonts w:eastAsiaTheme="minorHAnsi"/>
        </w:rPr>
        <w:t>(d)</w:t>
      </w:r>
      <w:r>
        <w:rPr>
          <w:rFonts w:eastAsiaTheme="minorHAnsi"/>
        </w:rPr>
        <w:tab/>
        <w:t>Mainly comprising provision for future demand growth, departmental underspending, eliminated purchase of supplies and consumables between Government entities, and items not yet formalised at the time of publication.</w:t>
      </w: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12:</w:t>
      </w:r>
      <w:r>
        <w:rPr>
          <w:rFonts w:eastAsiaTheme="minorHAnsi"/>
        </w:rPr>
        <w:tab/>
        <w:t xml:space="preserve">Total expenses by government purpose and by department </w:t>
      </w:r>
      <w:r w:rsidRPr="005C68F1">
        <w:rPr>
          <w:rFonts w:eastAsiaTheme="minorHAnsi"/>
          <w:i/>
        </w:rPr>
        <w:t>(continued)</w:t>
      </w:r>
    </w:p>
    <w:p w:rsidR="00566E9A" w:rsidRDefault="00566E9A" w:rsidP="00AE5760">
      <w:pPr>
        <w:pStyle w:val="Heading5"/>
        <w:rPr>
          <w:rFonts w:eastAsiaTheme="minorHAnsi"/>
        </w:rPr>
      </w:pPr>
      <w:r>
        <w:rPr>
          <w:rFonts w:eastAsiaTheme="minorHAnsi"/>
        </w:rPr>
        <w:t>(b)</w:t>
      </w:r>
      <w:r>
        <w:rPr>
          <w:rFonts w:eastAsiaTheme="minorHAnsi"/>
        </w:rPr>
        <w:tab/>
        <w:t>Total expenses by department</w:t>
      </w:r>
    </w:p>
    <w:p w:rsidR="00566E9A" w:rsidRPr="00E72AD4"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686"/>
        <w:gridCol w:w="815"/>
        <w:gridCol w:w="816"/>
        <w:gridCol w:w="816"/>
        <w:gridCol w:w="816"/>
        <w:gridCol w:w="816"/>
      </w:tblGrid>
      <w:tr w:rsidR="00AE5760" w:rsidRPr="00E72AD4" w:rsidTr="00162E9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rPr>
                <w:rFonts w:eastAsiaTheme="minorEastAsia" w:cs="Calibri"/>
                <w:iCs/>
                <w:color w:val="FFFFFF"/>
                <w:szCs w:val="20"/>
              </w:rPr>
            </w:pPr>
            <w:r w:rsidRPr="00E72AD4">
              <w:rPr>
                <w:rFonts w:eastAsiaTheme="minorEastAsia" w:cs="Calibri"/>
                <w:iCs/>
                <w:color w:val="FFFFFF"/>
                <w:szCs w:val="20"/>
              </w:rPr>
              <w:t xml:space="preserve">  </w:t>
            </w:r>
          </w:p>
        </w:tc>
        <w:tc>
          <w:tcPr>
            <w:tcW w:w="815"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2016-17</w:t>
            </w:r>
            <w:r>
              <w:rPr>
                <w:rFonts w:eastAsiaTheme="minorEastAsia" w:cs="Calibri"/>
                <w:iCs/>
                <w:color w:val="FFFFFF"/>
                <w:szCs w:val="20"/>
              </w:rPr>
              <w:br/>
            </w:r>
            <w:r w:rsidRPr="00E72AD4">
              <w:rPr>
                <w:rFonts w:eastAsiaTheme="minorEastAsia" w:cs="Calibri"/>
                <w:iCs/>
                <w:color w:val="FFFFFF"/>
                <w:szCs w:val="20"/>
              </w:rPr>
              <w:t>budget</w:t>
            </w:r>
          </w:p>
        </w:tc>
        <w:tc>
          <w:tcPr>
            <w:tcW w:w="816"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2016-17</w:t>
            </w:r>
            <w:r>
              <w:rPr>
                <w:rFonts w:eastAsiaTheme="minorEastAsia" w:cs="Calibri"/>
                <w:iCs/>
                <w:color w:val="FFFFFF"/>
                <w:szCs w:val="20"/>
              </w:rPr>
              <w:br/>
            </w:r>
            <w:r w:rsidRPr="00E72AD4">
              <w:rPr>
                <w:rFonts w:eastAsiaTheme="minorEastAsia" w:cs="Calibri"/>
                <w:iCs/>
                <w:color w:val="FFFFFF"/>
                <w:szCs w:val="20"/>
              </w:rPr>
              <w:t>revised</w:t>
            </w:r>
          </w:p>
        </w:tc>
        <w:tc>
          <w:tcPr>
            <w:tcW w:w="816"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2017-18</w:t>
            </w:r>
            <w:r>
              <w:rPr>
                <w:rFonts w:eastAsiaTheme="minorEastAsia" w:cs="Calibri"/>
                <w:iCs/>
                <w:color w:val="FFFFFF"/>
                <w:szCs w:val="20"/>
              </w:rPr>
              <w:br/>
            </w:r>
            <w:r w:rsidRPr="00E72AD4">
              <w:rPr>
                <w:rFonts w:eastAsiaTheme="minorEastAsia" w:cs="Calibri"/>
                <w:iCs/>
                <w:color w:val="FFFFFF"/>
                <w:szCs w:val="20"/>
              </w:rPr>
              <w:t>estimate</w:t>
            </w:r>
          </w:p>
        </w:tc>
        <w:tc>
          <w:tcPr>
            <w:tcW w:w="816"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2018-19</w:t>
            </w:r>
            <w:r>
              <w:rPr>
                <w:rFonts w:eastAsiaTheme="minorEastAsia" w:cs="Calibri"/>
                <w:iCs/>
                <w:color w:val="FFFFFF"/>
                <w:szCs w:val="20"/>
              </w:rPr>
              <w:br/>
            </w:r>
            <w:r w:rsidRPr="00E72AD4">
              <w:rPr>
                <w:rFonts w:eastAsiaTheme="minorEastAsia" w:cs="Calibri"/>
                <w:iCs/>
                <w:color w:val="FFFFFF"/>
                <w:szCs w:val="20"/>
              </w:rPr>
              <w:t>estimate</w:t>
            </w:r>
          </w:p>
        </w:tc>
        <w:tc>
          <w:tcPr>
            <w:tcW w:w="816" w:type="dxa"/>
            <w:tcBorders>
              <w:top w:val="single" w:sz="6" w:space="0" w:color="auto"/>
              <w:left w:val="nil"/>
              <w:right w:val="nil"/>
            </w:tcBorders>
            <w:shd w:val="solid" w:color="000000" w:fill="auto"/>
          </w:tcPr>
          <w:p w:rsidR="00AE5760" w:rsidRPr="00E72AD4"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E72AD4">
              <w:rPr>
                <w:rFonts w:eastAsiaTheme="minorEastAsia" w:cs="Calibri"/>
                <w:iCs/>
                <w:color w:val="FFFFFF"/>
                <w:szCs w:val="20"/>
              </w:rPr>
              <w:t>2019-20</w:t>
            </w:r>
            <w:r>
              <w:rPr>
                <w:rFonts w:eastAsiaTheme="minorEastAsia" w:cs="Calibri"/>
                <w:iCs/>
                <w:color w:val="FFFFFF"/>
                <w:szCs w:val="20"/>
              </w:rPr>
              <w:br/>
            </w:r>
            <w:r w:rsidRPr="00E72AD4">
              <w:rPr>
                <w:rFonts w:eastAsiaTheme="minorEastAsia" w:cs="Calibri"/>
                <w:iCs/>
                <w:color w:val="FFFFFF"/>
                <w:szCs w:val="20"/>
              </w:rPr>
              <w:t>estimate</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b/>
                <w:bCs/>
                <w:color w:val="000000"/>
                <w:szCs w:val="20"/>
              </w:rPr>
            </w:pPr>
            <w:r w:rsidRPr="00E72AD4">
              <w:rPr>
                <w:rFonts w:eastAsiaTheme="minorEastAsia" w:cs="Calibri"/>
                <w:b/>
                <w:bCs/>
                <w:color w:val="000000"/>
                <w:szCs w:val="20"/>
              </w:rPr>
              <w:t>Expenses from transactions</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rPr>
            </w:pPr>
            <w:r w:rsidRPr="00E72AD4">
              <w:rPr>
                <w:rFonts w:eastAsiaTheme="minorEastAsia" w:cs="Calibri"/>
                <w:i/>
                <w:iCs/>
                <w:color w:val="000000"/>
                <w:szCs w:val="20"/>
              </w:rPr>
              <w:t xml:space="preserve"> </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Economic Development, Jobs, Transport and Resources</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8 726</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9 224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8 712</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8 730</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8 514</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Education and Training</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16 526</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16 532</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16 704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16 823</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17 108</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vertAlign w:val="superscript"/>
              </w:rPr>
            </w:pPr>
            <w:r w:rsidRPr="00E72AD4">
              <w:rPr>
                <w:rFonts w:eastAsiaTheme="minorEastAsia" w:cs="Calibri"/>
                <w:color w:val="000000"/>
                <w:szCs w:val="20"/>
              </w:rPr>
              <w:t xml:space="preserve">Environment, Land, Water and Planning </w:t>
            </w:r>
            <w:r w:rsidRPr="00E72AD4">
              <w:rPr>
                <w:rFonts w:eastAsiaTheme="minorEastAsia" w:cs="Calibri"/>
                <w:color w:val="000000"/>
                <w:szCs w:val="20"/>
                <w:vertAlign w:val="superscript"/>
              </w:rPr>
              <w:t>(a)</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2 892</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3 144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3 044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2 574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2 512</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Health and Human Services</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22 235</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22 798</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22 868</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23 249</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23 328</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Justice and Regulation</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6 061</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6 268</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6 306</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6 476</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6 546</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Premier and Cabinet</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613</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653</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454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387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374</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 xml:space="preserve">Treasury and Finance </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7 132</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6 934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6 560</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6 637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6 736</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Parliament</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200</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205</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206</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209</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rPr>
            </w:pPr>
            <w:r w:rsidRPr="00E72AD4">
              <w:rPr>
                <w:rFonts w:eastAsiaTheme="minorEastAsia" w:cs="Calibri"/>
                <w:color w:val="000000"/>
                <w:szCs w:val="20"/>
              </w:rPr>
              <w:t>Courts</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550</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560</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567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593</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615</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color w:val="000000"/>
                <w:szCs w:val="20"/>
                <w:vertAlign w:val="superscript"/>
              </w:rPr>
            </w:pPr>
            <w:r w:rsidRPr="00E72AD4">
              <w:rPr>
                <w:rFonts w:eastAsiaTheme="minorEastAsia" w:cs="Calibri"/>
                <w:color w:val="000000"/>
                <w:szCs w:val="20"/>
              </w:rPr>
              <w:t xml:space="preserve">Regulatory bodies and other part funded agencies </w:t>
            </w:r>
            <w:r w:rsidRPr="00E72AD4">
              <w:rPr>
                <w:rFonts w:eastAsiaTheme="minorEastAsia" w:cs="Calibri"/>
                <w:color w:val="000000"/>
                <w:szCs w:val="20"/>
                <w:vertAlign w:val="superscript"/>
              </w:rPr>
              <w:t>(b)</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2 103</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2 175</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2 117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2 147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2 190</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6" w:space="0" w:color="auto"/>
              <w:right w:val="nil"/>
            </w:tcBorders>
          </w:tcPr>
          <w:p w:rsidR="00566E9A" w:rsidRPr="00E72AD4" w:rsidRDefault="00566E9A" w:rsidP="00AE5760">
            <w:pPr>
              <w:autoSpaceDE w:val="0"/>
              <w:autoSpaceDN w:val="0"/>
              <w:adjustRightInd w:val="0"/>
              <w:rPr>
                <w:rFonts w:eastAsiaTheme="minorEastAsia" w:cs="Calibri"/>
                <w:color w:val="000000"/>
                <w:szCs w:val="20"/>
                <w:vertAlign w:val="superscript"/>
              </w:rPr>
            </w:pPr>
            <w:r w:rsidRPr="00E72AD4">
              <w:rPr>
                <w:rFonts w:eastAsiaTheme="minorEastAsia" w:cs="Calibri"/>
                <w:color w:val="000000"/>
                <w:szCs w:val="20"/>
              </w:rPr>
              <w:t xml:space="preserve">Output contingencies not allocated to departments </w:t>
            </w:r>
            <w:r w:rsidRPr="00E72AD4">
              <w:rPr>
                <w:rFonts w:eastAsiaTheme="minorEastAsia" w:cs="Calibri"/>
                <w:color w:val="000000"/>
                <w:szCs w:val="20"/>
                <w:vertAlign w:val="superscript"/>
              </w:rPr>
              <w:t>(c)</w:t>
            </w:r>
          </w:p>
        </w:tc>
        <w:tc>
          <w:tcPr>
            <w:tcW w:w="815" w:type="dxa"/>
            <w:tcBorders>
              <w:top w:val="nil"/>
              <w:left w:val="nil"/>
              <w:bottom w:val="single" w:sz="6"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818</w:t>
            </w:r>
          </w:p>
        </w:tc>
        <w:tc>
          <w:tcPr>
            <w:tcW w:w="816" w:type="dxa"/>
            <w:tcBorders>
              <w:top w:val="nil"/>
              <w:left w:val="nil"/>
              <w:bottom w:val="single" w:sz="6"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879</w:t>
            </w:r>
          </w:p>
        </w:tc>
        <w:tc>
          <w:tcPr>
            <w:tcW w:w="816" w:type="dxa"/>
            <w:tcBorders>
              <w:top w:val="nil"/>
              <w:left w:val="nil"/>
              <w:bottom w:val="single" w:sz="6"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2 235</w:t>
            </w:r>
          </w:p>
        </w:tc>
        <w:tc>
          <w:tcPr>
            <w:tcW w:w="816" w:type="dxa"/>
            <w:tcBorders>
              <w:top w:val="nil"/>
              <w:left w:val="nil"/>
              <w:bottom w:val="single" w:sz="6"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4 254</w:t>
            </w:r>
          </w:p>
        </w:tc>
        <w:tc>
          <w:tcPr>
            <w:tcW w:w="816" w:type="dxa"/>
            <w:tcBorders>
              <w:top w:val="nil"/>
              <w:left w:val="nil"/>
              <w:bottom w:val="single" w:sz="6"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4 858</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b/>
                <w:bCs/>
                <w:color w:val="000000"/>
                <w:szCs w:val="20"/>
              </w:rPr>
            </w:pPr>
            <w:r w:rsidRPr="00E72AD4">
              <w:rPr>
                <w:rFonts w:eastAsiaTheme="minorEastAsia" w:cs="Calibri"/>
                <w:b/>
                <w:bCs/>
                <w:color w:val="000000"/>
                <w:szCs w:val="20"/>
              </w:rPr>
              <w:t xml:space="preserve">Total expenses by department </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67 857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69 374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69 771</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72 076</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72 991</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tcPr>
          <w:p w:rsidR="00566E9A" w:rsidRPr="00E72AD4" w:rsidRDefault="00566E9A" w:rsidP="00AE5760">
            <w:pPr>
              <w:autoSpaceDE w:val="0"/>
              <w:autoSpaceDN w:val="0"/>
              <w:adjustRightInd w:val="0"/>
              <w:rPr>
                <w:rFonts w:eastAsiaTheme="minorEastAsia" w:cs="Calibri"/>
                <w:i/>
                <w:iCs/>
                <w:color w:val="000000"/>
                <w:szCs w:val="20"/>
                <w:vertAlign w:val="superscript"/>
              </w:rPr>
            </w:pPr>
            <w:r w:rsidRPr="00E72AD4">
              <w:rPr>
                <w:rFonts w:eastAsiaTheme="minorEastAsia" w:cs="Calibri"/>
                <w:i/>
                <w:iCs/>
                <w:color w:val="000000"/>
                <w:szCs w:val="20"/>
              </w:rPr>
              <w:t xml:space="preserve">Less eliminations and adjustments </w:t>
            </w:r>
            <w:r w:rsidRPr="00E72AD4">
              <w:rPr>
                <w:rFonts w:eastAsiaTheme="minorEastAsia" w:cs="Calibri"/>
                <w:i/>
                <w:iCs/>
                <w:color w:val="000000"/>
                <w:szCs w:val="20"/>
                <w:vertAlign w:val="superscript"/>
              </w:rPr>
              <w:t>(d)</w:t>
            </w:r>
          </w:p>
        </w:tc>
        <w:tc>
          <w:tcPr>
            <w:tcW w:w="815"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(10 357)</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(10 879)</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(9 525)</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(9 424)</w:t>
            </w:r>
          </w:p>
        </w:tc>
        <w:tc>
          <w:tcPr>
            <w:tcW w:w="816" w:type="dxa"/>
            <w:tcBorders>
              <w:top w:val="nil"/>
              <w:left w:val="nil"/>
              <w:bottom w:val="nil"/>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E72AD4">
              <w:rPr>
                <w:rFonts w:eastAsiaTheme="minorEastAsia" w:cs="Calibri"/>
                <w:color w:val="000000"/>
                <w:szCs w:val="20"/>
              </w:rPr>
              <w:t>(9 472)</w:t>
            </w:r>
          </w:p>
        </w:tc>
      </w:tr>
      <w:tr w:rsidR="00566E9A" w:rsidRPr="00E72AD4" w:rsidTr="00162E92">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rPr>
                <w:rFonts w:eastAsiaTheme="minorEastAsia" w:cs="Calibri"/>
                <w:b/>
                <w:bCs/>
                <w:color w:val="000000"/>
                <w:szCs w:val="20"/>
              </w:rPr>
            </w:pPr>
            <w:r w:rsidRPr="00E72AD4">
              <w:rPr>
                <w:rFonts w:eastAsiaTheme="minorEastAsia" w:cs="Calibri"/>
                <w:b/>
                <w:bCs/>
                <w:color w:val="000000"/>
                <w:szCs w:val="20"/>
              </w:rPr>
              <w:t xml:space="preserve">Total expenses </w:t>
            </w:r>
          </w:p>
        </w:tc>
        <w:tc>
          <w:tcPr>
            <w:tcW w:w="815"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57 501</w:t>
            </w:r>
          </w:p>
        </w:tc>
        <w:tc>
          <w:tcPr>
            <w:tcW w:w="816"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58 495</w:t>
            </w:r>
          </w:p>
        </w:tc>
        <w:tc>
          <w:tcPr>
            <w:tcW w:w="816"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60 246</w:t>
            </w:r>
          </w:p>
        </w:tc>
        <w:tc>
          <w:tcPr>
            <w:tcW w:w="816"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62 652</w:t>
            </w:r>
          </w:p>
        </w:tc>
        <w:tc>
          <w:tcPr>
            <w:tcW w:w="816" w:type="dxa"/>
            <w:tcBorders>
              <w:top w:val="single" w:sz="6" w:space="0" w:color="auto"/>
              <w:left w:val="nil"/>
              <w:bottom w:val="single" w:sz="12" w:space="0" w:color="auto"/>
              <w:right w:val="nil"/>
            </w:tcBorders>
          </w:tcPr>
          <w:p w:rsidR="00566E9A" w:rsidRPr="00E72AD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E72AD4">
              <w:rPr>
                <w:rFonts w:eastAsiaTheme="minorEastAsia" w:cs="Calibri"/>
                <w:b/>
                <w:bCs/>
                <w:color w:val="000000"/>
                <w:szCs w:val="20"/>
              </w:rPr>
              <w:t>63 519</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 xml:space="preserve">The downward movement from 2017-18 relates to </w:t>
      </w:r>
      <w:proofErr w:type="spellStart"/>
      <w:r>
        <w:rPr>
          <w:rFonts w:eastAsiaTheme="minorHAnsi"/>
        </w:rPr>
        <w:t>sunsetting</w:t>
      </w:r>
      <w:proofErr w:type="spellEnd"/>
      <w:r>
        <w:rPr>
          <w:rFonts w:eastAsiaTheme="minorHAnsi"/>
        </w:rPr>
        <w:t xml:space="preserve"> initiatives and movements in funding across years for various initiatives.</w:t>
      </w:r>
    </w:p>
    <w:p w:rsidR="00566E9A" w:rsidRDefault="00566E9A" w:rsidP="00AE5760">
      <w:pPr>
        <w:pStyle w:val="Notes"/>
        <w:rPr>
          <w:rFonts w:eastAsiaTheme="minorHAnsi"/>
        </w:rPr>
      </w:pPr>
      <w:r>
        <w:rPr>
          <w:rFonts w:eastAsiaTheme="minorHAnsi"/>
        </w:rPr>
        <w:t>(b)</w:t>
      </w:r>
      <w:r>
        <w:rPr>
          <w:rFonts w:eastAsiaTheme="minorHAnsi"/>
        </w:rPr>
        <w:tab/>
        <w:t>Other general government sector agencies not allocated to departmental portfolios.</w:t>
      </w:r>
    </w:p>
    <w:p w:rsidR="00566E9A" w:rsidRDefault="00566E9A" w:rsidP="00AE5760">
      <w:pPr>
        <w:pStyle w:val="Notes"/>
        <w:rPr>
          <w:rFonts w:eastAsiaTheme="minorHAnsi"/>
        </w:rPr>
      </w:pPr>
      <w:r>
        <w:rPr>
          <w:rFonts w:eastAsiaTheme="minorHAnsi"/>
        </w:rPr>
        <w:t>(c)</w:t>
      </w:r>
      <w:r>
        <w:rPr>
          <w:rFonts w:eastAsiaTheme="minorHAnsi"/>
        </w:rPr>
        <w:tab/>
        <w:t>Note 12(c) provides a breakdown of the general government output contingencies not allocated to departments.</w:t>
      </w:r>
    </w:p>
    <w:p w:rsidR="00566E9A" w:rsidRDefault="00566E9A" w:rsidP="00AE5760">
      <w:pPr>
        <w:pStyle w:val="Notes"/>
        <w:rPr>
          <w:rFonts w:eastAsiaTheme="minorHAnsi"/>
        </w:rPr>
      </w:pPr>
      <w:r>
        <w:rPr>
          <w:rFonts w:eastAsiaTheme="minorHAnsi"/>
        </w:rPr>
        <w:t>(d)</w:t>
      </w:r>
      <w:r>
        <w:rPr>
          <w:rFonts w:eastAsiaTheme="minorHAnsi"/>
        </w:rPr>
        <w:tab/>
        <w:t>Mainly comprising payroll tax, capital asset charge, departmental underspend estimates and inter-departmental transfers.</w:t>
      </w:r>
    </w:p>
    <w:p w:rsidR="00566E9A" w:rsidRDefault="00566E9A" w:rsidP="00AE5760">
      <w:pPr>
        <w:rPr>
          <w:rFonts w:eastAsiaTheme="minorHAnsi"/>
        </w:rPr>
      </w:pPr>
    </w:p>
    <w:p w:rsidR="00566E9A" w:rsidRDefault="00566E9A" w:rsidP="00AE5760">
      <w:pPr>
        <w:pStyle w:val="Heading5"/>
        <w:rPr>
          <w:rFonts w:eastAsiaTheme="minorHAnsi"/>
        </w:rPr>
      </w:pPr>
      <w:r>
        <w:rPr>
          <w:rFonts w:eastAsiaTheme="minorHAnsi"/>
        </w:rPr>
        <w:t>(c)</w:t>
      </w:r>
      <w:r>
        <w:rPr>
          <w:rFonts w:eastAsiaTheme="minorHAnsi"/>
        </w:rPr>
        <w:tab/>
        <w:t>General government output contingencies not allocated to departments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685"/>
        <w:gridCol w:w="816"/>
        <w:gridCol w:w="816"/>
        <w:gridCol w:w="816"/>
        <w:gridCol w:w="816"/>
        <w:gridCol w:w="816"/>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szCs w:val="20"/>
              </w:rPr>
            </w:pPr>
            <w:r w:rsidRPr="007208F6">
              <w:rPr>
                <w:rFonts w:eastAsiaTheme="minorEastAsia" w:cs="Calibri"/>
                <w:iCs/>
                <w:color w:val="FFFFFF"/>
                <w:szCs w:val="20"/>
              </w:rPr>
              <w:t xml:space="preserve">  </w:t>
            </w:r>
          </w:p>
        </w:tc>
        <w:tc>
          <w:tcPr>
            <w:tcW w:w="816"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budget</w:t>
            </w:r>
          </w:p>
        </w:tc>
        <w:tc>
          <w:tcPr>
            <w:tcW w:w="816"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revised</w:t>
            </w:r>
          </w:p>
        </w:tc>
        <w:tc>
          <w:tcPr>
            <w:tcW w:w="816"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2017-18</w:t>
            </w:r>
            <w:r>
              <w:rPr>
                <w:rFonts w:eastAsiaTheme="minorEastAsia" w:cs="Calibri"/>
                <w:iCs/>
                <w:color w:val="FFFFFF"/>
                <w:szCs w:val="20"/>
              </w:rPr>
              <w:br/>
            </w:r>
            <w:r w:rsidRPr="007208F6">
              <w:rPr>
                <w:rFonts w:eastAsiaTheme="minorEastAsia" w:cs="Calibri"/>
                <w:iCs/>
                <w:color w:val="FFFFFF"/>
                <w:szCs w:val="20"/>
              </w:rPr>
              <w:t>estimate</w:t>
            </w:r>
          </w:p>
        </w:tc>
        <w:tc>
          <w:tcPr>
            <w:tcW w:w="816"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2018-19</w:t>
            </w:r>
            <w:r>
              <w:rPr>
                <w:rFonts w:eastAsiaTheme="minorEastAsia" w:cs="Calibri"/>
                <w:iCs/>
                <w:color w:val="FFFFFF"/>
                <w:szCs w:val="20"/>
              </w:rPr>
              <w:br/>
            </w:r>
            <w:r w:rsidRPr="007208F6">
              <w:rPr>
                <w:rFonts w:eastAsiaTheme="minorEastAsia" w:cs="Calibri"/>
                <w:iCs/>
                <w:color w:val="FFFFFF"/>
                <w:szCs w:val="20"/>
              </w:rPr>
              <w:t>estimate</w:t>
            </w:r>
          </w:p>
        </w:tc>
        <w:tc>
          <w:tcPr>
            <w:tcW w:w="816"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2019-20</w:t>
            </w:r>
            <w:r>
              <w:rPr>
                <w:rFonts w:eastAsiaTheme="minorEastAsia" w:cs="Calibri"/>
                <w:iCs/>
                <w:color w:val="FFFFFF"/>
                <w:szCs w:val="20"/>
              </w:rPr>
              <w:br/>
            </w:r>
            <w:r w:rsidRPr="007208F6">
              <w:rPr>
                <w:rFonts w:eastAsiaTheme="minorEastAsia" w:cs="Calibri"/>
                <w:iCs/>
                <w:color w:val="FFFFFF"/>
                <w:szCs w:val="20"/>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Decisions made but not yet allocated </w:t>
            </w:r>
            <w:r w:rsidRPr="007208F6">
              <w:rPr>
                <w:rFonts w:eastAsiaTheme="minorEastAsia" w:cs="Calibri"/>
                <w:color w:val="000000"/>
                <w:szCs w:val="20"/>
                <w:vertAlign w:val="superscript"/>
              </w:rPr>
              <w:t>(a)</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518</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602</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1 735</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3 454</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3 908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Funding not allocated to specific purposes </w:t>
            </w:r>
            <w:r w:rsidRPr="007208F6">
              <w:rPr>
                <w:rFonts w:eastAsiaTheme="minorEastAsia" w:cs="Calibri"/>
                <w:color w:val="000000"/>
                <w:szCs w:val="20"/>
                <w:vertAlign w:val="superscript"/>
              </w:rPr>
              <w:t>(b)</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300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277</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500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800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950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rPr>
                <w:rFonts w:eastAsiaTheme="minorEastAsia" w:cs="Calibri"/>
                <w:b/>
                <w:bCs/>
                <w:color w:val="000000"/>
                <w:szCs w:val="20"/>
              </w:rPr>
            </w:pPr>
            <w:r w:rsidRPr="007208F6">
              <w:rPr>
                <w:rFonts w:eastAsiaTheme="minorEastAsia" w:cs="Calibri"/>
                <w:b/>
                <w:bCs/>
                <w:color w:val="000000"/>
                <w:szCs w:val="20"/>
              </w:rPr>
              <w:t>Total general government output contingencies</w:t>
            </w:r>
          </w:p>
        </w:tc>
        <w:tc>
          <w:tcPr>
            <w:tcW w:w="81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Pr>
                <w:rFonts w:eastAsiaTheme="minorEastAsia" w:cs="Calibri"/>
                <w:b/>
                <w:bCs/>
                <w:color w:val="000000"/>
                <w:szCs w:val="20"/>
              </w:rPr>
              <w:t>818</w:t>
            </w:r>
          </w:p>
        </w:tc>
        <w:tc>
          <w:tcPr>
            <w:tcW w:w="81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Pr>
                <w:rFonts w:eastAsiaTheme="minorEastAsia" w:cs="Calibri"/>
                <w:b/>
                <w:bCs/>
                <w:color w:val="000000"/>
                <w:szCs w:val="20"/>
              </w:rPr>
              <w:t>879</w:t>
            </w:r>
          </w:p>
        </w:tc>
        <w:tc>
          <w:tcPr>
            <w:tcW w:w="81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2 235</w:t>
            </w:r>
          </w:p>
        </w:tc>
        <w:tc>
          <w:tcPr>
            <w:tcW w:w="81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4 254</w:t>
            </w:r>
          </w:p>
        </w:tc>
        <w:tc>
          <w:tcPr>
            <w:tcW w:w="81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4 858</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Reflects existing government policy decisions for which funding has yet to be allocated to departments; provisions not yet allocated to meet additional price and demand growth for health, disability and education; and provision for estimated depreciation expense associated with the general government unallocated asset contingency.</w:t>
      </w:r>
    </w:p>
    <w:p w:rsidR="00566E9A" w:rsidRDefault="00566E9A" w:rsidP="00AE5760">
      <w:pPr>
        <w:pStyle w:val="Notes"/>
        <w:rPr>
          <w:rFonts w:eastAsiaTheme="minorHAnsi"/>
        </w:rPr>
      </w:pPr>
      <w:r>
        <w:rPr>
          <w:rFonts w:eastAsiaTheme="minorHAnsi"/>
        </w:rPr>
        <w:t>(b)</w:t>
      </w:r>
      <w:r>
        <w:rPr>
          <w:rFonts w:eastAsiaTheme="minorHAnsi"/>
        </w:rPr>
        <w:tab/>
        <w:t>An unallocated provision available to contribute to future government policy decisions and commitments, including for decisions to extend lapsing programs across the budget and forward estimates.</w:t>
      </w:r>
    </w:p>
    <w:p w:rsidR="00566E9A" w:rsidRDefault="00566E9A">
      <w:pPr>
        <w:spacing w:after="0"/>
        <w:rPr>
          <w:rFonts w:asciiTheme="majorHAnsi" w:eastAsiaTheme="minorHAnsi" w:hAnsiTheme="majorHAnsi"/>
          <w:b/>
          <w:kern w:val="28"/>
          <w:sz w:val="26"/>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13:</w:t>
      </w:r>
      <w:r>
        <w:rPr>
          <w:rFonts w:eastAsiaTheme="minorHAnsi"/>
        </w:rPr>
        <w:tab/>
        <w:t>Other gains/(losses) from other economic flows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752"/>
        <w:gridCol w:w="802"/>
        <w:gridCol w:w="803"/>
        <w:gridCol w:w="802"/>
        <w:gridCol w:w="803"/>
        <w:gridCol w:w="803"/>
      </w:tblGrid>
      <w:tr w:rsidR="00AE5760" w:rsidRPr="007208F6" w:rsidTr="00162E92">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52" w:type="dxa"/>
            <w:tcBorders>
              <w:top w:val="nil"/>
              <w:left w:val="nil"/>
              <w:right w:val="nil"/>
            </w:tcBorders>
            <w:shd w:val="solid" w:color="000000" w:fill="auto"/>
          </w:tcPr>
          <w:p w:rsidR="00AE5760" w:rsidRPr="007208F6" w:rsidRDefault="00AE5760" w:rsidP="00AE5760">
            <w:pPr>
              <w:autoSpaceDE w:val="0"/>
              <w:autoSpaceDN w:val="0"/>
              <w:adjustRightInd w:val="0"/>
              <w:jc w:val="center"/>
              <w:rPr>
                <w:rFonts w:eastAsiaTheme="minorEastAsia" w:cs="Calibri"/>
                <w:iCs/>
                <w:color w:val="FFFFFF"/>
              </w:rPr>
            </w:pPr>
            <w:r w:rsidRPr="007208F6">
              <w:rPr>
                <w:rFonts w:eastAsiaTheme="minorEastAsia" w:cs="Calibri"/>
                <w:iCs/>
                <w:color w:val="FFFFFF"/>
              </w:rPr>
              <w:t xml:space="preserve">  </w:t>
            </w:r>
          </w:p>
        </w:tc>
        <w:tc>
          <w:tcPr>
            <w:tcW w:w="80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budget</w:t>
            </w:r>
          </w:p>
        </w:tc>
        <w:tc>
          <w:tcPr>
            <w:tcW w:w="803"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2016-17</w:t>
            </w:r>
            <w:r>
              <w:rPr>
                <w:rFonts w:eastAsiaTheme="minorEastAsia" w:cs="Calibri"/>
                <w:iCs/>
                <w:color w:val="FFFFFF"/>
                <w:szCs w:val="16"/>
              </w:rPr>
              <w:br/>
            </w:r>
            <w:r w:rsidRPr="007208F6">
              <w:rPr>
                <w:rFonts w:eastAsiaTheme="minorEastAsia" w:cs="Calibri"/>
                <w:iCs/>
                <w:color w:val="FFFFFF"/>
                <w:szCs w:val="16"/>
              </w:rPr>
              <w:t>revised</w:t>
            </w:r>
          </w:p>
        </w:tc>
        <w:tc>
          <w:tcPr>
            <w:tcW w:w="80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2017-18</w:t>
            </w:r>
            <w:r>
              <w:rPr>
                <w:rFonts w:eastAsiaTheme="minorEastAsia" w:cs="Calibri"/>
                <w:iCs/>
                <w:color w:val="FFFFFF"/>
                <w:szCs w:val="16"/>
              </w:rPr>
              <w:br/>
            </w:r>
            <w:r w:rsidRPr="007208F6">
              <w:rPr>
                <w:rFonts w:eastAsiaTheme="minorEastAsia" w:cs="Calibri"/>
                <w:iCs/>
                <w:color w:val="FFFFFF"/>
                <w:szCs w:val="16"/>
              </w:rPr>
              <w:t>estimate</w:t>
            </w:r>
          </w:p>
        </w:tc>
        <w:tc>
          <w:tcPr>
            <w:tcW w:w="803"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2018-19</w:t>
            </w:r>
            <w:r>
              <w:rPr>
                <w:rFonts w:eastAsiaTheme="minorEastAsia" w:cs="Calibri"/>
                <w:iCs/>
                <w:color w:val="FFFFFF"/>
                <w:szCs w:val="16"/>
              </w:rPr>
              <w:br/>
            </w:r>
            <w:r w:rsidRPr="007208F6">
              <w:rPr>
                <w:rFonts w:eastAsiaTheme="minorEastAsia" w:cs="Calibri"/>
                <w:iCs/>
                <w:color w:val="FFFFFF"/>
                <w:szCs w:val="16"/>
              </w:rPr>
              <w:t>estimate</w:t>
            </w:r>
          </w:p>
        </w:tc>
        <w:tc>
          <w:tcPr>
            <w:tcW w:w="803"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2019-20</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Net (increase)/decrease in provision for doubtful receivables</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(159)</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(158)</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(167)</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(175)</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(178)</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Amortisation of intangible non-produced assets</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Bad debts written off</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(154)</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(154)</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(154)</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(154)</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(164)</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 xml:space="preserve">Other gains/(losses) </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(27)</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Total other gains/(losses) from other economic flows</w:t>
            </w:r>
          </w:p>
        </w:tc>
        <w:tc>
          <w:tcPr>
            <w:tcW w:w="80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(318)</w:t>
            </w:r>
          </w:p>
        </w:tc>
        <w:tc>
          <w:tcPr>
            <w:tcW w:w="803"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(342)</w:t>
            </w:r>
          </w:p>
        </w:tc>
        <w:tc>
          <w:tcPr>
            <w:tcW w:w="80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(325)</w:t>
            </w:r>
          </w:p>
        </w:tc>
        <w:tc>
          <w:tcPr>
            <w:tcW w:w="803"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(333)</w:t>
            </w:r>
          </w:p>
        </w:tc>
        <w:tc>
          <w:tcPr>
            <w:tcW w:w="803"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(347)</w:t>
            </w:r>
          </w:p>
        </w:tc>
      </w:tr>
    </w:tbl>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14:</w:t>
      </w:r>
      <w:r>
        <w:rPr>
          <w:rFonts w:eastAsiaTheme="minorHAnsi"/>
        </w:rPr>
        <w:tab/>
        <w:t>Reconciliation of net gain/(loss) on equity investments in other sector entities at proportional share of net assets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752"/>
        <w:gridCol w:w="802"/>
        <w:gridCol w:w="803"/>
        <w:gridCol w:w="802"/>
        <w:gridCol w:w="803"/>
        <w:gridCol w:w="803"/>
      </w:tblGrid>
      <w:tr w:rsidR="00AE5760" w:rsidRPr="007208F6" w:rsidTr="00162E92">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52"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0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2016-17</w:t>
            </w:r>
            <w:r>
              <w:rPr>
                <w:rFonts w:eastAsiaTheme="minorEastAsia" w:cs="Calibri"/>
                <w:iCs/>
                <w:color w:val="FFFFFF"/>
                <w:szCs w:val="18"/>
              </w:rPr>
              <w:br/>
            </w:r>
            <w:r w:rsidRPr="007208F6">
              <w:rPr>
                <w:rFonts w:eastAsiaTheme="minorEastAsia" w:cs="Calibri"/>
                <w:iCs/>
                <w:color w:val="FFFFFF"/>
                <w:szCs w:val="18"/>
              </w:rPr>
              <w:t>budget</w:t>
            </w:r>
          </w:p>
        </w:tc>
        <w:tc>
          <w:tcPr>
            <w:tcW w:w="803"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2016-17</w:t>
            </w:r>
            <w:r>
              <w:rPr>
                <w:rFonts w:eastAsiaTheme="minorEastAsia" w:cs="Calibri"/>
                <w:iCs/>
                <w:color w:val="FFFFFF"/>
                <w:szCs w:val="18"/>
              </w:rPr>
              <w:br/>
            </w:r>
            <w:r w:rsidRPr="007208F6">
              <w:rPr>
                <w:rFonts w:eastAsiaTheme="minorEastAsia" w:cs="Calibri"/>
                <w:iCs/>
                <w:color w:val="FFFFFF"/>
                <w:szCs w:val="18"/>
              </w:rPr>
              <w:t>revised</w:t>
            </w:r>
          </w:p>
        </w:tc>
        <w:tc>
          <w:tcPr>
            <w:tcW w:w="80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2017-18</w:t>
            </w:r>
            <w:r>
              <w:rPr>
                <w:rFonts w:eastAsiaTheme="minorEastAsia" w:cs="Calibri"/>
                <w:iCs/>
                <w:color w:val="FFFFFF"/>
                <w:szCs w:val="18"/>
              </w:rPr>
              <w:br/>
            </w:r>
            <w:r w:rsidRPr="007208F6">
              <w:rPr>
                <w:rFonts w:eastAsiaTheme="minorEastAsia" w:cs="Calibri"/>
                <w:iCs/>
                <w:color w:val="FFFFFF"/>
                <w:szCs w:val="18"/>
              </w:rPr>
              <w:t>estimate</w:t>
            </w:r>
          </w:p>
        </w:tc>
        <w:tc>
          <w:tcPr>
            <w:tcW w:w="803"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2018-19</w:t>
            </w:r>
            <w:r>
              <w:rPr>
                <w:rFonts w:eastAsiaTheme="minorEastAsia" w:cs="Calibri"/>
                <w:iCs/>
                <w:color w:val="FFFFFF"/>
                <w:szCs w:val="18"/>
              </w:rPr>
              <w:br/>
            </w:r>
            <w:r w:rsidRPr="007208F6">
              <w:rPr>
                <w:rFonts w:eastAsiaTheme="minorEastAsia" w:cs="Calibri"/>
                <w:iCs/>
                <w:color w:val="FFFFFF"/>
                <w:szCs w:val="18"/>
              </w:rPr>
              <w:t>estimate</w:t>
            </w:r>
          </w:p>
        </w:tc>
        <w:tc>
          <w:tcPr>
            <w:tcW w:w="803"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Balance of investment in PNFC and PFC sectors at beginning of period</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94 710</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94 710</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90 351</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92 879</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97 388</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Net contributions to other sectors by owner</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(2 175)</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(4 440)</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2 959</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3 403</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2 083</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Revaluation gain/(loss) for period</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2 707</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81</w:t>
            </w:r>
          </w:p>
        </w:tc>
        <w:tc>
          <w:tcPr>
            <w:tcW w:w="80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(432)</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1 106</w:t>
            </w:r>
          </w:p>
        </w:tc>
        <w:tc>
          <w:tcPr>
            <w:tcW w:w="803"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(16)</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7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Investment in other sector entities at end of period</w:t>
            </w:r>
          </w:p>
        </w:tc>
        <w:tc>
          <w:tcPr>
            <w:tcW w:w="80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95 242</w:t>
            </w:r>
          </w:p>
        </w:tc>
        <w:tc>
          <w:tcPr>
            <w:tcW w:w="803"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90 351</w:t>
            </w:r>
          </w:p>
        </w:tc>
        <w:tc>
          <w:tcPr>
            <w:tcW w:w="80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92 879</w:t>
            </w:r>
          </w:p>
        </w:tc>
        <w:tc>
          <w:tcPr>
            <w:tcW w:w="803"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97 388</w:t>
            </w:r>
          </w:p>
        </w:tc>
        <w:tc>
          <w:tcPr>
            <w:tcW w:w="803"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99 456</w:t>
            </w:r>
          </w:p>
        </w:tc>
      </w:tr>
    </w:tbl>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15:</w:t>
      </w:r>
      <w:r>
        <w:rPr>
          <w:rFonts w:eastAsiaTheme="minorHAnsi"/>
        </w:rPr>
        <w:tab/>
        <w:t>Net acquisition of non-financial assets from transactions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71" w:type="dxa"/>
        <w:tblInd w:w="45" w:type="dxa"/>
        <w:tblLayout w:type="fixed"/>
        <w:tblCellMar>
          <w:left w:w="45" w:type="dxa"/>
          <w:right w:w="45" w:type="dxa"/>
        </w:tblCellMar>
        <w:tblLook w:val="06A0" w:firstRow="1" w:lastRow="0" w:firstColumn="1" w:lastColumn="0" w:noHBand="1" w:noVBand="1"/>
      </w:tblPr>
      <w:tblGrid>
        <w:gridCol w:w="3764"/>
        <w:gridCol w:w="102"/>
        <w:gridCol w:w="641"/>
        <w:gridCol w:w="816"/>
        <w:gridCol w:w="816"/>
        <w:gridCol w:w="816"/>
        <w:gridCol w:w="816"/>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64"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743" w:type="dxa"/>
            <w:gridSpan w:val="2"/>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budget</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revised</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2017-18 </w:t>
            </w:r>
            <w:r>
              <w:rPr>
                <w:rFonts w:eastAsiaTheme="minorEastAsia" w:cs="Calibri"/>
                <w:iCs/>
                <w:color w:val="FFFFFF"/>
                <w:szCs w:val="16"/>
              </w:rPr>
              <w:br/>
            </w:r>
            <w:r w:rsidRPr="007208F6">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2018-19 </w:t>
            </w:r>
            <w:r>
              <w:rPr>
                <w:rFonts w:eastAsiaTheme="minorEastAsia" w:cs="Calibri"/>
                <w:iCs/>
                <w:color w:val="FFFFFF"/>
                <w:szCs w:val="16"/>
              </w:rPr>
              <w:br/>
            </w:r>
            <w:r w:rsidRPr="007208F6">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2019-20 </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Purchases of non-financial assets </w:t>
            </w:r>
            <w:r>
              <w:rPr>
                <w:rFonts w:eastAsiaTheme="minorEastAsia" w:cs="Calibri"/>
                <w:color w:val="000000"/>
                <w:szCs w:val="16"/>
              </w:rPr>
              <w:br/>
              <w:t xml:space="preserve">(including change in inventories) </w:t>
            </w:r>
            <w:r w:rsidRPr="007208F6">
              <w:rPr>
                <w:rFonts w:eastAsiaTheme="minorEastAsia" w:cs="Calibri"/>
                <w:color w:val="000000"/>
                <w:szCs w:val="16"/>
                <w:vertAlign w:val="superscript"/>
              </w:rPr>
              <w:t>(a)</w:t>
            </w:r>
          </w:p>
        </w:tc>
        <w:tc>
          <w:tcPr>
            <w:tcW w:w="743" w:type="dxa"/>
            <w:gridSpan w:val="2"/>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7 247</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7 808</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7 770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7 353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7208F6">
              <w:rPr>
                <w:rFonts w:eastAsiaTheme="minorEastAsia" w:cs="Calibri"/>
                <w:color w:val="000000"/>
                <w:szCs w:val="16"/>
              </w:rPr>
              <w:t>6 283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Less: Sales of non-financial assets</w:t>
            </w:r>
          </w:p>
        </w:tc>
        <w:tc>
          <w:tcPr>
            <w:tcW w:w="743" w:type="dxa"/>
            <w:gridSpan w:val="2"/>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(487)</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(432)</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(680)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(484)</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(352)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Less: Depreciation and amortisation</w:t>
            </w:r>
          </w:p>
        </w:tc>
        <w:tc>
          <w:tcPr>
            <w:tcW w:w="743" w:type="dxa"/>
            <w:gridSpan w:val="2"/>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(2 620)</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(2 633)</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(2 791)</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(3 047)</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(3 221)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866" w:type="dxa"/>
            <w:gridSpan w:val="2"/>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Plus: Other movements in non-financial assets </w:t>
            </w:r>
            <w:r w:rsidRPr="007208F6">
              <w:rPr>
                <w:rFonts w:eastAsiaTheme="minorEastAsia" w:cs="Calibri"/>
                <w:color w:val="000000"/>
                <w:szCs w:val="16"/>
                <w:vertAlign w:val="superscript"/>
              </w:rPr>
              <w:t>(a)(b)</w:t>
            </w:r>
          </w:p>
        </w:tc>
        <w:tc>
          <w:tcPr>
            <w:tcW w:w="641"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(3 008)</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(3 639)</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(2 886)</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(3 097)</w:t>
            </w:r>
          </w:p>
        </w:tc>
        <w:tc>
          <w:tcPr>
            <w:tcW w:w="816"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(2 258)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764"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vertAlign w:val="superscript"/>
              </w:rPr>
            </w:pPr>
            <w:r w:rsidRPr="007208F6">
              <w:rPr>
                <w:rFonts w:eastAsiaTheme="minorEastAsia" w:cs="Calibri"/>
                <w:b/>
                <w:bCs/>
                <w:color w:val="000000"/>
                <w:szCs w:val="16"/>
              </w:rPr>
              <w:t xml:space="preserve">Total net acquisition of non-financial assets from transactions </w:t>
            </w:r>
            <w:r w:rsidRPr="007208F6">
              <w:rPr>
                <w:rFonts w:eastAsiaTheme="minorEastAsia" w:cs="Calibri"/>
                <w:b/>
                <w:bCs/>
                <w:color w:val="000000"/>
                <w:szCs w:val="16"/>
                <w:vertAlign w:val="superscript"/>
              </w:rPr>
              <w:t>(a)</w:t>
            </w:r>
          </w:p>
        </w:tc>
        <w:tc>
          <w:tcPr>
            <w:tcW w:w="743" w:type="dxa"/>
            <w:gridSpan w:val="2"/>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1 132</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1 103</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7208F6">
              <w:rPr>
                <w:rFonts w:eastAsiaTheme="minorEastAsia" w:cs="Calibri"/>
                <w:b/>
                <w:bCs/>
                <w:color w:val="000000"/>
                <w:szCs w:val="16"/>
              </w:rPr>
              <w:t>1 413</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725</w:t>
            </w:r>
          </w:p>
        </w:tc>
        <w:tc>
          <w:tcPr>
            <w:tcW w:w="816"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452</w:t>
            </w:r>
          </w:p>
        </w:tc>
      </w:tr>
    </w:tbl>
    <w:p w:rsidR="00566E9A" w:rsidRPr="00161D74" w:rsidRDefault="00566E9A" w:rsidP="00AE5760">
      <w:pPr>
        <w:pStyle w:val="Notes"/>
        <w:rPr>
          <w:rFonts w:eastAsiaTheme="minorHAnsi"/>
        </w:rPr>
      </w:pPr>
      <w:r w:rsidRPr="00161D74">
        <w:rPr>
          <w:rFonts w:eastAsiaTheme="minorHAnsi"/>
        </w:rPr>
        <w:t>Note</w:t>
      </w:r>
      <w:r>
        <w:rPr>
          <w:rFonts w:eastAsiaTheme="minorHAnsi"/>
        </w:rPr>
        <w:t>s</w:t>
      </w:r>
      <w:r w:rsidRPr="00161D74">
        <w:rPr>
          <w:rFonts w:eastAsiaTheme="minorHAnsi"/>
        </w:rPr>
        <w:t>:</w:t>
      </w:r>
    </w:p>
    <w:p w:rsidR="00566E9A" w:rsidRDefault="00566E9A" w:rsidP="00AE5760">
      <w:pPr>
        <w:pStyle w:val="Notes"/>
        <w:rPr>
          <w:rFonts w:eastAsiaTheme="minorHAnsi"/>
        </w:rPr>
      </w:pPr>
      <w:r w:rsidRPr="00161D74">
        <w:rPr>
          <w:rFonts w:eastAsiaTheme="minorHAnsi"/>
        </w:rPr>
        <w:t>(a)</w:t>
      </w:r>
      <w:r w:rsidRPr="00161D74">
        <w:rPr>
          <w:rFonts w:eastAsiaTheme="minorHAnsi"/>
        </w:rPr>
        <w:tab/>
      </w:r>
      <w:r w:rsidRPr="00161D74">
        <w:rPr>
          <w:rFonts w:eastAsiaTheme="minorHAnsi"/>
          <w:i w:val="0"/>
        </w:rPr>
        <w:t xml:space="preserve">2016-17 Budget </w:t>
      </w:r>
      <w:r w:rsidRPr="00161D74">
        <w:rPr>
          <w:rFonts w:eastAsiaTheme="minorHAnsi"/>
        </w:rPr>
        <w:t>figures have been restated to reflect more current information.</w:t>
      </w:r>
    </w:p>
    <w:p w:rsidR="00566E9A" w:rsidRDefault="00566E9A" w:rsidP="00AE5760">
      <w:pPr>
        <w:pStyle w:val="Notes"/>
        <w:rPr>
          <w:rFonts w:eastAsiaTheme="minorHAnsi"/>
        </w:rPr>
      </w:pPr>
      <w:r>
        <w:rPr>
          <w:rFonts w:eastAsiaTheme="minorHAnsi"/>
        </w:rPr>
        <w:t>(b)</w:t>
      </w:r>
      <w:r>
        <w:rPr>
          <w:rFonts w:eastAsiaTheme="minorHAnsi"/>
        </w:rPr>
        <w:tab/>
        <w:t>The other movements in non-financial assets includes the transfer of fixed assets to other sectors of government and the recognition of finance lease arrangements.</w:t>
      </w:r>
    </w:p>
    <w:p w:rsidR="00566E9A" w:rsidRDefault="00566E9A">
      <w:pPr>
        <w:spacing w:after="0"/>
        <w:rPr>
          <w:rFonts w:asciiTheme="majorHAnsi" w:eastAsiaTheme="minorHAnsi" w:hAnsiTheme="majorHAnsi"/>
          <w:b/>
          <w:kern w:val="28"/>
          <w:sz w:val="26"/>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16:</w:t>
      </w:r>
      <w:r>
        <w:rPr>
          <w:rFonts w:eastAsiaTheme="minorHAnsi"/>
        </w:rPr>
        <w:tab/>
        <w:t>Advances paid and investments, loans and placements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2"/>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2"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8"/>
              </w:rPr>
              <w:t>Current advances paid and investments, loans and placements</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Loans and advances paid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1 238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2 253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2 439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1 956</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1 305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 xml:space="preserve">Equities and managed investment schemes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1 026</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1 042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Australian dollar term deposits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994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1 707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1 082</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1 172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Debt securities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Derivative financial instruments</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w:t>
            </w:r>
          </w:p>
        </w:tc>
        <w:tc>
          <w:tcPr>
            <w:tcW w:w="852"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current advances paid and investments, loans and placements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3 281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5 010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4 477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4 068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3 524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rPr>
            </w:pPr>
            <w:r w:rsidRPr="007208F6">
              <w:rPr>
                <w:rFonts w:eastAsiaTheme="minorEastAsia" w:cs="Calibri"/>
                <w:b/>
                <w:bCs/>
                <w:color w:val="000000"/>
                <w:szCs w:val="18"/>
              </w:rPr>
              <w:t>Non-current advances paid and investments, loans and placements</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Loans and advances paid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8 881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10 335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7 896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5 940</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4 632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 xml:space="preserve">Equities and managed investment schemes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285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319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308</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307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Australian dollar term deposits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729</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765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Debt securities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64</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Derivative financial instruments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non-current advances paid and investments, loans and placements</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9 780</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11 312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8 975</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7 058</w:t>
            </w:r>
          </w:p>
        </w:tc>
        <w:tc>
          <w:tcPr>
            <w:tcW w:w="852"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5 784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advances paid and investments, loans and placements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13 061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16 322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13 452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11 125</w:t>
            </w:r>
          </w:p>
        </w:tc>
        <w:tc>
          <w:tcPr>
            <w:tcW w:w="852"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9 308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Represented by: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Advances paid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10 118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12 589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10 335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7 896</w:t>
            </w:r>
          </w:p>
        </w:tc>
        <w:tc>
          <w:tcPr>
            <w:tcW w:w="852"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5 937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Investments, loans and placements</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2 943</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3 733</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3 117</w:t>
            </w:r>
          </w:p>
        </w:tc>
        <w:tc>
          <w:tcPr>
            <w:tcW w:w="850"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3 230</w:t>
            </w:r>
          </w:p>
        </w:tc>
        <w:tc>
          <w:tcPr>
            <w:tcW w:w="852" w:type="dxa"/>
            <w:tcBorders>
              <w:top w:val="nil"/>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3 371</w:t>
            </w:r>
          </w:p>
        </w:tc>
      </w:tr>
    </w:tbl>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17:</w:t>
      </w:r>
      <w:r>
        <w:rPr>
          <w:rFonts w:eastAsiaTheme="minorHAnsi"/>
        </w:rPr>
        <w:tab/>
        <w:t>Land, buildings, infrastructure, plant and equipment</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 xml:space="preserve"> 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Buildings (written down value)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27 171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27 578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28 564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29 947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30 606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Buildings leasehold</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4 923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4 950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5 816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5 665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5 518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Land and national parks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44 646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44 743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47 299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47 382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49 867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Infrastructure systems (written down value)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1 354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1 353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1 301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Pr>
                <w:rFonts w:eastAsiaTheme="minorEastAsia" w:cs="Calibri"/>
                <w:color w:val="000000"/>
                <w:szCs w:val="18"/>
              </w:rPr>
              <w:t xml:space="preserve">Plant, equipment and vehicles </w:t>
            </w:r>
            <w:r>
              <w:rPr>
                <w:rFonts w:eastAsiaTheme="minorEastAsia" w:cs="Calibri"/>
                <w:color w:val="000000"/>
                <w:szCs w:val="18"/>
              </w:rPr>
              <w:br/>
              <w:t>(written down value)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2 423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2 278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2 158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1 923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1 642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Leased plant, equipment and vehicles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90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Pr>
                <w:rFonts w:eastAsiaTheme="minorEastAsia" w:cs="Calibri"/>
                <w:color w:val="000000"/>
                <w:szCs w:val="18"/>
              </w:rPr>
              <w:t xml:space="preserve">Roads and road infrastructure </w:t>
            </w:r>
            <w:r>
              <w:rPr>
                <w:rFonts w:eastAsiaTheme="minorEastAsia" w:cs="Calibri"/>
                <w:color w:val="000000"/>
                <w:szCs w:val="18"/>
              </w:rPr>
              <w:br/>
              <w:t>(written down value)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20 601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20 308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23 669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25 035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28 601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Leased roads and road infrastructure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663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Earthworks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8 149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8 049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9 312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9 580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10 624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Cultural assets (written down value)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5 596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5 595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5 583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5 567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6 225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land, buildings, infrastructure, plant and equipment</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115 572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115 558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124 493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127 144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135 136</w:t>
            </w:r>
          </w:p>
        </w:tc>
      </w:tr>
    </w:tbl>
    <w:p w:rsidR="00566E9A" w:rsidRDefault="00566E9A" w:rsidP="00AE5760">
      <w:pPr>
        <w:pStyle w:val="Heading2Notes"/>
        <w:rPr>
          <w:rFonts w:eastAsiaTheme="minorHAnsi"/>
        </w:rPr>
      </w:pPr>
      <w:r>
        <w:rPr>
          <w:rFonts w:eastAsiaTheme="minorHAnsi"/>
        </w:rPr>
        <w:lastRenderedPageBreak/>
        <w:t>Note 18:</w:t>
      </w:r>
      <w:r>
        <w:rPr>
          <w:rFonts w:eastAsiaTheme="minorHAnsi"/>
        </w:rPr>
        <w:tab/>
        <w:t xml:space="preserve">Reconciliation of movements in land, buildings, infrastructure, plant and equipment </w:t>
      </w:r>
      <w:r w:rsidRPr="00832C56">
        <w:rPr>
          <w:rFonts w:eastAsiaTheme="minorHAnsi"/>
          <w:vertAlign w:val="superscript"/>
        </w:rPr>
        <w:t>(a)</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rPr>
                <w:rFonts w:eastAsiaTheme="minorEastAsia" w:cs="Calibri"/>
                <w:color w:val="FFFFFF"/>
                <w:szCs w:val="20"/>
              </w:rPr>
            </w:pPr>
            <w:r w:rsidRPr="007208F6">
              <w:rPr>
                <w:rFonts w:eastAsiaTheme="minorEastAsia" w:cs="Calibri"/>
                <w:color w:val="FFFFFF"/>
                <w:szCs w:val="20"/>
              </w:rPr>
              <w:t xml:space="preserve">  </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w:t>
            </w:r>
            <w:r w:rsidRPr="007208F6">
              <w:rPr>
                <w:rFonts w:eastAsiaTheme="minorEastAsia" w:cs="Calibri"/>
                <w:iCs/>
                <w:color w:val="FFFFFF"/>
                <w:szCs w:val="20"/>
              </w:rPr>
              <w:t>17</w:t>
            </w:r>
            <w:r>
              <w:rPr>
                <w:rFonts w:eastAsiaTheme="minorEastAsia" w:cs="Calibri"/>
                <w:iCs/>
                <w:color w:val="FFFFFF"/>
                <w:szCs w:val="20"/>
              </w:rPr>
              <w:br/>
            </w:r>
            <w:r w:rsidRPr="007208F6">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w:t>
            </w:r>
            <w:r w:rsidRPr="007208F6">
              <w:rPr>
                <w:rFonts w:eastAsiaTheme="minorEastAsia" w:cs="Calibri"/>
                <w:iCs/>
                <w:color w:val="FFFFFF"/>
                <w:szCs w:val="20"/>
              </w:rPr>
              <w:t>17</w:t>
            </w:r>
            <w:r>
              <w:rPr>
                <w:rFonts w:eastAsiaTheme="minorEastAsia" w:cs="Calibri"/>
                <w:iCs/>
                <w:color w:val="FFFFFF"/>
                <w:szCs w:val="20"/>
              </w:rPr>
              <w:br/>
            </w:r>
            <w:r w:rsidRPr="007208F6">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w:t>
            </w:r>
            <w:r w:rsidRPr="007208F6">
              <w:rPr>
                <w:rFonts w:eastAsiaTheme="minorEastAsia" w:cs="Calibri"/>
                <w:iCs/>
                <w:color w:val="FFFFFF"/>
                <w:szCs w:val="20"/>
              </w:rPr>
              <w:t>18</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w:t>
            </w:r>
            <w:r w:rsidRPr="007208F6">
              <w:rPr>
                <w:rFonts w:eastAsiaTheme="minorEastAsia" w:cs="Calibri"/>
                <w:iCs/>
                <w:color w:val="FFFFFF"/>
                <w:szCs w:val="20"/>
              </w:rPr>
              <w:t>19</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Pr>
                <w:rFonts w:eastAsiaTheme="minorEastAsia" w:cs="Calibri"/>
                <w:iCs/>
                <w:color w:val="FFFFFF"/>
                <w:szCs w:val="20"/>
              </w:rPr>
              <w:t>20</w:t>
            </w:r>
            <w:r w:rsidRPr="007208F6">
              <w:rPr>
                <w:rFonts w:eastAsiaTheme="minorEastAsia" w:cs="Calibri"/>
                <w:iCs/>
                <w:color w:val="FFFFFF"/>
                <w:szCs w:val="20"/>
              </w:rPr>
              <w:t>20</w:t>
            </w:r>
            <w:r>
              <w:rPr>
                <w:rFonts w:eastAsiaTheme="minorEastAsia" w:cs="Calibri"/>
                <w:iCs/>
                <w:color w:val="FFFFFF"/>
                <w:szCs w:val="20"/>
              </w:rPr>
              <w:br/>
            </w:r>
            <w:r w:rsidRPr="007208F6">
              <w:rPr>
                <w:rFonts w:eastAsiaTheme="minorEastAsia" w:cs="Calibri"/>
                <w:iCs/>
                <w:color w:val="FFFFFF"/>
                <w:szCs w:val="20"/>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 xml:space="preserve">Carrying amount at the start of the year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114 254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114 254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115 558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124 493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127 144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Additions </w:t>
            </w:r>
            <w:r w:rsidRPr="007208F6">
              <w:rPr>
                <w:rFonts w:eastAsiaTheme="minorEastAsia" w:cs="Calibri"/>
                <w:color w:val="000000"/>
                <w:szCs w:val="20"/>
                <w:vertAlign w:val="superscript"/>
              </w:rPr>
              <w:t>(b)</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7 868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8 287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8 396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8 036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6 578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Disposals (written down value)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(460)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(328)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Revaluations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7 089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1 665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7 444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Asset transfers </w:t>
            </w:r>
            <w:r w:rsidRPr="007208F6">
              <w:rPr>
                <w:rFonts w:eastAsiaTheme="minorEastAsia" w:cs="Calibri"/>
                <w:color w:val="000000"/>
                <w:szCs w:val="20"/>
                <w:vertAlign w:val="superscript"/>
              </w:rPr>
              <w:t>(c)</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(3 747)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(4 090)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(3 555)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(3 720)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(2 610)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Depreciation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(2 499)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(2 495)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(2 650)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(2 924)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(3 091)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rPr>
                <w:rFonts w:eastAsiaTheme="minorEastAsia" w:cs="Calibri"/>
                <w:b/>
                <w:bCs/>
                <w:color w:val="000000"/>
                <w:szCs w:val="20"/>
              </w:rPr>
            </w:pPr>
            <w:r w:rsidRPr="007208F6">
              <w:rPr>
                <w:rFonts w:eastAsiaTheme="minorEastAsia" w:cs="Calibri"/>
                <w:b/>
                <w:bCs/>
                <w:color w:val="000000"/>
                <w:szCs w:val="20"/>
              </w:rPr>
              <w:t>Carrying amount at the end of the year</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115 572</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115 558</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124 493</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127 144</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135 136</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The reconciliation of movements comprises land and buildings, infrastructure systems, plant, equipment, vehicles, roads, road infrastructure and cultural assets and excludes intangible assets, investment properties and other non-financial assets.</w:t>
      </w:r>
    </w:p>
    <w:p w:rsidR="00566E9A" w:rsidRDefault="00566E9A" w:rsidP="00AE5760">
      <w:pPr>
        <w:pStyle w:val="Notes"/>
        <w:rPr>
          <w:rFonts w:eastAsiaTheme="minorHAnsi"/>
        </w:rPr>
      </w:pPr>
      <w:r>
        <w:rPr>
          <w:rFonts w:eastAsiaTheme="minorHAnsi"/>
        </w:rPr>
        <w:t>(b)</w:t>
      </w:r>
      <w:r>
        <w:rPr>
          <w:rFonts w:eastAsiaTheme="minorHAnsi"/>
        </w:rPr>
        <w:tab/>
        <w:t>Includes assets acquired under finance lease arrangements.</w:t>
      </w:r>
    </w:p>
    <w:p w:rsidR="00566E9A" w:rsidRDefault="00566E9A" w:rsidP="00AE5760">
      <w:pPr>
        <w:pStyle w:val="Notes"/>
        <w:rPr>
          <w:rFonts w:eastAsiaTheme="minorHAnsi"/>
        </w:rPr>
      </w:pPr>
      <w:r>
        <w:rPr>
          <w:rFonts w:eastAsiaTheme="minorHAnsi"/>
        </w:rPr>
        <w:t>(c)</w:t>
      </w:r>
      <w:r>
        <w:rPr>
          <w:rFonts w:eastAsiaTheme="minorHAnsi"/>
        </w:rPr>
        <w:tab/>
        <w:t>Represents the transfer of assets to the public non-financial corporations sector.</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19:</w:t>
      </w:r>
      <w:r>
        <w:rPr>
          <w:rFonts w:eastAsiaTheme="minorHAnsi"/>
        </w:rPr>
        <w:tab/>
        <w:t>Other non-financial assets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 xml:space="preserve"> 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 xml:space="preserve">Intangible produced assets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1 467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1 489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1 583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Accumulated depreciation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(909)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(1 020)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(1 127)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(1 239)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 xml:space="preserve">Intangible non-produced assets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Accumulated amortisation</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(48)</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(50)</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 xml:space="preserve">Total intangibles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660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652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569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518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415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Investment properties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128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Biological assets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Other assets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253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254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other non-financial assets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1 103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1 136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949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906</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805</w:t>
            </w:r>
          </w:p>
        </w:tc>
      </w:tr>
    </w:tbl>
    <w:p w:rsidR="00566E9A" w:rsidRDefault="00566E9A" w:rsidP="00AE5760">
      <w:pPr>
        <w:rPr>
          <w:rFonts w:eastAsiaTheme="minorHAnsi"/>
        </w:rPr>
      </w:pPr>
    </w:p>
    <w:p w:rsidR="00566E9A" w:rsidRDefault="00566E9A">
      <w:pPr>
        <w:spacing w:after="0"/>
        <w:rPr>
          <w:rFonts w:asciiTheme="majorHAnsi" w:eastAsiaTheme="minorHAnsi" w:hAnsiTheme="majorHAnsi"/>
          <w:b/>
          <w:kern w:val="28"/>
          <w:sz w:val="26"/>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20:</w:t>
      </w:r>
      <w:r>
        <w:rPr>
          <w:rFonts w:eastAsiaTheme="minorHAnsi"/>
        </w:rPr>
        <w:tab/>
        <w:t>Assets classified by government purpose and by department</w:t>
      </w:r>
    </w:p>
    <w:p w:rsidR="00566E9A" w:rsidRDefault="00566E9A" w:rsidP="00AE5760">
      <w:pPr>
        <w:pStyle w:val="Heading5"/>
        <w:rPr>
          <w:rFonts w:eastAsiaTheme="minorHAnsi"/>
        </w:rPr>
      </w:pPr>
      <w:r>
        <w:rPr>
          <w:rFonts w:eastAsiaTheme="minorHAnsi"/>
        </w:rPr>
        <w:t>(a)</w:t>
      </w:r>
      <w:r>
        <w:rPr>
          <w:rFonts w:eastAsiaTheme="minorHAnsi"/>
        </w:rPr>
        <w:tab/>
        <w:t xml:space="preserve">Purchases of non-financial assets by government purpose classification </w:t>
      </w:r>
      <w:r w:rsidRPr="007E21B7">
        <w:rPr>
          <w:rFonts w:eastAsiaTheme="minorHAnsi"/>
          <w:vertAlign w:val="superscript"/>
        </w:rPr>
        <w:t>(a)</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rPr>
                <w:rFonts w:eastAsiaTheme="minorEastAsia" w:cs="Calibri"/>
                <w:color w:val="FFFFFF"/>
                <w:szCs w:val="20"/>
              </w:rPr>
            </w:pPr>
            <w:r w:rsidRPr="007208F6">
              <w:rPr>
                <w:rFonts w:eastAsiaTheme="minorEastAsia" w:cs="Calibri"/>
                <w:color w:val="FFFFFF"/>
                <w:szCs w:val="20"/>
              </w:rPr>
              <w:t xml:space="preserve">  </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2017-18</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2018-19</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2019-20</w:t>
            </w:r>
            <w:r>
              <w:rPr>
                <w:rFonts w:eastAsiaTheme="minorEastAsia" w:cs="Calibri"/>
                <w:iCs/>
                <w:color w:val="FFFFFF"/>
                <w:szCs w:val="20"/>
              </w:rPr>
              <w:br/>
            </w:r>
            <w:r w:rsidRPr="007208F6">
              <w:rPr>
                <w:rFonts w:eastAsiaTheme="minorEastAsia" w:cs="Calibri"/>
                <w:iCs/>
                <w:color w:val="FFFFFF"/>
                <w:szCs w:val="20"/>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General public services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Public order and safety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300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Education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873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297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Health</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1 240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1 299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787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Social security and welfare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Housing and community amenities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108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Recreation and culture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107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Fuel and energy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Agriculture, forestry, fishing, and hunting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Transport and communications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5 094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5 772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5 747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5 354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3 758</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Other economic affairs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154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 xml:space="preserve">Other purposes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auto"/>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Not allocated by purpose</w:t>
            </w:r>
            <w:r w:rsidRPr="007208F6">
              <w:rPr>
                <w:rFonts w:eastAsiaTheme="minorEastAsia" w:cs="Calibri"/>
                <w:color w:val="000000"/>
                <w:szCs w:val="20"/>
                <w:vertAlign w:val="superscript"/>
              </w:rPr>
              <w:t>(b)</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(1 414)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(1 756)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(585)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1 760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rPr>
                <w:rFonts w:eastAsiaTheme="minorEastAsia" w:cs="Calibri"/>
                <w:b/>
                <w:bCs/>
                <w:color w:val="000000"/>
                <w:szCs w:val="20"/>
              </w:rPr>
            </w:pPr>
            <w:r w:rsidRPr="007208F6">
              <w:rPr>
                <w:rFonts w:eastAsiaTheme="minorEastAsia" w:cs="Calibri"/>
                <w:b/>
                <w:bCs/>
                <w:color w:val="000000"/>
                <w:szCs w:val="20"/>
              </w:rPr>
              <w:t>Total purchases of non-financial assets</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7 206</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7 768</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7 802</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7 349</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6 278</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 xml:space="preserve">Note 3.6 of the </w:t>
      </w:r>
      <w:r>
        <w:rPr>
          <w:rFonts w:eastAsiaTheme="minorHAnsi"/>
          <w:i w:val="0"/>
        </w:rPr>
        <w:t>2015-16 Financial Report</w:t>
      </w:r>
      <w:r>
        <w:rPr>
          <w:rFonts w:eastAsiaTheme="minorHAnsi"/>
        </w:rPr>
        <w:t xml:space="preserve"> for the State of Victoria provides definitions and descriptions of government purpose classifications.</w:t>
      </w:r>
    </w:p>
    <w:p w:rsidR="00566E9A" w:rsidRPr="00441EF8" w:rsidRDefault="00566E9A" w:rsidP="00AE5760">
      <w:pPr>
        <w:pStyle w:val="Notes"/>
        <w:rPr>
          <w:rFonts w:eastAsiaTheme="minorHAnsi"/>
        </w:rPr>
      </w:pPr>
      <w:r>
        <w:rPr>
          <w:rFonts w:eastAsiaTheme="minorHAnsi"/>
        </w:rPr>
        <w:t>(b)</w:t>
      </w:r>
      <w:r>
        <w:rPr>
          <w:rFonts w:eastAsiaTheme="minorHAnsi"/>
        </w:rPr>
        <w:tab/>
        <w:t>Estimated amount available to be allocated to departments and projects in future budgets, including for major capital investment. This includes departmental spending, which may be subject to carryover.</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20:</w:t>
      </w:r>
      <w:r>
        <w:rPr>
          <w:rFonts w:eastAsiaTheme="minorHAnsi"/>
        </w:rPr>
        <w:tab/>
        <w:t xml:space="preserve">Assets classified by government purpose and by department </w:t>
      </w:r>
      <w:r w:rsidRPr="005C68F1">
        <w:rPr>
          <w:rFonts w:eastAsiaTheme="minorHAnsi"/>
          <w:i/>
        </w:rPr>
        <w:t>(continued)</w:t>
      </w:r>
    </w:p>
    <w:p w:rsidR="00566E9A" w:rsidRDefault="00566E9A" w:rsidP="00AE5760">
      <w:pPr>
        <w:pStyle w:val="Heading5"/>
        <w:rPr>
          <w:rFonts w:eastAsiaTheme="minorHAnsi"/>
        </w:rPr>
      </w:pPr>
      <w:r>
        <w:rPr>
          <w:rFonts w:eastAsiaTheme="minorHAnsi"/>
        </w:rPr>
        <w:t>(b)</w:t>
      </w:r>
      <w:r>
        <w:rPr>
          <w:rFonts w:eastAsiaTheme="minorHAnsi"/>
        </w:rPr>
        <w:tab/>
        <w:t>Purchases of non-financial assets by department</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626"/>
        <w:gridCol w:w="739"/>
        <w:gridCol w:w="850"/>
        <w:gridCol w:w="850"/>
        <w:gridCol w:w="850"/>
        <w:gridCol w:w="850"/>
      </w:tblGrid>
      <w:tr w:rsidR="00AE5760" w:rsidRPr="007208F6" w:rsidTr="00162E9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626"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szCs w:val="20"/>
              </w:rPr>
            </w:pPr>
            <w:r w:rsidRPr="007208F6">
              <w:rPr>
                <w:rFonts w:eastAsiaTheme="minorEastAsia" w:cs="Calibri"/>
                <w:iCs/>
                <w:color w:val="FFFFFF"/>
                <w:szCs w:val="20"/>
              </w:rPr>
              <w:t xml:space="preserve">  </w:t>
            </w:r>
          </w:p>
        </w:tc>
        <w:tc>
          <w:tcPr>
            <w:tcW w:w="739"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2017-18</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2018-19</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2019-20</w:t>
            </w:r>
            <w:r>
              <w:rPr>
                <w:rFonts w:eastAsiaTheme="minorEastAsia" w:cs="Calibri"/>
                <w:iCs/>
                <w:color w:val="FFFFFF"/>
                <w:szCs w:val="20"/>
              </w:rPr>
              <w:br/>
            </w:r>
            <w:r w:rsidRPr="007208F6">
              <w:rPr>
                <w:rFonts w:eastAsiaTheme="minorEastAsia" w:cs="Calibri"/>
                <w:iCs/>
                <w:color w:val="FFFFFF"/>
                <w:szCs w:val="20"/>
              </w:rPr>
              <w:t>estimate</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Economic Development, Jobs, Transport and Resources</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3 488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5 639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4 446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2 765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1 422</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Education and Training</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351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170</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Environment, Land, Water and Planning</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59</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Health and Human Services</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1 367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1 431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726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242</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Justice and Regulation</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475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598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558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90</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Premier and Cabinet</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11</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Treasury and Finance</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19</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Parliament</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Courts</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Regulatory bodies and other part funded agencies </w:t>
            </w:r>
            <w:r w:rsidRPr="007208F6">
              <w:rPr>
                <w:rFonts w:eastAsiaTheme="minorEastAsia" w:cs="Calibri"/>
                <w:color w:val="000000"/>
                <w:szCs w:val="20"/>
                <w:vertAlign w:val="superscript"/>
              </w:rPr>
              <w:t>(a)</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157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107</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Asset contingencies not allocated to departments </w:t>
            </w:r>
            <w:r w:rsidRPr="007208F6">
              <w:rPr>
                <w:rFonts w:eastAsiaTheme="minorEastAsia" w:cs="Calibri"/>
                <w:color w:val="000000"/>
                <w:szCs w:val="20"/>
                <w:vertAlign w:val="superscript"/>
              </w:rPr>
              <w:t>(b)</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1 992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2 095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3 689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3 688</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Adjustments </w:t>
            </w:r>
            <w:r w:rsidRPr="007208F6">
              <w:rPr>
                <w:rFonts w:eastAsiaTheme="minorEastAsia" w:cs="Calibri"/>
                <w:color w:val="000000"/>
                <w:szCs w:val="20"/>
                <w:vertAlign w:val="superscript"/>
              </w:rPr>
              <w:t>(c)</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(1 408)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(1 650)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(1 060)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463</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rPr>
                <w:rFonts w:eastAsiaTheme="minorEastAsia" w:cs="Calibri"/>
                <w:b/>
                <w:bCs/>
                <w:color w:val="000000"/>
                <w:szCs w:val="20"/>
              </w:rPr>
            </w:pPr>
            <w:r w:rsidRPr="007208F6">
              <w:rPr>
                <w:rFonts w:eastAsiaTheme="minorEastAsia" w:cs="Calibri"/>
                <w:b/>
                <w:bCs/>
                <w:color w:val="000000"/>
                <w:szCs w:val="20"/>
              </w:rPr>
              <w:t>Total purchases of non-financial assets</w:t>
            </w:r>
          </w:p>
        </w:tc>
        <w:tc>
          <w:tcPr>
            <w:tcW w:w="739"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7 206</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7 768</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7 802</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7 349</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6 278</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Other general government sector agencies not allocated to departmental portfolios.</w:t>
      </w:r>
    </w:p>
    <w:p w:rsidR="00566E9A" w:rsidRDefault="00566E9A" w:rsidP="00AE5760">
      <w:pPr>
        <w:pStyle w:val="Notes"/>
        <w:rPr>
          <w:rFonts w:eastAsiaTheme="minorHAnsi"/>
        </w:rPr>
      </w:pPr>
      <w:r>
        <w:rPr>
          <w:rFonts w:eastAsiaTheme="minorHAnsi"/>
        </w:rPr>
        <w:t>(b)</w:t>
      </w:r>
      <w:r>
        <w:rPr>
          <w:rFonts w:eastAsiaTheme="minorHAnsi"/>
        </w:rPr>
        <w:tab/>
        <w:t>Note 20(c) provides a breakdown of the general government sector asset contingencies not allocated to departments.</w:t>
      </w:r>
    </w:p>
    <w:p w:rsidR="00566E9A" w:rsidRDefault="00566E9A" w:rsidP="00AE5760">
      <w:pPr>
        <w:pStyle w:val="Notes"/>
        <w:rPr>
          <w:rFonts w:eastAsiaTheme="minorHAnsi"/>
        </w:rPr>
      </w:pPr>
      <w:r>
        <w:rPr>
          <w:rFonts w:eastAsiaTheme="minorHAnsi"/>
        </w:rPr>
        <w:t>(c)</w:t>
      </w:r>
      <w:r>
        <w:rPr>
          <w:rFonts w:eastAsiaTheme="minorHAnsi"/>
        </w:rPr>
        <w:tab/>
        <w:t>Mainly comprises estimated departmental underspend which may be subject to carryover and estimated outer budget agency underspend.</w:t>
      </w:r>
    </w:p>
    <w:p w:rsidR="00566E9A" w:rsidRDefault="00566E9A" w:rsidP="00AE5760">
      <w:pPr>
        <w:rPr>
          <w:rFonts w:eastAsiaTheme="minorHAnsi"/>
        </w:rPr>
      </w:pPr>
    </w:p>
    <w:p w:rsidR="00566E9A" w:rsidRDefault="00566E9A" w:rsidP="00AE5760">
      <w:pPr>
        <w:pStyle w:val="Heading5"/>
        <w:rPr>
          <w:rFonts w:eastAsiaTheme="minorHAnsi"/>
        </w:rPr>
      </w:pPr>
      <w:r>
        <w:rPr>
          <w:rFonts w:eastAsiaTheme="minorHAnsi"/>
        </w:rPr>
        <w:t>(c)</w:t>
      </w:r>
      <w:r>
        <w:rPr>
          <w:rFonts w:eastAsiaTheme="minorHAnsi"/>
        </w:rPr>
        <w:tab/>
        <w:t>General government asset contingencies not allocated to departments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626"/>
        <w:gridCol w:w="739"/>
        <w:gridCol w:w="850"/>
        <w:gridCol w:w="850"/>
        <w:gridCol w:w="850"/>
        <w:gridCol w:w="850"/>
      </w:tblGrid>
      <w:tr w:rsidR="00AE5760" w:rsidRPr="007208F6" w:rsidTr="00162E9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626"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szCs w:val="20"/>
              </w:rPr>
            </w:pPr>
            <w:r w:rsidRPr="007208F6">
              <w:rPr>
                <w:rFonts w:eastAsiaTheme="minorEastAsia" w:cs="Calibri"/>
                <w:iCs/>
                <w:color w:val="FFFFFF"/>
                <w:szCs w:val="20"/>
              </w:rPr>
              <w:t xml:space="preserve">  </w:t>
            </w:r>
          </w:p>
        </w:tc>
        <w:tc>
          <w:tcPr>
            <w:tcW w:w="739"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2016-17</w:t>
            </w:r>
            <w:r>
              <w:rPr>
                <w:rFonts w:eastAsiaTheme="minorEastAsia" w:cs="Calibri"/>
                <w:iCs/>
                <w:color w:val="FFFFFF"/>
                <w:szCs w:val="20"/>
              </w:rPr>
              <w:br/>
            </w:r>
            <w:r w:rsidRPr="007208F6">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2017-18</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2018-19</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2019-20</w:t>
            </w:r>
            <w:r>
              <w:rPr>
                <w:rFonts w:eastAsiaTheme="minorEastAsia" w:cs="Calibri"/>
                <w:iCs/>
                <w:color w:val="FFFFFF"/>
                <w:szCs w:val="20"/>
              </w:rPr>
              <w:br/>
            </w:r>
            <w:r w:rsidRPr="007208F6">
              <w:rPr>
                <w:rFonts w:eastAsiaTheme="minorEastAsia" w:cs="Calibri"/>
                <w:iCs/>
                <w:color w:val="FFFFFF"/>
                <w:szCs w:val="20"/>
              </w:rPr>
              <w:t>estimate</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Decisions made but not yet allocated </w:t>
            </w:r>
            <w:r w:rsidRPr="007208F6">
              <w:rPr>
                <w:rFonts w:eastAsiaTheme="minorEastAsia" w:cs="Calibri"/>
                <w:color w:val="000000"/>
                <w:szCs w:val="20"/>
                <w:vertAlign w:val="superscript"/>
              </w:rPr>
              <w:t>(a)</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1 992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337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1 595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2 789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2 488</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 xml:space="preserve">Funding not allocated to specific purposes </w:t>
            </w:r>
            <w:r w:rsidRPr="007208F6">
              <w:rPr>
                <w:rFonts w:eastAsiaTheme="minorEastAsia" w:cs="Calibri"/>
                <w:color w:val="000000"/>
                <w:szCs w:val="20"/>
                <w:vertAlign w:val="superscript"/>
              </w:rPr>
              <w:t>(b)</w:t>
            </w:r>
          </w:p>
        </w:tc>
        <w:tc>
          <w:tcPr>
            <w:tcW w:w="739"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500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900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1 200</w:t>
            </w:r>
          </w:p>
        </w:tc>
      </w:tr>
      <w:tr w:rsidR="00566E9A" w:rsidRPr="007208F6" w:rsidTr="00162E92">
        <w:tc>
          <w:tcPr>
            <w:cnfStyle w:val="001000000000" w:firstRow="0" w:lastRow="0" w:firstColumn="1" w:lastColumn="0" w:oddVBand="0" w:evenVBand="0" w:oddHBand="0" w:evenHBand="0" w:firstRowFirstColumn="0" w:firstRowLastColumn="0" w:lastRowFirstColumn="0" w:lastRowLastColumn="0"/>
            <w:tcW w:w="3626"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rPr>
                <w:rFonts w:eastAsiaTheme="minorEastAsia" w:cs="Calibri"/>
                <w:b/>
                <w:bCs/>
                <w:color w:val="000000"/>
                <w:szCs w:val="20"/>
              </w:rPr>
            </w:pPr>
            <w:r w:rsidRPr="007208F6">
              <w:rPr>
                <w:rFonts w:eastAsiaTheme="minorEastAsia" w:cs="Calibri"/>
                <w:b/>
                <w:bCs/>
                <w:color w:val="000000"/>
                <w:szCs w:val="20"/>
              </w:rPr>
              <w:t>Total general government asset contingencies</w:t>
            </w:r>
          </w:p>
        </w:tc>
        <w:tc>
          <w:tcPr>
            <w:tcW w:w="739"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1 992</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Pr>
                <w:rFonts w:eastAsiaTheme="minorEastAsia" w:cs="Calibri"/>
                <w:b/>
                <w:bCs/>
                <w:color w:val="000000"/>
                <w:szCs w:val="20"/>
              </w:rPr>
              <w:t>337</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2 095</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3 689</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3 688</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A provision to account for asset policy decisions and commitments for which the funding has yet to be allocated to departments. Includes $1.5 billion in Commonwealth Government funds reallocated from other projects.</w:t>
      </w:r>
    </w:p>
    <w:p w:rsidR="00566E9A" w:rsidRDefault="00566E9A" w:rsidP="00AE5760">
      <w:pPr>
        <w:pStyle w:val="Notes"/>
        <w:rPr>
          <w:rFonts w:eastAsiaTheme="minorHAnsi"/>
        </w:rPr>
      </w:pPr>
      <w:r>
        <w:rPr>
          <w:rFonts w:eastAsiaTheme="minorHAnsi"/>
        </w:rPr>
        <w:t>(b)</w:t>
      </w:r>
      <w:r>
        <w:rPr>
          <w:rFonts w:eastAsiaTheme="minorHAnsi"/>
        </w:rPr>
        <w:tab/>
        <w:t>An unallocated provision available for future government asset investment decisions.</w:t>
      </w:r>
    </w:p>
    <w:p w:rsidR="00566E9A" w:rsidRDefault="00566E9A" w:rsidP="00AE5760">
      <w:pPr>
        <w:pStyle w:val="Notes"/>
        <w:rPr>
          <w:rFonts w:eastAsiaTheme="minorHAnsi"/>
        </w:rPr>
      </w:pPr>
    </w:p>
    <w:p w:rsidR="00566E9A" w:rsidRDefault="00566E9A" w:rsidP="00AE5760">
      <w:pPr>
        <w:rPr>
          <w:rFonts w:eastAsiaTheme="minorHAnsi"/>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20:</w:t>
      </w:r>
      <w:r>
        <w:rPr>
          <w:rFonts w:eastAsiaTheme="minorHAnsi"/>
        </w:rPr>
        <w:tab/>
        <w:t xml:space="preserve">Assets classified by government purpose and by department </w:t>
      </w:r>
      <w:r w:rsidRPr="005C68F1">
        <w:rPr>
          <w:rFonts w:eastAsiaTheme="minorHAnsi"/>
          <w:i/>
        </w:rPr>
        <w:t>(continued)</w:t>
      </w:r>
    </w:p>
    <w:p w:rsidR="00566E9A" w:rsidRDefault="00566E9A" w:rsidP="00AE5760">
      <w:pPr>
        <w:pStyle w:val="Heading5"/>
        <w:rPr>
          <w:rFonts w:eastAsiaTheme="minorHAnsi"/>
        </w:rPr>
      </w:pPr>
      <w:r>
        <w:rPr>
          <w:rFonts w:eastAsiaTheme="minorHAnsi"/>
        </w:rPr>
        <w:t>(d)</w:t>
      </w:r>
      <w:r>
        <w:rPr>
          <w:rFonts w:eastAsiaTheme="minorHAnsi"/>
        </w:rPr>
        <w:tab/>
        <w:t xml:space="preserve">Total assets by government purpose classification </w:t>
      </w:r>
      <w:r w:rsidRPr="00FD3E7D">
        <w:rPr>
          <w:rFonts w:eastAsiaTheme="minorHAnsi"/>
          <w:vertAlign w:val="superscript"/>
        </w:rPr>
        <w:t>(a)</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color w:val="FFFFFF"/>
                <w:szCs w:val="20"/>
              </w:rPr>
            </w:pPr>
            <w:r w:rsidRPr="007208F6">
              <w:rPr>
                <w:rFonts w:eastAsiaTheme="minorEastAsia" w:cs="Calibri"/>
                <w:color w:val="FFFFFF"/>
                <w:szCs w:val="20"/>
              </w:rPr>
              <w:t xml:space="preserve">  </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2017</w:t>
            </w:r>
            <w:r>
              <w:rPr>
                <w:rFonts w:eastAsiaTheme="minorEastAsia" w:cs="Calibri"/>
                <w:iCs/>
                <w:color w:val="FFFFFF"/>
                <w:szCs w:val="20"/>
              </w:rPr>
              <w:br/>
            </w:r>
            <w:r w:rsidRPr="007208F6">
              <w:rPr>
                <w:rFonts w:eastAsiaTheme="minorEastAsia" w:cs="Calibri"/>
                <w:iCs/>
                <w:color w:val="FFFFFF"/>
                <w:szCs w:val="20"/>
              </w:rPr>
              <w:t>budget</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2017</w:t>
            </w:r>
            <w:r>
              <w:rPr>
                <w:rFonts w:eastAsiaTheme="minorEastAsia" w:cs="Calibri"/>
                <w:iCs/>
                <w:color w:val="FFFFFF"/>
                <w:szCs w:val="20"/>
              </w:rPr>
              <w:br/>
            </w:r>
            <w:r w:rsidRPr="007208F6">
              <w:rPr>
                <w:rFonts w:eastAsiaTheme="minorEastAsia" w:cs="Calibri"/>
                <w:iCs/>
                <w:color w:val="FFFFFF"/>
                <w:szCs w:val="20"/>
              </w:rPr>
              <w:t>revised</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2018</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2019</w:t>
            </w:r>
            <w:r>
              <w:rPr>
                <w:rFonts w:eastAsiaTheme="minorEastAsia" w:cs="Calibri"/>
                <w:iCs/>
                <w:color w:val="FFFFFF"/>
                <w:szCs w:val="20"/>
              </w:rPr>
              <w:br/>
            </w:r>
            <w:r w:rsidRPr="007208F6">
              <w:rPr>
                <w:rFonts w:eastAsiaTheme="minorEastAsia" w:cs="Calibri"/>
                <w:iCs/>
                <w:color w:val="FFFFFF"/>
                <w:szCs w:val="20"/>
              </w:rPr>
              <w:t>estimate</w:t>
            </w:r>
          </w:p>
        </w:tc>
        <w:tc>
          <w:tcPr>
            <w:tcW w:w="850" w:type="dxa"/>
            <w:tcBorders>
              <w:top w:val="single" w:sz="6" w:space="0" w:color="auto"/>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7208F6">
              <w:rPr>
                <w:rFonts w:eastAsiaTheme="minorEastAsia" w:cs="Calibri"/>
                <w:iCs/>
                <w:color w:val="FFFFFF"/>
                <w:szCs w:val="20"/>
              </w:rPr>
              <w:t>2020</w:t>
            </w:r>
            <w:r>
              <w:rPr>
                <w:rFonts w:eastAsiaTheme="minorEastAsia" w:cs="Calibri"/>
                <w:iCs/>
                <w:color w:val="FFFFFF"/>
                <w:szCs w:val="20"/>
              </w:rPr>
              <w:br/>
            </w:r>
            <w:r w:rsidRPr="007208F6">
              <w:rPr>
                <w:rFonts w:eastAsiaTheme="minorEastAsia" w:cs="Calibri"/>
                <w:iCs/>
                <w:color w:val="FFFFFF"/>
                <w:szCs w:val="20"/>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General public services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1 609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1 561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1 483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1 415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1 317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Public order and safety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9 504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9 701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10 542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10 396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10 873</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Education</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22 619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22 645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25 087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24 974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24 641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Health</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14 399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14 458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14 323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15 545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14 856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Social security and welfare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2 066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2 071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2 095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2 110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2 124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Housing and community amenities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8 342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8 374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8 434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10 000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11 860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Recreation and culture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8 942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8 928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8 930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8 921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8 869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Fuel and energy</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Agriculture, forestry, fishing, and hunting</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549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521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494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Transport and communications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49 628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49 936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56 254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57 467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63 001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Other economic affairs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879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674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770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770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762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20"/>
              </w:rPr>
            </w:pPr>
            <w:r w:rsidRPr="007208F6">
              <w:rPr>
                <w:rFonts w:eastAsiaTheme="minorEastAsia" w:cs="Calibri"/>
                <w:color w:val="000000"/>
                <w:szCs w:val="20"/>
              </w:rPr>
              <w:t xml:space="preserve">Other purposes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Pr>
                <w:rFonts w:eastAsiaTheme="minorEastAsia" w:cs="Calibri"/>
                <w:color w:val="000000"/>
                <w:szCs w:val="20"/>
              </w:rPr>
              <w:t>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auto"/>
              <w:right w:val="nil"/>
            </w:tcBorders>
          </w:tcPr>
          <w:p w:rsidR="00566E9A" w:rsidRPr="007208F6" w:rsidRDefault="00566E9A" w:rsidP="00AE5760">
            <w:pPr>
              <w:autoSpaceDE w:val="0"/>
              <w:autoSpaceDN w:val="0"/>
              <w:adjustRightInd w:val="0"/>
              <w:rPr>
                <w:rFonts w:eastAsiaTheme="minorEastAsia" w:cs="Calibri"/>
                <w:color w:val="000000"/>
                <w:szCs w:val="20"/>
                <w:vertAlign w:val="superscript"/>
              </w:rPr>
            </w:pPr>
            <w:r w:rsidRPr="007208F6">
              <w:rPr>
                <w:rFonts w:eastAsiaTheme="minorEastAsia" w:cs="Calibri"/>
                <w:color w:val="000000"/>
                <w:szCs w:val="20"/>
              </w:rPr>
              <w:t>Not allocated by purpose</w:t>
            </w:r>
            <w:r w:rsidRPr="007208F6">
              <w:rPr>
                <w:rFonts w:eastAsiaTheme="minorEastAsia" w:cs="Calibri"/>
                <w:color w:val="000000"/>
                <w:szCs w:val="20"/>
                <w:vertAlign w:val="superscript"/>
              </w:rPr>
              <w:t>(b)</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117 568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115 371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114 236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115 903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7208F6">
              <w:rPr>
                <w:rFonts w:eastAsiaTheme="minorEastAsia" w:cs="Calibri"/>
                <w:color w:val="000000"/>
                <w:szCs w:val="20"/>
              </w:rPr>
              <w:t>117 856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rPr>
                <w:rFonts w:eastAsiaTheme="minorEastAsia" w:cs="Calibri"/>
                <w:b/>
                <w:bCs/>
                <w:color w:val="000000"/>
                <w:szCs w:val="20"/>
              </w:rPr>
            </w:pPr>
            <w:r w:rsidRPr="007208F6">
              <w:rPr>
                <w:rFonts w:eastAsiaTheme="minorEastAsia" w:cs="Calibri"/>
                <w:b/>
                <w:bCs/>
                <w:color w:val="000000"/>
                <w:szCs w:val="20"/>
              </w:rPr>
              <w:t>Total assets</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236 203</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234 378</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242 730</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248 049</w:t>
            </w:r>
          </w:p>
        </w:tc>
        <w:tc>
          <w:tcPr>
            <w:tcW w:w="850" w:type="dxa"/>
            <w:tcBorders>
              <w:top w:val="single" w:sz="6" w:space="0" w:color="auto"/>
              <w:left w:val="nil"/>
              <w:bottom w:val="single" w:sz="12" w:space="0" w:color="auto"/>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7208F6">
              <w:rPr>
                <w:rFonts w:eastAsiaTheme="minorEastAsia" w:cs="Calibri"/>
                <w:b/>
                <w:bCs/>
                <w:color w:val="000000"/>
                <w:szCs w:val="20"/>
              </w:rPr>
              <w:t>256 679</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 xml:space="preserve">Note 3.6 of the </w:t>
      </w:r>
      <w:r>
        <w:rPr>
          <w:rFonts w:eastAsiaTheme="minorHAnsi"/>
          <w:i w:val="0"/>
        </w:rPr>
        <w:t>2015-16 Financial Report</w:t>
      </w:r>
      <w:r>
        <w:rPr>
          <w:rFonts w:eastAsiaTheme="minorHAnsi"/>
        </w:rPr>
        <w:t xml:space="preserve"> for the State of Victoria provides definitions of government purpose classifications.</w:t>
      </w:r>
    </w:p>
    <w:p w:rsidR="00566E9A" w:rsidRDefault="00566E9A" w:rsidP="00AE5760">
      <w:pPr>
        <w:pStyle w:val="Notes"/>
        <w:rPr>
          <w:rFonts w:eastAsiaTheme="minorHAnsi"/>
        </w:rPr>
      </w:pPr>
      <w:r>
        <w:rPr>
          <w:rFonts w:eastAsiaTheme="minorHAnsi"/>
        </w:rPr>
        <w:t>(b)</w:t>
      </w:r>
      <w:r>
        <w:rPr>
          <w:rFonts w:eastAsiaTheme="minorHAnsi"/>
        </w:rPr>
        <w:tab/>
        <w:t>Represents financial assets which are not able to be allocated by purpose. This mainly includes balances relating to the general government sector’s investment in other sector entities.</w:t>
      </w:r>
    </w:p>
    <w:p w:rsidR="00566E9A" w:rsidRDefault="00566E9A" w:rsidP="00AE5760">
      <w:pPr>
        <w:rPr>
          <w:rFonts w:eastAsiaTheme="minorHAnsi"/>
        </w:rPr>
      </w:pPr>
    </w:p>
    <w:p w:rsidR="002803AA" w:rsidRPr="0053690C"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21:</w:t>
      </w:r>
      <w:r>
        <w:rPr>
          <w:rFonts w:eastAsiaTheme="minorHAnsi"/>
        </w:rPr>
        <w:tab/>
        <w:t>Payables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 xml:space="preserve"> 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 xml:space="preserve"> 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Current payables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Accounts payable and accrued expenses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3 366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3 173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3 077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3 012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2 980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Accrued taxes payable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39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Unearned income</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606</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598</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597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593</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592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current payables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4 011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3 809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3 712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3 644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3 611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Non-current payables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Accounts payable and accrued expenses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29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Unearned income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1 530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1 536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1 345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non-current payables</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1 653</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1 651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1 580</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1 576</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1 374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payables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5 663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5 461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5 292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5 220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4 985</w:t>
            </w:r>
          </w:p>
        </w:tc>
      </w:tr>
    </w:tbl>
    <w:p w:rsidR="00566E9A" w:rsidRDefault="00566E9A" w:rsidP="00AE5760">
      <w:pPr>
        <w:rPr>
          <w:rFonts w:eastAsiaTheme="minorHAnsi"/>
        </w:rPr>
      </w:pPr>
    </w:p>
    <w:p w:rsidR="00566E9A" w:rsidRDefault="00566E9A" w:rsidP="00AE5760">
      <w:pPr>
        <w:rPr>
          <w:rFonts w:eastAsiaTheme="minorHAnsi"/>
          <w:kern w:val="28"/>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22:</w:t>
      </w:r>
      <w:r>
        <w:rPr>
          <w:rFonts w:eastAsiaTheme="minorHAnsi"/>
        </w:rPr>
        <w:tab/>
        <w:t>Borrowings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 xml:space="preserve"> 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Current borrowings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Domestic borrowings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3 132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1 827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1 827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1 834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1 835</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Finance lease liabilities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119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82</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Derivative financial instruments</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current borrowings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3 292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1 976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1 979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1 971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1 936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Non-current borrowings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Domestic borrowings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17 714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18 785</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20 939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23 803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24 547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Finance lease liabilities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9 253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9 261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9 731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10 133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10 297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Derivative financial instruments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131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non-current borrowings</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27 098</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28 177</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30 802</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34 067</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34 974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borrowings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30 391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30 153</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32 780</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36 038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36 910</w:t>
            </w:r>
          </w:p>
        </w:tc>
      </w:tr>
    </w:tbl>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23:</w:t>
      </w:r>
      <w:r>
        <w:rPr>
          <w:rFonts w:eastAsiaTheme="minorHAnsi"/>
        </w:rPr>
        <w:tab/>
        <w:t>Employee benefits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Current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Accrued salaries and wages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1 999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1 998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2 033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2 078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2 110</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Long service leave</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3 657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3 666</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3 797</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3 943</w:t>
            </w:r>
          </w:p>
        </w:tc>
        <w:tc>
          <w:tcPr>
            <w:tcW w:w="850" w:type="dxa"/>
            <w:tcBorders>
              <w:top w:val="nil"/>
              <w:left w:val="nil"/>
              <w:bottom w:val="single" w:sz="6"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4 054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current employee benefits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5 656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5 664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5 829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6 021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6 164</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Non-current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7208F6">
              <w:rPr>
                <w:rFonts w:eastAsiaTheme="minorEastAsia" w:cs="Calibri"/>
                <w:b/>
                <w:bCs/>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Long service leave</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878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878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948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1 021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1 089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non-current employee benefits</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878</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878</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Pr>
                <w:rFonts w:eastAsiaTheme="minorEastAsia" w:cs="Calibri"/>
                <w:b/>
                <w:bCs/>
                <w:color w:val="000000"/>
                <w:szCs w:val="18"/>
              </w:rPr>
              <w:t>948</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1 021</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1 089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employee benefits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6 534</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6 541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6 777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7 041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7 253</w:t>
            </w:r>
          </w:p>
        </w:tc>
      </w:tr>
    </w:tbl>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24:</w:t>
      </w:r>
      <w:r>
        <w:rPr>
          <w:rFonts w:eastAsiaTheme="minorHAnsi"/>
        </w:rPr>
        <w:tab/>
        <w:t>Reserves</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2017</w:t>
            </w:r>
            <w:r>
              <w:rPr>
                <w:rFonts w:eastAsiaTheme="minorEastAsia" w:cs="Calibri"/>
                <w:iCs/>
                <w:color w:val="FFFFFF"/>
                <w:szCs w:val="18"/>
              </w:rPr>
              <w:br/>
            </w:r>
            <w:r w:rsidRPr="007208F6">
              <w:rPr>
                <w:rFonts w:eastAsiaTheme="minorEastAsia" w:cs="Calibri"/>
                <w:iCs/>
                <w:color w:val="FFFFFF"/>
                <w:szCs w:val="18"/>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2018</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2019</w:t>
            </w:r>
            <w:r>
              <w:rPr>
                <w:rFonts w:eastAsiaTheme="minorEastAsia" w:cs="Calibri"/>
                <w:iCs/>
                <w:color w:val="FFFFFF"/>
                <w:szCs w:val="18"/>
              </w:rPr>
              <w:br/>
            </w:r>
            <w:r w:rsidRPr="007208F6">
              <w:rPr>
                <w:rFonts w:eastAsiaTheme="minorEastAsia" w:cs="Calibri"/>
                <w:iCs/>
                <w:color w:val="FFFFFF"/>
                <w:szCs w:val="18"/>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rPr>
            </w:pPr>
            <w:r w:rsidRPr="007208F6">
              <w:rPr>
                <w:rFonts w:eastAsiaTheme="minorEastAsia" w:cs="Calibri"/>
                <w:iCs/>
                <w:color w:val="FFFFFF"/>
                <w:szCs w:val="18"/>
              </w:rPr>
              <w:t>2020</w:t>
            </w:r>
            <w:r>
              <w:rPr>
                <w:rFonts w:eastAsiaTheme="minorEastAsia" w:cs="Calibri"/>
                <w:iCs/>
                <w:color w:val="FFFFFF"/>
                <w:szCs w:val="18"/>
              </w:rPr>
              <w:br/>
            </w:r>
            <w:r w:rsidRPr="007208F6">
              <w:rPr>
                <w:rFonts w:eastAsiaTheme="minorEastAsia" w:cs="Calibri"/>
                <w:iCs/>
                <w:color w:val="FFFFFF"/>
                <w:szCs w:val="18"/>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Land, buildings, infrastructure, plant and equipment revaluation surplus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49 722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49 673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56 762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58 427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65 871</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Available-for-sale investments revaluation surplus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41</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 xml:space="preserve">Revaluation surplus for investments in </w:t>
            </w:r>
            <w:r w:rsidR="00C14B16">
              <w:rPr>
                <w:rFonts w:eastAsiaTheme="minorEastAsia" w:cs="Calibri"/>
                <w:color w:val="000000"/>
                <w:szCs w:val="18"/>
              </w:rPr>
              <w:br/>
            </w:r>
            <w:r w:rsidRPr="007208F6">
              <w:rPr>
                <w:rFonts w:eastAsiaTheme="minorEastAsia" w:cs="Calibri"/>
                <w:color w:val="000000"/>
                <w:szCs w:val="18"/>
              </w:rPr>
              <w:t>PFC and PNFC entities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59 733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57 108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56 676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57 782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sidRPr="007208F6">
              <w:rPr>
                <w:rFonts w:eastAsiaTheme="minorEastAsia" w:cs="Calibri"/>
                <w:color w:val="000000"/>
                <w:szCs w:val="18"/>
              </w:rPr>
              <w:t>57 766</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8"/>
              </w:rPr>
            </w:pPr>
            <w:r w:rsidRPr="007208F6">
              <w:rPr>
                <w:rFonts w:eastAsiaTheme="minorEastAsia" w:cs="Calibri"/>
                <w:color w:val="000000"/>
                <w:szCs w:val="18"/>
              </w:rPr>
              <w:t>Other reserves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513</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499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502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504</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rPr>
            </w:pPr>
            <w:r>
              <w:rPr>
                <w:rFonts w:eastAsiaTheme="minorEastAsia" w:cs="Calibri"/>
                <w:color w:val="000000"/>
                <w:szCs w:val="18"/>
              </w:rPr>
              <w:t>507</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8"/>
              </w:rPr>
            </w:pPr>
            <w:r w:rsidRPr="007208F6">
              <w:rPr>
                <w:rFonts w:eastAsiaTheme="minorEastAsia" w:cs="Calibri"/>
                <w:b/>
                <w:bCs/>
                <w:color w:val="000000"/>
                <w:szCs w:val="18"/>
              </w:rPr>
              <w:t>Total reserves</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110 009</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107 321</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113 982</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116 757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rPr>
            </w:pPr>
            <w:r w:rsidRPr="007208F6">
              <w:rPr>
                <w:rFonts w:eastAsiaTheme="minorEastAsia" w:cs="Calibri"/>
                <w:b/>
                <w:bCs/>
                <w:color w:val="000000"/>
                <w:szCs w:val="18"/>
              </w:rPr>
              <w:t>124 190</w:t>
            </w:r>
          </w:p>
        </w:tc>
      </w:tr>
    </w:tbl>
    <w:p w:rsidR="00566E9A" w:rsidRDefault="00566E9A" w:rsidP="00AE5760">
      <w:pPr>
        <w:pStyle w:val="Heading2Notes"/>
        <w:rPr>
          <w:rFonts w:eastAsiaTheme="minorHAnsi"/>
        </w:rPr>
      </w:pPr>
      <w:r>
        <w:rPr>
          <w:rFonts w:eastAsiaTheme="minorHAnsi"/>
        </w:rPr>
        <w:lastRenderedPageBreak/>
        <w:t>Note 25:</w:t>
      </w:r>
      <w:r>
        <w:rPr>
          <w:rFonts w:eastAsiaTheme="minorHAnsi"/>
        </w:rPr>
        <w:tab/>
        <w:t>Reconciliations to Government Finance Statistics – derivation of GFS cash surplus/(deficit)</w:t>
      </w:r>
    </w:p>
    <w:p w:rsidR="00566E9A" w:rsidRPr="007208F6"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7208F6"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7208F6" w:rsidRDefault="00AE5760" w:rsidP="00AE5760">
            <w:pPr>
              <w:autoSpaceDE w:val="0"/>
              <w:autoSpaceDN w:val="0"/>
              <w:adjustRightInd w:val="0"/>
              <w:rPr>
                <w:rFonts w:eastAsiaTheme="minorEastAsia" w:cs="Calibri"/>
                <w:iCs/>
                <w:color w:val="FFFFFF"/>
              </w:rPr>
            </w:pPr>
            <w:r w:rsidRPr="007208F6">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2016-17 </w:t>
            </w:r>
            <w:r>
              <w:rPr>
                <w:rFonts w:eastAsiaTheme="minorEastAsia" w:cs="Calibri"/>
                <w:iCs/>
                <w:color w:val="FFFFFF"/>
                <w:szCs w:val="16"/>
              </w:rPr>
              <w:br/>
            </w:r>
            <w:r w:rsidRPr="007208F6">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2017-18 </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2018-19 </w:t>
            </w:r>
            <w:r>
              <w:rPr>
                <w:rFonts w:eastAsiaTheme="minorEastAsia" w:cs="Calibri"/>
                <w:iCs/>
                <w:color w:val="FFFFFF"/>
                <w:szCs w:val="16"/>
              </w:rPr>
              <w:br/>
            </w:r>
            <w:r w:rsidRPr="007208F6">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7208F6"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7208F6">
              <w:rPr>
                <w:rFonts w:eastAsiaTheme="minorEastAsia" w:cs="Calibri"/>
                <w:iCs/>
                <w:color w:val="FFFFFF"/>
                <w:szCs w:val="16"/>
              </w:rPr>
              <w:t xml:space="preserve">2019-20 </w:t>
            </w:r>
            <w:r>
              <w:rPr>
                <w:rFonts w:eastAsiaTheme="minorEastAsia" w:cs="Calibri"/>
                <w:iCs/>
                <w:color w:val="FFFFFF"/>
                <w:szCs w:val="16"/>
              </w:rPr>
              <w:br/>
            </w:r>
            <w:r w:rsidRPr="007208F6">
              <w:rPr>
                <w:rFonts w:eastAsiaTheme="minorEastAsia" w:cs="Calibri"/>
                <w:iCs/>
                <w:color w:val="FFFFFF"/>
                <w:szCs w:val="16"/>
              </w:rPr>
              <w:t>estimate</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b/>
                <w:bCs/>
                <w:color w:val="000000"/>
                <w:szCs w:val="16"/>
              </w:rPr>
            </w:pPr>
            <w:r w:rsidRPr="007208F6">
              <w:rPr>
                <w:rFonts w:eastAsiaTheme="minorEastAsia" w:cs="Calibri"/>
                <w:b/>
                <w:bCs/>
                <w:color w:val="000000"/>
                <w:szCs w:val="16"/>
              </w:rPr>
              <w:t>Cash surplus/(deficit)</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(1 518)</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(3 379)</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(3 412)</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(2 710)</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(689)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Convergence differences:</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7208F6">
              <w:rPr>
                <w:rFonts w:eastAsiaTheme="minorEastAsia" w:cs="Calibri"/>
                <w:color w:val="000000"/>
              </w:rPr>
              <w:t xml:space="preserve"> </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vertAlign w:val="superscript"/>
              </w:rPr>
            </w:pPr>
            <w:r w:rsidRPr="007208F6">
              <w:rPr>
                <w:rFonts w:eastAsiaTheme="minorEastAsia" w:cs="Calibri"/>
                <w:color w:val="000000"/>
                <w:szCs w:val="16"/>
              </w:rPr>
              <w:t xml:space="preserve">Less: Acquisitions under finance leases and similar arrangements </w:t>
            </w:r>
            <w:r w:rsidRPr="007208F6">
              <w:rPr>
                <w:rFonts w:eastAsiaTheme="minorEastAsia" w:cs="Calibri"/>
                <w:color w:val="000000"/>
                <w:szCs w:val="16"/>
                <w:vertAlign w:val="superscript"/>
              </w:rPr>
              <w:t>(a)</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(647)</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(596)</w:t>
            </w:r>
          </w:p>
        </w:tc>
        <w:tc>
          <w:tcPr>
            <w:tcW w:w="850" w:type="dxa"/>
            <w:tcBorders>
              <w:top w:val="nil"/>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7208F6" w:rsidRDefault="00566E9A" w:rsidP="00AE5760">
            <w:pPr>
              <w:autoSpaceDE w:val="0"/>
              <w:autoSpaceDN w:val="0"/>
              <w:adjustRightInd w:val="0"/>
              <w:rPr>
                <w:rFonts w:eastAsiaTheme="minorEastAsia" w:cs="Calibri"/>
                <w:color w:val="000000"/>
                <w:szCs w:val="16"/>
              </w:rPr>
            </w:pPr>
            <w:r w:rsidRPr="007208F6">
              <w:rPr>
                <w:rFonts w:eastAsiaTheme="minorEastAsia" w:cs="Calibri"/>
                <w:color w:val="000000"/>
                <w:szCs w:val="16"/>
              </w:rPr>
              <w:t xml:space="preserve">Total convergence differences </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(647)</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(596)</w:t>
            </w:r>
          </w:p>
        </w:tc>
        <w:tc>
          <w:tcPr>
            <w:tcW w:w="850" w:type="dxa"/>
            <w:tcBorders>
              <w:top w:val="single" w:sz="6" w:space="0" w:color="000000"/>
              <w:left w:val="nil"/>
              <w:bottom w:val="nil"/>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(349)</w:t>
            </w:r>
          </w:p>
        </w:tc>
      </w:tr>
      <w:tr w:rsidR="00566E9A" w:rsidRPr="007208F6"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rPr>
                <w:rFonts w:eastAsiaTheme="minorEastAsia" w:cs="Calibri"/>
                <w:b/>
                <w:bCs/>
                <w:color w:val="000000"/>
                <w:szCs w:val="16"/>
                <w:vertAlign w:val="superscript"/>
              </w:rPr>
            </w:pPr>
            <w:r w:rsidRPr="007208F6">
              <w:rPr>
                <w:rFonts w:eastAsiaTheme="minorEastAsia" w:cs="Calibri"/>
                <w:b/>
                <w:bCs/>
                <w:color w:val="000000"/>
                <w:szCs w:val="16"/>
              </w:rPr>
              <w:t xml:space="preserve">GFS cash surplus/(deficit) </w:t>
            </w:r>
            <w:r w:rsidRPr="007208F6">
              <w:rPr>
                <w:rFonts w:eastAsiaTheme="minorEastAsia" w:cs="Calibri"/>
                <w:b/>
                <w:bCs/>
                <w:color w:val="000000"/>
                <w:szCs w:val="16"/>
                <w:vertAlign w:val="superscript"/>
              </w:rPr>
              <w:t>(b)</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(2 035)</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(3 897)</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(4 058)</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(3 305)</w:t>
            </w:r>
          </w:p>
        </w:tc>
        <w:tc>
          <w:tcPr>
            <w:tcW w:w="850" w:type="dxa"/>
            <w:tcBorders>
              <w:top w:val="single" w:sz="6" w:space="0" w:color="000000"/>
              <w:left w:val="nil"/>
              <w:bottom w:val="single" w:sz="12" w:space="0" w:color="000000"/>
              <w:right w:val="nil"/>
            </w:tcBorders>
          </w:tcPr>
          <w:p w:rsidR="00566E9A" w:rsidRPr="007208F6"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(1 038)</w:t>
            </w:r>
          </w:p>
        </w:tc>
      </w:tr>
    </w:tbl>
    <w:p w:rsidR="00566E9A" w:rsidRDefault="00566E9A" w:rsidP="00AE5760">
      <w:pPr>
        <w:pStyle w:val="Notes"/>
        <w:rPr>
          <w:rFonts w:eastAsiaTheme="minorHAnsi"/>
        </w:rPr>
      </w:pPr>
      <w:r>
        <w:rPr>
          <w:rFonts w:eastAsiaTheme="minorHAnsi"/>
        </w:rPr>
        <w:t>Notes:</w:t>
      </w:r>
    </w:p>
    <w:p w:rsidR="00566E9A" w:rsidRDefault="00566E9A" w:rsidP="00AE5760">
      <w:pPr>
        <w:pStyle w:val="Notes"/>
        <w:rPr>
          <w:rFonts w:eastAsiaTheme="minorHAnsi"/>
        </w:rPr>
      </w:pPr>
      <w:r>
        <w:rPr>
          <w:rFonts w:eastAsiaTheme="minorHAnsi"/>
        </w:rPr>
        <w:t>(a)</w:t>
      </w:r>
      <w:r>
        <w:rPr>
          <w:rFonts w:eastAsiaTheme="minorHAnsi"/>
        </w:rPr>
        <w:tab/>
        <w:t>The finance lease acquisition in 2016-17 relates to the new Bendigo Hospital project, the New Schools PPP project and the metropolitan Melbourne buses contract. The 2017-18 estimate relates to the Ravenhall Prison project, the new Bendigo Hospital project and the New Schools PPP project. The 2018-19 and 2019-20 estimates relate to the High Capacity Metro Trains Project.</w:t>
      </w:r>
    </w:p>
    <w:p w:rsidR="00566E9A" w:rsidRDefault="00566E9A" w:rsidP="00AE5760">
      <w:pPr>
        <w:pStyle w:val="Notes"/>
        <w:rPr>
          <w:rFonts w:eastAsiaTheme="minorHAnsi"/>
        </w:rPr>
      </w:pPr>
      <w:r>
        <w:rPr>
          <w:rFonts w:eastAsiaTheme="minorHAnsi"/>
        </w:rPr>
        <w:t>(b)</w:t>
      </w:r>
      <w:r>
        <w:rPr>
          <w:rFonts w:eastAsiaTheme="minorHAnsi"/>
        </w:rPr>
        <w:tab/>
        <w:t>Determined in accordance with the ABS GFS manual.</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Heading2Notes"/>
        <w:rPr>
          <w:rFonts w:eastAsiaTheme="minorHAnsi"/>
        </w:rPr>
      </w:pPr>
      <w:r>
        <w:rPr>
          <w:rFonts w:eastAsiaTheme="minorHAnsi"/>
        </w:rPr>
        <w:t>Note 26:</w:t>
      </w:r>
      <w:r>
        <w:rPr>
          <w:rFonts w:eastAsiaTheme="minorHAnsi"/>
        </w:rPr>
        <w:tab/>
        <w:t>Financial instruments</w:t>
      </w:r>
    </w:p>
    <w:p w:rsidR="00566E9A" w:rsidRDefault="00566E9A" w:rsidP="00AE5760">
      <w:pPr>
        <w:rPr>
          <w:rFonts w:eastAsiaTheme="minorHAnsi"/>
        </w:rPr>
      </w:pPr>
      <w:r>
        <w:rPr>
          <w:rFonts w:eastAsiaTheme="minorHAnsi"/>
        </w:rPr>
        <w:t xml:space="preserve">Note 7.1 in Chapter 4 of the </w:t>
      </w:r>
      <w:r>
        <w:rPr>
          <w:rFonts w:eastAsiaTheme="minorHAnsi"/>
          <w:i/>
        </w:rPr>
        <w:t>2015-16 Financial Report</w:t>
      </w:r>
      <w:r>
        <w:rPr>
          <w:rFonts w:eastAsiaTheme="minorHAnsi"/>
        </w:rPr>
        <w:t xml:space="preserve"> for the State of Victoria contains comprehensive disclosures of the State’s (including general government sector’s) financial instruments, including financial risk management objectives and policies.</w:t>
      </w:r>
    </w:p>
    <w:p w:rsidR="00566E9A" w:rsidRDefault="00566E9A" w:rsidP="00AE5760">
      <w:pPr>
        <w:rPr>
          <w:rFonts w:eastAsiaTheme="minorHAnsi"/>
        </w:rPr>
      </w:pPr>
      <w:r>
        <w:rPr>
          <w:rFonts w:eastAsiaTheme="minorHAnsi"/>
        </w:rPr>
        <w:t xml:space="preserve">There have been no substantive changes to the accounting classification of financial assets and liabilities for the general government sector as reported in the </w:t>
      </w:r>
      <w:r>
        <w:rPr>
          <w:rFonts w:eastAsiaTheme="minorHAnsi"/>
          <w:i/>
        </w:rPr>
        <w:t>2015-16 Financial Report</w:t>
      </w:r>
      <w:r>
        <w:rPr>
          <w:rFonts w:eastAsiaTheme="minorHAnsi"/>
        </w:rPr>
        <w:t xml:space="preserve"> for the State of Victoria.</w:t>
      </w:r>
    </w:p>
    <w:p w:rsidR="00566E9A" w:rsidRDefault="00566E9A" w:rsidP="00AE5760">
      <w:pPr>
        <w:rPr>
          <w:rFonts w:eastAsiaTheme="minorHAnsi"/>
        </w:rPr>
      </w:pPr>
    </w:p>
    <w:p w:rsidR="00566E9A" w:rsidRDefault="00566E9A">
      <w:pPr>
        <w:rPr>
          <w:rFonts w:asciiTheme="majorHAnsi" w:eastAsiaTheme="minorHAnsi" w:hAnsiTheme="majorHAnsi"/>
          <w:b/>
          <w:kern w:val="28"/>
          <w:sz w:val="26"/>
        </w:rPr>
      </w:pPr>
      <w:r>
        <w:rPr>
          <w:rFonts w:eastAsiaTheme="minorHAnsi"/>
        </w:rPr>
        <w:br w:type="page"/>
      </w:r>
    </w:p>
    <w:p w:rsidR="00566E9A" w:rsidRDefault="00566E9A" w:rsidP="00AE5760">
      <w:pPr>
        <w:pStyle w:val="Heading2Notes"/>
        <w:rPr>
          <w:rFonts w:eastAsiaTheme="minorHAnsi"/>
        </w:rPr>
      </w:pPr>
      <w:r>
        <w:rPr>
          <w:rFonts w:eastAsiaTheme="minorHAnsi"/>
        </w:rPr>
        <w:lastRenderedPageBreak/>
        <w:t>Note 27:</w:t>
      </w:r>
      <w:r>
        <w:rPr>
          <w:rFonts w:eastAsiaTheme="minorHAnsi"/>
        </w:rPr>
        <w:tab/>
        <w:t>Controlled entities</w:t>
      </w:r>
    </w:p>
    <w:p w:rsidR="00566E9A" w:rsidRDefault="00566E9A" w:rsidP="00AE5760">
      <w:pPr>
        <w:rPr>
          <w:rFonts w:eastAsiaTheme="minorHAnsi"/>
        </w:rPr>
      </w:pPr>
      <w:r>
        <w:rPr>
          <w:rFonts w:eastAsiaTheme="minorHAnsi"/>
        </w:rPr>
        <w:t xml:space="preserve">Note 9.7 </w:t>
      </w:r>
      <w:r>
        <w:rPr>
          <w:rFonts w:eastAsiaTheme="minorHAnsi"/>
          <w:i/>
        </w:rPr>
        <w:t>Controlled Entities</w:t>
      </w:r>
      <w:r>
        <w:rPr>
          <w:rFonts w:eastAsiaTheme="minorHAnsi"/>
        </w:rPr>
        <w:t xml:space="preserve"> in the </w:t>
      </w:r>
      <w:r>
        <w:rPr>
          <w:rFonts w:eastAsiaTheme="minorHAnsi"/>
          <w:i/>
        </w:rPr>
        <w:t xml:space="preserve">2015-16 Financial Report </w:t>
      </w:r>
      <w:r>
        <w:rPr>
          <w:rFonts w:eastAsiaTheme="minorHAnsi"/>
        </w:rPr>
        <w:t>for the State of Victoria contains a list of significant controlled entities, which have been consolidated for the purposes of the financial report.</w:t>
      </w:r>
    </w:p>
    <w:p w:rsidR="00566E9A" w:rsidRDefault="00566E9A" w:rsidP="00AE5760">
      <w:pPr>
        <w:rPr>
          <w:rFonts w:eastAsiaTheme="minorHAnsi"/>
        </w:rPr>
      </w:pPr>
      <w:r>
        <w:rPr>
          <w:rFonts w:eastAsiaTheme="minorHAnsi"/>
        </w:rPr>
        <w:t>The following are changes from 1 July 2016, of general government sector entities which have been consolidated for the purposes of the estimated financial statements:</w:t>
      </w:r>
    </w:p>
    <w:p w:rsidR="00566E9A" w:rsidRDefault="00566E9A" w:rsidP="00AE5760">
      <w:pPr>
        <w:pStyle w:val="ControlledEntitiesHeading1"/>
      </w:pPr>
      <w:bookmarkStart w:id="48" w:name="OLE_LINK1"/>
      <w:r>
        <w:t>General government</w:t>
      </w:r>
    </w:p>
    <w:p w:rsidR="00566E9A" w:rsidRDefault="00566E9A" w:rsidP="00AE5760">
      <w:pPr>
        <w:pStyle w:val="ControlledEntitiesHeading1"/>
        <w:sectPr w:rsidR="00566E9A" w:rsidSect="00AE5760">
          <w:headerReference w:type="even" r:id="rId22"/>
          <w:headerReference w:type="default" r:id="rId23"/>
          <w:footerReference w:type="even" r:id="rId24"/>
          <w:footerReference w:type="default" r:id="rId25"/>
          <w:headerReference w:type="first" r:id="rId26"/>
          <w:footerReference w:type="first" r:id="rId27"/>
          <w:pgSz w:w="9979" w:h="14175" w:code="34"/>
          <w:pgMar w:top="1140" w:right="1140" w:bottom="1140" w:left="1140" w:header="720" w:footer="431" w:gutter="0"/>
          <w:cols w:space="708"/>
          <w:docGrid w:linePitch="360"/>
        </w:sectPr>
      </w:pPr>
    </w:p>
    <w:p w:rsidR="00566E9A" w:rsidRDefault="00566E9A" w:rsidP="00AE5760">
      <w:pPr>
        <w:pStyle w:val="ControlledEntitiesHeading2"/>
      </w:pPr>
      <w:r>
        <w:lastRenderedPageBreak/>
        <w:t>Department of Health and Human Services</w:t>
      </w:r>
    </w:p>
    <w:p w:rsidR="00566E9A" w:rsidRDefault="00566E9A" w:rsidP="00AE5760">
      <w:pPr>
        <w:pStyle w:val="ControlledEntitiesText"/>
      </w:pPr>
      <w:proofErr w:type="spellStart"/>
      <w:r>
        <w:t>Dunmunkle</w:t>
      </w:r>
      <w:proofErr w:type="spellEnd"/>
      <w:r>
        <w:t xml:space="preserve"> Health Services </w:t>
      </w:r>
      <w:r w:rsidRPr="00FD296C">
        <w:rPr>
          <w:vertAlign w:val="superscript"/>
        </w:rPr>
        <w:t>(a)</w:t>
      </w:r>
    </w:p>
    <w:p w:rsidR="00566E9A" w:rsidRDefault="00566E9A" w:rsidP="00AE5760">
      <w:pPr>
        <w:pStyle w:val="ControlledEntitiesText"/>
      </w:pPr>
      <w:r>
        <w:t xml:space="preserve">West Wimmera Health Service </w:t>
      </w:r>
      <w:r>
        <w:rPr>
          <w:vertAlign w:val="superscript"/>
        </w:rPr>
        <w:t>(a</w:t>
      </w:r>
      <w:r w:rsidRPr="00F755F9">
        <w:rPr>
          <w:vertAlign w:val="superscript"/>
        </w:rPr>
        <w:t>)</w:t>
      </w:r>
      <w:r w:rsidRPr="00FD296C">
        <w:t xml:space="preserve"> </w:t>
      </w:r>
    </w:p>
    <w:p w:rsidR="00566E9A" w:rsidRDefault="00566E9A" w:rsidP="00AE5760">
      <w:pPr>
        <w:pStyle w:val="Notes"/>
      </w:pPr>
    </w:p>
    <w:p w:rsidR="00566E9A" w:rsidRPr="00FD296C" w:rsidRDefault="00566E9A" w:rsidP="00D6523A">
      <w:pPr>
        <w:rPr>
          <w:rFonts w:ascii="Calibri" w:hAnsi="Calibri"/>
          <w:b/>
          <w:vanish/>
          <w:sz w:val="18"/>
        </w:rPr>
      </w:pPr>
      <w:r>
        <w:rPr>
          <w:rFonts w:ascii="Calibri" w:hAnsi="Calibri"/>
          <w:b/>
          <w:sz w:val="18"/>
        </w:rPr>
        <w:br w:type="column"/>
      </w:r>
    </w:p>
    <w:p w:rsidR="00566E9A" w:rsidRPr="00FD296C" w:rsidRDefault="00566E9A" w:rsidP="00D6523A">
      <w:pPr>
        <w:pStyle w:val="ControlledEntitiesHeading2"/>
        <w:spacing w:before="0"/>
      </w:pPr>
      <w:r w:rsidRPr="00FD296C">
        <w:t>Department of Economic Development, Jobs, Transport and Resources</w:t>
      </w:r>
    </w:p>
    <w:p w:rsidR="00566E9A" w:rsidRDefault="00566E9A" w:rsidP="00AE5760">
      <w:pPr>
        <w:pStyle w:val="ControlledEntitiesText"/>
      </w:pPr>
      <w:r>
        <w:t xml:space="preserve">Australian Synchrotron Holding Company </w:t>
      </w:r>
      <w:r>
        <w:rPr>
          <w:vertAlign w:val="superscript"/>
        </w:rPr>
        <w:t>(b</w:t>
      </w:r>
      <w:r w:rsidRPr="00BF6B3C">
        <w:rPr>
          <w:vertAlign w:val="superscript"/>
        </w:rPr>
        <w:t>)</w:t>
      </w:r>
    </w:p>
    <w:p w:rsidR="00566E9A" w:rsidRDefault="00566E9A" w:rsidP="00AE5760">
      <w:pPr>
        <w:pStyle w:val="ControlledEntitiesText"/>
      </w:pPr>
      <w:r>
        <w:t xml:space="preserve">Energy Safe Victoria </w:t>
      </w:r>
      <w:r>
        <w:rPr>
          <w:vertAlign w:val="superscript"/>
        </w:rPr>
        <w:t>(c</w:t>
      </w:r>
      <w:r w:rsidRPr="004A097E">
        <w:rPr>
          <w:vertAlign w:val="superscript"/>
        </w:rPr>
        <w:t>)</w:t>
      </w:r>
    </w:p>
    <w:p w:rsidR="00566E9A" w:rsidRDefault="00566E9A" w:rsidP="00AE5760">
      <w:pPr>
        <w:pStyle w:val="ControlledEntitiesText"/>
      </w:pPr>
      <w:r>
        <w:t xml:space="preserve">Tourism Victoria </w:t>
      </w:r>
      <w:r>
        <w:rPr>
          <w:vertAlign w:val="superscript"/>
        </w:rPr>
        <w:t>(d</w:t>
      </w:r>
      <w:r w:rsidRPr="00BF6B3C">
        <w:rPr>
          <w:vertAlign w:val="superscript"/>
        </w:rPr>
        <w:t>)</w:t>
      </w:r>
    </w:p>
    <w:p w:rsidR="00566E9A" w:rsidRPr="00BF6B3C" w:rsidRDefault="00566E9A" w:rsidP="00AE5760">
      <w:pPr>
        <w:pStyle w:val="ControlledEntitiesText"/>
        <w:rPr>
          <w:sz w:val="16"/>
        </w:rPr>
      </w:pPr>
      <w:r>
        <w:t xml:space="preserve">Visit Victoria </w:t>
      </w:r>
      <w:r w:rsidRPr="00BF6B3C">
        <w:rPr>
          <w:vertAlign w:val="superscript"/>
        </w:rPr>
        <w:t>(</w:t>
      </w:r>
      <w:r>
        <w:rPr>
          <w:vertAlign w:val="superscript"/>
        </w:rPr>
        <w:t>d</w:t>
      </w:r>
      <w:r w:rsidRPr="00BF6B3C">
        <w:rPr>
          <w:vertAlign w:val="superscript"/>
        </w:rPr>
        <w:t>)</w:t>
      </w:r>
    </w:p>
    <w:p w:rsidR="00566E9A" w:rsidRDefault="00566E9A" w:rsidP="00AE5760">
      <w:pPr>
        <w:pStyle w:val="ControlledEntitiesHeading2"/>
        <w:sectPr w:rsidR="00566E9A" w:rsidSect="00AE5760">
          <w:footerReference w:type="even" r:id="rId28"/>
          <w:type w:val="continuous"/>
          <w:pgSz w:w="9979" w:h="14175" w:code="34"/>
          <w:pgMar w:top="1140" w:right="1140" w:bottom="1140" w:left="1140" w:header="720" w:footer="431" w:gutter="0"/>
          <w:cols w:num="2" w:space="454"/>
          <w:docGrid w:linePitch="360"/>
        </w:sectPr>
      </w:pPr>
    </w:p>
    <w:bookmarkEnd w:id="48"/>
    <w:p w:rsidR="00566E9A" w:rsidRPr="00507A5B" w:rsidRDefault="00566E9A" w:rsidP="00AE5760">
      <w:pPr>
        <w:pStyle w:val="Notes"/>
      </w:pPr>
      <w:r w:rsidRPr="00507A5B">
        <w:lastRenderedPageBreak/>
        <w:t>Notes:</w:t>
      </w:r>
    </w:p>
    <w:p w:rsidR="00566E9A" w:rsidRPr="00507A5B" w:rsidRDefault="00566E9A" w:rsidP="00AE5760">
      <w:pPr>
        <w:pStyle w:val="Notes"/>
      </w:pPr>
      <w:r>
        <w:t>(a)</w:t>
      </w:r>
      <w:r>
        <w:tab/>
      </w:r>
      <w:r w:rsidRPr="00507A5B">
        <w:t xml:space="preserve">On 1 July 2016, by </w:t>
      </w:r>
      <w:r>
        <w:t>O</w:t>
      </w:r>
      <w:r w:rsidRPr="00507A5B">
        <w:t xml:space="preserve">rder of the Governor-in-Council, </w:t>
      </w:r>
      <w:proofErr w:type="spellStart"/>
      <w:r w:rsidRPr="00507A5B">
        <w:t>Dunmunkle</w:t>
      </w:r>
      <w:proofErr w:type="spellEnd"/>
      <w:r w:rsidRPr="00507A5B">
        <w:t xml:space="preserve"> Health Service and West Wimmera Health Service were amalgamated to form a new registered funded agency named West Wimmera Health Service.</w:t>
      </w:r>
    </w:p>
    <w:p w:rsidR="00566E9A" w:rsidRDefault="00566E9A" w:rsidP="00AE5760">
      <w:pPr>
        <w:pStyle w:val="Notes"/>
      </w:pPr>
      <w:r w:rsidRPr="00507A5B">
        <w:t>(b)</w:t>
      </w:r>
      <w:r w:rsidRPr="00507A5B">
        <w:tab/>
        <w:t xml:space="preserve">The Australian Synchrotron </w:t>
      </w:r>
      <w:r>
        <w:t xml:space="preserve">Holding Company </w:t>
      </w:r>
      <w:r w:rsidRPr="00507A5B">
        <w:t xml:space="preserve">was transferred from the State of Victoria to the Australian Nuclear Science and Technology Organisation (ANSTO) on 1 July 2016. </w:t>
      </w:r>
    </w:p>
    <w:p w:rsidR="00566E9A" w:rsidRDefault="00566E9A" w:rsidP="00AE5760">
      <w:pPr>
        <w:pStyle w:val="Notes"/>
      </w:pPr>
      <w:r>
        <w:t>(c)</w:t>
      </w:r>
      <w:r>
        <w:tab/>
      </w:r>
      <w:r w:rsidRPr="00507A5B">
        <w:t>Effective from 1 July 2016, Energy Safe Victoria was transferred from the Department of Economic Development, Jobs, Transport and Resources to the Department of Environment, Lan</w:t>
      </w:r>
      <w:r>
        <w:t>d</w:t>
      </w:r>
      <w:r w:rsidRPr="00507A5B">
        <w:t>,</w:t>
      </w:r>
      <w:r>
        <w:t xml:space="preserve"> Water and Planning.</w:t>
      </w:r>
    </w:p>
    <w:p w:rsidR="00566E9A" w:rsidRDefault="00566E9A" w:rsidP="00AE5760">
      <w:pPr>
        <w:pStyle w:val="Notes"/>
      </w:pPr>
      <w:r>
        <w:t>(d)</w:t>
      </w:r>
      <w:r>
        <w:tab/>
      </w:r>
      <w:r w:rsidRPr="00507A5B">
        <w:t>Effective 1 July 2016, Visit Victoria commenced operations and took over the responsibilities of Tourism Victoria and the Victorian Major Events Company Limited. Tourism Victoria ceased to operate but will remain in existence until its legislation is repealed. Effective from 1 July 2016, Victorian Major Events Company ceased to exist.</w:t>
      </w:r>
    </w:p>
    <w:p w:rsidR="00566E9A" w:rsidRDefault="00566E9A" w:rsidP="00AE5760">
      <w:pPr>
        <w:pStyle w:val="Notes"/>
      </w:pPr>
    </w:p>
    <w:p w:rsidR="00566E9A" w:rsidRDefault="00566E9A">
      <w:pPr>
        <w:rPr>
          <w:rFonts w:asciiTheme="majorHAnsi" w:hAnsiTheme="majorHAnsi"/>
          <w:i/>
          <w:sz w:val="15"/>
        </w:rPr>
      </w:pPr>
      <w:r>
        <w:br w:type="page"/>
      </w:r>
    </w:p>
    <w:p w:rsidR="00566E9A" w:rsidRDefault="00566E9A" w:rsidP="00C14B16"/>
    <w:p w:rsidR="00566E9A" w:rsidRDefault="00566E9A" w:rsidP="00AE5760"/>
    <w:p w:rsidR="00566E9A" w:rsidRDefault="00566E9A" w:rsidP="00AE5760">
      <w:pPr>
        <w:sectPr w:rsidR="00566E9A" w:rsidSect="00AE5760">
          <w:type w:val="continuous"/>
          <w:pgSz w:w="9979" w:h="14175" w:code="34"/>
          <w:pgMar w:top="1140" w:right="1140" w:bottom="1140" w:left="1140" w:header="720" w:footer="431" w:gutter="0"/>
          <w:cols w:space="708"/>
          <w:docGrid w:linePitch="360"/>
        </w:sectPr>
      </w:pPr>
    </w:p>
    <w:p w:rsidR="00566E9A" w:rsidRDefault="00566E9A" w:rsidP="00AE5760">
      <w:pPr>
        <w:pStyle w:val="ChapterHeading"/>
        <w:rPr>
          <w:rFonts w:eastAsiaTheme="minorHAnsi"/>
        </w:rPr>
      </w:pPr>
      <w:bookmarkStart w:id="49" w:name="_Toc468983284"/>
      <w:r>
        <w:rPr>
          <w:rFonts w:eastAsiaTheme="minorHAnsi"/>
        </w:rPr>
        <w:lastRenderedPageBreak/>
        <w:t>Chapter 5 – Supplementary uniform presentation framework tables</w:t>
      </w:r>
      <w:bookmarkEnd w:id="49"/>
    </w:p>
    <w:p w:rsidR="00566E9A" w:rsidRDefault="00566E9A" w:rsidP="00AE5760">
      <w:pPr>
        <w:pStyle w:val="Tableheading"/>
        <w:rPr>
          <w:rFonts w:eastAsiaTheme="minorHAnsi"/>
        </w:rPr>
      </w:pPr>
      <w:r>
        <w:rPr>
          <w:rFonts w:eastAsiaTheme="minorHAnsi"/>
        </w:rPr>
        <w:t>Table 5.1:</w:t>
      </w:r>
      <w:r>
        <w:rPr>
          <w:rFonts w:eastAsiaTheme="minorHAnsi"/>
        </w:rPr>
        <w:tab/>
        <w:t xml:space="preserve">Public non-financial corporations sector comprehensive operating statement for the financial year ended 30 June </w:t>
      </w:r>
      <w:r w:rsidRPr="003F037B">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2"/>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2"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Revenue from transactions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revenue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97</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Dividends, income tax equivalent and </w:t>
            </w:r>
            <w:r>
              <w:rPr>
                <w:rFonts w:eastAsiaTheme="minorEastAsia" w:cs="Calibri"/>
                <w:color w:val="000000"/>
                <w:szCs w:val="16"/>
              </w:rPr>
              <w:br/>
              <w:t>rate equivalent revenue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Sales of goods and services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6 353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6 445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6 852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6 690</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6 839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 revenue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3 243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3 330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3 438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3 404</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3 271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revenue</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481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591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548</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518</w:t>
            </w:r>
          </w:p>
        </w:tc>
        <w:tc>
          <w:tcPr>
            <w:tcW w:w="852"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516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revenue from transactions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10 200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10 504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10 991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10 727</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10 708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Expenses from transactions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Employee expenses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1 157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1 172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1 195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1 220</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1 259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superannuation</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109</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112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Depreciation</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2 244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2 241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2 316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2 389</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2 447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expense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1 139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1 137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1 134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1 118</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1 095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 expense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571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753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451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514</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414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operating expenses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5 532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5 684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6 065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5 782</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5 662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property expenses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152</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162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expenses from transactions</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10 869</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11 396</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11 443</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11 284</w:t>
            </w:r>
          </w:p>
        </w:tc>
        <w:tc>
          <w:tcPr>
            <w:tcW w:w="852"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11 152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Net result from transactions – </w:t>
            </w:r>
            <w:r>
              <w:rPr>
                <w:rFonts w:eastAsiaTheme="minorEastAsia" w:cs="Calibri"/>
                <w:b/>
                <w:bCs/>
                <w:color w:val="000000"/>
                <w:szCs w:val="16"/>
              </w:rPr>
              <w:br/>
              <w:t>net operating balance</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(669)</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(892)</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(452)</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(557)</w:t>
            </w:r>
          </w:p>
        </w:tc>
        <w:tc>
          <w:tcPr>
            <w:tcW w:w="852"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(444)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12"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Total other economic flows included in </w:t>
            </w:r>
            <w:r>
              <w:rPr>
                <w:rFonts w:eastAsiaTheme="minorEastAsia" w:cs="Calibri"/>
                <w:b/>
                <w:bCs/>
                <w:color w:val="000000"/>
                <w:szCs w:val="16"/>
              </w:rPr>
              <w:br/>
              <w:t>net result</w:t>
            </w:r>
          </w:p>
        </w:tc>
        <w:tc>
          <w:tcPr>
            <w:tcW w:w="850"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(14)</w:t>
            </w:r>
          </w:p>
        </w:tc>
        <w:tc>
          <w:tcPr>
            <w:tcW w:w="850"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419</w:t>
            </w:r>
          </w:p>
        </w:tc>
        <w:tc>
          <w:tcPr>
            <w:tcW w:w="850"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50</w:t>
            </w:r>
          </w:p>
        </w:tc>
        <w:tc>
          <w:tcPr>
            <w:tcW w:w="850"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277</w:t>
            </w:r>
          </w:p>
        </w:tc>
        <w:tc>
          <w:tcPr>
            <w:tcW w:w="852"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273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result</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(683)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(473)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(402)</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(279)</w:t>
            </w:r>
          </w:p>
        </w:tc>
        <w:tc>
          <w:tcPr>
            <w:tcW w:w="85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(171)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rPr>
            </w:pPr>
            <w:r w:rsidRPr="00CC1BAA">
              <w:rPr>
                <w:rFonts w:eastAsiaTheme="minorEastAsia" w:cs="Calibri"/>
                <w:b/>
                <w:bCs/>
                <w:color w:val="000000"/>
                <w:szCs w:val="16"/>
              </w:rPr>
              <w:t>Other economic flows – other comprehensive income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rPr>
            </w:pPr>
            <w:r w:rsidRPr="00CC1BAA">
              <w:rPr>
                <w:rFonts w:eastAsiaTheme="minorEastAsia" w:cs="Calibri"/>
                <w:b/>
                <w:bCs/>
                <w:color w:val="000000"/>
                <w:szCs w:val="16"/>
              </w:rPr>
              <w:t>Items that will not be reclassified to net result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Changes in non-financial assets revaluation surplus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3 367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522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1 438</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proofErr w:type="spellStart"/>
            <w:r w:rsidRPr="00CC1BAA">
              <w:rPr>
                <w:rFonts w:eastAsiaTheme="minorEastAsia" w:cs="Calibri"/>
                <w:color w:val="000000"/>
                <w:szCs w:val="16"/>
              </w:rPr>
              <w:t>Remeasurement</w:t>
            </w:r>
            <w:proofErr w:type="spellEnd"/>
            <w:r w:rsidRPr="00CC1BAA">
              <w:rPr>
                <w:rFonts w:eastAsiaTheme="minorEastAsia" w:cs="Calibri"/>
                <w:color w:val="000000"/>
                <w:szCs w:val="16"/>
              </w:rPr>
              <w:t xml:space="preserve"> of superannuation defined benefits plans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auto"/>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movements in equity</w:t>
            </w:r>
          </w:p>
        </w:tc>
        <w:tc>
          <w:tcPr>
            <w:tcW w:w="850" w:type="dxa"/>
            <w:tcBorders>
              <w:top w:val="nil"/>
              <w:left w:val="nil"/>
              <w:bottom w:val="single" w:sz="12" w:space="0" w:color="auto"/>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122</w:t>
            </w:r>
          </w:p>
        </w:tc>
        <w:tc>
          <w:tcPr>
            <w:tcW w:w="850" w:type="dxa"/>
            <w:tcBorders>
              <w:top w:val="nil"/>
              <w:left w:val="nil"/>
              <w:bottom w:val="single" w:sz="12" w:space="0" w:color="auto"/>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single" w:sz="12" w:space="0" w:color="auto"/>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w:t>
            </w:r>
          </w:p>
        </w:tc>
        <w:tc>
          <w:tcPr>
            <w:tcW w:w="850" w:type="dxa"/>
            <w:tcBorders>
              <w:top w:val="nil"/>
              <w:left w:val="nil"/>
              <w:bottom w:val="single" w:sz="12" w:space="0" w:color="auto"/>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52" w:type="dxa"/>
            <w:tcBorders>
              <w:top w:val="nil"/>
              <w:left w:val="nil"/>
              <w:bottom w:val="single" w:sz="12" w:space="0" w:color="auto"/>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w:t>
            </w:r>
          </w:p>
        </w:tc>
      </w:tr>
    </w:tbl>
    <w:p w:rsidR="00566E9A" w:rsidRDefault="00566E9A" w:rsidP="00AE5760">
      <w:pPr>
        <w:pStyle w:val="Tableheadingcontinued"/>
        <w:spacing w:before="0"/>
        <w:rPr>
          <w:rFonts w:eastAsiaTheme="minorHAnsi"/>
        </w:rPr>
      </w:pPr>
      <w:r>
        <w:rPr>
          <w:rFonts w:eastAsiaTheme="minorHAnsi"/>
        </w:rPr>
        <w:lastRenderedPageBreak/>
        <w:t>Table 5.1:</w:t>
      </w:r>
      <w:r>
        <w:rPr>
          <w:rFonts w:eastAsiaTheme="minorHAnsi"/>
        </w:rPr>
        <w:tab/>
        <w:t>Public non-financial corporations sector comprehensive operating statement for the financial year ended 30 Jun</w:t>
      </w:r>
      <w:r w:rsidRPr="00CC1BAA">
        <w:rPr>
          <w:rFonts w:eastAsiaTheme="minorHAnsi"/>
          <w:i/>
        </w:rPr>
        <w:t>e (continued)</w:t>
      </w:r>
    </w:p>
    <w:p w:rsidR="00566E9A" w:rsidRDefault="00566E9A" w:rsidP="00AE5760">
      <w:pPr>
        <w:pStyle w:val="million"/>
      </w:pPr>
      <w: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2"/>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2"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rPr>
            </w:pPr>
            <w:r w:rsidRPr="00CC1BAA">
              <w:rPr>
                <w:rFonts w:eastAsiaTheme="minorEastAsia" w:cs="Calibri"/>
                <w:b/>
                <w:bCs/>
                <w:color w:val="000000"/>
                <w:szCs w:val="16"/>
              </w:rPr>
              <w:t>Items that may be reclassified subsequently to net result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gain/(loss) on financial assets at fair value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Total other economic flows – </w:t>
            </w:r>
            <w:r>
              <w:rPr>
                <w:rFonts w:eastAsiaTheme="minorEastAsia" w:cs="Calibri"/>
                <w:b/>
                <w:bCs/>
                <w:color w:val="000000"/>
                <w:szCs w:val="16"/>
              </w:rPr>
              <w:br/>
              <w:t>other comprehensive income</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3 489</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523</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(17)</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1 437</w:t>
            </w:r>
          </w:p>
        </w:tc>
        <w:tc>
          <w:tcPr>
            <w:tcW w:w="852"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Comprehensive result – </w:t>
            </w:r>
            <w:r>
              <w:rPr>
                <w:rFonts w:eastAsiaTheme="minorEastAsia" w:cs="Calibri"/>
                <w:b/>
                <w:bCs/>
                <w:color w:val="000000"/>
                <w:szCs w:val="16"/>
              </w:rPr>
              <w:br/>
              <w:t>total change in net worth</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2 806</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50</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(419)</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1 158</w:t>
            </w:r>
          </w:p>
        </w:tc>
        <w:tc>
          <w:tcPr>
            <w:tcW w:w="85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(177)</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KEY FISCAL AGGREGATES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operating balance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(669)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(892)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(452)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(557)</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(444)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Less: Net acquisition of non-financial assets from transactions </w:t>
            </w:r>
            <w:r w:rsidRPr="00CC1BAA">
              <w:rPr>
                <w:rFonts w:eastAsiaTheme="minorEastAsia" w:cs="Calibri"/>
                <w:color w:val="000000"/>
                <w:szCs w:val="16"/>
                <w:vertAlign w:val="superscript"/>
              </w:rPr>
              <w:t>(b)</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3 217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4 050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3 768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3 340</w:t>
            </w:r>
          </w:p>
        </w:tc>
        <w:tc>
          <w:tcPr>
            <w:tcW w:w="85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2 330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Net lending/(borrowing) </w:t>
            </w:r>
            <w:r w:rsidRPr="00CC1BAA">
              <w:rPr>
                <w:rFonts w:eastAsiaTheme="minorEastAsia" w:cs="Calibri"/>
                <w:b/>
                <w:bCs/>
                <w:color w:val="000000"/>
                <w:szCs w:val="16"/>
                <w:vertAlign w:val="superscript"/>
              </w:rPr>
              <w:t>(b)</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(3 886)</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(4 942)</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(4 221)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(3 896)</w:t>
            </w:r>
          </w:p>
        </w:tc>
        <w:tc>
          <w:tcPr>
            <w:tcW w:w="85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(2 774)</w:t>
            </w:r>
          </w:p>
        </w:tc>
      </w:tr>
    </w:tbl>
    <w:p w:rsidR="00566E9A" w:rsidRDefault="00566E9A" w:rsidP="00AE5760">
      <w:pPr>
        <w:pStyle w:val="Source"/>
        <w:rPr>
          <w:rFonts w:eastAsiaTheme="minorHAnsi"/>
        </w:rPr>
      </w:pPr>
      <w:r>
        <w:rPr>
          <w:rFonts w:eastAsiaTheme="minorHAnsi"/>
        </w:rPr>
        <w:t>Source: Department of Treasury and Finance</w:t>
      </w:r>
    </w:p>
    <w:p w:rsidR="00566E9A" w:rsidRPr="006D0466" w:rsidRDefault="00566E9A" w:rsidP="00AE5760">
      <w:pPr>
        <w:pStyle w:val="Notes"/>
        <w:rPr>
          <w:rFonts w:eastAsiaTheme="minorHAnsi"/>
        </w:rPr>
      </w:pPr>
      <w:r w:rsidRPr="006D0466">
        <w:rPr>
          <w:rFonts w:eastAsiaTheme="minorHAnsi"/>
        </w:rPr>
        <w:t>Notes:</w:t>
      </w:r>
    </w:p>
    <w:p w:rsidR="00566E9A" w:rsidRPr="006D0466" w:rsidRDefault="00566E9A" w:rsidP="00AE5760">
      <w:pPr>
        <w:pStyle w:val="Notes"/>
        <w:rPr>
          <w:rFonts w:eastAsiaTheme="minorHAnsi"/>
        </w:rPr>
      </w:pPr>
      <w:r w:rsidRPr="006D0466">
        <w:rPr>
          <w:rFonts w:eastAsiaTheme="minorHAnsi"/>
        </w:rPr>
        <w:t>(a)</w:t>
      </w:r>
      <w:r w:rsidRPr="006D0466">
        <w:rPr>
          <w:rFonts w:eastAsiaTheme="minorHAnsi"/>
        </w:rPr>
        <w:tab/>
      </w:r>
      <w:r>
        <w:rPr>
          <w:rFonts w:eastAsiaTheme="minorHAnsi"/>
        </w:rPr>
        <w:t xml:space="preserve">Presentation is consistent with the </w:t>
      </w:r>
      <w:r>
        <w:rPr>
          <w:rFonts w:eastAsiaTheme="minorHAnsi"/>
          <w:i w:val="0"/>
        </w:rPr>
        <w:t xml:space="preserve">2016-17 Budget, </w:t>
      </w:r>
      <w:r w:rsidRPr="00E60C3E">
        <w:rPr>
          <w:rFonts w:eastAsiaTheme="minorHAnsi"/>
        </w:rPr>
        <w:t>where</w:t>
      </w:r>
      <w:r>
        <w:rPr>
          <w:rFonts w:eastAsiaTheme="minorHAnsi"/>
          <w:i w:val="0"/>
        </w:rPr>
        <w:t xml:space="preserve"> c</w:t>
      </w:r>
      <w:r w:rsidRPr="006D0466">
        <w:rPr>
          <w:rFonts w:eastAsiaTheme="minorHAnsi"/>
        </w:rPr>
        <w:t>ertain line items have been aggregated in the table above due to commercial sensitiv</w:t>
      </w:r>
      <w:r>
        <w:rPr>
          <w:rFonts w:eastAsiaTheme="minorHAnsi"/>
        </w:rPr>
        <w:t>iti</w:t>
      </w:r>
      <w:r w:rsidRPr="006D0466">
        <w:rPr>
          <w:rFonts w:eastAsiaTheme="minorHAnsi"/>
        </w:rPr>
        <w:t>es of balances.</w:t>
      </w:r>
    </w:p>
    <w:p w:rsidR="00566E9A" w:rsidRPr="006D0466" w:rsidRDefault="00566E9A" w:rsidP="00AE5760">
      <w:pPr>
        <w:pStyle w:val="Notes"/>
        <w:rPr>
          <w:rFonts w:eastAsiaTheme="minorHAnsi"/>
        </w:rPr>
      </w:pPr>
      <w:r w:rsidRPr="006D0466">
        <w:rPr>
          <w:rFonts w:eastAsiaTheme="minorHAnsi"/>
        </w:rPr>
        <w:t>(b)</w:t>
      </w:r>
      <w:r w:rsidRPr="006D0466">
        <w:rPr>
          <w:rFonts w:eastAsiaTheme="minorHAnsi"/>
        </w:rPr>
        <w:tab/>
      </w:r>
      <w:r w:rsidRPr="006D0466">
        <w:rPr>
          <w:rFonts w:eastAsiaTheme="minorHAnsi"/>
          <w:i w:val="0"/>
        </w:rPr>
        <w:t>2016-17 Budget</w:t>
      </w:r>
      <w:r w:rsidRPr="006D0466">
        <w:rPr>
          <w:rFonts w:eastAsiaTheme="minorHAnsi"/>
        </w:rPr>
        <w:t xml:space="preserve"> figures have been restated to reflect more current information.</w:t>
      </w:r>
    </w:p>
    <w:p w:rsidR="00566E9A" w:rsidRDefault="00566E9A">
      <w:pPr>
        <w:spacing w:after="0"/>
        <w:rPr>
          <w:rFonts w:eastAsiaTheme="minorHAnsi"/>
        </w:rPr>
      </w:pP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5.2:</w:t>
      </w:r>
      <w:r>
        <w:rPr>
          <w:rFonts w:eastAsiaTheme="minorHAnsi"/>
        </w:rPr>
        <w:tab/>
        <w:t>Public non-financial corporations sector balance sheet as at 30 June</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4" w:type="dxa"/>
        <w:tblInd w:w="45" w:type="dxa"/>
        <w:tblLayout w:type="fixed"/>
        <w:tblCellMar>
          <w:left w:w="45" w:type="dxa"/>
          <w:right w:w="45" w:type="dxa"/>
        </w:tblCellMar>
        <w:tblLook w:val="06A0" w:firstRow="1" w:lastRow="0" w:firstColumn="1" w:lastColumn="0" w:noHBand="1" w:noVBand="1"/>
      </w:tblPr>
      <w:tblGrid>
        <w:gridCol w:w="3657"/>
        <w:gridCol w:w="822"/>
        <w:gridCol w:w="822"/>
        <w:gridCol w:w="821"/>
        <w:gridCol w:w="821"/>
        <w:gridCol w:w="821"/>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657"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22"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w:t>
            </w:r>
            <w:r>
              <w:rPr>
                <w:rFonts w:eastAsiaTheme="minorEastAsia" w:cs="Calibri"/>
                <w:iCs/>
                <w:color w:val="FFFFFF"/>
                <w:szCs w:val="16"/>
              </w:rPr>
              <w:br/>
            </w:r>
            <w:r w:rsidRPr="00CC1BAA">
              <w:rPr>
                <w:rFonts w:eastAsiaTheme="minorEastAsia" w:cs="Calibri"/>
                <w:iCs/>
                <w:color w:val="FFFFFF"/>
                <w:szCs w:val="16"/>
              </w:rPr>
              <w:t xml:space="preserve">budget </w:t>
            </w:r>
            <w:r w:rsidRPr="00CC1BAA">
              <w:rPr>
                <w:rFonts w:eastAsiaTheme="minorEastAsia" w:cs="Calibri"/>
                <w:iCs/>
                <w:color w:val="FFFFFF"/>
                <w:szCs w:val="16"/>
                <w:vertAlign w:val="superscript"/>
              </w:rPr>
              <w:t>(a)</w:t>
            </w:r>
          </w:p>
        </w:tc>
        <w:tc>
          <w:tcPr>
            <w:tcW w:w="822"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w:t>
            </w:r>
            <w:r>
              <w:rPr>
                <w:rFonts w:eastAsiaTheme="minorEastAsia" w:cs="Calibri"/>
                <w:iCs/>
                <w:color w:val="FFFFFF"/>
                <w:szCs w:val="16"/>
              </w:rPr>
              <w:br/>
            </w:r>
            <w:r w:rsidRPr="00CC1BAA">
              <w:rPr>
                <w:rFonts w:eastAsiaTheme="minorEastAsia" w:cs="Calibri"/>
                <w:iCs/>
                <w:color w:val="FFFFFF"/>
                <w:szCs w:val="16"/>
              </w:rPr>
              <w:t>revised</w:t>
            </w:r>
          </w:p>
        </w:tc>
        <w:tc>
          <w:tcPr>
            <w:tcW w:w="82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w:t>
            </w:r>
            <w:r>
              <w:rPr>
                <w:rFonts w:eastAsiaTheme="minorEastAsia" w:cs="Calibri"/>
                <w:iCs/>
                <w:color w:val="FFFFFF"/>
                <w:szCs w:val="16"/>
              </w:rPr>
              <w:br/>
            </w:r>
            <w:r w:rsidRPr="00CC1BAA">
              <w:rPr>
                <w:rFonts w:eastAsiaTheme="minorEastAsia" w:cs="Calibri"/>
                <w:iCs/>
                <w:color w:val="FFFFFF"/>
                <w:szCs w:val="16"/>
              </w:rPr>
              <w:t>estimate</w:t>
            </w:r>
          </w:p>
        </w:tc>
        <w:tc>
          <w:tcPr>
            <w:tcW w:w="82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w:t>
            </w:r>
            <w:r>
              <w:rPr>
                <w:rFonts w:eastAsiaTheme="minorEastAsia" w:cs="Calibri"/>
                <w:iCs/>
                <w:color w:val="FFFFFF"/>
                <w:szCs w:val="16"/>
              </w:rPr>
              <w:br/>
            </w:r>
            <w:r w:rsidRPr="00CC1BAA">
              <w:rPr>
                <w:rFonts w:eastAsiaTheme="minorEastAsia" w:cs="Calibri"/>
                <w:iCs/>
                <w:color w:val="FFFFFF"/>
                <w:szCs w:val="16"/>
              </w:rPr>
              <w:t>estimate</w:t>
            </w:r>
          </w:p>
        </w:tc>
        <w:tc>
          <w:tcPr>
            <w:tcW w:w="82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Assets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Financial assets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Cash and deposits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826</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892</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727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848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Advances paid</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5 712</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8 206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6 113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3 839</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2 059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Receivables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1 786</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1 794</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1 835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1 889</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1 912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loans and placements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819</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942</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820</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773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accounted for using equity method</w:t>
            </w:r>
          </w:p>
        </w:tc>
        <w:tc>
          <w:tcPr>
            <w:tcW w:w="822"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1 501</w:t>
            </w:r>
          </w:p>
        </w:tc>
        <w:tc>
          <w:tcPr>
            <w:tcW w:w="822"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1 501</w:t>
            </w:r>
          </w:p>
        </w:tc>
        <w:tc>
          <w:tcPr>
            <w:tcW w:w="821"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1 505</w:t>
            </w:r>
          </w:p>
        </w:tc>
        <w:tc>
          <w:tcPr>
            <w:tcW w:w="821"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1 510</w:t>
            </w:r>
          </w:p>
        </w:tc>
        <w:tc>
          <w:tcPr>
            <w:tcW w:w="821"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1 511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financial assets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10 644</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13 335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10 948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8 738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7 079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Non-financial assets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Inventories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684</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529</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1 024</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1 049</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1 282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Non-financial assets held for sale</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Land, buildings, infrastructure, plant and equipment</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117 880</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116 705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119 756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124 552</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126 693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non-financial assets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1 312</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1 397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1 376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1 347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1 323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non-financial assets</w:t>
            </w:r>
          </w:p>
        </w:tc>
        <w:tc>
          <w:tcPr>
            <w:tcW w:w="822"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119 882</w:t>
            </w:r>
          </w:p>
        </w:tc>
        <w:tc>
          <w:tcPr>
            <w:tcW w:w="822"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118 639</w:t>
            </w:r>
          </w:p>
        </w:tc>
        <w:tc>
          <w:tcPr>
            <w:tcW w:w="821"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122 160</w:t>
            </w:r>
          </w:p>
        </w:tc>
        <w:tc>
          <w:tcPr>
            <w:tcW w:w="821"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126 952</w:t>
            </w:r>
          </w:p>
        </w:tc>
        <w:tc>
          <w:tcPr>
            <w:tcW w:w="821"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129 303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assets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130 526</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131 974</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133 108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135 691</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136 383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Liabilities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Deposits held and advances received</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6 062</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8 533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6 450</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4 173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2 382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Payables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6 984</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10 507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10 222</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10 061</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9 899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Borrowings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16 494</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16 594</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17 525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17 856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18 407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Employee benefits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404</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390</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403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413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408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Superannuation</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65</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60</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60</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60</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provisions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7 920</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8 235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7 956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7 663</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7 401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liabilities</w:t>
            </w:r>
          </w:p>
        </w:tc>
        <w:tc>
          <w:tcPr>
            <w:tcW w:w="822"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37 929</w:t>
            </w:r>
          </w:p>
        </w:tc>
        <w:tc>
          <w:tcPr>
            <w:tcW w:w="822"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44 320</w:t>
            </w:r>
          </w:p>
        </w:tc>
        <w:tc>
          <w:tcPr>
            <w:tcW w:w="821"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42 616</w:t>
            </w:r>
          </w:p>
        </w:tc>
        <w:tc>
          <w:tcPr>
            <w:tcW w:w="821"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40 225</w:t>
            </w:r>
          </w:p>
        </w:tc>
        <w:tc>
          <w:tcPr>
            <w:tcW w:w="821"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38 557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assets</w:t>
            </w:r>
          </w:p>
        </w:tc>
        <w:tc>
          <w:tcPr>
            <w:tcW w:w="82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92 597</w:t>
            </w:r>
          </w:p>
        </w:tc>
        <w:tc>
          <w:tcPr>
            <w:tcW w:w="82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87 654</w:t>
            </w:r>
          </w:p>
        </w:tc>
        <w:tc>
          <w:tcPr>
            <w:tcW w:w="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90 492</w:t>
            </w:r>
          </w:p>
        </w:tc>
        <w:tc>
          <w:tcPr>
            <w:tcW w:w="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95 466</w:t>
            </w:r>
          </w:p>
        </w:tc>
        <w:tc>
          <w:tcPr>
            <w:tcW w:w="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97 826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Accumulated surplus/(deficit)</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3 164</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3 546</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2 735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2 247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Reserves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89 433</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84 108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87 758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93 219</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95 927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worth</w:t>
            </w:r>
          </w:p>
        </w:tc>
        <w:tc>
          <w:tcPr>
            <w:tcW w:w="82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92 597</w:t>
            </w:r>
          </w:p>
        </w:tc>
        <w:tc>
          <w:tcPr>
            <w:tcW w:w="82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87 654</w:t>
            </w:r>
          </w:p>
        </w:tc>
        <w:tc>
          <w:tcPr>
            <w:tcW w:w="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90 492</w:t>
            </w:r>
          </w:p>
        </w:tc>
        <w:tc>
          <w:tcPr>
            <w:tcW w:w="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95 466</w:t>
            </w:r>
          </w:p>
        </w:tc>
        <w:tc>
          <w:tcPr>
            <w:tcW w:w="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97 826</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FISCAL AGGREGATES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financial worth</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(27 285)</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(30 985)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(31 668)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(31 487)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(31 477)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financial liabilities</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27 285</w:t>
            </w:r>
          </w:p>
        </w:tc>
        <w:tc>
          <w:tcPr>
            <w:tcW w:w="82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30 985</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31 668</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31 487</w:t>
            </w:r>
          </w:p>
        </w:tc>
        <w:tc>
          <w:tcPr>
            <w:tcW w:w="82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31 477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debt</w:t>
            </w:r>
          </w:p>
        </w:tc>
        <w:tc>
          <w:tcPr>
            <w:tcW w:w="822"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15 199</w:t>
            </w:r>
          </w:p>
        </w:tc>
        <w:tc>
          <w:tcPr>
            <w:tcW w:w="822"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15 087</w:t>
            </w:r>
          </w:p>
        </w:tc>
        <w:tc>
          <w:tcPr>
            <w:tcW w:w="821"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16 366</w:t>
            </w:r>
          </w:p>
        </w:tc>
        <w:tc>
          <w:tcPr>
            <w:tcW w:w="821"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16 689</w:t>
            </w:r>
          </w:p>
        </w:tc>
        <w:tc>
          <w:tcPr>
            <w:tcW w:w="821"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17 131</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0E0979" w:rsidRDefault="00566E9A" w:rsidP="00AE5760">
      <w:pPr>
        <w:pStyle w:val="Notes"/>
        <w:rPr>
          <w:rFonts w:eastAsiaTheme="minorHAnsi"/>
        </w:rPr>
      </w:pPr>
      <w:r>
        <w:rPr>
          <w:rFonts w:eastAsiaTheme="minorHAnsi"/>
        </w:rPr>
        <w:t>(a)</w:t>
      </w:r>
      <w:r>
        <w:rPr>
          <w:rFonts w:eastAsiaTheme="minorHAnsi"/>
        </w:rPr>
        <w:tab/>
        <w:t>Balances represent actual opening balances at 1 July 2016 plus 2016-17 budgeted movements.</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5.3:</w:t>
      </w:r>
      <w:r>
        <w:rPr>
          <w:rFonts w:eastAsiaTheme="minorHAnsi"/>
        </w:rPr>
        <w:tab/>
        <w:t xml:space="preserve">Public non-financial corporations sector cash flow statement for the financial year ended 30 June </w:t>
      </w:r>
      <w:r w:rsidRPr="00BC38FD">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flows from operating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Receipts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3 315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3 403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3 427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3 370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3 271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Sales of goods and services </w:t>
            </w:r>
            <w:r w:rsidRPr="00CC1BAA">
              <w:rPr>
                <w:rFonts w:eastAsiaTheme="minorEastAsia" w:cs="Calibri"/>
                <w:color w:val="000000"/>
                <w:szCs w:val="16"/>
                <w:vertAlign w:val="superscript"/>
              </w:rPr>
              <w:t>(b)</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12 624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15 962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7 226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7 179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7 324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received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Dividends, income tax equivalent and </w:t>
            </w:r>
            <w:r>
              <w:rPr>
                <w:rFonts w:eastAsiaTheme="minorEastAsia" w:cs="Calibri"/>
                <w:color w:val="000000"/>
                <w:szCs w:val="16"/>
              </w:rPr>
              <w:br/>
              <w:t>rate equivalent receipts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receipts</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124</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195</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358</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250</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286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receipts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16 187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19 699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11 174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10 925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10 974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Payments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Payments for employees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(1 167)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(1 196)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(1 186)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(1 214)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(1 267)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Superannuation</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paid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(1 135)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(1 128)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(1 114)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(1 092)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Grants and subsidies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(273)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Goods and services </w:t>
            </w:r>
            <w:r w:rsidRPr="00CC1BAA">
              <w:rPr>
                <w:rFonts w:eastAsiaTheme="minorEastAsia" w:cs="Calibri"/>
                <w:color w:val="000000"/>
                <w:szCs w:val="16"/>
                <w:vertAlign w:val="superscript"/>
              </w:rPr>
              <w:t>(b)</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(4 138)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(4 433)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(4 647)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(4 227)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(4 113)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payments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(2 421)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(2 377)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(2 517)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(2 659)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(2 677)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payments</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(9 068)</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(9 513)</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(9 675)</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(9 395)</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(9 332)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cash flows from operating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7 119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10 186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1 499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1 530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1 642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flows from investing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Net cash flows from investments in </w:t>
            </w:r>
            <w:r>
              <w:rPr>
                <w:rFonts w:eastAsiaTheme="minorEastAsia" w:cs="Calibri"/>
                <w:color w:val="000000"/>
                <w:szCs w:val="16"/>
              </w:rPr>
              <w:br/>
              <w:t xml:space="preserve">non-financial assets </w:t>
            </w:r>
            <w:r w:rsidRPr="00CC1BAA">
              <w:rPr>
                <w:rFonts w:eastAsiaTheme="minorEastAsia" w:cs="Calibri"/>
                <w:color w:val="000000"/>
                <w:szCs w:val="16"/>
                <w:vertAlign w:val="superscript"/>
              </w:rPr>
              <w:t>(c)</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(1 829)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(2 192)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(2 522)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Net cash flows from investments in </w:t>
            </w:r>
            <w:r>
              <w:rPr>
                <w:rFonts w:eastAsiaTheme="minorEastAsia" w:cs="Calibri"/>
                <w:color w:val="000000"/>
                <w:szCs w:val="16"/>
              </w:rPr>
              <w:br/>
              <w:t>financial assets for policy purposes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(5 526)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(8 017)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2 139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2 338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1 862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cash flows from investment in financial assets for liquidity management purposes</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239</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90</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124</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50</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Net cash flows from investing activities </w:t>
            </w:r>
            <w:r w:rsidRPr="00CC1BAA">
              <w:rPr>
                <w:rFonts w:eastAsiaTheme="minorEastAsia" w:cs="Calibri"/>
                <w:b/>
                <w:bCs/>
                <w:color w:val="000000"/>
                <w:szCs w:val="16"/>
                <w:vertAlign w:val="superscript"/>
              </w:rPr>
              <w:t>(c)</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(7 115)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(10 119)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(259)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371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flows from financing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Advances received (net)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5 665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8 139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(2 084)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(2 277)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(1 789)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borrowings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852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931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331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551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Deposits received (net)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Other financing (net) </w:t>
            </w:r>
            <w:r w:rsidRPr="00CC1BAA">
              <w:rPr>
                <w:rFonts w:eastAsiaTheme="minorEastAsia" w:cs="Calibri"/>
                <w:color w:val="000000"/>
                <w:szCs w:val="16"/>
                <w:vertAlign w:val="superscript"/>
              </w:rPr>
              <w:t>(c)</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(6 362)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(8 966)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(303)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Net cash flows from financing activities </w:t>
            </w:r>
            <w:r w:rsidRPr="00CC1BAA">
              <w:rPr>
                <w:rFonts w:eastAsiaTheme="minorEastAsia" w:cs="Calibri"/>
                <w:b/>
                <w:bCs/>
                <w:color w:val="000000"/>
                <w:szCs w:val="16"/>
                <w:vertAlign w:val="superscript"/>
              </w:rPr>
              <w:t>(c)</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20</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23</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(1 455)</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(1 851)</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(1 293)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Net increase/(decrease) in cash and </w:t>
            </w:r>
            <w:r>
              <w:rPr>
                <w:rFonts w:eastAsiaTheme="minorEastAsia" w:cs="Calibri"/>
                <w:b/>
                <w:bCs/>
                <w:color w:val="000000"/>
                <w:szCs w:val="16"/>
              </w:rPr>
              <w:br/>
              <w:t>cash equivalents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(215)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121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Cash and cash equivalents at </w:t>
            </w:r>
            <w:r>
              <w:rPr>
                <w:rFonts w:eastAsiaTheme="minorEastAsia" w:cs="Calibri"/>
                <w:color w:val="000000"/>
                <w:szCs w:val="16"/>
              </w:rPr>
              <w:br/>
              <w:t xml:space="preserve">beginning of reporting period </w:t>
            </w:r>
            <w:r w:rsidRPr="00CC1BAA">
              <w:rPr>
                <w:rFonts w:eastAsiaTheme="minorEastAsia" w:cs="Calibri"/>
                <w:color w:val="000000"/>
                <w:szCs w:val="16"/>
                <w:vertAlign w:val="superscript"/>
              </w:rPr>
              <w:t>(d)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802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802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892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727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Pr>
                <w:rFonts w:eastAsiaTheme="minorEastAsia" w:cs="Calibri"/>
                <w:b/>
                <w:bCs/>
                <w:color w:val="000000"/>
                <w:szCs w:val="16"/>
              </w:rPr>
              <w:t xml:space="preserve">Cash and cash equivalents at end of </w:t>
            </w:r>
            <w:r>
              <w:rPr>
                <w:rFonts w:eastAsiaTheme="minorEastAsia" w:cs="Calibri"/>
                <w:b/>
                <w:bCs/>
                <w:color w:val="000000"/>
                <w:szCs w:val="16"/>
              </w:rPr>
              <w:br/>
              <w:t xml:space="preserve">reporting period </w:t>
            </w:r>
            <w:r w:rsidRPr="00CC1BAA">
              <w:rPr>
                <w:rFonts w:eastAsiaTheme="minorEastAsia" w:cs="Calibri"/>
                <w:b/>
                <w:bCs/>
                <w:color w:val="000000"/>
                <w:szCs w:val="16"/>
                <w:vertAlign w:val="superscript"/>
              </w:rPr>
              <w:t>(d)</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826</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892</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676</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727</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848</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bl>
    <w:p w:rsidR="00566E9A" w:rsidRDefault="00566E9A" w:rsidP="00AE5760">
      <w:pPr>
        <w:pStyle w:val="Tableheadingcontinued"/>
        <w:pageBreakBefore/>
        <w:spacing w:before="0"/>
        <w:rPr>
          <w:rFonts w:eastAsiaTheme="minorHAnsi"/>
        </w:rPr>
      </w:pPr>
      <w:r>
        <w:rPr>
          <w:rFonts w:eastAsiaTheme="minorHAnsi"/>
        </w:rPr>
        <w:lastRenderedPageBreak/>
        <w:t>Table 5.3:</w:t>
      </w:r>
      <w:r>
        <w:rPr>
          <w:rFonts w:eastAsiaTheme="minorHAnsi"/>
        </w:rPr>
        <w:tab/>
        <w:t>Public non-financial corporations sector cash flow statement for the financial year ended 30 Jun</w:t>
      </w:r>
      <w:r w:rsidRPr="00CC1BAA">
        <w:rPr>
          <w:rFonts w:eastAsiaTheme="minorHAnsi"/>
          <w:i/>
        </w:rPr>
        <w:t>e (continued)</w:t>
      </w:r>
    </w:p>
    <w:p w:rsidR="00566E9A" w:rsidRDefault="00566E9A" w:rsidP="00AE5760">
      <w:pPr>
        <w:pStyle w:val="million"/>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FISCAL AGGREGATES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cash flows from operating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7 119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10 186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1 499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1 530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1 642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Dividends paid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(250)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(372)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Net cash flows from investments in </w:t>
            </w:r>
            <w:r>
              <w:rPr>
                <w:rFonts w:eastAsiaTheme="minorEastAsia" w:cs="Calibri"/>
                <w:color w:val="000000"/>
                <w:szCs w:val="16"/>
              </w:rPr>
              <w:br/>
              <w:t xml:space="preserve">non-financial assets </w:t>
            </w:r>
            <w:r w:rsidRPr="00CC1BAA">
              <w:rPr>
                <w:rFonts w:eastAsiaTheme="minorEastAsia" w:cs="Calibri"/>
                <w:color w:val="000000"/>
                <w:szCs w:val="16"/>
                <w:vertAlign w:val="superscript"/>
              </w:rPr>
              <w:t>(c)</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(1 829)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(2 192)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(2 522)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(2 099)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Cash surplus/(deficit) </w:t>
            </w:r>
            <w:r w:rsidRPr="00CC1BAA">
              <w:rPr>
                <w:rFonts w:eastAsiaTheme="minorEastAsia" w:cs="Calibri"/>
                <w:b/>
                <w:bCs/>
                <w:color w:val="000000"/>
                <w:szCs w:val="16"/>
                <w:vertAlign w:val="superscript"/>
              </w:rPr>
              <w:t>(c)</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5 041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7 803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(1 395)</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(676)</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(603)</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424467" w:rsidRDefault="00566E9A" w:rsidP="00AE5760">
      <w:pPr>
        <w:pStyle w:val="Notes"/>
        <w:rPr>
          <w:rFonts w:eastAsiaTheme="minorHAnsi"/>
        </w:rPr>
      </w:pPr>
      <w:r>
        <w:rPr>
          <w:rFonts w:eastAsiaTheme="minorHAnsi"/>
        </w:rPr>
        <w:t>(b)</w:t>
      </w:r>
      <w:r>
        <w:rPr>
          <w:rFonts w:eastAsiaTheme="minorHAnsi"/>
        </w:rPr>
        <w:tab/>
      </w:r>
      <w:r w:rsidRPr="00424467">
        <w:rPr>
          <w:rFonts w:eastAsiaTheme="minorHAnsi"/>
        </w:rPr>
        <w:t>Inclusive of goods and services tax.</w:t>
      </w:r>
    </w:p>
    <w:p w:rsidR="00566E9A" w:rsidRDefault="00566E9A" w:rsidP="00AE5760">
      <w:pPr>
        <w:pStyle w:val="Notes"/>
        <w:rPr>
          <w:rFonts w:eastAsiaTheme="minorHAnsi"/>
        </w:rPr>
      </w:pPr>
      <w:r>
        <w:rPr>
          <w:rFonts w:eastAsiaTheme="minorHAnsi"/>
        </w:rPr>
        <w:t>(c)</w:t>
      </w:r>
      <w:r>
        <w:rPr>
          <w:rFonts w:eastAsiaTheme="minorHAnsi"/>
        </w:rPr>
        <w:tab/>
      </w:r>
      <w:r w:rsidRPr="00424467">
        <w:rPr>
          <w:rFonts w:eastAsiaTheme="minorHAnsi"/>
          <w:i w:val="0"/>
        </w:rPr>
        <w:t>2016-17 Budget</w:t>
      </w:r>
      <w:r w:rsidRPr="00424467">
        <w:rPr>
          <w:rFonts w:eastAsiaTheme="minorHAnsi"/>
        </w:rPr>
        <w:t xml:space="preserve"> figures have been restated to </w:t>
      </w:r>
      <w:r>
        <w:rPr>
          <w:rFonts w:eastAsiaTheme="minorHAnsi"/>
        </w:rPr>
        <w:t>reflect more current information.</w:t>
      </w:r>
    </w:p>
    <w:p w:rsidR="00566E9A" w:rsidRPr="00424467" w:rsidRDefault="00566E9A" w:rsidP="00AE5760">
      <w:pPr>
        <w:pStyle w:val="Notes"/>
        <w:rPr>
          <w:rFonts w:eastAsiaTheme="minorHAnsi"/>
        </w:rPr>
      </w:pPr>
      <w:r>
        <w:rPr>
          <w:rFonts w:eastAsiaTheme="minorHAnsi"/>
        </w:rPr>
        <w:t>(d)</w:t>
      </w:r>
      <w:r>
        <w:rPr>
          <w:rFonts w:eastAsiaTheme="minorHAnsi"/>
        </w:rPr>
        <w:tab/>
      </w:r>
      <w:r w:rsidRPr="004F5710">
        <w:rPr>
          <w:rFonts w:eastAsiaTheme="minorHAnsi"/>
          <w:i w:val="0"/>
        </w:rPr>
        <w:t>2016-17 Budget</w:t>
      </w:r>
      <w:r>
        <w:rPr>
          <w:rFonts w:eastAsiaTheme="minorHAnsi"/>
        </w:rPr>
        <w:t xml:space="preserve"> figures have been restated to represent actual opening balances at 1 July 2016.</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5.4:</w:t>
      </w:r>
      <w:r>
        <w:rPr>
          <w:rFonts w:eastAsiaTheme="minorHAnsi"/>
        </w:rPr>
        <w:tab/>
        <w:t>Public non-financial corporations sector statement of changes in equity</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819"/>
        <w:gridCol w:w="1417"/>
        <w:gridCol w:w="1531"/>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000000" w:fill="auto"/>
          </w:tcPr>
          <w:p w:rsidR="00566E9A" w:rsidRPr="00CC1BAA" w:rsidRDefault="00566E9A"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1417"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Accumulated surplus/(deficit)</w:t>
            </w:r>
          </w:p>
        </w:tc>
        <w:tc>
          <w:tcPr>
            <w:tcW w:w="153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Pr>
                <w:rFonts w:eastAsiaTheme="minorEastAsia" w:cs="Calibri"/>
                <w:iCs/>
                <w:color w:val="FFFFFF"/>
                <w:szCs w:val="21"/>
              </w:rPr>
              <w:t xml:space="preserve">Contribution </w:t>
            </w:r>
            <w:r>
              <w:rPr>
                <w:rFonts w:eastAsiaTheme="minorEastAsia" w:cs="Calibri"/>
                <w:iCs/>
                <w:color w:val="FFFFFF"/>
                <w:szCs w:val="21"/>
              </w:rPr>
              <w:br/>
              <w:t>by owners</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vertAlign w:val="superscript"/>
              </w:rPr>
            </w:pPr>
            <w:r w:rsidRPr="00CC1BAA">
              <w:rPr>
                <w:rFonts w:eastAsiaTheme="minorEastAsia" w:cs="Calibri"/>
                <w:b/>
                <w:bCs/>
                <w:color w:val="000000"/>
                <w:szCs w:val="21"/>
              </w:rPr>
              <w:t xml:space="preserve">2016-17 budget </w:t>
            </w:r>
            <w:r w:rsidRPr="00CC1BAA">
              <w:rPr>
                <w:rFonts w:eastAsiaTheme="minorEastAsia" w:cs="Calibri"/>
                <w:b/>
                <w:bCs/>
                <w:color w:val="000000"/>
                <w:szCs w:val="21"/>
                <w:vertAlign w:val="superscript"/>
              </w:rPr>
              <w:t>(a)</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4 397</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52 166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(683)</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88</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(250)</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(387)</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4 481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(2 191)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4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3 164</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54 456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2016-17 revised</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4 397</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52 166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(473)</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(63)</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(189)</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(125)</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8 465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(4 440)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4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3 546</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56 191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2017-18 estimate</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2017</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3 546</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56 191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(402)</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(37)</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(372)</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3 629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2018</w:t>
            </w:r>
          </w:p>
        </w:tc>
        <w:tc>
          <w:tcPr>
            <w:tcW w:w="14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2 735</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59 820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2018-19 estimate</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2018</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2 735</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59 820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(279)</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(21)</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(188)</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4 003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2019</w:t>
            </w:r>
          </w:p>
        </w:tc>
        <w:tc>
          <w:tcPr>
            <w:tcW w:w="14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2 247</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63 824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2019-20 estimate</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2019</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2 247</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63 824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(171)</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(31)</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(146)</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4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2 683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2020</w:t>
            </w:r>
          </w:p>
        </w:tc>
        <w:tc>
          <w:tcPr>
            <w:tcW w:w="14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1 900</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66 507</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t>Balances represent actual opening balances at 1 July 2016 plus 2016-17 budgeted movements.</w:t>
      </w:r>
    </w:p>
    <w:p w:rsidR="00566E9A" w:rsidRDefault="00566E9A" w:rsidP="00AE5760">
      <w:pPr>
        <w:pStyle w:val="Tableheading"/>
        <w:rPr>
          <w:rFonts w:eastAsiaTheme="minorHAnsi"/>
        </w:rPr>
      </w:pPr>
    </w:p>
    <w:p w:rsidR="00566E9A" w:rsidRPr="00CC1BAA" w:rsidRDefault="00566E9A" w:rsidP="00AE5760">
      <w:pPr>
        <w:pStyle w:val="million"/>
        <w:rPr>
          <w:rFonts w:eastAsiaTheme="minorHAnsi"/>
          <w:b/>
          <w:bCs/>
          <w:lang w:val="en-US"/>
        </w:rPr>
      </w:pPr>
    </w:p>
    <w:tbl>
      <w:tblPr>
        <w:tblStyle w:val="DTFFinancial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jc w:val="right"/>
              <w:rPr>
                <w:rFonts w:eastAsiaTheme="minorEastAsia" w:cs="Calibri"/>
                <w:iCs/>
                <w:color w:val="FFFFFF"/>
                <w:szCs w:val="21"/>
              </w:rPr>
            </w:pPr>
            <w:r>
              <w:rPr>
                <w:rFonts w:eastAsiaTheme="minorEastAsia" w:cs="Calibri"/>
                <w:iCs/>
                <w:color w:val="FFFFFF"/>
                <w:szCs w:val="21"/>
              </w:rPr>
              <w:t xml:space="preserve">Non-financial assets </w:t>
            </w:r>
            <w:r>
              <w:rPr>
                <w:rFonts w:eastAsiaTheme="minorEastAsia" w:cs="Calibri"/>
                <w:iCs/>
                <w:color w:val="FFFFFF"/>
                <w:szCs w:val="21"/>
              </w:rPr>
              <w:br/>
              <w:t>revaluation surplus</w:t>
            </w:r>
          </w:p>
        </w:tc>
        <w:tc>
          <w:tcPr>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 xml:space="preserve">Other </w:t>
            </w:r>
            <w:r>
              <w:rPr>
                <w:rFonts w:eastAsiaTheme="minorEastAsia" w:cs="Calibri"/>
                <w:iCs/>
                <w:color w:val="FFFFFF"/>
                <w:szCs w:val="21"/>
              </w:rPr>
              <w:br/>
            </w:r>
            <w:r w:rsidRPr="00CC1BAA">
              <w:rPr>
                <w:rFonts w:eastAsiaTheme="minorEastAsia" w:cs="Calibri"/>
                <w:iCs/>
                <w:color w:val="FFFFFF"/>
                <w:szCs w:val="21"/>
              </w:rPr>
              <w:t>reserves</w:t>
            </w:r>
          </w:p>
        </w:tc>
        <w:tc>
          <w:tcPr>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Total</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35 219</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451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92 233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3 367</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3 489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(4 094)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(2 191)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34 492</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485</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92 597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35 219</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451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92 233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(473)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522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65</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523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(8 340)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(4 440)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27 401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516</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87 654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27 401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516</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87 654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(402)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19</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(372)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3 629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27 403</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534</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90 492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27 403</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534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90 492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(279)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1 438</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19</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1 437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(188)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4 003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28 841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554</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95 466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28 841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554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95 466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(171)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25</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(146)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2 683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28 841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579</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97 826</w:t>
            </w:r>
          </w:p>
        </w:tc>
      </w:tr>
    </w:tbl>
    <w:p w:rsidR="00566E9A" w:rsidRDefault="00566E9A" w:rsidP="00AE5760">
      <w:pPr>
        <w:pStyle w:val="Tableheading"/>
        <w:rPr>
          <w:rFonts w:eastAsiaTheme="minorHAnsi"/>
        </w:rPr>
      </w:pPr>
      <w:r>
        <w:rPr>
          <w:rFonts w:eastAsiaTheme="minorHAnsi"/>
        </w:rPr>
        <w:lastRenderedPageBreak/>
        <w:t>Table 5.5:</w:t>
      </w:r>
      <w:r>
        <w:rPr>
          <w:rFonts w:eastAsiaTheme="minorHAnsi"/>
        </w:rPr>
        <w:tab/>
        <w:t>Derivation of public non-financial corporations sector GFS cash surplus/(deficit)</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724"/>
        <w:gridCol w:w="808"/>
        <w:gridCol w:w="808"/>
        <w:gridCol w:w="808"/>
        <w:gridCol w:w="808"/>
        <w:gridCol w:w="809"/>
      </w:tblGrid>
      <w:tr w:rsidR="00AE5760" w:rsidRPr="00CC1BAA" w:rsidTr="00162E92">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24"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0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0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0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0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09"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Cash surplus/(deficit) </w:t>
            </w:r>
            <w:r w:rsidRPr="00CC1BAA">
              <w:rPr>
                <w:rFonts w:eastAsiaTheme="minorEastAsia" w:cs="Calibri"/>
                <w:b/>
                <w:bCs/>
                <w:color w:val="000000"/>
                <w:szCs w:val="16"/>
                <w:vertAlign w:val="superscript"/>
              </w:rPr>
              <w:t>(a)</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5 041</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7 803</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(1 395)</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(676)</w:t>
            </w:r>
          </w:p>
        </w:tc>
        <w:tc>
          <w:tcPr>
            <w:tcW w:w="80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(603)</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Convergence differences:</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0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724"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Acquisitions under finance leases and </w:t>
            </w:r>
            <w:r>
              <w:rPr>
                <w:rFonts w:eastAsiaTheme="minorEastAsia" w:cs="Calibri"/>
                <w:color w:val="000000"/>
                <w:szCs w:val="16"/>
              </w:rPr>
              <w:br/>
              <w:t>similar arrangements</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0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0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724"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GFS cash surplus/(deficit) </w:t>
            </w:r>
            <w:r w:rsidRPr="00CC1BAA">
              <w:rPr>
                <w:rFonts w:eastAsiaTheme="minorEastAsia" w:cs="Calibri"/>
                <w:b/>
                <w:bCs/>
                <w:color w:val="000000"/>
                <w:szCs w:val="16"/>
                <w:vertAlign w:val="superscript"/>
              </w:rPr>
              <w:t>(a)(b)</w:t>
            </w:r>
          </w:p>
        </w:tc>
        <w:tc>
          <w:tcPr>
            <w:tcW w:w="80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5 041</w:t>
            </w:r>
          </w:p>
        </w:tc>
        <w:tc>
          <w:tcPr>
            <w:tcW w:w="80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7 803</w:t>
            </w:r>
          </w:p>
        </w:tc>
        <w:tc>
          <w:tcPr>
            <w:tcW w:w="80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(1 395)</w:t>
            </w:r>
          </w:p>
        </w:tc>
        <w:tc>
          <w:tcPr>
            <w:tcW w:w="80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(676)</w:t>
            </w:r>
          </w:p>
        </w:tc>
        <w:tc>
          <w:tcPr>
            <w:tcW w:w="80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(603)</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6509A7" w:rsidRDefault="00566E9A" w:rsidP="00AE5760">
      <w:pPr>
        <w:pStyle w:val="Notes"/>
        <w:rPr>
          <w:rFonts w:eastAsiaTheme="minorHAnsi"/>
        </w:rPr>
      </w:pPr>
      <w:r>
        <w:rPr>
          <w:rFonts w:eastAsiaTheme="minorHAnsi"/>
        </w:rPr>
        <w:t>(a)</w:t>
      </w:r>
      <w:r>
        <w:rPr>
          <w:rFonts w:eastAsiaTheme="minorHAnsi"/>
        </w:rPr>
        <w:tab/>
      </w:r>
      <w:r w:rsidRPr="006509A7">
        <w:rPr>
          <w:rFonts w:eastAsiaTheme="minorHAnsi"/>
          <w:i w:val="0"/>
        </w:rPr>
        <w:t>2016-17 Budget</w:t>
      </w:r>
      <w:r>
        <w:rPr>
          <w:rFonts w:eastAsiaTheme="minorHAnsi"/>
        </w:rPr>
        <w:t xml:space="preserve"> figures have been restated to reflect more current information.</w:t>
      </w:r>
    </w:p>
    <w:p w:rsidR="00566E9A" w:rsidRPr="00F24174" w:rsidRDefault="00566E9A" w:rsidP="00AE5760">
      <w:pPr>
        <w:pStyle w:val="Notes"/>
        <w:rPr>
          <w:rFonts w:eastAsiaTheme="minorHAnsi"/>
        </w:rPr>
      </w:pPr>
      <w:r>
        <w:rPr>
          <w:rFonts w:eastAsiaTheme="minorHAnsi"/>
        </w:rPr>
        <w:t>(b)</w:t>
      </w:r>
      <w:r>
        <w:rPr>
          <w:rFonts w:eastAsiaTheme="minorHAnsi"/>
        </w:rPr>
        <w:tab/>
        <w:t>Determined in accordance with the ABS GFS manual.</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Tableheading"/>
        <w:rPr>
          <w:rFonts w:eastAsiaTheme="minorHAnsi"/>
        </w:rPr>
      </w:pPr>
      <w:r>
        <w:rPr>
          <w:rFonts w:eastAsiaTheme="minorHAnsi"/>
        </w:rPr>
        <w:t>Table 5.6:</w:t>
      </w:r>
      <w:r>
        <w:rPr>
          <w:rFonts w:eastAsiaTheme="minorHAnsi"/>
        </w:rPr>
        <w:tab/>
        <w:t xml:space="preserve">Net acquisition of non-financial assets – public non-financial corporations sector </w:t>
      </w:r>
      <w:r w:rsidRPr="00252048">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80" w:type="dxa"/>
        <w:tblInd w:w="45" w:type="dxa"/>
        <w:tblLayout w:type="fixed"/>
        <w:tblCellMar>
          <w:left w:w="45" w:type="dxa"/>
          <w:right w:w="45" w:type="dxa"/>
        </w:tblCellMar>
        <w:tblLook w:val="06A0" w:firstRow="1" w:lastRow="0" w:firstColumn="1" w:lastColumn="0" w:noHBand="1" w:noVBand="1"/>
      </w:tblPr>
      <w:tblGrid>
        <w:gridCol w:w="3725"/>
        <w:gridCol w:w="811"/>
        <w:gridCol w:w="811"/>
        <w:gridCol w:w="811"/>
        <w:gridCol w:w="811"/>
        <w:gridCol w:w="811"/>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72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1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1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1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1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11"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Purchases of non-financial assets less sales of non-financial assets (including change in inventories) </w:t>
            </w:r>
            <w:r w:rsidRPr="00CC1BAA">
              <w:rPr>
                <w:rFonts w:eastAsiaTheme="minorEastAsia" w:cs="Calibri"/>
                <w:color w:val="000000"/>
                <w:szCs w:val="16"/>
                <w:vertAlign w:val="superscript"/>
              </w:rPr>
              <w:t>(b)</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1 829</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2 193</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2 522</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2 018</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2 099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Less: Depreciation</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(2 244)</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(2 241)</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(2 316)</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(2 389)</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(2 447)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Plus: Other movements in non-financial assets </w:t>
            </w:r>
            <w:r w:rsidRPr="00CC1BAA">
              <w:rPr>
                <w:rFonts w:eastAsiaTheme="minorEastAsia" w:cs="Calibri"/>
                <w:color w:val="000000"/>
                <w:szCs w:val="16"/>
                <w:vertAlign w:val="superscript"/>
              </w:rPr>
              <w:t>(c)</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3 632</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4 098</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3 562</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3 711</w:t>
            </w:r>
          </w:p>
        </w:tc>
        <w:tc>
          <w:tcPr>
            <w:tcW w:w="81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2 678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72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Total net acquisition of non-financial assets </w:t>
            </w:r>
            <w:r w:rsidRPr="00CC1BAA">
              <w:rPr>
                <w:rFonts w:eastAsiaTheme="minorEastAsia" w:cs="Calibri"/>
                <w:b/>
                <w:bCs/>
                <w:color w:val="000000"/>
                <w:szCs w:val="16"/>
                <w:vertAlign w:val="superscript"/>
              </w:rPr>
              <w:t>(b)</w:t>
            </w:r>
          </w:p>
        </w:tc>
        <w:tc>
          <w:tcPr>
            <w:tcW w:w="81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3 217</w:t>
            </w:r>
          </w:p>
        </w:tc>
        <w:tc>
          <w:tcPr>
            <w:tcW w:w="81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4 050</w:t>
            </w:r>
          </w:p>
        </w:tc>
        <w:tc>
          <w:tcPr>
            <w:tcW w:w="81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3 768</w:t>
            </w:r>
          </w:p>
        </w:tc>
        <w:tc>
          <w:tcPr>
            <w:tcW w:w="81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3 340</w:t>
            </w:r>
          </w:p>
        </w:tc>
        <w:tc>
          <w:tcPr>
            <w:tcW w:w="81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2 330</w:t>
            </w:r>
          </w:p>
        </w:tc>
      </w:tr>
    </w:tbl>
    <w:p w:rsidR="00566E9A" w:rsidRPr="006151DE" w:rsidRDefault="00566E9A" w:rsidP="00AE5760">
      <w:pPr>
        <w:pStyle w:val="Source"/>
        <w:rPr>
          <w:rFonts w:eastAsiaTheme="minorHAnsi"/>
        </w:rPr>
      </w:pPr>
      <w:r w:rsidRPr="006151DE">
        <w:rPr>
          <w:rFonts w:eastAsiaTheme="minorHAnsi"/>
        </w:rPr>
        <w:t>Source: Department of Treasury and Finance</w:t>
      </w:r>
    </w:p>
    <w:p w:rsidR="00566E9A" w:rsidRPr="006151DE" w:rsidRDefault="00566E9A" w:rsidP="00AE5760">
      <w:pPr>
        <w:pStyle w:val="Notes"/>
        <w:rPr>
          <w:rFonts w:eastAsiaTheme="minorHAnsi"/>
        </w:rPr>
      </w:pPr>
      <w:r w:rsidRPr="006151DE">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6151DE" w:rsidRDefault="00566E9A" w:rsidP="00AE5760">
      <w:pPr>
        <w:pStyle w:val="Notes"/>
        <w:rPr>
          <w:rFonts w:eastAsiaTheme="minorHAnsi"/>
        </w:rPr>
      </w:pPr>
      <w:r w:rsidRPr="006151DE">
        <w:rPr>
          <w:rFonts w:eastAsiaTheme="minorHAnsi"/>
        </w:rPr>
        <w:t>(b)</w:t>
      </w:r>
      <w:r w:rsidRPr="006151DE">
        <w:rPr>
          <w:rFonts w:eastAsiaTheme="minorHAnsi"/>
        </w:rPr>
        <w:tab/>
      </w:r>
      <w:r w:rsidRPr="006151DE">
        <w:rPr>
          <w:rFonts w:eastAsiaTheme="minorHAnsi"/>
          <w:i w:val="0"/>
        </w:rPr>
        <w:t>2016-17 Budget</w:t>
      </w:r>
      <w:r w:rsidRPr="006151DE">
        <w:rPr>
          <w:rFonts w:eastAsiaTheme="minorHAnsi"/>
        </w:rPr>
        <w:t xml:space="preserve"> figures have been restated to reflect more current information.</w:t>
      </w:r>
    </w:p>
    <w:p w:rsidR="00566E9A" w:rsidRPr="00424467" w:rsidRDefault="00566E9A" w:rsidP="00AE5760">
      <w:pPr>
        <w:pStyle w:val="Notes"/>
        <w:rPr>
          <w:rFonts w:eastAsiaTheme="minorHAnsi"/>
        </w:rPr>
      </w:pPr>
      <w:r>
        <w:rPr>
          <w:rFonts w:eastAsiaTheme="minorHAnsi"/>
        </w:rPr>
        <w:t>(c)</w:t>
      </w:r>
      <w:r>
        <w:rPr>
          <w:rFonts w:eastAsiaTheme="minorHAnsi"/>
        </w:rPr>
        <w:tab/>
      </w:r>
      <w:r w:rsidRPr="00424467">
        <w:rPr>
          <w:rFonts w:eastAsiaTheme="minorHAnsi"/>
        </w:rPr>
        <w:t>The other movements in non-financial assets primarily relates to fixed asset transfers from the general government sector to the public non-financial corporations sector.</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spacing w:after="60"/>
        <w:rPr>
          <w:rFonts w:eastAsiaTheme="minorHAnsi"/>
        </w:rPr>
      </w:pPr>
      <w:r>
        <w:rPr>
          <w:rFonts w:eastAsiaTheme="minorHAnsi"/>
        </w:rPr>
        <w:lastRenderedPageBreak/>
        <w:t>Table 5.7:</w:t>
      </w:r>
      <w:r>
        <w:rPr>
          <w:rFonts w:eastAsiaTheme="minorHAnsi"/>
        </w:rPr>
        <w:tab/>
        <w:t xml:space="preserve">Non-financial public sector comprehensive operating statement for the financial year ended 30 June </w:t>
      </w:r>
      <w:r w:rsidRPr="00617D46">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1" w:type="dxa"/>
        <w:tblInd w:w="45" w:type="dxa"/>
        <w:tblLayout w:type="fixed"/>
        <w:tblCellMar>
          <w:left w:w="45" w:type="dxa"/>
          <w:right w:w="45" w:type="dxa"/>
        </w:tblCellMar>
        <w:tblLook w:val="06A0" w:firstRow="1" w:lastRow="0" w:firstColumn="1" w:lastColumn="0" w:noHBand="1" w:noVBand="1"/>
      </w:tblPr>
      <w:tblGrid>
        <w:gridCol w:w="3821"/>
        <w:gridCol w:w="788"/>
        <w:gridCol w:w="788"/>
        <w:gridCol w:w="788"/>
        <w:gridCol w:w="788"/>
        <w:gridCol w:w="788"/>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3821" w:type="dxa"/>
            <w:tcBorders>
              <w:top w:val="nil"/>
              <w:left w:val="nil"/>
              <w:right w:val="nil"/>
            </w:tcBorders>
            <w:shd w:val="solid" w:color="000000" w:fill="auto"/>
          </w:tcPr>
          <w:p w:rsidR="00AE5760" w:rsidRPr="00CC1BAA" w:rsidRDefault="00AE5760" w:rsidP="00AE5760">
            <w:pPr>
              <w:autoSpaceDE w:val="0"/>
              <w:autoSpaceDN w:val="0"/>
              <w:adjustRightInd w:val="0"/>
              <w:spacing w:after="0"/>
              <w:rPr>
                <w:rFonts w:eastAsiaTheme="minorEastAsia" w:cs="Calibri"/>
                <w:iCs/>
                <w:color w:val="FFFFFF"/>
              </w:rPr>
            </w:pPr>
            <w:r w:rsidRPr="00CC1BAA">
              <w:rPr>
                <w:rFonts w:eastAsiaTheme="minorEastAsia" w:cs="Calibri"/>
                <w:iCs/>
                <w:color w:val="FFFFFF"/>
              </w:rPr>
              <w:t xml:space="preserve">  </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budget</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revised</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2017-18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2018-19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2019-20 </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Revenue from transactions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Taxation revenue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21 215</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21 269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21 133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22 252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23 119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Interest revenue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364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355</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347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Pr>
                <w:rFonts w:eastAsiaTheme="minorEastAsia" w:cs="Calibri"/>
                <w:color w:val="000000"/>
                <w:szCs w:val="16"/>
              </w:rPr>
              <w:t xml:space="preserve">Dividends, income tax equivalent and </w:t>
            </w:r>
            <w:r>
              <w:rPr>
                <w:rFonts w:eastAsiaTheme="minorEastAsia" w:cs="Calibri"/>
                <w:color w:val="000000"/>
                <w:szCs w:val="16"/>
              </w:rPr>
              <w:br/>
              <w:t>rate equivalent revenue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356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433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313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475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Sales of goods and services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10 862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10 906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11 244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11 597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11 769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Grant revenue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27 418</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27 617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28 757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30 621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31 313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single" w:sz="6" w:space="0" w:color="000000"/>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Other revenue</w:t>
            </w:r>
          </w:p>
        </w:tc>
        <w:tc>
          <w:tcPr>
            <w:tcW w:w="788" w:type="dxa"/>
            <w:tcBorders>
              <w:top w:val="nil"/>
              <w:left w:val="nil"/>
              <w:bottom w:val="single" w:sz="6"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3 049</w:t>
            </w:r>
          </w:p>
        </w:tc>
        <w:tc>
          <w:tcPr>
            <w:tcW w:w="788" w:type="dxa"/>
            <w:tcBorders>
              <w:top w:val="nil"/>
              <w:left w:val="nil"/>
              <w:bottom w:val="single" w:sz="6"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3 129</w:t>
            </w:r>
          </w:p>
        </w:tc>
        <w:tc>
          <w:tcPr>
            <w:tcW w:w="788" w:type="dxa"/>
            <w:tcBorders>
              <w:top w:val="nil"/>
              <w:left w:val="nil"/>
              <w:bottom w:val="single" w:sz="6"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2 804</w:t>
            </w:r>
          </w:p>
        </w:tc>
        <w:tc>
          <w:tcPr>
            <w:tcW w:w="788" w:type="dxa"/>
            <w:tcBorders>
              <w:top w:val="nil"/>
              <w:left w:val="nil"/>
              <w:bottom w:val="single" w:sz="6"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2 784</w:t>
            </w:r>
          </w:p>
        </w:tc>
        <w:tc>
          <w:tcPr>
            <w:tcW w:w="788" w:type="dxa"/>
            <w:tcBorders>
              <w:top w:val="nil"/>
              <w:left w:val="nil"/>
              <w:bottom w:val="single" w:sz="6"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2 817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Total revenue from transactions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63 507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63 640</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64 726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67 912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69 840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Expenses from transactions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Employee expenses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22 401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22 680</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23 537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24 780</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25 490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Net superannuation interest expense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692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647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Other superannuation</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2 338</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2 433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2 453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2 502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2 563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Depreciation</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4 863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4 874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5 107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5 436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5 669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Interest expense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2 926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2 617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2 582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2 645</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2 626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Grant expense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6 509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7 480</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7 189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7 879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7 867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Other operating expenses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21 805</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22 094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22 827</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23 034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23 016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Total expenses from transactions</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61 634</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62 869</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64 342</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66 900</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67 830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Pr>
                <w:rFonts w:eastAsiaTheme="minorEastAsia" w:cs="Calibri"/>
                <w:b/>
                <w:bCs/>
                <w:color w:val="000000"/>
                <w:szCs w:val="16"/>
              </w:rPr>
              <w:t xml:space="preserve">Net result from transactions – </w:t>
            </w:r>
            <w:r>
              <w:rPr>
                <w:rFonts w:eastAsiaTheme="minorEastAsia" w:cs="Calibri"/>
                <w:b/>
                <w:bCs/>
                <w:color w:val="000000"/>
                <w:szCs w:val="16"/>
              </w:rPr>
              <w:br/>
              <w:t>net operating balance</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1 873</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771</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384</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1 012</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2 010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12" w:space="0" w:color="000000"/>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Total other economic flows included in net result</w:t>
            </w:r>
          </w:p>
        </w:tc>
        <w:tc>
          <w:tcPr>
            <w:tcW w:w="788" w:type="dxa"/>
            <w:tcBorders>
              <w:top w:val="single" w:sz="12"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(429)</w:t>
            </w:r>
          </w:p>
        </w:tc>
        <w:tc>
          <w:tcPr>
            <w:tcW w:w="788" w:type="dxa"/>
            <w:tcBorders>
              <w:top w:val="single" w:sz="12"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(202)</w:t>
            </w:r>
          </w:p>
        </w:tc>
        <w:tc>
          <w:tcPr>
            <w:tcW w:w="788" w:type="dxa"/>
            <w:tcBorders>
              <w:top w:val="single" w:sz="12"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(155)</w:t>
            </w:r>
          </w:p>
        </w:tc>
        <w:tc>
          <w:tcPr>
            <w:tcW w:w="788" w:type="dxa"/>
            <w:tcBorders>
              <w:top w:val="single" w:sz="12"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(191)</w:t>
            </w:r>
          </w:p>
        </w:tc>
        <w:tc>
          <w:tcPr>
            <w:tcW w:w="788" w:type="dxa"/>
            <w:tcBorders>
              <w:top w:val="single" w:sz="12"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(220)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Net result</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1 445</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568</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229</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822</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1 789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1" w:type="dxa"/>
            <w:gridSpan w:val="6"/>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rPr>
            </w:pPr>
            <w:r w:rsidRPr="00CC1BAA">
              <w:rPr>
                <w:rFonts w:eastAsiaTheme="minorEastAsia" w:cs="Calibri"/>
                <w:b/>
                <w:bCs/>
                <w:color w:val="000000"/>
                <w:szCs w:val="16"/>
              </w:rPr>
              <w:t>Other economic flows – other comprehensive income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Items that will not be reclassified to net result</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Changes in non-financial assets revaluation surplus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2 790</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449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7 091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3 104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7 443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proofErr w:type="spellStart"/>
            <w:r w:rsidRPr="00CC1BAA">
              <w:rPr>
                <w:rFonts w:eastAsiaTheme="minorEastAsia" w:cs="Calibri"/>
                <w:color w:val="000000"/>
                <w:szCs w:val="16"/>
              </w:rPr>
              <w:t>Remeasurement</w:t>
            </w:r>
            <w:proofErr w:type="spellEnd"/>
            <w:r w:rsidRPr="00CC1BAA">
              <w:rPr>
                <w:rFonts w:eastAsiaTheme="minorEastAsia" w:cs="Calibri"/>
                <w:color w:val="000000"/>
                <w:szCs w:val="16"/>
              </w:rPr>
              <w:t xml:space="preserve"> of superannuation defined benefit plans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873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1 032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1 053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1 071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1 088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Other movements in equity</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1" w:type="dxa"/>
            <w:gridSpan w:val="6"/>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rPr>
            </w:pPr>
            <w:r w:rsidRPr="00CC1BAA">
              <w:rPr>
                <w:rFonts w:eastAsiaTheme="minorEastAsia" w:cs="Calibri"/>
                <w:b/>
                <w:bCs/>
                <w:color w:val="000000"/>
                <w:szCs w:val="16"/>
              </w:rPr>
              <w:t>Items that may be reclassified subsequently to net result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Net gain/(loss) on financial assets at fair value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rPr>
            </w:pPr>
            <w:r w:rsidRPr="00CC1BAA">
              <w:rPr>
                <w:rFonts w:eastAsiaTheme="minorEastAsia" w:cs="Calibri"/>
                <w:color w:val="000000"/>
                <w:szCs w:val="16"/>
              </w:rPr>
              <w:t>Net gain/(loss) on equity investments in other sector entities at proportional share of the carrying amount of net assets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151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220</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359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136</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Pr>
                <w:rFonts w:eastAsiaTheme="minorEastAsia" w:cs="Calibri"/>
                <w:b/>
                <w:bCs/>
                <w:color w:val="000000"/>
                <w:szCs w:val="16"/>
              </w:rPr>
              <w:t xml:space="preserve">Total other economic flows – </w:t>
            </w:r>
            <w:r>
              <w:rPr>
                <w:rFonts w:eastAsiaTheme="minorEastAsia" w:cs="Calibri"/>
                <w:b/>
                <w:bCs/>
                <w:color w:val="000000"/>
                <w:szCs w:val="16"/>
              </w:rPr>
              <w:br/>
              <w:t>other comprehensive income</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4 011</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1 844</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8 494</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4 333</w:t>
            </w:r>
          </w:p>
        </w:tc>
        <w:tc>
          <w:tcPr>
            <w:tcW w:w="788" w:type="dxa"/>
            <w:tcBorders>
              <w:top w:val="single" w:sz="6" w:space="0" w:color="000000"/>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8 823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Pr>
                <w:rFonts w:eastAsiaTheme="minorEastAsia" w:cs="Calibri"/>
                <w:b/>
                <w:bCs/>
                <w:color w:val="000000"/>
                <w:szCs w:val="16"/>
              </w:rPr>
              <w:t xml:space="preserve">Comprehensive result – </w:t>
            </w:r>
            <w:r>
              <w:rPr>
                <w:rFonts w:eastAsiaTheme="minorEastAsia" w:cs="Calibri"/>
                <w:b/>
                <w:bCs/>
                <w:color w:val="000000"/>
                <w:szCs w:val="16"/>
              </w:rPr>
              <w:br/>
              <w:t>total change in net worth</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5 456</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2 412</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8 723</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5 154</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10 613</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KEY FISCAL AGGREGATES</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b/>
                <w:bCs/>
                <w:color w:val="000000"/>
                <w:szCs w:val="16"/>
              </w:rPr>
            </w:pPr>
            <w:r w:rsidRPr="00CC1BAA">
              <w:rPr>
                <w:rFonts w:eastAsiaTheme="minorEastAsia" w:cs="Calibri"/>
                <w:b/>
                <w:bCs/>
                <w:color w:val="000000"/>
                <w:szCs w:val="16"/>
              </w:rPr>
              <w:t>Net operating balance</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1 873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771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384</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1 012</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2 010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spacing w:after="0"/>
              <w:rPr>
                <w:rFonts w:eastAsiaTheme="minorEastAsia" w:cs="Calibri"/>
                <w:color w:val="000000"/>
                <w:szCs w:val="16"/>
                <w:vertAlign w:val="superscript"/>
              </w:rPr>
            </w:pPr>
            <w:r w:rsidRPr="00CC1BAA">
              <w:rPr>
                <w:rFonts w:eastAsiaTheme="minorEastAsia" w:cs="Calibri"/>
                <w:color w:val="000000"/>
                <w:szCs w:val="16"/>
              </w:rPr>
              <w:t xml:space="preserve">Less: Net acquisition of non-financial assets from transactions </w:t>
            </w:r>
            <w:r w:rsidRPr="00CC1BAA">
              <w:rPr>
                <w:rFonts w:eastAsiaTheme="minorEastAsia" w:cs="Calibri"/>
                <w:color w:val="000000"/>
                <w:szCs w:val="16"/>
                <w:vertAlign w:val="superscript"/>
              </w:rPr>
              <w:t>(b)</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4 349</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5 153</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5 181</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4 065</w:t>
            </w:r>
          </w:p>
        </w:tc>
        <w:tc>
          <w:tcPr>
            <w:tcW w:w="788" w:type="dxa"/>
            <w:tcBorders>
              <w:top w:val="nil"/>
              <w:left w:val="nil"/>
              <w:bottom w:val="nil"/>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2 781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rPr>
                <w:rFonts w:eastAsiaTheme="minorEastAsia" w:cs="Calibri"/>
                <w:b/>
                <w:bCs/>
                <w:color w:val="000000"/>
                <w:szCs w:val="16"/>
                <w:vertAlign w:val="superscript"/>
              </w:rPr>
            </w:pPr>
            <w:r w:rsidRPr="00CC1BAA">
              <w:rPr>
                <w:rFonts w:eastAsiaTheme="minorEastAsia" w:cs="Calibri"/>
                <w:b/>
                <w:bCs/>
                <w:color w:val="000000"/>
                <w:szCs w:val="16"/>
              </w:rPr>
              <w:t xml:space="preserve">Net lending/(borrowing) </w:t>
            </w:r>
            <w:r w:rsidRPr="00CC1BAA">
              <w:rPr>
                <w:rFonts w:eastAsiaTheme="minorEastAsia" w:cs="Calibri"/>
                <w:b/>
                <w:bCs/>
                <w:color w:val="000000"/>
                <w:szCs w:val="16"/>
                <w:vertAlign w:val="superscript"/>
              </w:rPr>
              <w:t>(b)</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(2 476)</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(4 382)</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(4 797)</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(3 053)</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(772)</w:t>
            </w:r>
          </w:p>
        </w:tc>
      </w:tr>
    </w:tbl>
    <w:p w:rsidR="00566E9A" w:rsidRPr="006151DE" w:rsidRDefault="00566E9A" w:rsidP="00AE5760">
      <w:pPr>
        <w:pStyle w:val="Notes"/>
        <w:rPr>
          <w:rFonts w:eastAsiaTheme="minorHAnsi"/>
        </w:rPr>
      </w:pPr>
      <w:r w:rsidRPr="006151DE">
        <w:rPr>
          <w:rFonts w:eastAsiaTheme="minorHAnsi"/>
        </w:rPr>
        <w:t>Source: Department of Treasury and Finance</w:t>
      </w:r>
    </w:p>
    <w:p w:rsidR="00566E9A" w:rsidRPr="006151DE" w:rsidRDefault="00566E9A" w:rsidP="00AE5760">
      <w:pPr>
        <w:pStyle w:val="Notes"/>
        <w:rPr>
          <w:rFonts w:eastAsiaTheme="minorHAnsi"/>
        </w:rPr>
      </w:pPr>
      <w:r w:rsidRPr="006151DE">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6151DE" w:rsidRDefault="00566E9A" w:rsidP="00AE5760">
      <w:pPr>
        <w:pStyle w:val="Notes"/>
        <w:rPr>
          <w:rFonts w:eastAsiaTheme="minorHAnsi"/>
        </w:rPr>
      </w:pPr>
      <w:r w:rsidRPr="006151DE">
        <w:rPr>
          <w:rFonts w:eastAsiaTheme="minorHAnsi"/>
        </w:rPr>
        <w:t>(b)</w:t>
      </w:r>
      <w:r w:rsidRPr="006151DE">
        <w:rPr>
          <w:rFonts w:eastAsiaTheme="minorHAnsi"/>
        </w:rPr>
        <w:tab/>
      </w:r>
      <w:r w:rsidRPr="006151DE">
        <w:rPr>
          <w:rFonts w:eastAsiaTheme="minorHAnsi"/>
          <w:i w:val="0"/>
        </w:rPr>
        <w:t>2016-17 Budget</w:t>
      </w:r>
      <w:r w:rsidRPr="006151DE">
        <w:rPr>
          <w:rFonts w:eastAsiaTheme="minorHAnsi"/>
        </w:rPr>
        <w:t xml:space="preserve"> figures have been restated to reflect more current information.</w:t>
      </w:r>
    </w:p>
    <w:p w:rsidR="00566E9A" w:rsidRDefault="00566E9A" w:rsidP="00AE5760">
      <w:pPr>
        <w:pStyle w:val="Tableheading"/>
        <w:rPr>
          <w:rFonts w:eastAsiaTheme="minorHAnsi"/>
        </w:rPr>
      </w:pPr>
      <w:r>
        <w:rPr>
          <w:rFonts w:eastAsiaTheme="minorHAnsi"/>
        </w:rPr>
        <w:lastRenderedPageBreak/>
        <w:t xml:space="preserve">Table 5.8: </w:t>
      </w:r>
      <w:r>
        <w:rPr>
          <w:rFonts w:eastAsiaTheme="minorHAnsi"/>
        </w:rPr>
        <w:tab/>
        <w:t>Non-financial public sector balance sheet as at 30 June</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80" w:type="dxa"/>
        <w:tblInd w:w="45" w:type="dxa"/>
        <w:tblLayout w:type="fixed"/>
        <w:tblCellMar>
          <w:left w:w="45" w:type="dxa"/>
          <w:right w:w="45" w:type="dxa"/>
        </w:tblCellMar>
        <w:tblLook w:val="06A0" w:firstRow="1" w:lastRow="0" w:firstColumn="1" w:lastColumn="0" w:noHBand="1" w:noVBand="1"/>
      </w:tblPr>
      <w:tblGrid>
        <w:gridCol w:w="3640"/>
        <w:gridCol w:w="828"/>
        <w:gridCol w:w="828"/>
        <w:gridCol w:w="828"/>
        <w:gridCol w:w="828"/>
        <w:gridCol w:w="828"/>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640"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2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w:t>
            </w:r>
            <w:r>
              <w:rPr>
                <w:rFonts w:eastAsiaTheme="minorEastAsia" w:cs="Calibri"/>
                <w:iCs/>
                <w:color w:val="FFFFFF"/>
                <w:szCs w:val="16"/>
              </w:rPr>
              <w:br/>
            </w:r>
            <w:r w:rsidRPr="00CC1BAA">
              <w:rPr>
                <w:rFonts w:eastAsiaTheme="minorEastAsia" w:cs="Calibri"/>
                <w:iCs/>
                <w:color w:val="FFFFFF"/>
                <w:szCs w:val="16"/>
              </w:rPr>
              <w:t xml:space="preserve">budget </w:t>
            </w:r>
            <w:r w:rsidRPr="00CC1BAA">
              <w:rPr>
                <w:rFonts w:eastAsiaTheme="minorEastAsia" w:cs="Calibri"/>
                <w:iCs/>
                <w:color w:val="FFFFFF"/>
                <w:szCs w:val="16"/>
                <w:vertAlign w:val="superscript"/>
              </w:rPr>
              <w:t>(a)</w:t>
            </w:r>
          </w:p>
        </w:tc>
        <w:tc>
          <w:tcPr>
            <w:tcW w:w="82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w:t>
            </w:r>
            <w:r>
              <w:rPr>
                <w:rFonts w:eastAsiaTheme="minorEastAsia" w:cs="Calibri"/>
                <w:iCs/>
                <w:color w:val="FFFFFF"/>
                <w:szCs w:val="16"/>
              </w:rPr>
              <w:br/>
            </w:r>
            <w:r w:rsidRPr="00CC1BAA">
              <w:rPr>
                <w:rFonts w:eastAsiaTheme="minorEastAsia" w:cs="Calibri"/>
                <w:iCs/>
                <w:color w:val="FFFFFF"/>
                <w:szCs w:val="16"/>
              </w:rPr>
              <w:t>revised</w:t>
            </w:r>
          </w:p>
        </w:tc>
        <w:tc>
          <w:tcPr>
            <w:tcW w:w="82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w:t>
            </w:r>
            <w:r>
              <w:rPr>
                <w:rFonts w:eastAsiaTheme="minorEastAsia" w:cs="Calibri"/>
                <w:iCs/>
                <w:color w:val="FFFFFF"/>
                <w:szCs w:val="16"/>
              </w:rPr>
              <w:br/>
            </w:r>
            <w:r w:rsidRPr="00CC1BAA">
              <w:rPr>
                <w:rFonts w:eastAsiaTheme="minorEastAsia" w:cs="Calibri"/>
                <w:iCs/>
                <w:color w:val="FFFFFF"/>
                <w:szCs w:val="16"/>
              </w:rPr>
              <w:t>estimate</w:t>
            </w:r>
          </w:p>
        </w:tc>
        <w:tc>
          <w:tcPr>
            <w:tcW w:w="82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w:t>
            </w:r>
            <w:r>
              <w:rPr>
                <w:rFonts w:eastAsiaTheme="minorEastAsia" w:cs="Calibri"/>
                <w:iCs/>
                <w:color w:val="FFFFFF"/>
                <w:szCs w:val="16"/>
              </w:rPr>
              <w:br/>
            </w:r>
            <w:r w:rsidRPr="00CC1BAA">
              <w:rPr>
                <w:rFonts w:eastAsiaTheme="minorEastAsia" w:cs="Calibri"/>
                <w:iCs/>
                <w:color w:val="FFFFFF"/>
                <w:szCs w:val="16"/>
              </w:rPr>
              <w:t>estimate</w:t>
            </w:r>
          </w:p>
        </w:tc>
        <w:tc>
          <w:tcPr>
            <w:tcW w:w="82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Assets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Financial assets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Cash and deposits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6 027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5 895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5 542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5 851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6 267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Advances paid</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163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133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Receivables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6 662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6 650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6 776</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7 086</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7 291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loans and placements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3 762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4 676</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3 937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4 003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4 121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accounted for using equity method</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1 931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1 932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in other sector entities</w:t>
            </w:r>
          </w:p>
        </w:tc>
        <w:tc>
          <w:tcPr>
            <w:tcW w:w="828"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2 648</w:t>
            </w:r>
          </w:p>
        </w:tc>
        <w:tc>
          <w:tcPr>
            <w:tcW w:w="828"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2 700</w:t>
            </w:r>
          </w:p>
        </w:tc>
        <w:tc>
          <w:tcPr>
            <w:tcW w:w="828"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2 390</w:t>
            </w:r>
          </w:p>
        </w:tc>
        <w:tc>
          <w:tcPr>
            <w:tcW w:w="828"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1 926</w:t>
            </w:r>
          </w:p>
        </w:tc>
        <w:tc>
          <w:tcPr>
            <w:tcW w:w="828"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1 633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financial assets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21 169</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22 005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20 711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20 929</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21 370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Non-financial assets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Inventories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875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723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1 218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1 248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1 486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Non-financial assets held for sale</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Land, buildings, infrastructure, plant and equipment</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233 452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232 263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244 249</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251 696</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261 830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non-financial assets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2 155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2 154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2 077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2 014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1 886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non-financial assets</w:t>
            </w:r>
          </w:p>
        </w:tc>
        <w:tc>
          <w:tcPr>
            <w:tcW w:w="828"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236 674</w:t>
            </w:r>
          </w:p>
        </w:tc>
        <w:tc>
          <w:tcPr>
            <w:tcW w:w="828"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235 320</w:t>
            </w:r>
          </w:p>
        </w:tc>
        <w:tc>
          <w:tcPr>
            <w:tcW w:w="828"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247 720</w:t>
            </w:r>
          </w:p>
        </w:tc>
        <w:tc>
          <w:tcPr>
            <w:tcW w:w="828"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255 135</w:t>
            </w:r>
          </w:p>
        </w:tc>
        <w:tc>
          <w:tcPr>
            <w:tcW w:w="828"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265 380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assets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257 843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257 325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268 430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276 064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286 749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Liabilities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Deposits held and advances received</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803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799</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800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800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798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Payables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12 374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15 378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15 050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14 812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14 410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Borrowings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42 747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42 608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46 216</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49 860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51 342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Employee benefits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6 939</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6 931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7 180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7 454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7 661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Superannuation</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28 517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28 306</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27 197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25 997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24 756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provisions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1 011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944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905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905</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liabilities</w:t>
            </w:r>
          </w:p>
        </w:tc>
        <w:tc>
          <w:tcPr>
            <w:tcW w:w="828"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92 392</w:t>
            </w:r>
          </w:p>
        </w:tc>
        <w:tc>
          <w:tcPr>
            <w:tcW w:w="828"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94 966</w:t>
            </w:r>
          </w:p>
        </w:tc>
        <w:tc>
          <w:tcPr>
            <w:tcW w:w="828"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97 348</w:t>
            </w:r>
          </w:p>
        </w:tc>
        <w:tc>
          <w:tcPr>
            <w:tcW w:w="828"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99 828</w:t>
            </w:r>
          </w:p>
        </w:tc>
        <w:tc>
          <w:tcPr>
            <w:tcW w:w="828"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99 900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assets</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165 451</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162 359</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171 082</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176 236</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186 849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Accumulated surplus/(deficit)</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67 733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71 191</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72 442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74 333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77 164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Reserves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97 668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91 167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98 640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101 903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109 685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Non-controlling interest</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50</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worth</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165 451</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162 359</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171 082</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176 236</w:t>
            </w:r>
          </w:p>
        </w:tc>
        <w:tc>
          <w:tcPr>
            <w:tcW w:w="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186 849</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FISCAL AGGREGATES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financial worth</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(71 223)</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(72 962)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(76 638)</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(78 899)</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(78 531)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financial liabilities</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73 872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75 662</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79 027</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80 824</w:t>
            </w:r>
          </w:p>
        </w:tc>
        <w:tc>
          <w:tcPr>
            <w:tcW w:w="82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80 163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debt</w:t>
            </w:r>
          </w:p>
        </w:tc>
        <w:tc>
          <w:tcPr>
            <w:tcW w:w="828"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33 614</w:t>
            </w:r>
          </w:p>
        </w:tc>
        <w:tc>
          <w:tcPr>
            <w:tcW w:w="828"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32 674</w:t>
            </w:r>
          </w:p>
        </w:tc>
        <w:tc>
          <w:tcPr>
            <w:tcW w:w="828"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37 396</w:t>
            </w:r>
          </w:p>
        </w:tc>
        <w:tc>
          <w:tcPr>
            <w:tcW w:w="828"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40 673</w:t>
            </w:r>
          </w:p>
        </w:tc>
        <w:tc>
          <w:tcPr>
            <w:tcW w:w="828"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41 626</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Balances represent actual opening balances at 1 July 2016 plus 2016-17 budgeted movements.</w:t>
      </w:r>
    </w:p>
    <w:p w:rsidR="00566E9A" w:rsidRDefault="00566E9A">
      <w:pPr>
        <w:spacing w:after="0"/>
        <w:rPr>
          <w:rFonts w:asciiTheme="majorHAnsi" w:eastAsiaTheme="minorHAnsi" w:hAnsiTheme="majorHAnsi"/>
          <w:b/>
        </w:rPr>
      </w:pPr>
      <w:r>
        <w:rPr>
          <w:rFonts w:eastAsiaTheme="minorHAnsi"/>
        </w:rPr>
        <w:br w:type="page"/>
      </w:r>
    </w:p>
    <w:p w:rsidR="00566E9A" w:rsidRPr="00E85DEF" w:rsidRDefault="00566E9A" w:rsidP="00AE5760">
      <w:pPr>
        <w:pStyle w:val="Tableheading"/>
        <w:rPr>
          <w:rFonts w:eastAsiaTheme="minorHAnsi"/>
        </w:rPr>
      </w:pPr>
      <w:r w:rsidRPr="00E85DEF">
        <w:rPr>
          <w:rFonts w:eastAsiaTheme="minorHAnsi"/>
        </w:rPr>
        <w:lastRenderedPageBreak/>
        <w:t>Table 5.9:</w:t>
      </w:r>
      <w:r w:rsidRPr="00E85DEF">
        <w:rPr>
          <w:rFonts w:eastAsiaTheme="minorHAnsi"/>
        </w:rPr>
        <w:tab/>
        <w:t xml:space="preserve">Non-financial public sector cash flow statement for the financial year ended 30 June </w:t>
      </w:r>
      <w:r w:rsidRPr="00E85DEF">
        <w:rPr>
          <w:rFonts w:eastAsiaTheme="minorHAnsi"/>
          <w:vertAlign w:val="superscript"/>
        </w:rPr>
        <w:t>(a)</w:t>
      </w:r>
    </w:p>
    <w:p w:rsidR="00566E9A" w:rsidRPr="002C4BBF"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AE5760" w:rsidRPr="002C4BBF" w:rsidTr="00AE5760">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auto"/>
          </w:tcPr>
          <w:p w:rsidR="00AE5760" w:rsidRPr="002C4BBF" w:rsidRDefault="00AE5760" w:rsidP="00155A4D">
            <w:pPr>
              <w:autoSpaceDE w:val="0"/>
              <w:autoSpaceDN w:val="0"/>
              <w:adjustRightInd w:val="0"/>
              <w:rPr>
                <w:rFonts w:eastAsiaTheme="minorEastAsia" w:cs="Calibri"/>
                <w:iCs/>
                <w:color w:val="FFFFFF"/>
                <w:sz w:val="16"/>
              </w:rPr>
            </w:pPr>
            <w:r w:rsidRPr="002C4BBF">
              <w:rPr>
                <w:rFonts w:eastAsiaTheme="minorEastAsia" w:cs="Calibri"/>
                <w:iCs/>
                <w:color w:val="FFFFFF"/>
                <w:sz w:val="16"/>
              </w:rPr>
              <w:t xml:space="preserve">  </w:t>
            </w:r>
          </w:p>
        </w:tc>
        <w:tc>
          <w:tcPr>
            <w:tcW w:w="850" w:type="dxa"/>
            <w:tcBorders>
              <w:top w:val="nil"/>
              <w:left w:val="nil"/>
              <w:right w:val="nil"/>
            </w:tcBorders>
            <w:shd w:val="solid" w:color="000000" w:fill="auto"/>
          </w:tcPr>
          <w:p w:rsidR="00AE5760" w:rsidRPr="002C4BBF" w:rsidRDefault="00AE5760" w:rsidP="00155A4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rPr>
            </w:pPr>
            <w:r w:rsidRPr="002C4BBF">
              <w:rPr>
                <w:rFonts w:eastAsiaTheme="minorEastAsia" w:cs="Calibri"/>
                <w:iCs/>
                <w:color w:val="FFFFFF"/>
                <w:sz w:val="16"/>
                <w:szCs w:val="16"/>
              </w:rPr>
              <w:t xml:space="preserve">2016-17 </w:t>
            </w:r>
            <w:r>
              <w:rPr>
                <w:rFonts w:eastAsiaTheme="minorEastAsia" w:cs="Calibri"/>
                <w:iCs/>
                <w:color w:val="FFFFFF"/>
                <w:sz w:val="16"/>
                <w:szCs w:val="16"/>
              </w:rPr>
              <w:br/>
            </w:r>
            <w:r w:rsidRPr="002C4BBF">
              <w:rPr>
                <w:rFonts w:eastAsiaTheme="minorEastAsia" w:cs="Calibri"/>
                <w:iCs/>
                <w:color w:val="FFFFFF"/>
                <w:sz w:val="16"/>
                <w:szCs w:val="16"/>
              </w:rPr>
              <w:t>budget</w:t>
            </w:r>
          </w:p>
        </w:tc>
        <w:tc>
          <w:tcPr>
            <w:tcW w:w="850" w:type="dxa"/>
            <w:tcBorders>
              <w:top w:val="nil"/>
              <w:left w:val="nil"/>
              <w:right w:val="nil"/>
            </w:tcBorders>
            <w:shd w:val="solid" w:color="000000" w:fill="auto"/>
          </w:tcPr>
          <w:p w:rsidR="00AE5760" w:rsidRPr="002C4BBF" w:rsidRDefault="00AE5760" w:rsidP="00155A4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rPr>
            </w:pPr>
            <w:r w:rsidRPr="002C4BBF">
              <w:rPr>
                <w:rFonts w:eastAsiaTheme="minorEastAsia" w:cs="Calibri"/>
                <w:iCs/>
                <w:color w:val="FFFFFF"/>
                <w:sz w:val="16"/>
                <w:szCs w:val="16"/>
              </w:rPr>
              <w:t xml:space="preserve">2016-17 </w:t>
            </w:r>
            <w:r>
              <w:rPr>
                <w:rFonts w:eastAsiaTheme="minorEastAsia" w:cs="Calibri"/>
                <w:iCs/>
                <w:color w:val="FFFFFF"/>
                <w:sz w:val="16"/>
                <w:szCs w:val="16"/>
              </w:rPr>
              <w:br/>
            </w:r>
            <w:r w:rsidRPr="002C4BBF">
              <w:rPr>
                <w:rFonts w:eastAsiaTheme="minorEastAsia" w:cs="Calibri"/>
                <w:iCs/>
                <w:color w:val="FFFFFF"/>
                <w:sz w:val="16"/>
                <w:szCs w:val="16"/>
              </w:rPr>
              <w:t>revised</w:t>
            </w:r>
          </w:p>
        </w:tc>
        <w:tc>
          <w:tcPr>
            <w:tcW w:w="850" w:type="dxa"/>
            <w:tcBorders>
              <w:top w:val="nil"/>
              <w:left w:val="nil"/>
              <w:right w:val="nil"/>
            </w:tcBorders>
            <w:shd w:val="solid" w:color="000000" w:fill="auto"/>
          </w:tcPr>
          <w:p w:rsidR="00AE5760" w:rsidRPr="002C4BBF" w:rsidRDefault="00AE5760" w:rsidP="00155A4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rPr>
            </w:pPr>
            <w:r w:rsidRPr="002C4BBF">
              <w:rPr>
                <w:rFonts w:eastAsiaTheme="minorEastAsia" w:cs="Calibri"/>
                <w:iCs/>
                <w:color w:val="FFFFFF"/>
                <w:sz w:val="16"/>
                <w:szCs w:val="16"/>
              </w:rPr>
              <w:t xml:space="preserve">2017-18 </w:t>
            </w:r>
            <w:r>
              <w:rPr>
                <w:rFonts w:eastAsiaTheme="minorEastAsia" w:cs="Calibri"/>
                <w:iCs/>
                <w:color w:val="FFFFFF"/>
                <w:sz w:val="16"/>
                <w:szCs w:val="16"/>
              </w:rPr>
              <w:br/>
            </w:r>
            <w:r w:rsidRPr="002C4BBF">
              <w:rPr>
                <w:rFonts w:eastAsiaTheme="minorEastAsia" w:cs="Calibri"/>
                <w:iCs/>
                <w:color w:val="FFFFFF"/>
                <w:sz w:val="16"/>
                <w:szCs w:val="16"/>
              </w:rPr>
              <w:t>estimate</w:t>
            </w:r>
          </w:p>
        </w:tc>
        <w:tc>
          <w:tcPr>
            <w:tcW w:w="850" w:type="dxa"/>
            <w:tcBorders>
              <w:top w:val="nil"/>
              <w:left w:val="nil"/>
              <w:right w:val="nil"/>
            </w:tcBorders>
            <w:shd w:val="solid" w:color="000000" w:fill="auto"/>
          </w:tcPr>
          <w:p w:rsidR="00AE5760" w:rsidRPr="002C4BBF" w:rsidRDefault="00AE5760" w:rsidP="00155A4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rPr>
            </w:pPr>
            <w:r w:rsidRPr="002C4BBF">
              <w:rPr>
                <w:rFonts w:eastAsiaTheme="minorEastAsia" w:cs="Calibri"/>
                <w:iCs/>
                <w:color w:val="FFFFFF"/>
                <w:sz w:val="16"/>
                <w:szCs w:val="16"/>
              </w:rPr>
              <w:t xml:space="preserve">2018-19 </w:t>
            </w:r>
            <w:r>
              <w:rPr>
                <w:rFonts w:eastAsiaTheme="minorEastAsia" w:cs="Calibri"/>
                <w:iCs/>
                <w:color w:val="FFFFFF"/>
                <w:sz w:val="16"/>
                <w:szCs w:val="16"/>
              </w:rPr>
              <w:br/>
            </w:r>
            <w:r w:rsidRPr="002C4BBF">
              <w:rPr>
                <w:rFonts w:eastAsiaTheme="minorEastAsia" w:cs="Calibri"/>
                <w:iCs/>
                <w:color w:val="FFFFFF"/>
                <w:sz w:val="16"/>
                <w:szCs w:val="16"/>
              </w:rPr>
              <w:t>estimate</w:t>
            </w:r>
          </w:p>
        </w:tc>
        <w:tc>
          <w:tcPr>
            <w:tcW w:w="850" w:type="dxa"/>
            <w:tcBorders>
              <w:top w:val="nil"/>
              <w:left w:val="nil"/>
              <w:right w:val="nil"/>
            </w:tcBorders>
            <w:shd w:val="solid" w:color="000000" w:fill="auto"/>
          </w:tcPr>
          <w:p w:rsidR="00AE5760" w:rsidRPr="002C4BBF" w:rsidRDefault="00AE5760" w:rsidP="00155A4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rPr>
            </w:pPr>
            <w:r w:rsidRPr="002C4BBF">
              <w:rPr>
                <w:rFonts w:eastAsiaTheme="minorEastAsia" w:cs="Calibri"/>
                <w:iCs/>
                <w:color w:val="FFFFFF"/>
                <w:sz w:val="16"/>
                <w:szCs w:val="16"/>
              </w:rPr>
              <w:t xml:space="preserve">2019-20 </w:t>
            </w:r>
            <w:r>
              <w:rPr>
                <w:rFonts w:eastAsiaTheme="minorEastAsia" w:cs="Calibri"/>
                <w:iCs/>
                <w:color w:val="FFFFFF"/>
                <w:sz w:val="16"/>
                <w:szCs w:val="16"/>
              </w:rPr>
              <w:br/>
            </w:r>
            <w:r w:rsidRPr="002C4BBF">
              <w:rPr>
                <w:rFonts w:eastAsiaTheme="minorEastAsia" w:cs="Calibri"/>
                <w:iCs/>
                <w:color w:val="FFFFFF"/>
                <w:sz w:val="16"/>
                <w:szCs w:val="16"/>
              </w:rPr>
              <w:t>estimate</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Cash flows from operating activities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Receipts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Taxes received</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21 104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21 163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20 994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22 074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22 951</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Grants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27 438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27 637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28 744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30 616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31 313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vertAlign w:val="superscript"/>
              </w:rPr>
            </w:pPr>
            <w:r w:rsidRPr="002C4BBF">
              <w:rPr>
                <w:rFonts w:eastAsiaTheme="minorEastAsia" w:cs="Calibri"/>
                <w:color w:val="000000"/>
                <w:sz w:val="16"/>
                <w:szCs w:val="16"/>
              </w:rPr>
              <w:t xml:space="preserve">Sales of goods and services </w:t>
            </w:r>
            <w:r w:rsidRPr="002C4BBF">
              <w:rPr>
                <w:rFonts w:eastAsiaTheme="minorEastAsia" w:cs="Calibri"/>
                <w:color w:val="000000"/>
                <w:sz w:val="16"/>
                <w:szCs w:val="16"/>
                <w:vertAlign w:val="superscript"/>
              </w:rPr>
              <w:t>(b)</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17 849</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21 048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12 506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12 756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12 941</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Interest received</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358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381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366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356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358</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Dividends, income tax equivalent and rate equivalent receipts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622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355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432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260</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474</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Other receipts</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1 871</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1 905</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2 190</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1 981</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2 051</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Total receipts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69 243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72 490</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65 232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68 042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70 088</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Payments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Payments for employees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(22 016)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(22 301)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(23 292)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(24 510)</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(25 287)</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Superannuation</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(3 093)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(3 141)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(3 156)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(3 255)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(3 316)</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Interest paid</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(2 902)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(2 576)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(2 539)</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(2 604)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(2 585)</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Grants and subsidies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(6 302)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(7 293)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(7 007)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(7 729)</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(7 771)</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vertAlign w:val="superscript"/>
              </w:rPr>
            </w:pPr>
            <w:r w:rsidRPr="002C4BBF">
              <w:rPr>
                <w:rFonts w:eastAsiaTheme="minorEastAsia" w:cs="Calibri"/>
                <w:color w:val="000000"/>
                <w:sz w:val="16"/>
                <w:szCs w:val="16"/>
              </w:rPr>
              <w:t xml:space="preserve">Goods and services </w:t>
            </w:r>
            <w:r w:rsidRPr="002C4BBF">
              <w:rPr>
                <w:rFonts w:eastAsiaTheme="minorEastAsia" w:cs="Calibri"/>
                <w:color w:val="000000"/>
                <w:sz w:val="16"/>
                <w:szCs w:val="16"/>
                <w:vertAlign w:val="superscript"/>
              </w:rPr>
              <w:t>(b)</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(22 382)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(22 680)</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(23 735)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(23 756)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(23 673)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Other payments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(630)</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(701)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(661)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(685)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(716)</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Total payments</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(57 326)</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(58 692)</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(60 390)</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(62 538)</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(63 349)</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Net cash flows from operating activities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11 917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13 798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4 843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5 504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6 739</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Cash flows from investing activities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 xml:space="preserve">Net cash flows from investments in </w:t>
            </w:r>
            <w:r w:rsidRPr="002C4BBF">
              <w:rPr>
                <w:rFonts w:eastAsiaTheme="minorEastAsia" w:cs="Calibri"/>
                <w:color w:val="000000"/>
                <w:sz w:val="16"/>
                <w:szCs w:val="16"/>
              </w:rPr>
              <w:br/>
              <w:t>non-financial assets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(8 548)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(9 528)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(9 645)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(8 882)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(8 026)</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Net cash flows from investments in financial assets for policy purposes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107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118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733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689</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673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Net cash flows from investment in financial assets for liquidity management purposes</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160</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(777)</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760</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(45)</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(94)</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Net cash flows from investing activities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(8 281)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(10 187)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(8 152)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(8 237)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(7 448)</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Cash flows from financing activities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Net borrowings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(3 184)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(3 287)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2 955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3 036</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1 126</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Deposits received (net)</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(2)</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Net cash flows from financing activities</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(3 183)</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(3 291)</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2 956</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3 036</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1 124</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Net increase/(decrease) in cash and cash equivalents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453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321</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(353)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303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415</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vertAlign w:val="superscript"/>
              </w:rPr>
            </w:pPr>
            <w:r w:rsidRPr="002C4BBF">
              <w:rPr>
                <w:rFonts w:eastAsiaTheme="minorEastAsia" w:cs="Calibri"/>
                <w:color w:val="000000"/>
                <w:sz w:val="16"/>
                <w:szCs w:val="16"/>
              </w:rPr>
              <w:t xml:space="preserve">Cash and cash equivalents at beginning of reporting period </w:t>
            </w:r>
            <w:r w:rsidRPr="002C4BBF">
              <w:rPr>
                <w:rFonts w:eastAsiaTheme="minorEastAsia" w:cs="Calibri"/>
                <w:color w:val="000000"/>
                <w:sz w:val="16"/>
                <w:szCs w:val="16"/>
                <w:vertAlign w:val="superscript"/>
              </w:rPr>
              <w:t>(c)</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5 574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5 574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5 895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5 542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5 844</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vertAlign w:val="superscript"/>
              </w:rPr>
            </w:pPr>
            <w:r w:rsidRPr="002C4BBF">
              <w:rPr>
                <w:rFonts w:eastAsiaTheme="minorEastAsia" w:cs="Calibri"/>
                <w:b/>
                <w:bCs/>
                <w:color w:val="000000"/>
                <w:sz w:val="16"/>
                <w:szCs w:val="16"/>
              </w:rPr>
              <w:t xml:space="preserve">Cash and cash equivalents at end of reporting period </w:t>
            </w:r>
            <w:r w:rsidRPr="002C4BBF">
              <w:rPr>
                <w:rFonts w:eastAsiaTheme="minorEastAsia" w:cs="Calibri"/>
                <w:b/>
                <w:bCs/>
                <w:color w:val="000000"/>
                <w:sz w:val="16"/>
                <w:szCs w:val="16"/>
                <w:vertAlign w:val="superscript"/>
              </w:rPr>
              <w:t>(c)(d)</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6 027</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5 895</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5 542</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5 844</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6 259</w:t>
            </w:r>
          </w:p>
        </w:tc>
      </w:tr>
      <w:tr w:rsidR="00566E9A" w:rsidRPr="002C4BBF"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rPr>
            </w:pPr>
            <w:r w:rsidRPr="002C4BBF">
              <w:rPr>
                <w:rFonts w:eastAsiaTheme="minorEastAsia" w:cs="Calibri"/>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rPr>
            </w:pPr>
            <w:r w:rsidRPr="002C4BBF">
              <w:rPr>
                <w:rFonts w:eastAsiaTheme="minorEastAsia" w:cs="Calibri"/>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rPr>
            </w:pPr>
            <w:r w:rsidRPr="002C4BBF">
              <w:rPr>
                <w:rFonts w:eastAsiaTheme="minorEastAsia" w:cs="Calibri"/>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rPr>
            </w:pPr>
            <w:r w:rsidRPr="002C4BBF">
              <w:rPr>
                <w:rFonts w:eastAsiaTheme="minorEastAsia" w:cs="Calibri"/>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rPr>
            </w:pPr>
            <w:r w:rsidRPr="002C4BBF">
              <w:rPr>
                <w:rFonts w:eastAsiaTheme="minorEastAsia" w:cs="Calibri"/>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rPr>
            </w:pPr>
            <w:r w:rsidRPr="002C4BBF">
              <w:rPr>
                <w:rFonts w:eastAsiaTheme="minorEastAsia" w:cs="Calibri"/>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FISCAL AGGREGATES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rPr>
            </w:pPr>
            <w:r w:rsidRPr="002C4BBF">
              <w:rPr>
                <w:rFonts w:eastAsiaTheme="minorEastAsia" w:cs="Calibri"/>
                <w:b/>
                <w:bCs/>
                <w:color w:val="000000"/>
                <w:sz w:val="16"/>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Net cash flows from operating activities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11 917</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13 798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4 843</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5 504</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6 739</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566E9A" w:rsidRPr="002C4BBF" w:rsidRDefault="00566E9A" w:rsidP="00AE5760">
            <w:pPr>
              <w:autoSpaceDE w:val="0"/>
              <w:autoSpaceDN w:val="0"/>
              <w:adjustRightInd w:val="0"/>
              <w:spacing w:before="0" w:after="0"/>
              <w:rPr>
                <w:rFonts w:eastAsiaTheme="minorEastAsia" w:cs="Calibri"/>
                <w:color w:val="000000"/>
                <w:sz w:val="16"/>
                <w:szCs w:val="16"/>
              </w:rPr>
            </w:pPr>
            <w:r w:rsidRPr="002C4BBF">
              <w:rPr>
                <w:rFonts w:eastAsiaTheme="minorEastAsia" w:cs="Calibri"/>
                <w:color w:val="000000"/>
                <w:sz w:val="16"/>
                <w:szCs w:val="16"/>
              </w:rPr>
              <w:t xml:space="preserve">Net cash flows from investments in </w:t>
            </w:r>
            <w:r w:rsidRPr="002C4BBF">
              <w:rPr>
                <w:rFonts w:eastAsiaTheme="minorEastAsia" w:cs="Calibri"/>
                <w:color w:val="000000"/>
                <w:sz w:val="16"/>
                <w:szCs w:val="16"/>
              </w:rPr>
              <w:br/>
              <w:t>non-financial assets</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(8 548)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(9 528)</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(9 645)</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(8 882)</w:t>
            </w:r>
          </w:p>
        </w:tc>
        <w:tc>
          <w:tcPr>
            <w:tcW w:w="850" w:type="dxa"/>
            <w:tcBorders>
              <w:top w:val="nil"/>
              <w:left w:val="nil"/>
              <w:bottom w:val="nil"/>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rPr>
            </w:pPr>
            <w:r w:rsidRPr="002C4BBF">
              <w:rPr>
                <w:rFonts w:eastAsiaTheme="minorEastAsia" w:cs="Calibri"/>
                <w:color w:val="000000"/>
                <w:sz w:val="16"/>
                <w:szCs w:val="16"/>
              </w:rPr>
              <w:t>(8 026)</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rPr>
                <w:rFonts w:eastAsiaTheme="minorEastAsia" w:cs="Calibri"/>
                <w:b/>
                <w:bCs/>
                <w:color w:val="000000"/>
                <w:sz w:val="16"/>
                <w:szCs w:val="16"/>
              </w:rPr>
            </w:pPr>
            <w:r w:rsidRPr="002C4BBF">
              <w:rPr>
                <w:rFonts w:eastAsiaTheme="minorEastAsia" w:cs="Calibri"/>
                <w:b/>
                <w:bCs/>
                <w:color w:val="000000"/>
                <w:sz w:val="16"/>
                <w:szCs w:val="16"/>
              </w:rPr>
              <w:t>Cash surplus/(deficit)</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3 369</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4 270</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(4 802)</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(3 378)</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rPr>
            </w:pPr>
            <w:r w:rsidRPr="002C4BBF">
              <w:rPr>
                <w:rFonts w:eastAsiaTheme="minorEastAsia" w:cs="Calibri"/>
                <w:b/>
                <w:bCs/>
                <w:color w:val="000000"/>
                <w:sz w:val="16"/>
                <w:szCs w:val="16"/>
              </w:rPr>
              <w:t>(1 287)</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Default="00566E9A" w:rsidP="00AE5760">
      <w:pPr>
        <w:pStyle w:val="Notes"/>
        <w:rPr>
          <w:rFonts w:eastAsiaTheme="minorHAnsi"/>
        </w:rPr>
      </w:pPr>
      <w:r>
        <w:rPr>
          <w:rFonts w:eastAsiaTheme="minorHAnsi"/>
        </w:rPr>
        <w:t>(b)</w:t>
      </w:r>
      <w:r>
        <w:rPr>
          <w:rFonts w:eastAsiaTheme="minorHAnsi"/>
        </w:rPr>
        <w:tab/>
      </w:r>
      <w:r w:rsidRPr="00424467">
        <w:rPr>
          <w:rFonts w:eastAsiaTheme="minorHAnsi"/>
        </w:rPr>
        <w:t>Inclusive of goods and services tax.</w:t>
      </w:r>
    </w:p>
    <w:p w:rsidR="00566E9A" w:rsidRDefault="00566E9A" w:rsidP="00AE5760">
      <w:pPr>
        <w:pStyle w:val="Notes"/>
        <w:rPr>
          <w:rFonts w:eastAsiaTheme="minorHAnsi"/>
        </w:rPr>
      </w:pPr>
      <w:r>
        <w:rPr>
          <w:rFonts w:eastAsiaTheme="minorHAnsi"/>
        </w:rPr>
        <w:t>(c)</w:t>
      </w:r>
      <w:r>
        <w:rPr>
          <w:rFonts w:eastAsiaTheme="minorHAnsi"/>
        </w:rPr>
        <w:tab/>
      </w:r>
      <w:r>
        <w:rPr>
          <w:rFonts w:eastAsiaTheme="minorHAnsi"/>
          <w:i w:val="0"/>
        </w:rPr>
        <w:t>2016-17 Budget</w:t>
      </w:r>
      <w:r>
        <w:rPr>
          <w:rFonts w:eastAsiaTheme="minorHAnsi"/>
        </w:rPr>
        <w:t xml:space="preserve"> figures have been restated to represent actual opening balances at 1 July 2016.</w:t>
      </w:r>
    </w:p>
    <w:p w:rsidR="00566E9A" w:rsidRDefault="00566E9A" w:rsidP="00AE5760">
      <w:pPr>
        <w:pStyle w:val="Notes"/>
        <w:rPr>
          <w:rFonts w:eastAsiaTheme="minorHAnsi"/>
        </w:rPr>
      </w:pPr>
      <w:r>
        <w:rPr>
          <w:rFonts w:eastAsiaTheme="minorHAnsi"/>
        </w:rPr>
        <w:t>(d)</w:t>
      </w:r>
      <w:r>
        <w:rPr>
          <w:rFonts w:eastAsiaTheme="minorHAnsi"/>
        </w:rPr>
        <w:tab/>
        <w:t>Cash and cash equivalents at the end of the reporting period does not equal cash and deposits on the balance sheet. This is due to overdrafts being included in the cash flow statement balances.</w:t>
      </w:r>
    </w:p>
    <w:p w:rsidR="00566E9A" w:rsidRDefault="00566E9A" w:rsidP="00AE5760">
      <w:pPr>
        <w:pStyle w:val="Tableheading"/>
        <w:rPr>
          <w:rFonts w:eastAsiaTheme="minorHAnsi"/>
        </w:rPr>
      </w:pPr>
      <w:r>
        <w:rPr>
          <w:rFonts w:eastAsiaTheme="minorHAnsi"/>
        </w:rPr>
        <w:lastRenderedPageBreak/>
        <w:t>Table 5.10:</w:t>
      </w:r>
      <w:r>
        <w:rPr>
          <w:rFonts w:eastAsiaTheme="minorHAnsi"/>
        </w:rPr>
        <w:tab/>
        <w:t>Non-financial public sector statement of changes in equity</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819"/>
        <w:gridCol w:w="1276"/>
        <w:gridCol w:w="1672"/>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000000" w:fill="auto"/>
          </w:tcPr>
          <w:p w:rsidR="00566E9A" w:rsidRPr="00CC1BAA" w:rsidRDefault="00566E9A"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1276"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Accumulated surplus/(deficit)</w:t>
            </w:r>
          </w:p>
        </w:tc>
        <w:tc>
          <w:tcPr>
            <w:tcW w:w="1672"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 xml:space="preserve">Non-controlling </w:t>
            </w:r>
            <w:r w:rsidR="00162E92" w:rsidRPr="00CC1BAA">
              <w:rPr>
                <w:rFonts w:eastAsiaTheme="minorEastAsia" w:cs="Calibri"/>
                <w:iCs/>
                <w:color w:val="FFFFFF"/>
                <w:szCs w:val="21"/>
              </w:rPr>
              <w:t>interest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vertAlign w:val="superscript"/>
              </w:rPr>
            </w:pPr>
            <w:r w:rsidRPr="00CC1BAA">
              <w:rPr>
                <w:rFonts w:eastAsiaTheme="minorEastAsia" w:cs="Calibri"/>
                <w:b/>
                <w:bCs/>
                <w:color w:val="000000"/>
                <w:szCs w:val="21"/>
              </w:rPr>
              <w:t xml:space="preserve">2016-17 budget </w:t>
            </w:r>
            <w:r w:rsidRPr="00CC1BAA">
              <w:rPr>
                <w:rFonts w:eastAsiaTheme="minorEastAsia" w:cs="Calibri"/>
                <w:b/>
                <w:bCs/>
                <w:color w:val="000000"/>
                <w:szCs w:val="21"/>
                <w:vertAlign w:val="superscript"/>
              </w:rPr>
              <w:t>(a)</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61 160</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1 445</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1 034</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4 094</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27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67 733</w:t>
            </w:r>
          </w:p>
        </w:tc>
        <w:tc>
          <w:tcPr>
            <w:tcW w:w="167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2016-17 revised</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61 161</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568</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1 122</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8 340</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27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71 191</w:t>
            </w:r>
          </w:p>
        </w:tc>
        <w:tc>
          <w:tcPr>
            <w:tcW w:w="167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2017-18 estimate</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2017</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71 191</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229</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1 021</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2018</w:t>
            </w:r>
          </w:p>
        </w:tc>
        <w:tc>
          <w:tcPr>
            <w:tcW w:w="127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72 442</w:t>
            </w:r>
          </w:p>
        </w:tc>
        <w:tc>
          <w:tcPr>
            <w:tcW w:w="167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2018-19 estimate</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2018</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72 442</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822</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1 069</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2019</w:t>
            </w:r>
          </w:p>
        </w:tc>
        <w:tc>
          <w:tcPr>
            <w:tcW w:w="127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74 333</w:t>
            </w:r>
          </w:p>
        </w:tc>
        <w:tc>
          <w:tcPr>
            <w:tcW w:w="167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2019-20 estimate</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2019</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74 333</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1 789</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1 042</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27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67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2020</w:t>
            </w:r>
          </w:p>
        </w:tc>
        <w:tc>
          <w:tcPr>
            <w:tcW w:w="127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77 164</w:t>
            </w:r>
          </w:p>
        </w:tc>
        <w:tc>
          <w:tcPr>
            <w:tcW w:w="167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r>
      <w:r w:rsidRPr="00424467">
        <w:rPr>
          <w:rFonts w:eastAsiaTheme="minorHAnsi"/>
        </w:rPr>
        <w:t>Balances represent actual opening balances at 1 July 2016 plus 2016-17 budgeted movements.</w:t>
      </w:r>
    </w:p>
    <w:p w:rsidR="00566E9A" w:rsidRDefault="00566E9A">
      <w:pPr>
        <w:rPr>
          <w:rFonts w:asciiTheme="majorHAnsi" w:eastAsiaTheme="minorHAnsi" w:hAnsiTheme="majorHAnsi"/>
          <w:b/>
        </w:rPr>
      </w:pPr>
      <w:r>
        <w:rPr>
          <w:rFonts w:eastAsiaTheme="minorHAnsi"/>
        </w:rPr>
        <w:br w:type="page"/>
      </w:r>
    </w:p>
    <w:p w:rsidR="00566E9A" w:rsidRPr="002312E1" w:rsidRDefault="00566E9A" w:rsidP="00AE5760">
      <w:pPr>
        <w:pStyle w:val="Tableheading"/>
        <w:rPr>
          <w:rFonts w:eastAsiaTheme="minorHAnsi"/>
        </w:rPr>
      </w:pPr>
    </w:p>
    <w:p w:rsidR="00566E9A" w:rsidRPr="00CC1BAA" w:rsidRDefault="00566E9A" w:rsidP="00AE5760">
      <w:pPr>
        <w:pStyle w:val="million"/>
        <w:rPr>
          <w:rFonts w:eastAsiaTheme="minorHAnsi"/>
          <w:b/>
          <w:bCs/>
          <w:lang w:val="en-US"/>
        </w:rPr>
      </w:pP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2126"/>
        <w:gridCol w:w="2551"/>
        <w:gridCol w:w="1701"/>
        <w:gridCol w:w="1389"/>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shd w:val="solid" w:color="000000" w:fill="auto"/>
          </w:tcPr>
          <w:p w:rsidR="00566E9A" w:rsidRPr="00CC1BAA" w:rsidRDefault="00566E9A" w:rsidP="00AE5760">
            <w:pPr>
              <w:autoSpaceDE w:val="0"/>
              <w:autoSpaceDN w:val="0"/>
              <w:adjustRightInd w:val="0"/>
              <w:jc w:val="right"/>
              <w:rPr>
                <w:rFonts w:eastAsiaTheme="minorEastAsia" w:cs="Calibri"/>
                <w:iCs/>
                <w:color w:val="FFFFFF"/>
                <w:szCs w:val="21"/>
              </w:rPr>
            </w:pPr>
            <w:r w:rsidRPr="00CC1BAA">
              <w:rPr>
                <w:rFonts w:eastAsiaTheme="minorEastAsia" w:cs="Calibri"/>
                <w:iCs/>
                <w:color w:val="FFFFFF"/>
                <w:szCs w:val="21"/>
              </w:rPr>
              <w:t>Non-financial assets revaluation surplus</w:t>
            </w:r>
          </w:p>
        </w:tc>
        <w:tc>
          <w:tcPr>
            <w:tcW w:w="255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Investment in other sector entities revaluation surplus</w:t>
            </w:r>
          </w:p>
        </w:tc>
        <w:tc>
          <w:tcPr>
            <w:tcW w:w="170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Pr>
                <w:rFonts w:eastAsiaTheme="minorEastAsia" w:cs="Calibri"/>
                <w:iCs/>
                <w:color w:val="FFFFFF"/>
                <w:szCs w:val="21"/>
              </w:rPr>
              <w:t xml:space="preserve">Other </w:t>
            </w:r>
            <w:r>
              <w:rPr>
                <w:rFonts w:eastAsiaTheme="minorEastAsia" w:cs="Calibri"/>
                <w:iCs/>
                <w:color w:val="FFFFFF"/>
                <w:szCs w:val="21"/>
              </w:rPr>
              <w:br/>
              <w:t>reserves</w:t>
            </w:r>
          </w:p>
        </w:tc>
        <w:tc>
          <w:tcPr>
            <w:tcW w:w="1389"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Total</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94 963</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2 819</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1 002</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159 995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1 445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2 790</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151</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36</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4 011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(4 094)</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93 659</w:t>
            </w:r>
          </w:p>
        </w:tc>
        <w:tc>
          <w:tcPr>
            <w:tcW w:w="255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2 970</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1 039</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165 451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94 963</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2 819</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1 002</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159 996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568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449</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220</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53</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1 844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(8 340)</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87 073</w:t>
            </w:r>
          </w:p>
        </w:tc>
        <w:tc>
          <w:tcPr>
            <w:tcW w:w="255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3 039</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1 056</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162 359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87 073</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3 039</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1 056</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162 359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7 091</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359</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22</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8 494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94 164</w:t>
            </w:r>
          </w:p>
        </w:tc>
        <w:tc>
          <w:tcPr>
            <w:tcW w:w="255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3 398</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1 078</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171 082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94 164</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3 398</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1 078</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171 082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822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3 104</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136</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23</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4 333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97 268</w:t>
            </w:r>
          </w:p>
        </w:tc>
        <w:tc>
          <w:tcPr>
            <w:tcW w:w="255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3 534</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1 101</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176 236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97 268</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3 534</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1 101</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176 236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1 789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7 443</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307</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31</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8 823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5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12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104 711</w:t>
            </w:r>
          </w:p>
        </w:tc>
        <w:tc>
          <w:tcPr>
            <w:tcW w:w="255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3 841</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1 132</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186 849</w:t>
            </w:r>
          </w:p>
        </w:tc>
      </w:tr>
    </w:tbl>
    <w:p w:rsidR="00566E9A" w:rsidRDefault="00566E9A" w:rsidP="00AE5760">
      <w:pPr>
        <w:rPr>
          <w:rFonts w:eastAsiaTheme="minorHAnsi"/>
        </w:rPr>
      </w:pP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5.11:</w:t>
      </w:r>
      <w:r>
        <w:rPr>
          <w:rFonts w:eastAsiaTheme="minorHAnsi"/>
        </w:rPr>
        <w:tab/>
        <w:t>Derivation of non-financial public sector GFS cash surplus/(deficit)</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828"/>
        <w:gridCol w:w="787"/>
        <w:gridCol w:w="787"/>
        <w:gridCol w:w="788"/>
        <w:gridCol w:w="787"/>
        <w:gridCol w:w="788"/>
      </w:tblGrid>
      <w:tr w:rsidR="00AE5760" w:rsidRPr="00CC1BAA" w:rsidTr="00162E92">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78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budget</w:t>
            </w:r>
          </w:p>
        </w:tc>
        <w:tc>
          <w:tcPr>
            <w:tcW w:w="78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revised</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2017-18 </w:t>
            </w:r>
            <w:r>
              <w:rPr>
                <w:rFonts w:eastAsiaTheme="minorEastAsia" w:cs="Calibri"/>
                <w:iCs/>
                <w:color w:val="FFFFFF"/>
                <w:szCs w:val="16"/>
              </w:rPr>
              <w:br/>
            </w:r>
            <w:r w:rsidRPr="00CC1BAA">
              <w:rPr>
                <w:rFonts w:eastAsiaTheme="minorEastAsia" w:cs="Calibri"/>
                <w:iCs/>
                <w:color w:val="FFFFFF"/>
                <w:szCs w:val="16"/>
              </w:rPr>
              <w:t>estimate</w:t>
            </w:r>
          </w:p>
        </w:tc>
        <w:tc>
          <w:tcPr>
            <w:tcW w:w="78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2018-19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2019-20 </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Pr>
                <w:rFonts w:eastAsiaTheme="minorEastAsia" w:cs="Calibri"/>
                <w:b/>
                <w:bCs/>
                <w:color w:val="000000"/>
                <w:szCs w:val="16"/>
              </w:rPr>
              <w:t>Cash surplus/(deficit)</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3 369</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4 270</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(4 802)</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(3 378)</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(1 287)</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Convergence differences:</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Acquisitions under finance leases and </w:t>
            </w:r>
            <w:r>
              <w:rPr>
                <w:rFonts w:eastAsiaTheme="minorEastAsia" w:cs="Calibri"/>
                <w:color w:val="000000"/>
                <w:szCs w:val="16"/>
              </w:rPr>
              <w:br/>
              <w:t xml:space="preserve">similar arrangements </w:t>
            </w:r>
            <w:r w:rsidRPr="00CC1BAA">
              <w:rPr>
                <w:rFonts w:eastAsiaTheme="minorEastAsia" w:cs="Calibri"/>
                <w:color w:val="000000"/>
                <w:szCs w:val="16"/>
                <w:vertAlign w:val="superscript"/>
              </w:rPr>
              <w:t>(a)</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(647)</w:t>
            </w:r>
          </w:p>
        </w:tc>
        <w:tc>
          <w:tcPr>
            <w:tcW w:w="78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(596)</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(349)</w:t>
            </w:r>
          </w:p>
        </w:tc>
      </w:tr>
      <w:tr w:rsidR="00566E9A" w:rsidRPr="00CC1BAA" w:rsidTr="00162E92">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Pr>
                <w:rFonts w:eastAsiaTheme="minorEastAsia" w:cs="Calibri"/>
                <w:b/>
                <w:bCs/>
                <w:color w:val="000000"/>
                <w:szCs w:val="16"/>
              </w:rPr>
              <w:t>GFS cash surplus/(deficit)</w:t>
            </w:r>
            <w:r w:rsidRPr="00CC1BAA">
              <w:rPr>
                <w:rFonts w:eastAsiaTheme="minorEastAsia" w:cs="Calibri"/>
                <w:b/>
                <w:bCs/>
                <w:color w:val="000000"/>
                <w:szCs w:val="16"/>
                <w:vertAlign w:val="superscript"/>
              </w:rPr>
              <w:t>(b)</w:t>
            </w:r>
          </w:p>
        </w:tc>
        <w:tc>
          <w:tcPr>
            <w:tcW w:w="78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2 852</w:t>
            </w:r>
          </w:p>
        </w:tc>
        <w:tc>
          <w:tcPr>
            <w:tcW w:w="78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3 753</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(5 448)</w:t>
            </w:r>
          </w:p>
        </w:tc>
        <w:tc>
          <w:tcPr>
            <w:tcW w:w="78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(3 974)</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(1 636)</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r>
      <w:r w:rsidRPr="00424467">
        <w:rPr>
          <w:rFonts w:eastAsiaTheme="minorHAnsi"/>
        </w:rPr>
        <w:t>The finance lease acquisition</w:t>
      </w:r>
      <w:r>
        <w:rPr>
          <w:rFonts w:eastAsiaTheme="minorHAnsi"/>
        </w:rPr>
        <w:t>s in 2016-17 relate</w:t>
      </w:r>
      <w:r w:rsidRPr="00424467">
        <w:rPr>
          <w:rFonts w:eastAsiaTheme="minorHAnsi"/>
        </w:rPr>
        <w:t xml:space="preserve"> to the new Bendigo Hospital project, the New Schools PPP project and the metropolitan Melbourne buses contract. The 2017-18 estimate relates to the Ravenhall Prison project, the new Bendigo Hospital project and the New Schools PPP project. The 2018-19 and 2019-20 estimates predominantly relate to the High Capacity Metro Trains Project.</w:t>
      </w:r>
    </w:p>
    <w:p w:rsidR="00566E9A" w:rsidRPr="00424467" w:rsidRDefault="00566E9A" w:rsidP="00AE5760">
      <w:pPr>
        <w:pStyle w:val="Notes"/>
        <w:rPr>
          <w:rFonts w:eastAsiaTheme="minorHAnsi"/>
        </w:rPr>
      </w:pPr>
      <w:r>
        <w:rPr>
          <w:rFonts w:eastAsiaTheme="minorHAnsi"/>
        </w:rPr>
        <w:t>(b)</w:t>
      </w:r>
      <w:r>
        <w:rPr>
          <w:rFonts w:eastAsiaTheme="minorHAnsi"/>
        </w:rPr>
        <w:tab/>
      </w:r>
      <w:r w:rsidRPr="00424467">
        <w:rPr>
          <w:rFonts w:eastAsiaTheme="minorHAnsi"/>
        </w:rPr>
        <w:t>Determined in accordance with the ABS GFS manual.</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Tableheading"/>
        <w:rPr>
          <w:rFonts w:eastAsiaTheme="minorHAnsi"/>
        </w:rPr>
      </w:pPr>
      <w:r>
        <w:rPr>
          <w:rFonts w:eastAsiaTheme="minorHAnsi"/>
        </w:rPr>
        <w:t>Table 5.12:</w:t>
      </w:r>
      <w:r>
        <w:rPr>
          <w:rFonts w:eastAsiaTheme="minorHAnsi"/>
        </w:rPr>
        <w:tab/>
        <w:t xml:space="preserve">Net acquisition of non-financial assets – non-financial public sector </w:t>
      </w:r>
      <w:r w:rsidRPr="004D37AD">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1" w:type="dxa"/>
        <w:tblInd w:w="45" w:type="dxa"/>
        <w:tblLayout w:type="fixed"/>
        <w:tblCellMar>
          <w:left w:w="45" w:type="dxa"/>
          <w:right w:w="45" w:type="dxa"/>
        </w:tblCellMar>
        <w:tblLook w:val="06A0" w:firstRow="1" w:lastRow="0" w:firstColumn="1" w:lastColumn="0" w:noHBand="1" w:noVBand="1"/>
      </w:tblPr>
      <w:tblGrid>
        <w:gridCol w:w="3821"/>
        <w:gridCol w:w="788"/>
        <w:gridCol w:w="788"/>
        <w:gridCol w:w="788"/>
        <w:gridCol w:w="788"/>
        <w:gridCol w:w="788"/>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821"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budget</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revised</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2017-18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2018-19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2019-20 </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Purchases of non-financial assets less sales of </w:t>
            </w:r>
            <w:r>
              <w:rPr>
                <w:rFonts w:eastAsiaTheme="minorEastAsia" w:cs="Calibri"/>
                <w:color w:val="000000"/>
                <w:szCs w:val="16"/>
              </w:rPr>
              <w:br/>
              <w:t xml:space="preserve">non-financial assets (including change in inventories </w:t>
            </w:r>
            <w:r w:rsidRPr="00492BFE">
              <w:rPr>
                <w:rFonts w:eastAsiaTheme="minorEastAsia" w:cs="Calibri"/>
                <w:color w:val="000000"/>
                <w:szCs w:val="16"/>
                <w:vertAlign w:val="superscript"/>
              </w:rPr>
              <w:t>(b)</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8 589</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9 568</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9 611</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8 886</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8 030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Less: Depreciation</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(4 863)</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(4 874)</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(5 107)</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(5 436)</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(5 669)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Plus: Other movements in non-financial assets </w:t>
            </w:r>
            <w:r w:rsidRPr="00CC1BAA">
              <w:rPr>
                <w:rFonts w:eastAsiaTheme="minorEastAsia" w:cs="Calibri"/>
                <w:color w:val="000000"/>
                <w:szCs w:val="16"/>
                <w:vertAlign w:val="superscript"/>
              </w:rPr>
              <w:t>(b)(c)</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623</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459</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677</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614</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420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Total net acquisition of non-financial assets </w:t>
            </w:r>
            <w:r w:rsidRPr="00CC1BAA">
              <w:rPr>
                <w:rFonts w:eastAsiaTheme="minorEastAsia" w:cs="Calibri"/>
                <w:b/>
                <w:bCs/>
                <w:color w:val="000000"/>
                <w:szCs w:val="16"/>
                <w:vertAlign w:val="superscript"/>
              </w:rPr>
              <w:t>(b)</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4 349</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5 153</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5 181</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4 065</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2 781</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BD3A79" w:rsidRDefault="00566E9A" w:rsidP="00AE5760">
      <w:pPr>
        <w:pStyle w:val="Notes"/>
        <w:rPr>
          <w:rFonts w:eastAsiaTheme="minorHAnsi"/>
        </w:rPr>
      </w:pPr>
      <w:r w:rsidRPr="00BD3A79">
        <w:rPr>
          <w:rFonts w:eastAsiaTheme="minorHAnsi"/>
        </w:rPr>
        <w:t>(b)</w:t>
      </w:r>
      <w:r w:rsidRPr="00BD3A79">
        <w:rPr>
          <w:rFonts w:eastAsiaTheme="minorHAnsi"/>
        </w:rPr>
        <w:tab/>
      </w:r>
      <w:r w:rsidRPr="00BD3A79">
        <w:rPr>
          <w:rFonts w:eastAsiaTheme="minorHAnsi"/>
          <w:i w:val="0"/>
        </w:rPr>
        <w:t>2016-17 Budget</w:t>
      </w:r>
      <w:r w:rsidRPr="00BD3A79">
        <w:rPr>
          <w:rFonts w:eastAsiaTheme="minorHAnsi"/>
        </w:rPr>
        <w:t xml:space="preserve"> figures have been restated to reflect more current information.</w:t>
      </w:r>
    </w:p>
    <w:p w:rsidR="00566E9A" w:rsidRPr="003A6BA4" w:rsidRDefault="00566E9A" w:rsidP="00AE5760">
      <w:pPr>
        <w:pStyle w:val="Notes"/>
        <w:rPr>
          <w:rFonts w:eastAsiaTheme="minorHAnsi"/>
        </w:rPr>
      </w:pPr>
      <w:r>
        <w:rPr>
          <w:rFonts w:eastAsiaTheme="minorHAnsi"/>
        </w:rPr>
        <w:t>(c)</w:t>
      </w:r>
      <w:r>
        <w:rPr>
          <w:rFonts w:eastAsiaTheme="minorHAnsi"/>
        </w:rPr>
        <w:tab/>
      </w:r>
      <w:r w:rsidRPr="003A6BA4">
        <w:rPr>
          <w:rFonts w:eastAsiaTheme="minorHAnsi"/>
        </w:rPr>
        <w:t>The other movements in non-financial assets in 2016-17 predominantly relate to the recognition of finance lease arrangements for the new Bendigo Hospital project, the New Schools PPP project and the metropolitan Melbourne buses contract. The 2017-18 estimate predominantly relates to the Ravenhall Prison project, the new Bendigo Hospital project and the New Schools PPP project. The 2018-19 and 2019-20 estimates predominantly relate to the High Capacity Metro Trains Project.</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5.13:</w:t>
      </w:r>
      <w:r>
        <w:rPr>
          <w:rFonts w:eastAsiaTheme="minorHAnsi"/>
        </w:rPr>
        <w:tab/>
        <w:t>Public financial corporations sector comprehensive operating statement for the financial year ended 30 June</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6" w:type="dxa"/>
        <w:tblInd w:w="45" w:type="dxa"/>
        <w:tblLayout w:type="fixed"/>
        <w:tblCellMar>
          <w:left w:w="45" w:type="dxa"/>
          <w:right w:w="45" w:type="dxa"/>
        </w:tblCellMar>
        <w:tblLook w:val="06A0" w:firstRow="1" w:lastRow="0" w:firstColumn="1" w:lastColumn="0" w:noHBand="1" w:noVBand="1"/>
      </w:tblPr>
      <w:tblGrid>
        <w:gridCol w:w="3679"/>
        <w:gridCol w:w="216"/>
        <w:gridCol w:w="11"/>
        <w:gridCol w:w="590"/>
        <w:gridCol w:w="6"/>
        <w:gridCol w:w="810"/>
        <w:gridCol w:w="6"/>
        <w:gridCol w:w="810"/>
        <w:gridCol w:w="6"/>
        <w:gridCol w:w="810"/>
        <w:gridCol w:w="6"/>
        <w:gridCol w:w="810"/>
        <w:gridCol w:w="6"/>
      </w:tblGrid>
      <w:tr w:rsidR="00AE5760" w:rsidRPr="00CC1BAA" w:rsidTr="00AE5760">
        <w:trPr>
          <w:gridAfter w:val="1"/>
          <w:cnfStyle w:val="100000000000" w:firstRow="1" w:lastRow="0" w:firstColumn="0" w:lastColumn="0" w:oddVBand="0" w:evenVBand="0" w:oddHBand="0" w:evenHBand="0" w:firstRowFirstColumn="0" w:firstRowLastColumn="0" w:lastRowFirstColumn="0" w:lastRowLastColumn="0"/>
          <w:wAfter w:w="6" w:type="dxa"/>
          <w:trHeight w:val="450"/>
          <w:tblHeader/>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17" w:type="dxa"/>
            <w:gridSpan w:val="3"/>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16" w:type="dxa"/>
            <w:gridSpan w:val="2"/>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16" w:type="dxa"/>
            <w:gridSpan w:val="2"/>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16" w:type="dxa"/>
            <w:gridSpan w:val="2"/>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16" w:type="dxa"/>
            <w:gridSpan w:val="2"/>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Revenue from transactions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revenue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2 453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2 298</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2 183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2 277</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2 283</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Dividends, income tax equivalent and rate equivalent revenue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1 034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1 108</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1 071</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1 164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1 183</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Sales of goods and services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4 336</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4 333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4 530</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4 668</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4 892</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 revenue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revenue</w:t>
            </w:r>
          </w:p>
        </w:tc>
        <w:tc>
          <w:tcPr>
            <w:tcW w:w="817" w:type="dxa"/>
            <w:gridSpan w:val="3"/>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16" w:type="dxa"/>
            <w:gridSpan w:val="2"/>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c>
          <w:tcPr>
            <w:tcW w:w="816" w:type="dxa"/>
            <w:gridSpan w:val="2"/>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24</w:t>
            </w:r>
          </w:p>
        </w:tc>
        <w:tc>
          <w:tcPr>
            <w:tcW w:w="816" w:type="dxa"/>
            <w:gridSpan w:val="2"/>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w:t>
            </w:r>
          </w:p>
        </w:tc>
        <w:tc>
          <w:tcPr>
            <w:tcW w:w="816" w:type="dxa"/>
            <w:gridSpan w:val="2"/>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26</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revenue from transactions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7 844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7 762</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7 808</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8 133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8 384</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Expenses from transactions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Employee expenses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308</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339</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352</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331</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306</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superannuation</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22</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Depreciation</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47</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47</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49</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42</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45</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expense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2 094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1 776</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1 813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1 840</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1 842</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 expense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9</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209</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209</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1 023</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operating expenses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6 294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6 419</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6 704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7 014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7 193</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property expenses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55</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85</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109</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expenses from transactions</w:t>
            </w:r>
          </w:p>
        </w:tc>
        <w:tc>
          <w:tcPr>
            <w:tcW w:w="817" w:type="dxa"/>
            <w:gridSpan w:val="3"/>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8 822</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8 619</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9 168</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9 542</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10 538</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Pr>
                <w:rFonts w:eastAsiaTheme="minorEastAsia" w:cs="Calibri"/>
                <w:b/>
                <w:bCs/>
                <w:color w:val="000000"/>
                <w:szCs w:val="16"/>
              </w:rPr>
              <w:t xml:space="preserve">Net result from transactions – </w:t>
            </w:r>
            <w:r>
              <w:rPr>
                <w:rFonts w:eastAsiaTheme="minorEastAsia" w:cs="Calibri"/>
                <w:b/>
                <w:bCs/>
                <w:color w:val="000000"/>
                <w:szCs w:val="16"/>
              </w:rPr>
              <w:br/>
              <w:t xml:space="preserve">net operating balance </w:t>
            </w:r>
            <w:r w:rsidRPr="00CC1BAA">
              <w:rPr>
                <w:rFonts w:eastAsiaTheme="minorEastAsia" w:cs="Calibri"/>
                <w:b/>
                <w:bCs/>
                <w:color w:val="000000"/>
                <w:szCs w:val="16"/>
                <w:vertAlign w:val="superscript"/>
              </w:rPr>
              <w:t>(a)</w:t>
            </w:r>
          </w:p>
        </w:tc>
        <w:tc>
          <w:tcPr>
            <w:tcW w:w="817" w:type="dxa"/>
            <w:gridSpan w:val="3"/>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(978)</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(857)</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(1 360)</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(1 408)</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(2 154)</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Other economic flows included in net result</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906" w:type="dxa"/>
            <w:gridSpan w:val="3"/>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gain/(loss) on disposal of non-financial assets</w:t>
            </w:r>
          </w:p>
        </w:tc>
        <w:tc>
          <w:tcPr>
            <w:tcW w:w="59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gain/(loss) on financial assets or liabilities at fair value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843</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1 252</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1 070</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898</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gains/(losses) from other economic flows</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654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487</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694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805</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802</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906" w:type="dxa"/>
            <w:gridSpan w:val="3"/>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other economic flows included in net result</w:t>
            </w:r>
          </w:p>
        </w:tc>
        <w:tc>
          <w:tcPr>
            <w:tcW w:w="59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1 496</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1 739</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1 763</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1 599</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1 700</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result</w:t>
            </w:r>
          </w:p>
        </w:tc>
        <w:tc>
          <w:tcPr>
            <w:tcW w:w="817" w:type="dxa"/>
            <w:gridSpan w:val="3"/>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519</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881</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404</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191</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(454)</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Other economic flows –</w:t>
            </w:r>
            <w:r>
              <w:rPr>
                <w:rFonts w:eastAsiaTheme="minorEastAsia" w:cs="Calibri"/>
                <w:b/>
                <w:bCs/>
                <w:color w:val="000000"/>
                <w:szCs w:val="16"/>
              </w:rPr>
              <w:br/>
              <w:t xml:space="preserve"> other comprehensive income</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Items that will not be reclassified to net result</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95" w:type="dxa"/>
            <w:gridSpan w:val="2"/>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Changes in non-financial assets revaluation surplus</w:t>
            </w:r>
          </w:p>
        </w:tc>
        <w:tc>
          <w:tcPr>
            <w:tcW w:w="60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w:t>
            </w:r>
            <w:r w:rsidRPr="00CC1BAA">
              <w:rPr>
                <w:rFonts w:eastAsiaTheme="minorEastAsia" w:cs="Arial"/>
                <w:color w:val="000000"/>
                <w:szCs w:val="18"/>
              </w:rPr>
              <w:t xml:space="preserve"> </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movements in equity</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Total other economic flows – </w:t>
            </w:r>
            <w:r>
              <w:rPr>
                <w:rFonts w:eastAsiaTheme="minorEastAsia" w:cs="Calibri"/>
                <w:b/>
                <w:bCs/>
                <w:color w:val="000000"/>
                <w:szCs w:val="16"/>
              </w:rPr>
              <w:br/>
              <w:t>other comprehensive income</w:t>
            </w:r>
          </w:p>
        </w:tc>
        <w:tc>
          <w:tcPr>
            <w:tcW w:w="817" w:type="dxa"/>
            <w:gridSpan w:val="3"/>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6</w:t>
            </w:r>
          </w:p>
        </w:tc>
        <w:tc>
          <w:tcPr>
            <w:tcW w:w="816"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w:t>
            </w:r>
          </w:p>
        </w:tc>
      </w:tr>
      <w:tr w:rsidR="00566E9A" w:rsidRPr="00CC1BAA" w:rsidTr="00AE5760">
        <w:trPr>
          <w:gridAfter w:val="1"/>
          <w:wAfter w:w="6" w:type="dxa"/>
        </w:trPr>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Comprehensive result – </w:t>
            </w:r>
            <w:r>
              <w:rPr>
                <w:rFonts w:eastAsiaTheme="minorEastAsia" w:cs="Calibri"/>
                <w:b/>
                <w:bCs/>
                <w:color w:val="000000"/>
                <w:szCs w:val="16"/>
              </w:rPr>
              <w:br/>
              <w:t>total change in net worth</w:t>
            </w:r>
          </w:p>
        </w:tc>
        <w:tc>
          <w:tcPr>
            <w:tcW w:w="817" w:type="dxa"/>
            <w:gridSpan w:val="3"/>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514</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881</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402</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197</w:t>
            </w:r>
          </w:p>
        </w:tc>
        <w:tc>
          <w:tcPr>
            <w:tcW w:w="816"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(449)</w:t>
            </w:r>
          </w:p>
        </w:tc>
      </w:tr>
      <w:tr w:rsidR="00566E9A" w:rsidRPr="00CC1BAA" w:rsidTr="00AE5760">
        <w:trPr>
          <w:gridAfter w:val="1"/>
          <w:wAfter w:w="6" w:type="dxa"/>
          <w:trHeight w:hRule="exact" w:val="120"/>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17" w:type="dxa"/>
            <w:gridSpan w:val="3"/>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bl>
    <w:p w:rsidR="00566E9A" w:rsidRDefault="00566E9A" w:rsidP="00AE5760">
      <w:pPr>
        <w:pStyle w:val="Tableheadingcontinued"/>
        <w:pageBreakBefore/>
        <w:spacing w:before="0"/>
        <w:rPr>
          <w:rFonts w:eastAsiaTheme="minorHAnsi"/>
        </w:rPr>
      </w:pPr>
      <w:r>
        <w:rPr>
          <w:rFonts w:eastAsiaTheme="minorHAnsi"/>
        </w:rPr>
        <w:lastRenderedPageBreak/>
        <w:t>Table 5.13:</w:t>
      </w:r>
      <w:r>
        <w:rPr>
          <w:rFonts w:eastAsiaTheme="minorHAnsi"/>
        </w:rPr>
        <w:tab/>
        <w:t>Public financial corporations sector comprehensive operating statement for the financial year ended 30 Jun</w:t>
      </w:r>
      <w:r w:rsidRPr="00CC1BAA">
        <w:rPr>
          <w:rFonts w:eastAsiaTheme="minorHAnsi"/>
          <w:i/>
        </w:rPr>
        <w:t>e (continued)</w:t>
      </w:r>
    </w:p>
    <w:p w:rsidR="00566E9A" w:rsidRDefault="00566E9A" w:rsidP="00AE5760">
      <w:pPr>
        <w:pStyle w:val="million"/>
      </w:pPr>
      <w:r>
        <w:t>($ million)</w:t>
      </w:r>
    </w:p>
    <w:tbl>
      <w:tblPr>
        <w:tblStyle w:val="DTFFinancialTable"/>
        <w:tblW w:w="7760" w:type="dxa"/>
        <w:tblInd w:w="45" w:type="dxa"/>
        <w:tblLayout w:type="fixed"/>
        <w:tblCellMar>
          <w:left w:w="45" w:type="dxa"/>
          <w:right w:w="45" w:type="dxa"/>
        </w:tblCellMar>
        <w:tblLook w:val="06A0" w:firstRow="1" w:lastRow="0" w:firstColumn="1" w:lastColumn="0" w:noHBand="1" w:noVBand="1"/>
      </w:tblPr>
      <w:tblGrid>
        <w:gridCol w:w="3679"/>
        <w:gridCol w:w="817"/>
        <w:gridCol w:w="816"/>
        <w:gridCol w:w="816"/>
        <w:gridCol w:w="816"/>
        <w:gridCol w:w="816"/>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1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KEY FISCAL AGGREGATES</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operating balance</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(978)</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(857)</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(1 360)</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(1 408)</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(2 154)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Less: Net acquisition of non-fin</w:t>
            </w:r>
            <w:r>
              <w:rPr>
                <w:rFonts w:eastAsiaTheme="minorEastAsia" w:cs="Calibri"/>
                <w:color w:val="000000"/>
                <w:szCs w:val="16"/>
              </w:rPr>
              <w:t>ancial assets from transactions</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Pr>
                <w:rFonts w:eastAsiaTheme="minorEastAsia" w:cs="Calibri"/>
                <w:b/>
                <w:bCs/>
                <w:color w:val="000000"/>
                <w:szCs w:val="16"/>
              </w:rPr>
              <w:t>Net lending/(borrowing)</w:t>
            </w:r>
          </w:p>
        </w:tc>
        <w:tc>
          <w:tcPr>
            <w:tcW w:w="8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(986)</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(867)</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(1 375)</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(1 400)</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(2 142)</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BD3A79"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Capital gains on the investment portfolios of the S</w:t>
      </w:r>
      <w:r>
        <w:rPr>
          <w:rFonts w:eastAsiaTheme="minorHAnsi"/>
        </w:rPr>
        <w:t>tate’s insurance agencies (</w:t>
      </w:r>
      <w:proofErr w:type="spellStart"/>
      <w:r>
        <w:rPr>
          <w:rFonts w:eastAsiaTheme="minorHAnsi"/>
        </w:rPr>
        <w:t>WorkS</w:t>
      </w:r>
      <w:r w:rsidRPr="003A6BA4">
        <w:rPr>
          <w:rFonts w:eastAsiaTheme="minorHAnsi"/>
        </w:rPr>
        <w:t>afe</w:t>
      </w:r>
      <w:proofErr w:type="spellEnd"/>
      <w:r w:rsidRPr="003A6BA4">
        <w:rPr>
          <w:rFonts w:eastAsiaTheme="minorHAnsi"/>
        </w:rPr>
        <w:t xml:space="preserve"> Victoria, Transport Accident Commission and Victorian Managed Insurance Authority) are classified as other economic flows. As these capital gains are available to fund claims expenses, the net result provides a more meaningful reflection of the underlying operating and performance of the PFC sector than the net result from transactions.</w:t>
      </w: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5.14:</w:t>
      </w:r>
      <w:r>
        <w:rPr>
          <w:rFonts w:eastAsiaTheme="minorHAnsi"/>
        </w:rPr>
        <w:tab/>
        <w:t>Public financial corporations balance sheet as at 30 June</w:t>
      </w:r>
    </w:p>
    <w:p w:rsidR="00566E9A" w:rsidRPr="002C4BBF"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2C4BBF"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2C4BBF" w:rsidRDefault="00AE5760" w:rsidP="00AE5760">
            <w:pPr>
              <w:autoSpaceDE w:val="0"/>
              <w:autoSpaceDN w:val="0"/>
              <w:adjustRightInd w:val="0"/>
              <w:rPr>
                <w:rFonts w:eastAsiaTheme="minorEastAsia" w:cs="Calibri"/>
                <w:iCs/>
                <w:color w:val="FFFFFF"/>
              </w:rPr>
            </w:pPr>
            <w:r w:rsidRPr="002C4BBF">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2C4BB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2C4BBF">
              <w:rPr>
                <w:rFonts w:eastAsiaTheme="minorEastAsia" w:cs="Calibri"/>
                <w:iCs/>
                <w:color w:val="FFFFFF"/>
                <w:szCs w:val="16"/>
              </w:rPr>
              <w:t>2017</w:t>
            </w:r>
            <w:r>
              <w:rPr>
                <w:rFonts w:eastAsiaTheme="minorEastAsia" w:cs="Calibri"/>
                <w:iCs/>
                <w:color w:val="FFFFFF"/>
                <w:szCs w:val="16"/>
              </w:rPr>
              <w:br/>
            </w:r>
            <w:r w:rsidRPr="002C4BBF">
              <w:rPr>
                <w:rFonts w:eastAsiaTheme="minorEastAsia" w:cs="Calibri"/>
                <w:iCs/>
                <w:color w:val="FFFFFF"/>
                <w:szCs w:val="16"/>
              </w:rPr>
              <w:t xml:space="preserve">budget </w:t>
            </w:r>
            <w:r w:rsidRPr="002C4BBF">
              <w:rPr>
                <w:rFonts w:eastAsiaTheme="minorEastAsia" w:cs="Calibri"/>
                <w:iCs/>
                <w:color w:val="FFFFFF"/>
                <w:szCs w:val="16"/>
                <w:vertAlign w:val="superscript"/>
              </w:rPr>
              <w:t>(a)</w:t>
            </w:r>
          </w:p>
        </w:tc>
        <w:tc>
          <w:tcPr>
            <w:tcW w:w="850" w:type="dxa"/>
            <w:tcBorders>
              <w:top w:val="nil"/>
              <w:left w:val="nil"/>
              <w:right w:val="nil"/>
            </w:tcBorders>
            <w:shd w:val="solid" w:color="000000" w:fill="auto"/>
          </w:tcPr>
          <w:p w:rsidR="00AE5760" w:rsidRPr="002C4BB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2C4BBF">
              <w:rPr>
                <w:rFonts w:eastAsiaTheme="minorEastAsia" w:cs="Calibri"/>
                <w:iCs/>
                <w:color w:val="FFFFFF"/>
                <w:szCs w:val="16"/>
              </w:rPr>
              <w:t>2017</w:t>
            </w:r>
            <w:r>
              <w:rPr>
                <w:rFonts w:eastAsiaTheme="minorEastAsia" w:cs="Calibri"/>
                <w:iCs/>
                <w:color w:val="FFFFFF"/>
                <w:szCs w:val="16"/>
              </w:rPr>
              <w:br/>
            </w:r>
            <w:r w:rsidRPr="002C4BBF">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2C4BB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2C4BBF">
              <w:rPr>
                <w:rFonts w:eastAsiaTheme="minorEastAsia" w:cs="Calibri"/>
                <w:iCs/>
                <w:color w:val="FFFFFF"/>
                <w:szCs w:val="16"/>
              </w:rPr>
              <w:t>2018</w:t>
            </w:r>
            <w:r>
              <w:rPr>
                <w:rFonts w:eastAsiaTheme="minorEastAsia" w:cs="Calibri"/>
                <w:iCs/>
                <w:color w:val="FFFFFF"/>
                <w:szCs w:val="16"/>
              </w:rPr>
              <w:br/>
            </w:r>
            <w:r w:rsidRPr="002C4BBF">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2C4BB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2C4BBF">
              <w:rPr>
                <w:rFonts w:eastAsiaTheme="minorEastAsia" w:cs="Calibri"/>
                <w:iCs/>
                <w:color w:val="FFFFFF"/>
                <w:szCs w:val="16"/>
              </w:rPr>
              <w:t>2019</w:t>
            </w:r>
            <w:r>
              <w:rPr>
                <w:rFonts w:eastAsiaTheme="minorEastAsia" w:cs="Calibri"/>
                <w:iCs/>
                <w:color w:val="FFFFFF"/>
                <w:szCs w:val="16"/>
              </w:rPr>
              <w:br/>
            </w:r>
            <w:r w:rsidRPr="002C4BBF">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2C4BBF"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2C4BBF">
              <w:rPr>
                <w:rFonts w:eastAsiaTheme="minorEastAsia" w:cs="Calibri"/>
                <w:iCs/>
                <w:color w:val="FFFFFF"/>
                <w:szCs w:val="16"/>
              </w:rPr>
              <w:t>2020</w:t>
            </w:r>
            <w:r>
              <w:rPr>
                <w:rFonts w:eastAsiaTheme="minorEastAsia" w:cs="Calibri"/>
                <w:iCs/>
                <w:color w:val="FFFFFF"/>
                <w:szCs w:val="16"/>
              </w:rPr>
              <w:br/>
            </w:r>
            <w:r w:rsidRPr="002C4BBF">
              <w:rPr>
                <w:rFonts w:eastAsiaTheme="minorEastAsia" w:cs="Calibri"/>
                <w:iCs/>
                <w:color w:val="FFFFFF"/>
                <w:szCs w:val="16"/>
              </w:rPr>
              <w:t>estimate</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Assets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Financial assets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Cash and deposits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4 830</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4 731</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4 771</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4 313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3 943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Advances paid</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15</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Investments, loans and placements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34 746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38 058</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35 548</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36 192</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37 085</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vertAlign w:val="superscript"/>
              </w:rPr>
            </w:pPr>
            <w:r w:rsidRPr="002C4BBF">
              <w:rPr>
                <w:rFonts w:eastAsiaTheme="minorEastAsia" w:cs="Calibri"/>
                <w:color w:val="000000"/>
                <w:szCs w:val="16"/>
              </w:rPr>
              <w:t xml:space="preserve">Loans receivable from non-financial public sector </w:t>
            </w:r>
            <w:r w:rsidRPr="002C4BBF">
              <w:rPr>
                <w:rFonts w:eastAsiaTheme="minorEastAsia" w:cs="Calibri"/>
                <w:color w:val="000000"/>
                <w:szCs w:val="16"/>
                <w:vertAlign w:val="superscript"/>
              </w:rPr>
              <w:t>(b)</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32 211</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32 328</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35 597</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39 050</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40 637</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Receivables</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1 950</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1 459</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1 506</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1 559</w:t>
            </w:r>
          </w:p>
        </w:tc>
        <w:tc>
          <w:tcPr>
            <w:tcW w:w="850" w:type="dxa"/>
            <w:tcBorders>
              <w:top w:val="nil"/>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1 602</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Total financial assets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73 752</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76 576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77 422</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81 114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83 267</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Non-financial assets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Land, buildings, infrastructure, plant and equipment</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82</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100</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Other non-financial assets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1 519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1 463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1 333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1 292</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1 215</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Total non-financial assets</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1 601</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1 548</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1 433</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1 386</w:t>
            </w:r>
          </w:p>
        </w:tc>
        <w:tc>
          <w:tcPr>
            <w:tcW w:w="850" w:type="dxa"/>
            <w:tcBorders>
              <w:top w:val="single" w:sz="6" w:space="0" w:color="000000"/>
              <w:left w:val="nil"/>
              <w:bottom w:val="single" w:sz="6"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1 299</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Total assets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75 353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78 125</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78 855</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82 499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84 566</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Liabilities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Deposits held and advances received</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6 694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6 343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5 084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5 166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5 327</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Payables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1 658</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1 671</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1 719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1 825</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1 849</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vertAlign w:val="superscript"/>
              </w:rPr>
            </w:pPr>
            <w:r w:rsidRPr="002C4BBF">
              <w:rPr>
                <w:rFonts w:eastAsiaTheme="minorEastAsia" w:cs="Calibri"/>
                <w:color w:val="000000"/>
                <w:szCs w:val="16"/>
              </w:rPr>
              <w:t xml:space="preserve">Borrowings </w:t>
            </w:r>
            <w:r w:rsidRPr="002C4BBF">
              <w:rPr>
                <w:rFonts w:eastAsiaTheme="minorEastAsia" w:cs="Calibri"/>
                <w:color w:val="000000"/>
                <w:szCs w:val="16"/>
                <w:vertAlign w:val="superscript"/>
              </w:rPr>
              <w:t>(c)</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41 222</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43 641</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44 660</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47 063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48 598</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Employee benefits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98</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90</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95</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98</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Other provisions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29 454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29 594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31 156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32 793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34 507</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Total liabilities</w:t>
            </w:r>
          </w:p>
        </w:tc>
        <w:tc>
          <w:tcPr>
            <w:tcW w:w="850" w:type="dxa"/>
            <w:tcBorders>
              <w:top w:val="single" w:sz="6" w:space="0" w:color="000000"/>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79 126</w:t>
            </w:r>
          </w:p>
        </w:tc>
        <w:tc>
          <w:tcPr>
            <w:tcW w:w="850" w:type="dxa"/>
            <w:tcBorders>
              <w:top w:val="single" w:sz="6" w:space="0" w:color="000000"/>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81 339</w:t>
            </w:r>
          </w:p>
        </w:tc>
        <w:tc>
          <w:tcPr>
            <w:tcW w:w="850" w:type="dxa"/>
            <w:tcBorders>
              <w:top w:val="single" w:sz="6" w:space="0" w:color="000000"/>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82 711</w:t>
            </w:r>
          </w:p>
        </w:tc>
        <w:tc>
          <w:tcPr>
            <w:tcW w:w="850" w:type="dxa"/>
            <w:tcBorders>
              <w:top w:val="single" w:sz="6" w:space="0" w:color="000000"/>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86 942</w:t>
            </w:r>
          </w:p>
        </w:tc>
        <w:tc>
          <w:tcPr>
            <w:tcW w:w="850" w:type="dxa"/>
            <w:tcBorders>
              <w:top w:val="single" w:sz="6" w:space="0" w:color="000000"/>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2C4BBF">
              <w:rPr>
                <w:rFonts w:eastAsiaTheme="minorEastAsia" w:cs="Calibri"/>
                <w:b/>
                <w:bCs/>
                <w:color w:val="000000"/>
                <w:szCs w:val="16"/>
              </w:rPr>
              <w:t>90 379</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rPr>
                <w:rFonts w:eastAsiaTheme="minorEastAsia" w:cs="Calibri"/>
                <w:b/>
                <w:bCs/>
                <w:color w:val="000000"/>
                <w:szCs w:val="16"/>
                <w:vertAlign w:val="superscript"/>
              </w:rPr>
            </w:pPr>
            <w:r w:rsidRPr="002C4BBF">
              <w:rPr>
                <w:rFonts w:eastAsiaTheme="minorEastAsia" w:cs="Calibri"/>
                <w:b/>
                <w:bCs/>
                <w:color w:val="000000"/>
                <w:szCs w:val="16"/>
              </w:rPr>
              <w:t xml:space="preserve">Net assets </w:t>
            </w:r>
            <w:r w:rsidRPr="002C4BBF">
              <w:rPr>
                <w:rFonts w:eastAsiaTheme="minorEastAsia" w:cs="Calibri"/>
                <w:b/>
                <w:bCs/>
                <w:color w:val="000000"/>
                <w:szCs w:val="16"/>
                <w:vertAlign w:val="superscript"/>
              </w:rPr>
              <w:t>(d)</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(3 774)</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(3 215)</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(3 856)</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(4 443)</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(5 814)</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Accumulated surplus/(deficit)</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(3 856)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(3 286)</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(3 903)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(4 490)</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(5 861)</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Reserves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71</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47</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47</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47</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rPr>
                <w:rFonts w:eastAsiaTheme="minorEastAsia" w:cs="Calibri"/>
                <w:b/>
                <w:bCs/>
                <w:color w:val="000000"/>
                <w:szCs w:val="16"/>
                <w:vertAlign w:val="superscript"/>
              </w:rPr>
            </w:pPr>
            <w:r w:rsidRPr="002C4BBF">
              <w:rPr>
                <w:rFonts w:eastAsiaTheme="minorEastAsia" w:cs="Calibri"/>
                <w:b/>
                <w:bCs/>
                <w:color w:val="000000"/>
                <w:szCs w:val="16"/>
              </w:rPr>
              <w:t xml:space="preserve">Net worth </w:t>
            </w:r>
            <w:r w:rsidRPr="002C4BBF">
              <w:rPr>
                <w:rFonts w:eastAsiaTheme="minorEastAsia" w:cs="Calibri"/>
                <w:b/>
                <w:bCs/>
                <w:color w:val="000000"/>
                <w:szCs w:val="16"/>
                <w:vertAlign w:val="superscript"/>
              </w:rPr>
              <w:t>(d)</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(3 774)</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(3 215)</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(3 856)</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(4 443)</w:t>
            </w:r>
          </w:p>
        </w:tc>
        <w:tc>
          <w:tcPr>
            <w:tcW w:w="850" w:type="dxa"/>
            <w:tcBorders>
              <w:top w:val="single" w:sz="6" w:space="0" w:color="000000"/>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(5 814)</w:t>
            </w:r>
          </w:p>
        </w:tc>
      </w:tr>
      <w:tr w:rsidR="00566E9A" w:rsidRPr="002C4BBF"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rPr>
            </w:pPr>
            <w:r w:rsidRPr="002C4BBF">
              <w:rPr>
                <w:rFonts w:eastAsiaTheme="minorEastAsia" w:cs="Calibri"/>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2C4BBF">
              <w:rPr>
                <w:rFonts w:eastAsiaTheme="minorEastAsia" w:cs="Calibri"/>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2C4BBF">
              <w:rPr>
                <w:rFonts w:eastAsiaTheme="minorEastAsia" w:cs="Calibri"/>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2C4BBF">
              <w:rPr>
                <w:rFonts w:eastAsiaTheme="minorEastAsia" w:cs="Calibri"/>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2C4BBF">
              <w:rPr>
                <w:rFonts w:eastAsiaTheme="minorEastAsia" w:cs="Calibri"/>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2C4BBF">
              <w:rPr>
                <w:rFonts w:eastAsiaTheme="minorEastAsia" w:cs="Calibri"/>
                <w:color w:val="000000"/>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b/>
                <w:bCs/>
                <w:color w:val="000000"/>
                <w:szCs w:val="16"/>
              </w:rPr>
            </w:pPr>
            <w:r w:rsidRPr="002C4BBF">
              <w:rPr>
                <w:rFonts w:eastAsiaTheme="minorEastAsia" w:cs="Calibri"/>
                <w:b/>
                <w:bCs/>
                <w:color w:val="000000"/>
                <w:szCs w:val="16"/>
              </w:rPr>
              <w:t>FISCAL AGGREGATES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2C4BBF">
              <w:rPr>
                <w:rFonts w:eastAsiaTheme="minorEastAsia" w:cs="Calibri"/>
                <w:b/>
                <w:bCs/>
                <w:color w:val="000000"/>
              </w:rPr>
              <w:t xml:space="preserve"> </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Net financial worth</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(5 374)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(4 763)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(5 289)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(5 829)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(7 113)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Net financial liabilities</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5 374</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4 763</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5 289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5 829</w:t>
            </w:r>
          </w:p>
        </w:tc>
        <w:tc>
          <w:tcPr>
            <w:tcW w:w="850" w:type="dxa"/>
            <w:tcBorders>
              <w:top w:val="nil"/>
              <w:left w:val="nil"/>
              <w:bottom w:val="nil"/>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2C4BBF">
              <w:rPr>
                <w:rFonts w:eastAsiaTheme="minorEastAsia" w:cs="Calibri"/>
                <w:color w:val="000000"/>
                <w:szCs w:val="16"/>
              </w:rPr>
              <w:t>7 113</w:t>
            </w:r>
          </w:p>
        </w:tc>
      </w:tr>
      <w:tr w:rsidR="00566E9A" w:rsidRPr="002C4BBF"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566E9A" w:rsidRPr="002C4BBF" w:rsidRDefault="00566E9A" w:rsidP="00AE5760">
            <w:pPr>
              <w:autoSpaceDE w:val="0"/>
              <w:autoSpaceDN w:val="0"/>
              <w:adjustRightInd w:val="0"/>
              <w:rPr>
                <w:rFonts w:eastAsiaTheme="minorEastAsia" w:cs="Calibri"/>
                <w:color w:val="000000"/>
                <w:szCs w:val="16"/>
              </w:rPr>
            </w:pPr>
            <w:r w:rsidRPr="002C4BBF">
              <w:rPr>
                <w:rFonts w:eastAsiaTheme="minorEastAsia" w:cs="Calibri"/>
                <w:color w:val="000000"/>
                <w:szCs w:val="16"/>
              </w:rPr>
              <w:t>Net debt</w:t>
            </w:r>
          </w:p>
        </w:tc>
        <w:tc>
          <w:tcPr>
            <w:tcW w:w="850" w:type="dxa"/>
            <w:tcBorders>
              <w:top w:val="nil"/>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(23 885)</w:t>
            </w:r>
          </w:p>
        </w:tc>
        <w:tc>
          <w:tcPr>
            <w:tcW w:w="850" w:type="dxa"/>
            <w:tcBorders>
              <w:top w:val="nil"/>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(25 133)</w:t>
            </w:r>
          </w:p>
        </w:tc>
        <w:tc>
          <w:tcPr>
            <w:tcW w:w="850" w:type="dxa"/>
            <w:tcBorders>
              <w:top w:val="nil"/>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(26 172)</w:t>
            </w:r>
          </w:p>
        </w:tc>
        <w:tc>
          <w:tcPr>
            <w:tcW w:w="850" w:type="dxa"/>
            <w:tcBorders>
              <w:top w:val="nil"/>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(27 326)</w:t>
            </w:r>
          </w:p>
        </w:tc>
        <w:tc>
          <w:tcPr>
            <w:tcW w:w="850" w:type="dxa"/>
            <w:tcBorders>
              <w:top w:val="nil"/>
              <w:left w:val="nil"/>
              <w:bottom w:val="single" w:sz="12" w:space="0" w:color="000000"/>
              <w:right w:val="nil"/>
            </w:tcBorders>
          </w:tcPr>
          <w:p w:rsidR="00566E9A" w:rsidRPr="002C4BB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(27 739)</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Balances represent actual opening balances at 1 July 2016 plus 2016-17 budgeted movements.</w:t>
      </w:r>
    </w:p>
    <w:p w:rsidR="00566E9A" w:rsidRPr="003A6BA4" w:rsidRDefault="00566E9A" w:rsidP="00AE5760">
      <w:pPr>
        <w:pStyle w:val="Notes"/>
        <w:rPr>
          <w:rFonts w:eastAsiaTheme="minorHAnsi"/>
        </w:rPr>
      </w:pPr>
      <w:r>
        <w:rPr>
          <w:rFonts w:eastAsiaTheme="minorHAnsi"/>
        </w:rPr>
        <w:t>(b)</w:t>
      </w:r>
      <w:r>
        <w:rPr>
          <w:rFonts w:eastAsiaTheme="minorHAnsi"/>
        </w:rPr>
        <w:tab/>
      </w:r>
      <w:r w:rsidRPr="003A6BA4">
        <w:rPr>
          <w:rFonts w:eastAsiaTheme="minorHAnsi"/>
        </w:rPr>
        <w:t>Loans receivable from the non-financial public sector are measured at amortised cost.</w:t>
      </w:r>
    </w:p>
    <w:p w:rsidR="00566E9A" w:rsidRPr="003A6BA4" w:rsidRDefault="00566E9A" w:rsidP="00AE5760">
      <w:pPr>
        <w:pStyle w:val="Notes"/>
        <w:rPr>
          <w:rFonts w:eastAsiaTheme="minorHAnsi"/>
        </w:rPr>
      </w:pPr>
      <w:r>
        <w:rPr>
          <w:rFonts w:eastAsiaTheme="minorHAnsi"/>
        </w:rPr>
        <w:t>(c)</w:t>
      </w:r>
      <w:r>
        <w:rPr>
          <w:rFonts w:eastAsiaTheme="minorHAnsi"/>
        </w:rPr>
        <w:tab/>
      </w:r>
      <w:r w:rsidRPr="003A6BA4">
        <w:rPr>
          <w:rFonts w:eastAsiaTheme="minorHAnsi"/>
        </w:rPr>
        <w:t>Borrowings with the private sector are reported at market value.</w:t>
      </w:r>
    </w:p>
    <w:p w:rsidR="00566E9A" w:rsidRPr="003A6BA4" w:rsidRDefault="00566E9A" w:rsidP="00AE5760">
      <w:pPr>
        <w:pStyle w:val="Notes"/>
        <w:rPr>
          <w:rFonts w:eastAsiaTheme="minorHAnsi"/>
        </w:rPr>
      </w:pPr>
      <w:r>
        <w:rPr>
          <w:rFonts w:eastAsiaTheme="minorHAnsi"/>
        </w:rPr>
        <w:t>(d)</w:t>
      </w:r>
      <w:r>
        <w:rPr>
          <w:rFonts w:eastAsiaTheme="minorHAnsi"/>
        </w:rPr>
        <w:tab/>
      </w:r>
      <w:r w:rsidRPr="003A6BA4">
        <w:rPr>
          <w:rFonts w:eastAsiaTheme="minorHAnsi"/>
        </w:rPr>
        <w:t>Treasury Corporation of Victoria’s external loan liabilities are reported at mark-to-market while the corresponding assets that is lending to the non-financial public sector, are reported at historical value. This mismatch results in the negative net asset position of the sector.</w:t>
      </w:r>
    </w:p>
    <w:p w:rsidR="00566E9A" w:rsidRDefault="00566E9A" w:rsidP="00AE5760">
      <w:pPr>
        <w:rPr>
          <w:rFonts w:asciiTheme="majorHAnsi" w:eastAsiaTheme="minorHAnsi" w:hAnsiTheme="majorHAnsi"/>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5.15:</w:t>
      </w:r>
      <w:r>
        <w:rPr>
          <w:rFonts w:eastAsiaTheme="minorHAnsi"/>
        </w:rPr>
        <w:tab/>
        <w:t xml:space="preserve">Public financial corporations sector cash flow statement for the financial year ended 30 June </w:t>
      </w:r>
      <w:r w:rsidRPr="000C3ECA">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flows from operating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Receipts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Sales of goods and services </w:t>
            </w:r>
            <w:r w:rsidRPr="00CC1BAA">
              <w:rPr>
                <w:rFonts w:eastAsiaTheme="minorEastAsia" w:cs="Calibri"/>
                <w:color w:val="000000"/>
                <w:szCs w:val="16"/>
                <w:vertAlign w:val="superscript"/>
              </w:rPr>
              <w:t>(b)</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4 780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4 768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4 988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5 151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5 415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received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2 387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2 238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2 123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2 218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2 225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Dividends, income tax equivalent and </w:t>
            </w:r>
            <w:r>
              <w:rPr>
                <w:rFonts w:eastAsiaTheme="minorEastAsia" w:cs="Calibri"/>
                <w:color w:val="000000"/>
                <w:szCs w:val="16"/>
              </w:rPr>
              <w:br/>
              <w:t>rate equivalent receipts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1 034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1 108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1 071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1 164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1 183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receipts</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47</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32</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26</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receipts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8 264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8 161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8 214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8 560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8 860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Payments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Payments for employees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(306)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(369)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Superannuation</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paid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(2 122)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(1 845)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(1 869)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(1 871)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Grants and subsidies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(209)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(209)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(1 023)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Goods and services </w:t>
            </w:r>
            <w:r w:rsidRPr="00CC1BAA">
              <w:rPr>
                <w:rFonts w:eastAsiaTheme="minorEastAsia" w:cs="Calibri"/>
                <w:color w:val="000000"/>
                <w:szCs w:val="16"/>
                <w:vertAlign w:val="superscript"/>
              </w:rPr>
              <w:t>(b)</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(4 552)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(4 607)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(4 774)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(4 963)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(5 092)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payments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payments</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(7 055)</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(6 811)</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(7 218)</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(7 459)</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(8 468)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cash flows from operating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1 210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1 349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996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1 101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392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flows from investing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Purchases of non-financial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Sales of non-financial assets</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Cash flows from investments in non-financial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cash flows from other investing activities for policy and liquidity purposes</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2 438</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(818)</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381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(3 237)</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(1 515)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cash flows from investing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2 382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(875)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(3 271)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(1 548)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flows from financing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Advances received (net)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borrowings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(2 953)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210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1 030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2 413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1 545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Deposits received (net)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(290)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(1 260)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161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financing (net)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(509)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(1 044)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(922)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cash flows from financing activities</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(3 415)</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(396)</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(1 273)</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1 711</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786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increase/(decrease) in cash and cash equivalents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177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(459)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(370)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Cash and cash equivalents at beginning of reporting period </w:t>
            </w:r>
            <w:r w:rsidRPr="00CC1BAA">
              <w:rPr>
                <w:rFonts w:eastAsiaTheme="minorEastAsia" w:cs="Calibri"/>
                <w:color w:val="000000"/>
                <w:szCs w:val="16"/>
                <w:vertAlign w:val="superscript"/>
              </w:rPr>
              <w:t>(c)</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4 654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4 654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4 731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4 771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4 313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Cash and cash equivalents at end of reporting period </w:t>
            </w:r>
            <w:r w:rsidRPr="00CC1BAA">
              <w:rPr>
                <w:rFonts w:eastAsiaTheme="minorEastAsia" w:cs="Calibri"/>
                <w:b/>
                <w:bCs/>
                <w:color w:val="000000"/>
                <w:szCs w:val="16"/>
                <w:vertAlign w:val="superscript"/>
              </w:rPr>
              <w:t>(c)</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4 830</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4 731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4 771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4 313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3 943</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bl>
    <w:p w:rsidR="00566E9A" w:rsidRDefault="00566E9A" w:rsidP="00AE5760">
      <w:pPr>
        <w:pStyle w:val="Tableheadingcontinued"/>
        <w:pageBreakBefore/>
        <w:spacing w:before="0"/>
        <w:rPr>
          <w:rFonts w:eastAsiaTheme="minorHAnsi"/>
        </w:rPr>
      </w:pPr>
      <w:r>
        <w:rPr>
          <w:rFonts w:eastAsiaTheme="minorHAnsi"/>
        </w:rPr>
        <w:lastRenderedPageBreak/>
        <w:t>Table 5.15:</w:t>
      </w:r>
      <w:r>
        <w:rPr>
          <w:rFonts w:eastAsiaTheme="minorHAnsi"/>
        </w:rPr>
        <w:tab/>
        <w:t>Public financial corporations sector cash flow statement for the financial year ended 30 Jun</w:t>
      </w:r>
      <w:r w:rsidRPr="00CC1BAA">
        <w:rPr>
          <w:rFonts w:eastAsiaTheme="minorHAnsi"/>
          <w:i/>
        </w:rPr>
        <w:t>e (continued)</w:t>
      </w:r>
    </w:p>
    <w:p w:rsidR="00566E9A" w:rsidRDefault="00566E9A" w:rsidP="00AE5760">
      <w:pPr>
        <w:pStyle w:val="million"/>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FISCAL AGGREGATES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cash flows from operating activities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1 210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1 349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996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1 101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392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Dividends paid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(374)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(322)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cash flows from investments in non-financial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surplus/(deficit)</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628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975</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558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883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38</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3A6BA4" w:rsidRDefault="00566E9A" w:rsidP="00AE5760">
      <w:pPr>
        <w:pStyle w:val="Notes"/>
        <w:rPr>
          <w:rFonts w:eastAsiaTheme="minorHAnsi"/>
        </w:rPr>
      </w:pPr>
      <w:r>
        <w:rPr>
          <w:rFonts w:eastAsiaTheme="minorHAnsi"/>
        </w:rPr>
        <w:t>(b)</w:t>
      </w:r>
      <w:r>
        <w:rPr>
          <w:rFonts w:eastAsiaTheme="minorHAnsi"/>
        </w:rPr>
        <w:tab/>
      </w:r>
      <w:r w:rsidRPr="003A6BA4">
        <w:rPr>
          <w:rFonts w:eastAsiaTheme="minorHAnsi"/>
        </w:rPr>
        <w:t>Inclusive of goods and services tax.</w:t>
      </w:r>
    </w:p>
    <w:p w:rsidR="00566E9A" w:rsidRPr="003A6BA4" w:rsidRDefault="00566E9A" w:rsidP="00AE5760">
      <w:pPr>
        <w:pStyle w:val="Notes"/>
        <w:rPr>
          <w:rFonts w:eastAsiaTheme="minorHAnsi"/>
        </w:rPr>
      </w:pPr>
      <w:r>
        <w:rPr>
          <w:rFonts w:eastAsiaTheme="minorHAnsi"/>
        </w:rPr>
        <w:t>(c)</w:t>
      </w:r>
      <w:r>
        <w:rPr>
          <w:rFonts w:eastAsiaTheme="minorHAnsi"/>
        </w:rPr>
        <w:tab/>
      </w:r>
      <w:r w:rsidRPr="003A6BA4">
        <w:rPr>
          <w:rFonts w:eastAsiaTheme="minorHAnsi"/>
          <w:i w:val="0"/>
        </w:rPr>
        <w:t>2016-17 Budget</w:t>
      </w:r>
      <w:r w:rsidRPr="003A6BA4">
        <w:rPr>
          <w:rFonts w:eastAsiaTheme="minorHAnsi"/>
        </w:rPr>
        <w:t xml:space="preserve"> figures have been restated to represent actual opening balances at 1 July 2016.</w:t>
      </w: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5.16:</w:t>
      </w:r>
      <w:r>
        <w:rPr>
          <w:rFonts w:eastAsiaTheme="minorHAnsi"/>
        </w:rPr>
        <w:tab/>
        <w:t>Public financial corporations sector statement of changes in equity</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677"/>
        <w:gridCol w:w="1559"/>
        <w:gridCol w:w="1531"/>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auto"/>
          </w:tcPr>
          <w:p w:rsidR="00566E9A" w:rsidRPr="00CC1BAA" w:rsidRDefault="00566E9A"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1559"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Accumulated surplus/(deficit)</w:t>
            </w:r>
          </w:p>
        </w:tc>
        <w:tc>
          <w:tcPr>
            <w:tcW w:w="153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Pr>
                <w:rFonts w:eastAsiaTheme="minorEastAsia" w:cs="Calibri"/>
                <w:iCs/>
                <w:color w:val="FFFFFF"/>
                <w:szCs w:val="21"/>
              </w:rPr>
              <w:t xml:space="preserve">Contribution </w:t>
            </w:r>
            <w:r>
              <w:rPr>
                <w:rFonts w:eastAsiaTheme="minorEastAsia" w:cs="Calibri"/>
                <w:iCs/>
                <w:color w:val="FFFFFF"/>
                <w:szCs w:val="21"/>
              </w:rPr>
              <w:br/>
              <w:t>by owners</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vertAlign w:val="superscript"/>
              </w:rPr>
            </w:pPr>
            <w:r w:rsidRPr="00CC1BAA">
              <w:rPr>
                <w:rFonts w:eastAsiaTheme="minorEastAsia" w:cs="Calibri"/>
                <w:b/>
                <w:bCs/>
                <w:color w:val="000000"/>
                <w:szCs w:val="21"/>
              </w:rPr>
              <w:t xml:space="preserve">2016-17 budget </w:t>
            </w:r>
            <w:r w:rsidRPr="00CC1BAA">
              <w:rPr>
                <w:rFonts w:eastAsiaTheme="minorEastAsia" w:cs="Calibri"/>
                <w:b/>
                <w:bCs/>
                <w:color w:val="000000"/>
                <w:szCs w:val="21"/>
                <w:vertAlign w:val="superscript"/>
              </w:rPr>
              <w:t>(a)</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(3 849)</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519</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(526)</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55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(3 856)</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45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2016-17 revised</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(3 849)</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881</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(318)</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55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(3 286)</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2017-18 estimate</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2017</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(3 286)</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404</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9</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(374)</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(656)</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656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(670)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2018</w:t>
            </w:r>
          </w:p>
        </w:tc>
        <w:tc>
          <w:tcPr>
            <w:tcW w:w="155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(3 903)</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2018-19 estimate</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2018</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(3 903)</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191</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(183)</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2019</w:t>
            </w:r>
          </w:p>
        </w:tc>
        <w:tc>
          <w:tcPr>
            <w:tcW w:w="155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(4 490)</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2019-20 estimate</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2019</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(4 490)</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(454)</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(322)</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55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53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2020</w:t>
            </w:r>
          </w:p>
        </w:tc>
        <w:tc>
          <w:tcPr>
            <w:tcW w:w="155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(5 861)</w:t>
            </w:r>
          </w:p>
        </w:tc>
        <w:tc>
          <w:tcPr>
            <w:tcW w:w="153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15</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Balances represent actual opening balances at 1 July 2016 plus 2016-17 budgeted movements.</w:t>
      </w:r>
    </w:p>
    <w:p w:rsidR="00566E9A" w:rsidRPr="00B035DD" w:rsidRDefault="00566E9A" w:rsidP="00AE5760">
      <w:pPr>
        <w:pStyle w:val="Tableheading"/>
        <w:rPr>
          <w:rFonts w:eastAsiaTheme="minorHAnsi"/>
        </w:rPr>
      </w:pPr>
    </w:p>
    <w:p w:rsidR="00566E9A" w:rsidRPr="00CC1BAA" w:rsidRDefault="00566E9A" w:rsidP="00AE5760">
      <w:pPr>
        <w:pStyle w:val="million"/>
        <w:rPr>
          <w:rFonts w:eastAsiaTheme="minorHAnsi"/>
          <w:b/>
          <w:bCs/>
          <w:lang w:val="en-US"/>
        </w:rPr>
      </w:pPr>
    </w:p>
    <w:tbl>
      <w:tblPr>
        <w:tblStyle w:val="DTFFinancial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jc w:val="right"/>
              <w:rPr>
                <w:rFonts w:eastAsiaTheme="minorEastAsia" w:cs="Calibri"/>
                <w:iCs/>
                <w:color w:val="FFFFFF"/>
                <w:szCs w:val="21"/>
              </w:rPr>
            </w:pPr>
            <w:r>
              <w:rPr>
                <w:rFonts w:eastAsiaTheme="minorEastAsia" w:cs="Calibri"/>
                <w:iCs/>
                <w:color w:val="FFFFFF"/>
                <w:szCs w:val="21"/>
              </w:rPr>
              <w:t xml:space="preserve">Non-financial assets </w:t>
            </w:r>
            <w:r>
              <w:rPr>
                <w:rFonts w:eastAsiaTheme="minorEastAsia" w:cs="Calibri"/>
                <w:iCs/>
                <w:color w:val="FFFFFF"/>
                <w:szCs w:val="21"/>
              </w:rPr>
              <w:br/>
              <w:t>revaluation surplus</w:t>
            </w:r>
          </w:p>
        </w:tc>
        <w:tc>
          <w:tcPr>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 xml:space="preserve">Other </w:t>
            </w:r>
            <w:r>
              <w:rPr>
                <w:rFonts w:eastAsiaTheme="minorEastAsia" w:cs="Calibri"/>
                <w:iCs/>
                <w:color w:val="FFFFFF"/>
                <w:szCs w:val="21"/>
              </w:rPr>
              <w:br/>
            </w:r>
            <w:r w:rsidRPr="00CC1BAA">
              <w:rPr>
                <w:rFonts w:eastAsiaTheme="minorEastAsia" w:cs="Calibri"/>
                <w:iCs/>
                <w:color w:val="FFFFFF"/>
                <w:szCs w:val="21"/>
              </w:rPr>
              <w:t>reserves</w:t>
            </w:r>
          </w:p>
        </w:tc>
        <w:tc>
          <w:tcPr>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Total</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(3 778)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519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(526)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Pr>
                <w:rFonts w:eastAsiaTheme="minorEastAsia" w:cs="Calibri"/>
                <w:b/>
                <w:bCs/>
                <w:color w:val="000000"/>
                <w:szCs w:val="21"/>
              </w:rPr>
              <w:t>2</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36</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(3 774)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(3 778)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881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(318)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Pr>
                <w:rFonts w:eastAsiaTheme="minorEastAsia" w:cs="Calibri"/>
                <w:b/>
                <w:bCs/>
                <w:color w:val="000000"/>
                <w:szCs w:val="21"/>
              </w:rPr>
              <w:t>2</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41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(3 215)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(3 215)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404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(374)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(670)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Pr>
                <w:rFonts w:eastAsiaTheme="minorEastAsia" w:cs="Calibri"/>
                <w:b/>
                <w:bCs/>
                <w:color w:val="000000"/>
                <w:szCs w:val="21"/>
              </w:rPr>
              <w:t>2</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30</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(3 856)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(3 856)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Pr>
                <w:rFonts w:eastAsiaTheme="minorEastAsia" w:cs="Calibri"/>
                <w:b/>
                <w:bCs/>
                <w:color w:val="000000"/>
                <w:szCs w:val="21"/>
              </w:rPr>
              <w:t>2</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30</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(4 443)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(4 443)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(454)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(322)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(600)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Pr>
                <w:rFonts w:eastAsiaTheme="minorEastAsia" w:cs="Calibri"/>
                <w:b/>
                <w:bCs/>
                <w:color w:val="000000"/>
                <w:szCs w:val="21"/>
              </w:rPr>
              <w:t>2</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31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(5 814)</w:t>
            </w:r>
          </w:p>
        </w:tc>
      </w:tr>
    </w:tbl>
    <w:p w:rsidR="00566E9A" w:rsidRDefault="00566E9A" w:rsidP="00AE5760">
      <w:pPr>
        <w:pStyle w:val="Tableheading"/>
        <w:rPr>
          <w:rFonts w:eastAsiaTheme="minorHAnsi"/>
        </w:rPr>
      </w:pPr>
      <w:r>
        <w:rPr>
          <w:rFonts w:eastAsiaTheme="minorHAnsi"/>
        </w:rPr>
        <w:lastRenderedPageBreak/>
        <w:t>Table 5.17:</w:t>
      </w:r>
      <w:r>
        <w:rPr>
          <w:rFonts w:eastAsiaTheme="minorHAnsi"/>
        </w:rPr>
        <w:tab/>
        <w:t>Derivation of public financial corporations sector GFS cash surplus/(deficit)</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surplus/(deficit)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628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975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558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883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Convergence differences: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Acquisitions under finance leases and </w:t>
            </w:r>
            <w:r>
              <w:rPr>
                <w:rFonts w:eastAsiaTheme="minorEastAsia" w:cs="Calibri"/>
                <w:color w:val="000000"/>
                <w:szCs w:val="16"/>
              </w:rPr>
              <w:br/>
              <w:t>similar arrangements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GFS cash surplus/(deficit) </w:t>
            </w:r>
            <w:r w:rsidRPr="00CC1BAA">
              <w:rPr>
                <w:rFonts w:eastAsiaTheme="minorEastAsia" w:cs="Calibri"/>
                <w:b/>
                <w:bCs/>
                <w:color w:val="000000"/>
                <w:szCs w:val="16"/>
                <w:vertAlign w:val="superscript"/>
              </w:rPr>
              <w:t>(a)</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628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975</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558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883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38</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Determined in accordance with the ABS GFS manual.</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Tableheading"/>
        <w:rPr>
          <w:rFonts w:eastAsiaTheme="minorHAnsi"/>
        </w:rPr>
      </w:pPr>
      <w:r>
        <w:rPr>
          <w:rFonts w:eastAsiaTheme="minorHAnsi"/>
        </w:rPr>
        <w:t>Table 5.18:</w:t>
      </w:r>
      <w:r>
        <w:rPr>
          <w:rFonts w:eastAsiaTheme="minorHAnsi"/>
        </w:rPr>
        <w:tab/>
        <w:t>Net acquisition of non-financial assets – public financial corporations sector</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Purchases of non-financial assets less sales of non-financial assets (including change in inventories)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Less: Depreciation</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Plus: Other movements in non-financial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r w:rsidRPr="00CC1BAA">
              <w:rPr>
                <w:rFonts w:eastAsiaTheme="minorEastAsia" w:cs="Calibri"/>
                <w:color w:val="000000"/>
                <w:szCs w:val="16"/>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net acquisition of non-financial assets</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10</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15</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(12)</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5.19:</w:t>
      </w:r>
      <w:r>
        <w:rPr>
          <w:rFonts w:eastAsiaTheme="minorHAnsi"/>
        </w:rPr>
        <w:tab/>
        <w:t xml:space="preserve">State of Victoria operating statement for the financial year ended 30 June </w:t>
      </w:r>
      <w:r w:rsidRPr="00364338">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685"/>
        <w:gridCol w:w="142"/>
        <w:gridCol w:w="675"/>
        <w:gridCol w:w="816"/>
        <w:gridCol w:w="816"/>
        <w:gridCol w:w="816"/>
        <w:gridCol w:w="817"/>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17" w:type="dxa"/>
            <w:gridSpan w:val="2"/>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1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Revenue from transactions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Taxation revenue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21 200</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21 254</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21 117</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22 238</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23 105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revenue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753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830</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812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836</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841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Pr>
                <w:rFonts w:eastAsiaTheme="minorEastAsia" w:cs="Calibri"/>
                <w:color w:val="000000"/>
                <w:szCs w:val="16"/>
              </w:rPr>
              <w:t xml:space="preserve">Dividends, income tax equivalent and </w:t>
            </w:r>
            <w:r>
              <w:rPr>
                <w:rFonts w:eastAsiaTheme="minorEastAsia" w:cs="Calibri"/>
                <w:color w:val="000000"/>
                <w:szCs w:val="16"/>
              </w:rPr>
              <w:br/>
              <w:t>rate equivalent revenue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1 079</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1 143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1 112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1 205</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1 224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Sales of goods and services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14 425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14 472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14 968</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15 441</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15 797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 revenue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27 256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27 455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28 424</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30 292</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30 183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revenue</w:t>
            </w:r>
          </w:p>
        </w:tc>
        <w:tc>
          <w:tcPr>
            <w:tcW w:w="817" w:type="dxa"/>
            <w:gridSpan w:val="2"/>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3 072</w:t>
            </w:r>
          </w:p>
        </w:tc>
        <w:tc>
          <w:tcPr>
            <w:tcW w:w="816"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3 152</w:t>
            </w:r>
          </w:p>
        </w:tc>
        <w:tc>
          <w:tcPr>
            <w:tcW w:w="816"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2 829</w:t>
            </w:r>
          </w:p>
        </w:tc>
        <w:tc>
          <w:tcPr>
            <w:tcW w:w="816"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2 809</w:t>
            </w:r>
          </w:p>
        </w:tc>
        <w:tc>
          <w:tcPr>
            <w:tcW w:w="817"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2 842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revenue from transactions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67 786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68 306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69 261</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72 821</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73 993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Expenses from transactions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Employee expenses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22 368</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22 669</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23 534</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24 756</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25 427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superannuation interest expense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791</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692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647</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623</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superannuation</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2 362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2 455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2 476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2 522</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2 584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Depreciation</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4 911</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4 922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5 156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5 478</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5 713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Interest expense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2 979</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2 562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2 669</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2 698</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2 680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Grant expense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6 496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7 475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7 185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7 876</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7 864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operating expenses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27 505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27 933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28 944</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29 450</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29 595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expenses from transactions</w:t>
            </w:r>
          </w:p>
        </w:tc>
        <w:tc>
          <w:tcPr>
            <w:tcW w:w="817"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67 412</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68 707</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70 611</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73 403</w:t>
            </w:r>
          </w:p>
        </w:tc>
        <w:tc>
          <w:tcPr>
            <w:tcW w:w="817"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74 463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Net result from transactions – </w:t>
            </w:r>
            <w:r>
              <w:rPr>
                <w:rFonts w:eastAsiaTheme="minorEastAsia" w:cs="Calibri"/>
                <w:b/>
                <w:bCs/>
                <w:color w:val="000000"/>
                <w:szCs w:val="16"/>
              </w:rPr>
              <w:br/>
              <w:t>net operating balance</w:t>
            </w:r>
          </w:p>
        </w:tc>
        <w:tc>
          <w:tcPr>
            <w:tcW w:w="817"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374</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(401)</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(1 350)</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(583)</w:t>
            </w:r>
          </w:p>
        </w:tc>
        <w:tc>
          <w:tcPr>
            <w:tcW w:w="817"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(470)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7" w:type="dxa"/>
            <w:gridSpan w:val="2"/>
            <w:tcBorders>
              <w:top w:val="single" w:sz="12"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other economic flows included in net result</w:t>
            </w:r>
          </w:p>
        </w:tc>
        <w:tc>
          <w:tcPr>
            <w:tcW w:w="675"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1 191</w:t>
            </w:r>
          </w:p>
        </w:tc>
        <w:tc>
          <w:tcPr>
            <w:tcW w:w="816"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1 728</w:t>
            </w:r>
          </w:p>
        </w:tc>
        <w:tc>
          <w:tcPr>
            <w:tcW w:w="816"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1 713</w:t>
            </w:r>
          </w:p>
        </w:tc>
        <w:tc>
          <w:tcPr>
            <w:tcW w:w="816"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1 431</w:t>
            </w:r>
          </w:p>
        </w:tc>
        <w:tc>
          <w:tcPr>
            <w:tcW w:w="817" w:type="dxa"/>
            <w:tcBorders>
              <w:top w:val="single" w:sz="12"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1 544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result</w:t>
            </w:r>
          </w:p>
        </w:tc>
        <w:tc>
          <w:tcPr>
            <w:tcW w:w="817"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1 564</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1 327</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363</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Pr>
                <w:rFonts w:eastAsiaTheme="minorEastAsia" w:cs="Arial"/>
                <w:b/>
                <w:bCs/>
                <w:color w:val="000000"/>
                <w:szCs w:val="18"/>
              </w:rPr>
              <w:t>849</w:t>
            </w:r>
          </w:p>
        </w:tc>
        <w:tc>
          <w:tcPr>
            <w:tcW w:w="8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1 074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rPr>
            </w:pPr>
            <w:r w:rsidRPr="00CC1BAA">
              <w:rPr>
                <w:rFonts w:eastAsiaTheme="minorEastAsia" w:cs="Calibri"/>
                <w:b/>
                <w:bCs/>
                <w:color w:val="000000"/>
                <w:szCs w:val="16"/>
              </w:rPr>
              <w:t>Other economic flows – other comprehensive income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Items that will not be reclassified to net result</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7" w:type="dxa"/>
            <w:gridSpan w:val="2"/>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Changes in non-financial assets revaluation surplus</w:t>
            </w:r>
          </w:p>
        </w:tc>
        <w:tc>
          <w:tcPr>
            <w:tcW w:w="675"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2 790</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449</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7 091</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3 104</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7 443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proofErr w:type="spellStart"/>
            <w:r w:rsidRPr="00CC1BAA">
              <w:rPr>
                <w:rFonts w:eastAsiaTheme="minorEastAsia" w:cs="Calibri"/>
                <w:color w:val="000000"/>
                <w:szCs w:val="16"/>
              </w:rPr>
              <w:t>Remeasurement</w:t>
            </w:r>
            <w:proofErr w:type="spellEnd"/>
            <w:r w:rsidRPr="00CC1BAA">
              <w:rPr>
                <w:rFonts w:eastAsiaTheme="minorEastAsia" w:cs="Calibri"/>
                <w:color w:val="000000"/>
                <w:szCs w:val="16"/>
              </w:rPr>
              <w:t xml:space="preserve"> of superannuation defined benefits plans</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873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1 032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1 053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1 071</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sidRPr="00CC1BAA">
              <w:rPr>
                <w:rFonts w:eastAsiaTheme="minorEastAsia" w:cs="Arial"/>
                <w:color w:val="000000"/>
                <w:szCs w:val="18"/>
              </w:rPr>
              <w:t>1 088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movements in equity</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187</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131</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25</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rPr>
            </w:pPr>
            <w:r w:rsidRPr="00CC1BAA">
              <w:rPr>
                <w:rFonts w:eastAsiaTheme="minorEastAsia" w:cs="Calibri"/>
                <w:b/>
                <w:bCs/>
                <w:color w:val="000000"/>
                <w:szCs w:val="16"/>
              </w:rPr>
              <w:t>Items that may be reclassified subsequently to net result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gain/(loss) on financial assets at fair value</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5</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13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2</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rPr>
            </w:pPr>
            <w:r>
              <w:rPr>
                <w:rFonts w:eastAsiaTheme="minorEastAsia" w:cs="Arial"/>
                <w:color w:val="000000"/>
                <w:szCs w:val="18"/>
              </w:rPr>
              <w:t>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Pr>
                <w:rFonts w:eastAsiaTheme="minorEastAsia" w:cs="Calibri"/>
                <w:b/>
                <w:bCs/>
                <w:color w:val="000000"/>
                <w:szCs w:val="16"/>
              </w:rPr>
              <w:t xml:space="preserve">Total other economic flows – </w:t>
            </w:r>
            <w:r>
              <w:rPr>
                <w:rFonts w:eastAsiaTheme="minorEastAsia" w:cs="Calibri"/>
                <w:b/>
                <w:bCs/>
                <w:color w:val="000000"/>
                <w:szCs w:val="16"/>
              </w:rPr>
              <w:br/>
              <w:t>other comprehensive income</w:t>
            </w:r>
          </w:p>
        </w:tc>
        <w:tc>
          <w:tcPr>
            <w:tcW w:w="817" w:type="dxa"/>
            <w:gridSpan w:val="2"/>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3 855</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1 624</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8 133</w:t>
            </w:r>
          </w:p>
        </w:tc>
        <w:tc>
          <w:tcPr>
            <w:tcW w:w="816"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4 203</w:t>
            </w:r>
          </w:p>
        </w:tc>
        <w:tc>
          <w:tcPr>
            <w:tcW w:w="817"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8 521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27" w:type="dxa"/>
            <w:gridSpan w:val="2"/>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Comprehensive result – total change in net worth</w:t>
            </w:r>
          </w:p>
        </w:tc>
        <w:tc>
          <w:tcPr>
            <w:tcW w:w="67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5 420</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2 952</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8 496</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5 051</w:t>
            </w:r>
          </w:p>
        </w:tc>
        <w:tc>
          <w:tcPr>
            <w:tcW w:w="8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rPr>
            </w:pPr>
            <w:r w:rsidRPr="00CC1BAA">
              <w:rPr>
                <w:rFonts w:eastAsiaTheme="minorEastAsia" w:cs="Arial"/>
                <w:b/>
                <w:bCs/>
                <w:color w:val="000000"/>
                <w:szCs w:val="18"/>
              </w:rPr>
              <w:t>9 596</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17" w:type="dxa"/>
            <w:gridSpan w:val="2"/>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bl>
    <w:p w:rsidR="00566E9A" w:rsidRDefault="00566E9A" w:rsidP="00AE5760">
      <w:pPr>
        <w:pStyle w:val="Tableheadingcontinued"/>
        <w:pageBreakBefore/>
        <w:spacing w:before="0"/>
        <w:rPr>
          <w:rFonts w:eastAsiaTheme="minorHAnsi"/>
        </w:rPr>
      </w:pPr>
      <w:r>
        <w:rPr>
          <w:rFonts w:eastAsiaTheme="minorHAnsi"/>
        </w:rPr>
        <w:lastRenderedPageBreak/>
        <w:t>Table 5.19:</w:t>
      </w:r>
      <w:r>
        <w:rPr>
          <w:rFonts w:eastAsiaTheme="minorHAnsi"/>
        </w:rPr>
        <w:tab/>
        <w:t>State of Victoria operating statement for the financial year ended 30 Jun</w:t>
      </w:r>
      <w:r w:rsidRPr="00CC1BAA">
        <w:rPr>
          <w:rFonts w:eastAsiaTheme="minorHAnsi"/>
          <w:i/>
        </w:rPr>
        <w:t>e (continued)</w:t>
      </w:r>
    </w:p>
    <w:p w:rsidR="00566E9A" w:rsidRDefault="00566E9A" w:rsidP="00AE5760">
      <w:pPr>
        <w:pStyle w:val="million"/>
      </w:pPr>
      <w: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3685"/>
        <w:gridCol w:w="817"/>
        <w:gridCol w:w="816"/>
        <w:gridCol w:w="816"/>
        <w:gridCol w:w="816"/>
        <w:gridCol w:w="817"/>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1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budget</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2016-17</w:t>
            </w:r>
            <w:r>
              <w:rPr>
                <w:rFonts w:eastAsiaTheme="minorEastAsia" w:cs="Calibri"/>
                <w:iCs/>
                <w:color w:val="FFFFFF"/>
                <w:szCs w:val="16"/>
              </w:rPr>
              <w:br/>
            </w:r>
            <w:r w:rsidRPr="00CC1BAA">
              <w:rPr>
                <w:rFonts w:eastAsiaTheme="minorEastAsia" w:cs="Calibri"/>
                <w:iCs/>
                <w:color w:val="FFFFFF"/>
                <w:szCs w:val="16"/>
              </w:rPr>
              <w:t>revised</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2017-18</w:t>
            </w:r>
            <w:r>
              <w:rPr>
                <w:rFonts w:eastAsiaTheme="minorEastAsia" w:cs="Calibri"/>
                <w:iCs/>
                <w:color w:val="FFFFFF"/>
                <w:szCs w:val="16"/>
              </w:rPr>
              <w:br/>
            </w:r>
            <w:r w:rsidRPr="00CC1BAA">
              <w:rPr>
                <w:rFonts w:eastAsiaTheme="minorEastAsia" w:cs="Calibri"/>
                <w:iCs/>
                <w:color w:val="FFFFFF"/>
                <w:szCs w:val="16"/>
              </w:rPr>
              <w:t>estimate</w:t>
            </w:r>
          </w:p>
        </w:tc>
        <w:tc>
          <w:tcPr>
            <w:tcW w:w="816"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2018-19</w:t>
            </w:r>
            <w:r>
              <w:rPr>
                <w:rFonts w:eastAsiaTheme="minorEastAsia" w:cs="Calibri"/>
                <w:iCs/>
                <w:color w:val="FFFFFF"/>
                <w:szCs w:val="16"/>
              </w:rPr>
              <w:br/>
            </w:r>
            <w:r w:rsidRPr="00CC1BAA">
              <w:rPr>
                <w:rFonts w:eastAsiaTheme="minorEastAsia" w:cs="Calibri"/>
                <w:iCs/>
                <w:color w:val="FFFFFF"/>
                <w:szCs w:val="16"/>
              </w:rPr>
              <w:t>estimate</w:t>
            </w:r>
          </w:p>
        </w:tc>
        <w:tc>
          <w:tcPr>
            <w:tcW w:w="817"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2019-20</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KEY FISCAL AGGREGATES</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operating balance</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374</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(401)</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(1 350)</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(583)</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(470)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Less: Net acquisition of non-financial assets from transactions </w:t>
            </w:r>
            <w:r w:rsidRPr="00CC1BAA">
              <w:rPr>
                <w:rFonts w:eastAsiaTheme="minorEastAsia" w:cs="Calibri"/>
                <w:color w:val="000000"/>
                <w:szCs w:val="16"/>
                <w:vertAlign w:val="superscript"/>
              </w:rPr>
              <w:t>(b)</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4 357</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5 163</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5 196</w:t>
            </w:r>
          </w:p>
        </w:tc>
        <w:tc>
          <w:tcPr>
            <w:tcW w:w="816"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4 057</w:t>
            </w:r>
          </w:p>
        </w:tc>
        <w:tc>
          <w:tcPr>
            <w:tcW w:w="817"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2 769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Net lending/(borrowing) </w:t>
            </w:r>
            <w:r w:rsidRPr="00CC1BAA">
              <w:rPr>
                <w:rFonts w:eastAsiaTheme="minorEastAsia" w:cs="Calibri"/>
                <w:b/>
                <w:bCs/>
                <w:color w:val="000000"/>
                <w:szCs w:val="16"/>
                <w:vertAlign w:val="superscript"/>
              </w:rPr>
              <w:t>(b)</w:t>
            </w:r>
          </w:p>
        </w:tc>
        <w:tc>
          <w:tcPr>
            <w:tcW w:w="8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(3 984)</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(5 564)</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(6 546)</w:t>
            </w:r>
          </w:p>
        </w:tc>
        <w:tc>
          <w:tcPr>
            <w:tcW w:w="816"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(4 639)</w:t>
            </w:r>
          </w:p>
        </w:tc>
        <w:tc>
          <w:tcPr>
            <w:tcW w:w="81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(3 239)</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A67304" w:rsidRDefault="00566E9A" w:rsidP="00AE5760">
      <w:pPr>
        <w:pStyle w:val="Notes"/>
        <w:rPr>
          <w:rFonts w:eastAsiaTheme="minorHAnsi"/>
        </w:rPr>
      </w:pPr>
      <w:r w:rsidRPr="00A67304">
        <w:rPr>
          <w:rFonts w:eastAsiaTheme="minorHAnsi"/>
        </w:rPr>
        <w:t>(b)</w:t>
      </w:r>
      <w:r w:rsidRPr="00A67304">
        <w:rPr>
          <w:rFonts w:eastAsiaTheme="minorHAnsi"/>
        </w:rPr>
        <w:tab/>
      </w:r>
      <w:r w:rsidRPr="00A67304">
        <w:rPr>
          <w:rFonts w:eastAsiaTheme="minorHAnsi"/>
          <w:i w:val="0"/>
        </w:rPr>
        <w:t>2016-17 Budget</w:t>
      </w:r>
      <w:r w:rsidRPr="00A67304">
        <w:rPr>
          <w:rFonts w:eastAsiaTheme="minorHAnsi"/>
        </w:rPr>
        <w:t xml:space="preserve"> figures have been restated to reflect more current information.</w:t>
      </w: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 xml:space="preserve">Table 5.20: </w:t>
      </w:r>
      <w:r>
        <w:rPr>
          <w:rFonts w:eastAsiaTheme="minorHAnsi"/>
        </w:rPr>
        <w:tab/>
        <w:t>State of Victoria balance sheet as at 30 June</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 </w:t>
            </w:r>
            <w:r>
              <w:rPr>
                <w:rFonts w:eastAsiaTheme="minorEastAsia" w:cs="Calibri"/>
                <w:iCs/>
                <w:color w:val="FFFFFF"/>
                <w:szCs w:val="16"/>
              </w:rPr>
              <w:br/>
            </w:r>
            <w:r w:rsidRPr="00CC1BAA">
              <w:rPr>
                <w:rFonts w:eastAsiaTheme="minorEastAsia" w:cs="Calibri"/>
                <w:iCs/>
                <w:color w:val="FFFFFF"/>
                <w:szCs w:val="16"/>
              </w:rPr>
              <w:t xml:space="preserve">budget </w:t>
            </w:r>
            <w:r w:rsidRPr="00CC1BAA">
              <w:rPr>
                <w:rFonts w:eastAsiaTheme="minorEastAsia" w:cs="Calibri"/>
                <w:iCs/>
                <w:color w:val="FFFFFF"/>
                <w:szCs w:val="16"/>
                <w:vertAlign w:val="superscript"/>
              </w:rPr>
              <w:t>(a)</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 </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2018 </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2019 </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2020 </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Cash and deposits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7 116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7 387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7 526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7 279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7 199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Advances paid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163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142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133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Receivables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8 050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7 821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7 993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8 303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8 644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loans and placements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36 963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40 389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37 947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38 673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39 652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Investments accounted for using equity method</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1 925</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1 931</w:t>
            </w:r>
          </w:p>
        </w:tc>
        <w:tc>
          <w:tcPr>
            <w:tcW w:w="850" w:type="dxa"/>
            <w:tcBorders>
              <w:top w:val="nil"/>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1 932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54 198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57 681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55 533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56 319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57 552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Non-financial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Inventories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875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723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1 218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1 248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1 486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Non-financial assets held for sale</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192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180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178</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Land, buildings, infrastructure, plant and equipment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233 534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232 349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244 349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251 790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261 913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non-financial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2 325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2 335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2 233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2 152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2 012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non-financial assets</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236 926</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235 588</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247 976</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255 367</w:t>
            </w:r>
          </w:p>
        </w:tc>
        <w:tc>
          <w:tcPr>
            <w:tcW w:w="850" w:type="dxa"/>
            <w:tcBorders>
              <w:top w:val="single" w:sz="6" w:space="0" w:color="000000"/>
              <w:left w:val="nil"/>
              <w:bottom w:val="single" w:sz="6"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265 589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assets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291 124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293 268</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303 509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311 686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323 141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Liabilities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Deposits held and advances received</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2 629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1 724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1 726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1 727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1 725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Payables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13 500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16 745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16 465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16 282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15 906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Borrowings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51 295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53 723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55 081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57 675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59 200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Employee benefits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7 037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7 021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7 273</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7 550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7 760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Superannuation</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28 517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28 306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27 197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25 997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24 756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Other provisions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30 435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30 555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32 079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33 715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35 457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Total liabilities</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133 414</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138 075</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139 820</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142 945</w:t>
            </w:r>
          </w:p>
        </w:tc>
        <w:tc>
          <w:tcPr>
            <w:tcW w:w="850" w:type="dxa"/>
            <w:tcBorders>
              <w:top w:val="single" w:sz="6" w:space="0" w:color="000000"/>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144 804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assets</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157 711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155 193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163 689</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168 741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178 336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Accumulated surplus/(deficit)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62 925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67 022</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68 416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70 339</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72 460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Reserves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94 736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88 171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95 274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98 401</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105 876</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Non-controlling interest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50</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Net worth</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157 711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155 193</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163 689</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168 741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178 336</w:t>
            </w:r>
          </w:p>
        </w:tc>
      </w:tr>
      <w:tr w:rsidR="00566E9A" w:rsidRPr="00CC1BAA"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FISCAL AGGREGATES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CC1BAA">
              <w:rPr>
                <w:rFonts w:eastAsiaTheme="minorEastAsia" w:cs="Calibri"/>
                <w:b/>
                <w:bCs/>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financial worth</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(79 216)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(80 394)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(84 286)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(86 626)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(87 253)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financial liabilities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79 216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80 394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84 286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86 626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87 253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Net debt</w:t>
            </w:r>
          </w:p>
        </w:tc>
        <w:tc>
          <w:tcPr>
            <w:tcW w:w="850"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9 697</w:t>
            </w:r>
          </w:p>
        </w:tc>
        <w:tc>
          <w:tcPr>
            <w:tcW w:w="850"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7 510</w:t>
            </w:r>
          </w:p>
        </w:tc>
        <w:tc>
          <w:tcPr>
            <w:tcW w:w="850"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11 192</w:t>
            </w:r>
          </w:p>
        </w:tc>
        <w:tc>
          <w:tcPr>
            <w:tcW w:w="850"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13 316</w:t>
            </w:r>
          </w:p>
        </w:tc>
        <w:tc>
          <w:tcPr>
            <w:tcW w:w="850" w:type="dxa"/>
            <w:tcBorders>
              <w:top w:val="nil"/>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13 949</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Balances represent actual opening balances at 1 July 2016 plus 2016-17 budgeted movements.</w:t>
      </w:r>
    </w:p>
    <w:p w:rsidR="00566E9A" w:rsidRDefault="00566E9A">
      <w:pPr>
        <w:spacing w:after="0"/>
        <w:rPr>
          <w:rFonts w:asciiTheme="majorHAnsi" w:eastAsiaTheme="minorHAnsi" w:hAnsiTheme="majorHAnsi"/>
          <w:b/>
        </w:rPr>
      </w:pPr>
      <w:r>
        <w:rPr>
          <w:rFonts w:eastAsiaTheme="minorHAnsi"/>
        </w:rPr>
        <w:br w:type="page"/>
      </w:r>
    </w:p>
    <w:p w:rsidR="00566E9A" w:rsidRDefault="00CA50C5" w:rsidP="00AE5760">
      <w:pPr>
        <w:pStyle w:val="Tableheading"/>
        <w:rPr>
          <w:rFonts w:eastAsiaTheme="minorHAnsi"/>
        </w:rPr>
      </w:pPr>
      <w:r>
        <w:rPr>
          <w:rFonts w:eastAsiaTheme="minorHAnsi"/>
        </w:rPr>
        <w:lastRenderedPageBreak/>
        <w:t>Table 5.</w:t>
      </w:r>
      <w:r w:rsidR="00566E9A">
        <w:rPr>
          <w:rFonts w:eastAsiaTheme="minorHAnsi"/>
        </w:rPr>
        <w:t>21:</w:t>
      </w:r>
      <w:r w:rsidR="00566E9A">
        <w:rPr>
          <w:rFonts w:eastAsiaTheme="minorHAnsi"/>
        </w:rPr>
        <w:tab/>
        <w:t xml:space="preserve">State of Victoria cash flow statement for the financial year ended 30 June </w:t>
      </w:r>
      <w:r w:rsidR="00566E9A" w:rsidRPr="00A64E8D">
        <w:rPr>
          <w:rFonts w:eastAsiaTheme="minorHAnsi"/>
          <w:vertAlign w:val="superscript"/>
        </w:rPr>
        <w:t>(a)</w:t>
      </w:r>
    </w:p>
    <w:p w:rsidR="00566E9A" w:rsidRPr="00DA4DFC"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DA4DFC"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DA4DFC" w:rsidRDefault="00AE5760" w:rsidP="00AE5760">
            <w:pPr>
              <w:autoSpaceDE w:val="0"/>
              <w:autoSpaceDN w:val="0"/>
              <w:adjustRightInd w:val="0"/>
              <w:rPr>
                <w:rFonts w:eastAsiaTheme="minorEastAsia" w:cs="Calibri"/>
                <w:iCs/>
                <w:color w:val="FFFFFF"/>
              </w:rPr>
            </w:pPr>
            <w:r w:rsidRPr="00DA4DFC">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2016-17 </w:t>
            </w:r>
            <w:r>
              <w:rPr>
                <w:rFonts w:eastAsiaTheme="minorEastAsia" w:cs="Calibri"/>
                <w:iCs/>
                <w:color w:val="FFFFFF"/>
                <w:szCs w:val="16"/>
              </w:rPr>
              <w:br/>
            </w:r>
            <w:r w:rsidRPr="00DA4DFC">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2016-17 </w:t>
            </w:r>
            <w:r>
              <w:rPr>
                <w:rFonts w:eastAsiaTheme="minorEastAsia" w:cs="Calibri"/>
                <w:iCs/>
                <w:color w:val="FFFFFF"/>
                <w:szCs w:val="16"/>
              </w:rPr>
              <w:br/>
            </w:r>
            <w:r w:rsidRPr="00DA4DFC">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2017-18 </w:t>
            </w:r>
            <w:r>
              <w:rPr>
                <w:rFonts w:eastAsiaTheme="minorEastAsia" w:cs="Calibri"/>
                <w:iCs/>
                <w:color w:val="FFFFFF"/>
                <w:szCs w:val="16"/>
              </w:rPr>
              <w:br/>
            </w:r>
            <w:r w:rsidRPr="00DA4DFC">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2018-19 </w:t>
            </w:r>
            <w:r>
              <w:rPr>
                <w:rFonts w:eastAsiaTheme="minorEastAsia" w:cs="Calibri"/>
                <w:iCs/>
                <w:color w:val="FFFFFF"/>
                <w:szCs w:val="16"/>
              </w:rPr>
              <w:br/>
            </w:r>
            <w:r w:rsidRPr="00DA4DFC">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2019-20 </w:t>
            </w:r>
            <w:r>
              <w:rPr>
                <w:rFonts w:eastAsiaTheme="minorEastAsia" w:cs="Calibri"/>
                <w:iCs/>
                <w:color w:val="FFFFFF"/>
                <w:szCs w:val="16"/>
              </w:rPr>
              <w:br/>
            </w:r>
            <w:r w:rsidRPr="00DA4DFC">
              <w:rPr>
                <w:rFonts w:eastAsiaTheme="minorEastAsia" w:cs="Calibri"/>
                <w:iCs/>
                <w:color w:val="FFFFFF"/>
                <w:szCs w:val="16"/>
              </w:rPr>
              <w:t>estimate</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Cash flows from operating activities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Receipts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Taxes received</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21 089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21 148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20 979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22 060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22 937</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Grants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27 277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27 202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28 411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30 287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30 183</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vertAlign w:val="superscript"/>
              </w:rPr>
            </w:pPr>
            <w:r w:rsidRPr="00DA4DFC">
              <w:rPr>
                <w:rFonts w:eastAsiaTheme="minorEastAsia" w:cs="Calibri"/>
                <w:color w:val="000000"/>
                <w:szCs w:val="16"/>
              </w:rPr>
              <w:t xml:space="preserve">Sales of goods and services </w:t>
            </w:r>
            <w:r w:rsidRPr="00DA4DFC">
              <w:rPr>
                <w:rFonts w:eastAsiaTheme="minorEastAsia" w:cs="Calibri"/>
                <w:color w:val="000000"/>
                <w:szCs w:val="16"/>
                <w:vertAlign w:val="superscript"/>
              </w:rPr>
              <w:t>(b)</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21 857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25 048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16 688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17 083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17 398</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Interest received</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703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763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794</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 xml:space="preserve">Dividends, income tax equivalent and </w:t>
            </w:r>
            <w:r>
              <w:rPr>
                <w:rFonts w:eastAsiaTheme="minorEastAsia" w:cs="Calibri"/>
                <w:color w:val="000000"/>
                <w:szCs w:val="16"/>
              </w:rPr>
              <w:br/>
            </w:r>
            <w:r w:rsidRPr="00DA4DFC">
              <w:rPr>
                <w:rFonts w:eastAsiaTheme="minorEastAsia" w:cs="Calibri"/>
                <w:color w:val="000000"/>
                <w:szCs w:val="16"/>
              </w:rPr>
              <w:t>rate equivalent receipts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1 079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1 142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1 112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1 205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1 224</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Other receipts</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1 936</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1 951</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2 223</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2 007</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2 088</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Total receipts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73 941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77 280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70 174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73 431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74 624</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Payments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Payments for employees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(21 980)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(22 296)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(23 287)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(24 524)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(25 263)</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Superannuation</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(3 117)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(3 163)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(3 179)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(3 278)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(3 340)</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Interest paid</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(2 982)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(2 568)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(2 657)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(2 687)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(2 669)</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Grants and subsidies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(6 289)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(7 015)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(7 002)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(7 726)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(7 768)</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vertAlign w:val="superscript"/>
              </w:rPr>
            </w:pPr>
            <w:r w:rsidRPr="00DA4DFC">
              <w:rPr>
                <w:rFonts w:eastAsiaTheme="minorEastAsia" w:cs="Calibri"/>
                <w:color w:val="000000"/>
                <w:szCs w:val="16"/>
              </w:rPr>
              <w:t xml:space="preserve">Goods and services </w:t>
            </w:r>
            <w:r w:rsidRPr="00DA4DFC">
              <w:rPr>
                <w:rFonts w:eastAsiaTheme="minorEastAsia" w:cs="Calibri"/>
                <w:color w:val="000000"/>
                <w:szCs w:val="16"/>
                <w:vertAlign w:val="superscript"/>
              </w:rPr>
              <w:t>(b)</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(26 341)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(26 707)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(27 923)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(28 121)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(28 151)</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Other payments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(630)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(701)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(661)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(717)</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Total payments</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(61 340)</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(62 450)</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(64 709)</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(67 010)</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(67 909)</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Net cash flows from operating activities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12 601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14 830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5 465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6 422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6 715</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Cash flows from investing activities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 xml:space="preserve">Net cash flows from investments in </w:t>
            </w:r>
            <w:r>
              <w:rPr>
                <w:rFonts w:eastAsiaTheme="minorEastAsia" w:cs="Calibri"/>
                <w:color w:val="000000"/>
                <w:szCs w:val="16"/>
              </w:rPr>
              <w:br/>
            </w:r>
            <w:r w:rsidRPr="00DA4DFC">
              <w:rPr>
                <w:rFonts w:eastAsiaTheme="minorEastAsia" w:cs="Calibri"/>
                <w:color w:val="000000"/>
                <w:szCs w:val="16"/>
              </w:rPr>
              <w:t xml:space="preserve">non-financial assets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(8 604)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(9 585)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(9 709)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(8 916)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(8 058)</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Net cash flows from investments in financial assets for policy purposes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124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118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78</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Net cash flows from investment in financial assets for liquidity management purposes</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(504)</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(3 778)</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3 593</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150</w:t>
            </w:r>
          </w:p>
        </w:tc>
        <w:tc>
          <w:tcPr>
            <w:tcW w:w="850" w:type="dxa"/>
            <w:tcBorders>
              <w:top w:val="nil"/>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 xml:space="preserve">Net cash flows from investing activities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(8 984)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(13 245)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(6 042)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(8 672)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(7 975)</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Cash flows from financing activities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Advances received (net)</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Net borrowings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(3 178)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28</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715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1 996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1 179</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Deposits received (net)</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(903)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(2)</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Net cash flows from financing activities</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(3 177)</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(875)</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717</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1 997</w:t>
            </w:r>
          </w:p>
        </w:tc>
        <w:tc>
          <w:tcPr>
            <w:tcW w:w="850" w:type="dxa"/>
            <w:tcBorders>
              <w:top w:val="single" w:sz="6" w:space="0" w:color="000000"/>
              <w:left w:val="nil"/>
              <w:bottom w:val="single" w:sz="6"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1 177</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Net increase/(decrease) in cash and cash equivalents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440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710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139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(253)</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(83)</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vertAlign w:val="superscript"/>
              </w:rPr>
            </w:pPr>
            <w:r w:rsidRPr="00DA4DFC">
              <w:rPr>
                <w:rFonts w:eastAsiaTheme="minorEastAsia" w:cs="Calibri"/>
                <w:color w:val="000000"/>
                <w:szCs w:val="16"/>
              </w:rPr>
              <w:t xml:space="preserve">Cash and cash equivalents at beginning of reporting period </w:t>
            </w:r>
            <w:r w:rsidRPr="00DA4DFC">
              <w:rPr>
                <w:rFonts w:eastAsiaTheme="minorEastAsia" w:cs="Calibri"/>
                <w:color w:val="000000"/>
                <w:szCs w:val="16"/>
                <w:vertAlign w:val="superscript"/>
              </w:rPr>
              <w:t>(c)</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6 676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6 676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7 387</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7 526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7 273</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rPr>
                <w:rFonts w:eastAsiaTheme="minorEastAsia" w:cs="Calibri"/>
                <w:b/>
                <w:bCs/>
                <w:color w:val="000000"/>
                <w:szCs w:val="16"/>
                <w:vertAlign w:val="superscript"/>
              </w:rPr>
            </w:pPr>
            <w:r w:rsidRPr="00DA4DFC">
              <w:rPr>
                <w:rFonts w:eastAsiaTheme="minorEastAsia" w:cs="Calibri"/>
                <w:b/>
                <w:bCs/>
                <w:color w:val="000000"/>
                <w:szCs w:val="16"/>
              </w:rPr>
              <w:t xml:space="preserve">Cash and cash equivalents at end of reporting period </w:t>
            </w:r>
            <w:r w:rsidRPr="00DA4DFC">
              <w:rPr>
                <w:rFonts w:eastAsiaTheme="minorEastAsia" w:cs="Calibri"/>
                <w:b/>
                <w:bCs/>
                <w:color w:val="000000"/>
                <w:szCs w:val="16"/>
                <w:vertAlign w:val="superscript"/>
              </w:rPr>
              <w:t>(c)(d)</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7 116</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7 387</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7 526</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7 273</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7 190</w:t>
            </w:r>
          </w:p>
        </w:tc>
      </w:tr>
      <w:tr w:rsidR="00566E9A" w:rsidRPr="00DA4DFC" w:rsidTr="00AE5760">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rPr>
            </w:pPr>
            <w:r w:rsidRPr="00DA4DFC">
              <w:rPr>
                <w:rFonts w:eastAsiaTheme="minorEastAsia" w:cs="Calibri"/>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DA4DFC">
              <w:rPr>
                <w:rFonts w:eastAsiaTheme="minorEastAsia" w:cs="Calibri"/>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DA4DFC">
              <w:rPr>
                <w:rFonts w:eastAsiaTheme="minorEastAsia" w:cs="Calibri"/>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DA4DFC">
              <w:rPr>
                <w:rFonts w:eastAsiaTheme="minorEastAsia" w:cs="Calibri"/>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DA4DFC">
              <w:rPr>
                <w:rFonts w:eastAsiaTheme="minorEastAsia" w:cs="Calibri"/>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DA4DFC">
              <w:rPr>
                <w:rFonts w:eastAsiaTheme="minorEastAsia" w:cs="Calibri"/>
                <w:color w:val="000000"/>
              </w:rPr>
              <w:t xml:space="preserve"> </w:t>
            </w:r>
          </w:p>
        </w:tc>
      </w:tr>
    </w:tbl>
    <w:p w:rsidR="00566E9A" w:rsidRDefault="00CA50C5" w:rsidP="00AE5760">
      <w:pPr>
        <w:pStyle w:val="Tableheadingcontinued"/>
        <w:pageBreakBefore/>
        <w:spacing w:before="0"/>
        <w:rPr>
          <w:rFonts w:eastAsiaTheme="minorHAnsi"/>
        </w:rPr>
      </w:pPr>
      <w:r>
        <w:rPr>
          <w:rFonts w:eastAsiaTheme="minorHAnsi"/>
        </w:rPr>
        <w:lastRenderedPageBreak/>
        <w:t>Table 5.</w:t>
      </w:r>
      <w:r w:rsidR="00566E9A">
        <w:rPr>
          <w:rFonts w:eastAsiaTheme="minorHAnsi"/>
        </w:rPr>
        <w:t>21:</w:t>
      </w:r>
      <w:r w:rsidR="00566E9A">
        <w:rPr>
          <w:rFonts w:eastAsiaTheme="minorHAnsi"/>
        </w:rPr>
        <w:tab/>
        <w:t>State of Victoria cash flow statement for the financial year ended 30 Jun</w:t>
      </w:r>
      <w:r w:rsidR="00566E9A" w:rsidRPr="00DA4DFC">
        <w:rPr>
          <w:rFonts w:eastAsiaTheme="minorHAnsi"/>
          <w:i/>
        </w:rPr>
        <w:t>e (continued)</w:t>
      </w:r>
    </w:p>
    <w:p w:rsidR="00566E9A" w:rsidRDefault="00566E9A" w:rsidP="00AE5760">
      <w:pPr>
        <w:pStyle w:val="million"/>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DA4DFC"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DA4DFC" w:rsidRDefault="00AE5760" w:rsidP="00AE5760">
            <w:pPr>
              <w:autoSpaceDE w:val="0"/>
              <w:autoSpaceDN w:val="0"/>
              <w:adjustRightInd w:val="0"/>
              <w:rPr>
                <w:rFonts w:eastAsiaTheme="minorEastAsia" w:cs="Calibri"/>
                <w:iCs/>
                <w:color w:val="FFFFFF"/>
              </w:rPr>
            </w:pPr>
            <w:r w:rsidRPr="00DA4DFC">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2016-17 </w:t>
            </w:r>
            <w:r>
              <w:rPr>
                <w:rFonts w:eastAsiaTheme="minorEastAsia" w:cs="Calibri"/>
                <w:iCs/>
                <w:color w:val="FFFFFF"/>
                <w:szCs w:val="16"/>
              </w:rPr>
              <w:br/>
            </w:r>
            <w:r w:rsidRPr="00DA4DFC">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2016-17 </w:t>
            </w:r>
            <w:r>
              <w:rPr>
                <w:rFonts w:eastAsiaTheme="minorEastAsia" w:cs="Calibri"/>
                <w:iCs/>
                <w:color w:val="FFFFFF"/>
                <w:szCs w:val="16"/>
              </w:rPr>
              <w:br/>
            </w:r>
            <w:r w:rsidRPr="00DA4DFC">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2017-18 </w:t>
            </w:r>
            <w:r>
              <w:rPr>
                <w:rFonts w:eastAsiaTheme="minorEastAsia" w:cs="Calibri"/>
                <w:iCs/>
                <w:color w:val="FFFFFF"/>
                <w:szCs w:val="16"/>
              </w:rPr>
              <w:br/>
            </w:r>
            <w:r w:rsidRPr="00DA4DFC">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2018-19 </w:t>
            </w:r>
            <w:r>
              <w:rPr>
                <w:rFonts w:eastAsiaTheme="minorEastAsia" w:cs="Calibri"/>
                <w:iCs/>
                <w:color w:val="FFFFFF"/>
                <w:szCs w:val="16"/>
              </w:rPr>
              <w:br/>
            </w:r>
            <w:r w:rsidRPr="00DA4DFC">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DA4DFC"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DA4DFC">
              <w:rPr>
                <w:rFonts w:eastAsiaTheme="minorEastAsia" w:cs="Calibri"/>
                <w:iCs/>
                <w:color w:val="FFFFFF"/>
                <w:szCs w:val="16"/>
              </w:rPr>
              <w:t xml:space="preserve">2019-20 </w:t>
            </w:r>
            <w:r>
              <w:rPr>
                <w:rFonts w:eastAsiaTheme="minorEastAsia" w:cs="Calibri"/>
                <w:iCs/>
                <w:color w:val="FFFFFF"/>
                <w:szCs w:val="16"/>
              </w:rPr>
              <w:br/>
            </w:r>
            <w:r w:rsidRPr="00DA4DFC">
              <w:rPr>
                <w:rFonts w:eastAsiaTheme="minorEastAsia" w:cs="Calibri"/>
                <w:iCs/>
                <w:color w:val="FFFFFF"/>
                <w:szCs w:val="16"/>
              </w:rPr>
              <w:t>estimate</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FISCAL AGGREGATES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rPr>
            </w:pPr>
            <w:r w:rsidRPr="00DA4DFC">
              <w:rPr>
                <w:rFonts w:eastAsiaTheme="minorEastAsia" w:cs="Calibri"/>
                <w:b/>
                <w:bCs/>
                <w:color w:val="000000"/>
              </w:rPr>
              <w:t xml:space="preserve"> </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Net cash flows from operating activities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12 601</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14 830</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5 465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6 422</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DA4DFC">
              <w:rPr>
                <w:rFonts w:eastAsiaTheme="minorEastAsia" w:cs="Calibri"/>
                <w:color w:val="000000"/>
                <w:szCs w:val="16"/>
              </w:rPr>
              <w:t>6 715</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DA4DFC" w:rsidRDefault="00566E9A" w:rsidP="00AE5760">
            <w:pPr>
              <w:autoSpaceDE w:val="0"/>
              <w:autoSpaceDN w:val="0"/>
              <w:adjustRightInd w:val="0"/>
              <w:rPr>
                <w:rFonts w:eastAsiaTheme="minorEastAsia" w:cs="Calibri"/>
                <w:color w:val="000000"/>
                <w:szCs w:val="16"/>
              </w:rPr>
            </w:pPr>
            <w:r w:rsidRPr="00DA4DFC">
              <w:rPr>
                <w:rFonts w:eastAsiaTheme="minorEastAsia" w:cs="Calibri"/>
                <w:color w:val="000000"/>
                <w:szCs w:val="16"/>
              </w:rPr>
              <w:t xml:space="preserve">Net cash flows from investments in </w:t>
            </w:r>
            <w:r>
              <w:rPr>
                <w:rFonts w:eastAsiaTheme="minorEastAsia" w:cs="Calibri"/>
                <w:color w:val="000000"/>
                <w:szCs w:val="16"/>
              </w:rPr>
              <w:br/>
            </w:r>
            <w:r w:rsidRPr="00DA4DFC">
              <w:rPr>
                <w:rFonts w:eastAsiaTheme="minorEastAsia" w:cs="Calibri"/>
                <w:color w:val="000000"/>
                <w:szCs w:val="16"/>
              </w:rPr>
              <w:t>non-financial assets</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(8 604)</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(9 585)</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(9 709)</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(8 916)</w:t>
            </w:r>
          </w:p>
        </w:tc>
        <w:tc>
          <w:tcPr>
            <w:tcW w:w="850" w:type="dxa"/>
            <w:tcBorders>
              <w:top w:val="nil"/>
              <w:left w:val="nil"/>
              <w:bottom w:val="nil"/>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(8 058)</w:t>
            </w:r>
          </w:p>
        </w:tc>
      </w:tr>
      <w:tr w:rsidR="00566E9A" w:rsidRPr="00DA4DFC"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rPr>
                <w:rFonts w:eastAsiaTheme="minorEastAsia" w:cs="Calibri"/>
                <w:b/>
                <w:bCs/>
                <w:color w:val="000000"/>
                <w:szCs w:val="16"/>
              </w:rPr>
            </w:pPr>
            <w:r w:rsidRPr="00DA4DFC">
              <w:rPr>
                <w:rFonts w:eastAsiaTheme="minorEastAsia" w:cs="Calibri"/>
                <w:b/>
                <w:bCs/>
                <w:color w:val="000000"/>
                <w:szCs w:val="16"/>
              </w:rPr>
              <w:t>Cash surplus/(deficit)</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3 997</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DA4DFC">
              <w:rPr>
                <w:rFonts w:eastAsiaTheme="minorEastAsia" w:cs="Calibri"/>
                <w:b/>
                <w:bCs/>
                <w:color w:val="000000"/>
                <w:szCs w:val="16"/>
              </w:rPr>
              <w:t>5 245</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(4 244)</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(2 494)</w:t>
            </w:r>
          </w:p>
        </w:tc>
        <w:tc>
          <w:tcPr>
            <w:tcW w:w="850" w:type="dxa"/>
            <w:tcBorders>
              <w:top w:val="single" w:sz="6" w:space="0" w:color="000000"/>
              <w:left w:val="nil"/>
              <w:bottom w:val="single" w:sz="12" w:space="0" w:color="000000"/>
              <w:right w:val="nil"/>
            </w:tcBorders>
          </w:tcPr>
          <w:p w:rsidR="00566E9A" w:rsidRPr="00DA4DF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(1 343)</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3A6BA4" w:rsidRDefault="00566E9A" w:rsidP="00AE5760">
      <w:pPr>
        <w:pStyle w:val="Notes"/>
        <w:rPr>
          <w:rFonts w:eastAsiaTheme="minorHAnsi"/>
        </w:rPr>
      </w:pPr>
      <w:r>
        <w:rPr>
          <w:rFonts w:eastAsiaTheme="minorHAnsi"/>
        </w:rPr>
        <w:t>(b)</w:t>
      </w:r>
      <w:r>
        <w:rPr>
          <w:rFonts w:eastAsiaTheme="minorHAnsi"/>
        </w:rPr>
        <w:tab/>
      </w:r>
      <w:r w:rsidRPr="003A6BA4">
        <w:rPr>
          <w:rFonts w:eastAsiaTheme="minorHAnsi"/>
        </w:rPr>
        <w:t>Inclusive of goods and services tax.</w:t>
      </w:r>
    </w:p>
    <w:p w:rsidR="00566E9A" w:rsidRDefault="00566E9A" w:rsidP="00AE5760">
      <w:pPr>
        <w:pStyle w:val="Notes"/>
        <w:rPr>
          <w:rFonts w:eastAsiaTheme="minorHAnsi"/>
        </w:rPr>
      </w:pPr>
      <w:r w:rsidRPr="004D550A">
        <w:rPr>
          <w:rFonts w:eastAsiaTheme="minorHAnsi"/>
        </w:rPr>
        <w:t>(c)</w:t>
      </w:r>
      <w:r>
        <w:rPr>
          <w:rFonts w:eastAsiaTheme="minorHAnsi"/>
          <w:i w:val="0"/>
        </w:rPr>
        <w:tab/>
      </w:r>
      <w:r w:rsidRPr="005A06BD">
        <w:rPr>
          <w:rFonts w:eastAsiaTheme="minorHAnsi"/>
          <w:i w:val="0"/>
        </w:rPr>
        <w:t>2016-17 Budget</w:t>
      </w:r>
      <w:r w:rsidRPr="003A6BA4">
        <w:rPr>
          <w:rFonts w:eastAsiaTheme="minorHAnsi"/>
        </w:rPr>
        <w:t xml:space="preserve"> figures have been restated to represent actual opening balances at 1 July 2016.</w:t>
      </w:r>
    </w:p>
    <w:p w:rsidR="00566E9A" w:rsidRDefault="00566E9A" w:rsidP="00AE5760">
      <w:pPr>
        <w:pStyle w:val="Notes"/>
        <w:rPr>
          <w:rFonts w:eastAsiaTheme="minorHAnsi"/>
        </w:rPr>
      </w:pPr>
      <w:r>
        <w:rPr>
          <w:rFonts w:eastAsiaTheme="minorHAnsi"/>
        </w:rPr>
        <w:t>(d)</w:t>
      </w:r>
      <w:r>
        <w:rPr>
          <w:rFonts w:eastAsiaTheme="minorHAnsi"/>
        </w:rPr>
        <w:tab/>
        <w:t>Cash and cash equivalents at the end of the reporting period does not equal cash and deposits on the balance sheet. This is due to overdrafts being included in the cash flow statement balances.</w:t>
      </w:r>
    </w:p>
    <w:p w:rsidR="00566E9A" w:rsidRDefault="00566E9A">
      <w:pPr>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5.22:</w:t>
      </w:r>
      <w:r>
        <w:rPr>
          <w:rFonts w:eastAsiaTheme="minorHAnsi"/>
        </w:rPr>
        <w:tab/>
        <w:t xml:space="preserve">State of Victoria statement of </w:t>
      </w:r>
      <w:r w:rsidRPr="00E643BC">
        <w:rPr>
          <w:rFonts w:eastAsiaTheme="minorHAnsi"/>
        </w:rPr>
        <w:t>changes</w:t>
      </w:r>
      <w:r>
        <w:rPr>
          <w:rFonts w:eastAsiaTheme="minorHAnsi"/>
        </w:rPr>
        <w:t xml:space="preserve"> in equity</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677"/>
        <w:gridCol w:w="1701"/>
        <w:gridCol w:w="1389"/>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auto"/>
          </w:tcPr>
          <w:p w:rsidR="00566E9A" w:rsidRPr="00CC1BAA" w:rsidRDefault="00566E9A"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170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Accumulated surplus/(deficit)</w:t>
            </w:r>
          </w:p>
        </w:tc>
        <w:tc>
          <w:tcPr>
            <w:tcW w:w="1389"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Non-controlling interest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vertAlign w:val="superscript"/>
              </w:rPr>
            </w:pPr>
            <w:r w:rsidRPr="00CC1BAA">
              <w:rPr>
                <w:rFonts w:eastAsiaTheme="minorEastAsia" w:cs="Calibri"/>
                <w:b/>
                <w:bCs/>
                <w:color w:val="000000"/>
                <w:szCs w:val="21"/>
              </w:rPr>
              <w:t xml:space="preserve">2016-17 budget </w:t>
            </w:r>
            <w:r w:rsidRPr="00CC1BAA">
              <w:rPr>
                <w:rFonts w:eastAsiaTheme="minorEastAsia" w:cs="Calibri"/>
                <w:b/>
                <w:bCs/>
                <w:color w:val="000000"/>
                <w:szCs w:val="21"/>
                <w:vertAlign w:val="superscript"/>
              </w:rPr>
              <w:t>(a)</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56 233</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1 564</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1 034</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4 094</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62 925</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2016-17 revised</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2016</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56 234</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1 327</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1 122</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8 340</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2017</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67 022</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2017-18 estimate</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2017</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67 022</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363</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1 031</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2018</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68 416</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2018-19 estimate</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2018</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68 416</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849</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1 075</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2019</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70 339</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2019-20 estimate</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Balance at 1 July 2019</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70 339</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Net result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1 074</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Other comprehensive income for the year</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1 047</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Dividends paid</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Transfer to/(from) accumulated surplus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21"/>
              </w:rPr>
            </w:pPr>
            <w:r w:rsidRPr="00CC1BAA">
              <w:rPr>
                <w:rFonts w:eastAsiaTheme="minorEastAsia" w:cs="Calibri"/>
                <w:color w:val="000000"/>
                <w:szCs w:val="21"/>
              </w:rPr>
              <w:t>Transactions with owners in their capacity as owners</w:t>
            </w:r>
          </w:p>
        </w:tc>
        <w:tc>
          <w:tcPr>
            <w:tcW w:w="170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1389"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21"/>
              </w:rPr>
            </w:pPr>
            <w:r w:rsidRPr="00CC1BAA">
              <w:rPr>
                <w:rFonts w:eastAsiaTheme="minorEastAsia" w:cs="Calibri"/>
                <w:b/>
                <w:bCs/>
                <w:color w:val="000000"/>
                <w:szCs w:val="21"/>
              </w:rPr>
              <w:t>Total equity as at 30 June 2020</w:t>
            </w:r>
          </w:p>
        </w:tc>
        <w:tc>
          <w:tcPr>
            <w:tcW w:w="170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72 460</w:t>
            </w:r>
          </w:p>
        </w:tc>
        <w:tc>
          <w:tcPr>
            <w:tcW w:w="1389"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Pr>
                <w:rFonts w:eastAsiaTheme="minorEastAsia" w:cs="Calibri"/>
                <w:b/>
                <w:bCs/>
                <w:color w:val="000000"/>
                <w:szCs w:val="21"/>
              </w:rPr>
              <w:t>..</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Balances represent actual opening balances at 1 July 2016 plus 2016-17 budgeted movements.</w:t>
      </w:r>
    </w:p>
    <w:p w:rsidR="00566E9A" w:rsidRDefault="00566E9A" w:rsidP="00AE5760">
      <w:pPr>
        <w:pStyle w:val="Tableheading"/>
        <w:rPr>
          <w:rFonts w:eastAsiaTheme="minorHAnsi"/>
        </w:rPr>
      </w:pPr>
    </w:p>
    <w:p w:rsidR="00566E9A" w:rsidRPr="00CC1BAA" w:rsidRDefault="00566E9A" w:rsidP="00AE5760">
      <w:pPr>
        <w:pStyle w:val="million"/>
        <w:rPr>
          <w:rFonts w:eastAsiaTheme="minorHAnsi"/>
          <w:b/>
          <w:bCs/>
          <w:lang w:val="en-US"/>
        </w:rPr>
      </w:pPr>
    </w:p>
    <w:tbl>
      <w:tblPr>
        <w:tblStyle w:val="DTFFinancial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566E9A" w:rsidRPr="00CC1BA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jc w:val="right"/>
              <w:rPr>
                <w:rFonts w:eastAsiaTheme="minorEastAsia" w:cs="Calibri"/>
                <w:iCs/>
                <w:color w:val="FFFFFF"/>
                <w:szCs w:val="21"/>
              </w:rPr>
            </w:pPr>
            <w:r>
              <w:rPr>
                <w:rFonts w:eastAsiaTheme="minorEastAsia" w:cs="Calibri"/>
                <w:iCs/>
                <w:color w:val="FFFFFF"/>
                <w:szCs w:val="21"/>
              </w:rPr>
              <w:t xml:space="preserve">Non-financial assets </w:t>
            </w:r>
            <w:r>
              <w:rPr>
                <w:rFonts w:eastAsiaTheme="minorEastAsia" w:cs="Calibri"/>
                <w:iCs/>
                <w:color w:val="FFFFFF"/>
                <w:szCs w:val="21"/>
              </w:rPr>
              <w:br/>
              <w:t>revaluation surplus</w:t>
            </w:r>
          </w:p>
        </w:tc>
        <w:tc>
          <w:tcPr>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 xml:space="preserve">Other </w:t>
            </w:r>
            <w:r>
              <w:rPr>
                <w:rFonts w:eastAsiaTheme="minorEastAsia" w:cs="Calibri"/>
                <w:iCs/>
                <w:color w:val="FFFFFF"/>
                <w:szCs w:val="21"/>
              </w:rPr>
              <w:br/>
            </w:r>
            <w:r w:rsidRPr="00CC1BAA">
              <w:rPr>
                <w:rFonts w:eastAsiaTheme="minorEastAsia" w:cs="Calibri"/>
                <w:iCs/>
                <w:color w:val="FFFFFF"/>
                <w:szCs w:val="21"/>
              </w:rPr>
              <w:t>reserves</w:t>
            </w:r>
          </w:p>
        </w:tc>
        <w:tc>
          <w:tcPr>
            <w:tcW w:w="2591" w:type="dxa"/>
            <w:tcBorders>
              <w:top w:val="nil"/>
              <w:left w:val="nil"/>
              <w:bottom w:val="nil"/>
              <w:right w:val="nil"/>
            </w:tcBorders>
            <w:shd w:val="solid" w:color="000000" w:fill="auto"/>
          </w:tcPr>
          <w:p w:rsidR="00566E9A" w:rsidRPr="00CC1BA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rPr>
            </w:pPr>
            <w:r w:rsidRPr="00CC1BAA">
              <w:rPr>
                <w:rFonts w:eastAsiaTheme="minorEastAsia" w:cs="Calibri"/>
                <w:iCs/>
                <w:color w:val="FFFFFF"/>
                <w:szCs w:val="21"/>
              </w:rPr>
              <w:t>Total</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94 965</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1 042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152 291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1 564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2 790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3 855</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(4 094)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93 661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1 074</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157 711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94 965</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1 042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152 291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1 327</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449</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1 624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(8 340)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(50)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87 075</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1 096</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155 193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87 075</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1 096</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155 193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363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7 091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12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8 133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94 166</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1 108</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163 689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94 166</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1 108</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163 689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849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3 104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24</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4 203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97 270</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1 131</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168 741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b/>
                <w:bCs/>
                <w:color w:val="000000"/>
              </w:rPr>
            </w:pPr>
            <w:r w:rsidRPr="00CC1BAA">
              <w:rPr>
                <w:rFonts w:eastAsiaTheme="minorEastAsia" w:cs="Calibri"/>
                <w:b/>
                <w:bCs/>
                <w:color w:val="000000"/>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97 270</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1 131</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168 741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1 074</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sidRPr="00CC1BAA">
              <w:rPr>
                <w:rFonts w:eastAsiaTheme="minorEastAsia" w:cs="Calibri"/>
                <w:color w:val="000000"/>
                <w:szCs w:val="21"/>
              </w:rPr>
              <w:t>7 443</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32</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sidRPr="00CC1BAA">
              <w:rPr>
                <w:rFonts w:eastAsiaTheme="minorEastAsia" w:cs="Calibri"/>
                <w:color w:val="000000"/>
                <w:szCs w:val="21"/>
              </w:rPr>
              <w:t>8 521</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566E9A" w:rsidRPr="00CC1BAA" w:rsidRDefault="00566E9A" w:rsidP="00AE5760">
            <w:pPr>
              <w:autoSpaceDE w:val="0"/>
              <w:autoSpaceDN w:val="0"/>
              <w:adjustRightInd w:val="0"/>
              <w:jc w:val="right"/>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c>
          <w:tcPr>
            <w:tcW w:w="2591"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rPr>
            </w:pPr>
            <w:r>
              <w:rPr>
                <w:rFonts w:eastAsiaTheme="minorEastAsia" w:cs="Calibri"/>
                <w:color w:val="000000"/>
                <w:szCs w:val="21"/>
              </w:rPr>
              <w:t>..</w:t>
            </w:r>
            <w:r w:rsidRPr="00CC1BAA">
              <w:rPr>
                <w:rFonts w:eastAsiaTheme="minorEastAsia" w:cs="Calibri"/>
                <w:color w:val="000000"/>
                <w:szCs w:val="21"/>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jc w:val="right"/>
              <w:rPr>
                <w:rFonts w:eastAsiaTheme="minorEastAsia" w:cs="Calibri"/>
                <w:b/>
                <w:bCs/>
                <w:color w:val="000000"/>
                <w:szCs w:val="21"/>
              </w:rPr>
            </w:pPr>
            <w:r w:rsidRPr="00CC1BAA">
              <w:rPr>
                <w:rFonts w:eastAsiaTheme="minorEastAsia" w:cs="Calibri"/>
                <w:b/>
                <w:bCs/>
                <w:color w:val="000000"/>
                <w:szCs w:val="21"/>
              </w:rPr>
              <w:t>104 713</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1 163</w:t>
            </w:r>
          </w:p>
        </w:tc>
        <w:tc>
          <w:tcPr>
            <w:tcW w:w="2591"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rPr>
            </w:pPr>
            <w:r w:rsidRPr="00CC1BAA">
              <w:rPr>
                <w:rFonts w:eastAsiaTheme="minorEastAsia" w:cs="Calibri"/>
                <w:b/>
                <w:bCs/>
                <w:color w:val="000000"/>
                <w:szCs w:val="21"/>
              </w:rPr>
              <w:t>178 336</w:t>
            </w:r>
          </w:p>
        </w:tc>
      </w:tr>
    </w:tbl>
    <w:p w:rsidR="00566E9A" w:rsidRDefault="00566E9A" w:rsidP="00AE5760">
      <w:pPr>
        <w:pStyle w:val="Tableheading"/>
        <w:rPr>
          <w:rFonts w:eastAsiaTheme="minorHAnsi"/>
        </w:rPr>
      </w:pPr>
      <w:r>
        <w:rPr>
          <w:rFonts w:eastAsiaTheme="minorHAnsi"/>
        </w:rPr>
        <w:lastRenderedPageBreak/>
        <w:t>Table 5.23:</w:t>
      </w:r>
      <w:r>
        <w:rPr>
          <w:rFonts w:eastAsiaTheme="minorHAnsi"/>
        </w:rPr>
        <w:tab/>
        <w:t>Derivation of whole of State GFS cash surplus/(deficit)</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budget</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revised</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2017-18 </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2018-19 </w:t>
            </w:r>
            <w:r>
              <w:rPr>
                <w:rFonts w:eastAsiaTheme="minorEastAsia" w:cs="Calibri"/>
                <w:iCs/>
                <w:color w:val="FFFFFF"/>
                <w:szCs w:val="16"/>
              </w:rPr>
              <w:br/>
            </w:r>
            <w:r w:rsidRPr="00CC1BAA">
              <w:rPr>
                <w:rFonts w:eastAsiaTheme="minorEastAsia" w:cs="Calibri"/>
                <w:iCs/>
                <w:color w:val="FFFFFF"/>
                <w:szCs w:val="16"/>
              </w:rPr>
              <w:t>estimate</w:t>
            </w:r>
          </w:p>
        </w:tc>
        <w:tc>
          <w:tcPr>
            <w:tcW w:w="850"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2019-20 </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b/>
                <w:bCs/>
                <w:color w:val="000000"/>
                <w:szCs w:val="16"/>
              </w:rPr>
            </w:pPr>
            <w:r w:rsidRPr="00CC1BAA">
              <w:rPr>
                <w:rFonts w:eastAsiaTheme="minorEastAsia" w:cs="Calibri"/>
                <w:b/>
                <w:bCs/>
                <w:color w:val="000000"/>
                <w:szCs w:val="16"/>
              </w:rPr>
              <w:t>Cash surplus/(deficit)</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3 997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5 245</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(4 244)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(2 494)</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(1 343)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Convergence differences:</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C1BAA">
              <w:rPr>
                <w:rFonts w:eastAsiaTheme="minorEastAsia" w:cs="Calibri"/>
                <w:color w:val="000000"/>
              </w:rPr>
              <w:t xml:space="preserve"> </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Acquisitions under finance leases and </w:t>
            </w:r>
            <w:r>
              <w:rPr>
                <w:rFonts w:eastAsiaTheme="minorEastAsia" w:cs="Calibri"/>
                <w:color w:val="000000"/>
                <w:szCs w:val="16"/>
              </w:rPr>
              <w:br/>
              <w:t xml:space="preserve">similar arrangements </w:t>
            </w:r>
            <w:r w:rsidRPr="00CC1BAA">
              <w:rPr>
                <w:rFonts w:eastAsiaTheme="minorEastAsia" w:cs="Calibri"/>
                <w:color w:val="000000"/>
                <w:szCs w:val="16"/>
                <w:vertAlign w:val="superscript"/>
              </w:rPr>
              <w:t>(a)</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(517)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(647)</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(596)</w:t>
            </w:r>
          </w:p>
        </w:tc>
        <w:tc>
          <w:tcPr>
            <w:tcW w:w="850"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(349)</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GFS cash surplus/(deficit) </w:t>
            </w:r>
            <w:r w:rsidRPr="00CC1BAA">
              <w:rPr>
                <w:rFonts w:eastAsiaTheme="minorEastAsia" w:cs="Calibri"/>
                <w:b/>
                <w:bCs/>
                <w:color w:val="000000"/>
                <w:szCs w:val="16"/>
                <w:vertAlign w:val="superscript"/>
              </w:rPr>
              <w:t>(b)</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3 480</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4 728</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(4 891)</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(3 090)</w:t>
            </w:r>
          </w:p>
        </w:tc>
        <w:tc>
          <w:tcPr>
            <w:tcW w:w="850"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Pr>
                <w:rFonts w:eastAsiaTheme="minorEastAsia" w:cs="Calibri"/>
                <w:b/>
                <w:bCs/>
                <w:color w:val="000000"/>
                <w:szCs w:val="16"/>
              </w:rPr>
              <w:t>(1 692)</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The finance lease acquisition</w:t>
      </w:r>
      <w:r>
        <w:rPr>
          <w:rFonts w:eastAsiaTheme="minorHAnsi"/>
        </w:rPr>
        <w:t>s in 2016-17 relate</w:t>
      </w:r>
      <w:r w:rsidRPr="003A6BA4">
        <w:rPr>
          <w:rFonts w:eastAsiaTheme="minorHAnsi"/>
        </w:rPr>
        <w:t xml:space="preserve"> to the new Bendigo Hospital project, the New Schools PPP project and the metropolitan Melbourne buses contract. The 2017-18 estimate relates to the Ravenhall Prison project, the new Bendigo Hospital project and the New Schools PPP project. The 2018-19 and 2019-20 estimates predominantly relate to the High Capacity Metro Trains Project.</w:t>
      </w:r>
    </w:p>
    <w:p w:rsidR="00566E9A" w:rsidRPr="003A6BA4" w:rsidRDefault="00566E9A" w:rsidP="00AE5760">
      <w:pPr>
        <w:pStyle w:val="Notes"/>
        <w:rPr>
          <w:rFonts w:eastAsiaTheme="minorHAnsi"/>
        </w:rPr>
      </w:pPr>
      <w:r>
        <w:rPr>
          <w:rFonts w:eastAsiaTheme="minorHAnsi"/>
        </w:rPr>
        <w:t>(b)</w:t>
      </w:r>
      <w:r>
        <w:rPr>
          <w:rFonts w:eastAsiaTheme="minorHAnsi"/>
        </w:rPr>
        <w:tab/>
      </w:r>
      <w:r w:rsidRPr="003A6BA4">
        <w:rPr>
          <w:rFonts w:eastAsiaTheme="minorHAnsi"/>
        </w:rPr>
        <w:t>Determined in accordance with the ABS GFS manual.</w:t>
      </w:r>
    </w:p>
    <w:p w:rsidR="00566E9A" w:rsidRDefault="00566E9A" w:rsidP="00AE5760">
      <w:pPr>
        <w:rPr>
          <w:rFonts w:eastAsiaTheme="minorHAnsi"/>
        </w:rPr>
      </w:pPr>
    </w:p>
    <w:p w:rsidR="002803AA" w:rsidRDefault="002803AA" w:rsidP="00AE5760">
      <w:pPr>
        <w:rPr>
          <w:rFonts w:eastAsiaTheme="minorHAnsi"/>
        </w:rPr>
      </w:pPr>
    </w:p>
    <w:p w:rsidR="00566E9A" w:rsidRDefault="00566E9A" w:rsidP="00AE5760">
      <w:pPr>
        <w:pStyle w:val="Tableheading"/>
        <w:rPr>
          <w:rFonts w:eastAsiaTheme="minorHAnsi"/>
        </w:rPr>
      </w:pPr>
      <w:r>
        <w:rPr>
          <w:rFonts w:eastAsiaTheme="minorHAnsi"/>
        </w:rPr>
        <w:t>Table 5.24:</w:t>
      </w:r>
      <w:r>
        <w:rPr>
          <w:rFonts w:eastAsiaTheme="minorHAnsi"/>
        </w:rPr>
        <w:tab/>
        <w:t xml:space="preserve">Net acquisition of non-financial assets – State of Victoria </w:t>
      </w:r>
      <w:r w:rsidRPr="00573E29">
        <w:rPr>
          <w:rFonts w:eastAsiaTheme="minorHAnsi"/>
          <w:vertAlign w:val="superscript"/>
        </w:rPr>
        <w:t>(a)</w:t>
      </w:r>
    </w:p>
    <w:p w:rsidR="00566E9A" w:rsidRPr="00CC1BAA" w:rsidRDefault="00566E9A" w:rsidP="00AE5760">
      <w:pPr>
        <w:pStyle w:val="million"/>
        <w:rPr>
          <w:rFonts w:eastAsiaTheme="minorHAnsi"/>
          <w:b/>
          <w:bCs/>
          <w:lang w:val="en-US"/>
        </w:rPr>
      </w:pPr>
      <w:r>
        <w:rPr>
          <w:rFonts w:eastAsiaTheme="minorHAnsi"/>
        </w:rPr>
        <w:t>($ million)</w:t>
      </w:r>
    </w:p>
    <w:tbl>
      <w:tblPr>
        <w:tblStyle w:val="DTFFinancialTable"/>
        <w:tblW w:w="7772" w:type="dxa"/>
        <w:tblInd w:w="45" w:type="dxa"/>
        <w:tblLayout w:type="fixed"/>
        <w:tblCellMar>
          <w:left w:w="45" w:type="dxa"/>
          <w:right w:w="45" w:type="dxa"/>
        </w:tblCellMar>
        <w:tblLook w:val="06A0" w:firstRow="1" w:lastRow="0" w:firstColumn="1" w:lastColumn="0" w:noHBand="1" w:noVBand="1"/>
      </w:tblPr>
      <w:tblGrid>
        <w:gridCol w:w="3838"/>
        <w:gridCol w:w="782"/>
        <w:gridCol w:w="788"/>
        <w:gridCol w:w="788"/>
        <w:gridCol w:w="788"/>
        <w:gridCol w:w="788"/>
      </w:tblGrid>
      <w:tr w:rsidR="00AE5760" w:rsidRPr="00CC1BAA"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3838" w:type="dxa"/>
            <w:tcBorders>
              <w:top w:val="nil"/>
              <w:left w:val="nil"/>
              <w:right w:val="nil"/>
            </w:tcBorders>
            <w:shd w:val="solid" w:color="000000" w:fill="auto"/>
          </w:tcPr>
          <w:p w:rsidR="00AE5760" w:rsidRPr="00CC1BAA" w:rsidRDefault="00AE5760" w:rsidP="00AE5760">
            <w:pPr>
              <w:autoSpaceDE w:val="0"/>
              <w:autoSpaceDN w:val="0"/>
              <w:adjustRightInd w:val="0"/>
              <w:rPr>
                <w:rFonts w:eastAsiaTheme="minorEastAsia" w:cs="Calibri"/>
                <w:iCs/>
                <w:color w:val="FFFFFF"/>
              </w:rPr>
            </w:pPr>
            <w:r w:rsidRPr="00CC1BAA">
              <w:rPr>
                <w:rFonts w:eastAsiaTheme="minorEastAsia" w:cs="Calibri"/>
                <w:iCs/>
                <w:color w:val="FFFFFF"/>
              </w:rPr>
              <w:t xml:space="preserve">  </w:t>
            </w:r>
          </w:p>
        </w:tc>
        <w:tc>
          <w:tcPr>
            <w:tcW w:w="782"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budget</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2016-17 </w:t>
            </w:r>
            <w:r>
              <w:rPr>
                <w:rFonts w:eastAsiaTheme="minorEastAsia" w:cs="Calibri"/>
                <w:iCs/>
                <w:color w:val="FFFFFF"/>
                <w:szCs w:val="16"/>
              </w:rPr>
              <w:br/>
            </w:r>
            <w:r w:rsidRPr="00CC1BAA">
              <w:rPr>
                <w:rFonts w:eastAsiaTheme="minorEastAsia" w:cs="Calibri"/>
                <w:iCs/>
                <w:color w:val="FFFFFF"/>
                <w:szCs w:val="16"/>
              </w:rPr>
              <w:t>revised</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2017-18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2018-19 </w:t>
            </w:r>
            <w:r>
              <w:rPr>
                <w:rFonts w:eastAsiaTheme="minorEastAsia" w:cs="Calibri"/>
                <w:iCs/>
                <w:color w:val="FFFFFF"/>
                <w:szCs w:val="16"/>
              </w:rPr>
              <w:br/>
            </w:r>
            <w:r w:rsidRPr="00CC1BAA">
              <w:rPr>
                <w:rFonts w:eastAsiaTheme="minorEastAsia" w:cs="Calibri"/>
                <w:iCs/>
                <w:color w:val="FFFFFF"/>
                <w:szCs w:val="16"/>
              </w:rPr>
              <w:t>estimate</w:t>
            </w:r>
          </w:p>
        </w:tc>
        <w:tc>
          <w:tcPr>
            <w:tcW w:w="788" w:type="dxa"/>
            <w:tcBorders>
              <w:top w:val="nil"/>
              <w:left w:val="nil"/>
              <w:right w:val="nil"/>
            </w:tcBorders>
            <w:shd w:val="solid" w:color="000000" w:fill="auto"/>
          </w:tcPr>
          <w:p w:rsidR="00AE5760" w:rsidRPr="00CC1BAA"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rPr>
            </w:pPr>
            <w:r w:rsidRPr="00CC1BAA">
              <w:rPr>
                <w:rFonts w:eastAsiaTheme="minorEastAsia" w:cs="Calibri"/>
                <w:iCs/>
                <w:color w:val="FFFFFF"/>
                <w:szCs w:val="16"/>
              </w:rPr>
              <w:t xml:space="preserve">2019-20 </w:t>
            </w:r>
            <w:r>
              <w:rPr>
                <w:rFonts w:eastAsiaTheme="minorEastAsia" w:cs="Calibri"/>
                <w:iCs/>
                <w:color w:val="FFFFFF"/>
                <w:szCs w:val="16"/>
              </w:rPr>
              <w:br/>
            </w:r>
            <w:r w:rsidRPr="00CC1BAA">
              <w:rPr>
                <w:rFonts w:eastAsiaTheme="minorEastAsia" w:cs="Calibri"/>
                <w:iCs/>
                <w:color w:val="FFFFFF"/>
                <w:szCs w:val="16"/>
              </w:rPr>
              <w:t>estimate</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38"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Pr>
                <w:rFonts w:eastAsiaTheme="minorEastAsia" w:cs="Calibri"/>
                <w:color w:val="000000"/>
                <w:szCs w:val="16"/>
              </w:rPr>
              <w:t xml:space="preserve">Purchases of non-financial assets less sales of </w:t>
            </w:r>
            <w:r>
              <w:rPr>
                <w:rFonts w:eastAsiaTheme="minorEastAsia" w:cs="Calibri"/>
                <w:color w:val="000000"/>
                <w:szCs w:val="16"/>
              </w:rPr>
              <w:br/>
              <w:t xml:space="preserve">non-financial assets </w:t>
            </w:r>
            <w:r w:rsidRPr="00CC1BAA">
              <w:rPr>
                <w:rFonts w:eastAsiaTheme="minorEastAsia" w:cs="Calibri"/>
                <w:color w:val="000000"/>
                <w:szCs w:val="16"/>
                <w:vertAlign w:val="superscript"/>
              </w:rPr>
              <w:t>(b)</w:t>
            </w:r>
          </w:p>
        </w:tc>
        <w:tc>
          <w:tcPr>
            <w:tcW w:w="78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8 645</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9 625</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9 675</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8 920</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sidRPr="00CC1BAA">
              <w:rPr>
                <w:rFonts w:eastAsiaTheme="minorEastAsia" w:cs="Calibri"/>
                <w:color w:val="000000"/>
                <w:szCs w:val="16"/>
              </w:rPr>
              <w:t>8 062</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38"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rPr>
            </w:pPr>
            <w:r w:rsidRPr="00CC1BAA">
              <w:rPr>
                <w:rFonts w:eastAsiaTheme="minorEastAsia" w:cs="Calibri"/>
                <w:color w:val="000000"/>
                <w:szCs w:val="16"/>
              </w:rPr>
              <w:t>Less: Depreciation</w:t>
            </w:r>
          </w:p>
        </w:tc>
        <w:tc>
          <w:tcPr>
            <w:tcW w:w="78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(4 911)</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(4 922)</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(5 156)</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(5 478)</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(5 713)</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38" w:type="dxa"/>
            <w:tcBorders>
              <w:top w:val="nil"/>
              <w:left w:val="nil"/>
              <w:bottom w:val="nil"/>
              <w:right w:val="nil"/>
            </w:tcBorders>
          </w:tcPr>
          <w:p w:rsidR="00566E9A" w:rsidRPr="00CC1BAA" w:rsidRDefault="00566E9A" w:rsidP="00AE5760">
            <w:pPr>
              <w:autoSpaceDE w:val="0"/>
              <w:autoSpaceDN w:val="0"/>
              <w:adjustRightInd w:val="0"/>
              <w:rPr>
                <w:rFonts w:eastAsiaTheme="minorEastAsia" w:cs="Calibri"/>
                <w:color w:val="000000"/>
                <w:szCs w:val="16"/>
                <w:vertAlign w:val="superscript"/>
              </w:rPr>
            </w:pPr>
            <w:r w:rsidRPr="00CC1BAA">
              <w:rPr>
                <w:rFonts w:eastAsiaTheme="minorEastAsia" w:cs="Calibri"/>
                <w:color w:val="000000"/>
                <w:szCs w:val="16"/>
              </w:rPr>
              <w:t xml:space="preserve">Plus: Other movements in non-financial assets </w:t>
            </w:r>
            <w:r w:rsidRPr="00CC1BAA">
              <w:rPr>
                <w:rFonts w:eastAsiaTheme="minorEastAsia" w:cs="Calibri"/>
                <w:color w:val="000000"/>
                <w:szCs w:val="16"/>
                <w:vertAlign w:val="superscript"/>
              </w:rPr>
              <w:t>(b)(c)</w:t>
            </w:r>
          </w:p>
        </w:tc>
        <w:tc>
          <w:tcPr>
            <w:tcW w:w="782"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623</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459</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677</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614</w:t>
            </w:r>
          </w:p>
        </w:tc>
        <w:tc>
          <w:tcPr>
            <w:tcW w:w="788" w:type="dxa"/>
            <w:tcBorders>
              <w:top w:val="nil"/>
              <w:left w:val="nil"/>
              <w:bottom w:val="nil"/>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rPr>
            </w:pPr>
            <w:r>
              <w:rPr>
                <w:rFonts w:eastAsiaTheme="minorEastAsia" w:cs="Calibri"/>
                <w:color w:val="000000"/>
                <w:szCs w:val="16"/>
              </w:rPr>
              <w:t>420</w:t>
            </w:r>
          </w:p>
        </w:tc>
      </w:tr>
      <w:tr w:rsidR="00566E9A" w:rsidRPr="00CC1BAA" w:rsidTr="00AE5760">
        <w:tc>
          <w:tcPr>
            <w:cnfStyle w:val="001000000000" w:firstRow="0" w:lastRow="0" w:firstColumn="1" w:lastColumn="0" w:oddVBand="0" w:evenVBand="0" w:oddHBand="0" w:evenHBand="0" w:firstRowFirstColumn="0" w:firstRowLastColumn="0" w:lastRowFirstColumn="0" w:lastRowLastColumn="0"/>
            <w:tcW w:w="383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rPr>
                <w:rFonts w:eastAsiaTheme="minorEastAsia" w:cs="Calibri"/>
                <w:b/>
                <w:bCs/>
                <w:color w:val="000000"/>
                <w:szCs w:val="16"/>
                <w:vertAlign w:val="superscript"/>
              </w:rPr>
            </w:pPr>
            <w:r w:rsidRPr="00CC1BAA">
              <w:rPr>
                <w:rFonts w:eastAsiaTheme="minorEastAsia" w:cs="Calibri"/>
                <w:b/>
                <w:bCs/>
                <w:color w:val="000000"/>
                <w:szCs w:val="16"/>
              </w:rPr>
              <w:t xml:space="preserve">Total net acquisition of non-financial assets </w:t>
            </w:r>
            <w:r w:rsidRPr="00CC1BAA">
              <w:rPr>
                <w:rFonts w:eastAsiaTheme="minorEastAsia" w:cs="Calibri"/>
                <w:b/>
                <w:bCs/>
                <w:color w:val="000000"/>
                <w:szCs w:val="16"/>
                <w:vertAlign w:val="superscript"/>
              </w:rPr>
              <w:t>(b)</w:t>
            </w:r>
          </w:p>
        </w:tc>
        <w:tc>
          <w:tcPr>
            <w:tcW w:w="782"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4 357</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5 163</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5 196</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4 057</w:t>
            </w:r>
          </w:p>
        </w:tc>
        <w:tc>
          <w:tcPr>
            <w:tcW w:w="788" w:type="dxa"/>
            <w:tcBorders>
              <w:top w:val="single" w:sz="6" w:space="0" w:color="000000"/>
              <w:left w:val="nil"/>
              <w:bottom w:val="single" w:sz="12" w:space="0" w:color="000000"/>
              <w:right w:val="nil"/>
            </w:tcBorders>
          </w:tcPr>
          <w:p w:rsidR="00566E9A" w:rsidRPr="00CC1BA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rPr>
            </w:pPr>
            <w:r w:rsidRPr="00CC1BAA">
              <w:rPr>
                <w:rFonts w:eastAsiaTheme="minorEastAsia" w:cs="Calibri"/>
                <w:b/>
                <w:bCs/>
                <w:color w:val="000000"/>
                <w:szCs w:val="16"/>
              </w:rPr>
              <w:t>2 769</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424467" w:rsidRDefault="00566E9A" w:rsidP="00AE5760">
      <w:pPr>
        <w:pStyle w:val="Notes"/>
        <w:rPr>
          <w:rFonts w:eastAsiaTheme="minorHAnsi"/>
        </w:rPr>
      </w:pPr>
      <w:r>
        <w:rPr>
          <w:rFonts w:eastAsiaTheme="minorHAnsi"/>
        </w:rPr>
        <w:t>(a)</w:t>
      </w:r>
      <w:r>
        <w:rPr>
          <w:rFonts w:eastAsiaTheme="minorHAnsi"/>
        </w:rPr>
        <w:tab/>
        <w:t xml:space="preserve">Presentation is consistent with the </w:t>
      </w:r>
      <w:r>
        <w:rPr>
          <w:rFonts w:eastAsiaTheme="minorHAnsi"/>
          <w:i w:val="0"/>
        </w:rPr>
        <w:t xml:space="preserve">2016-17 Budget, </w:t>
      </w:r>
      <w:r>
        <w:rPr>
          <w:rFonts w:eastAsiaTheme="minorHAnsi"/>
        </w:rPr>
        <w:t>where c</w:t>
      </w:r>
      <w:r w:rsidRPr="00424467">
        <w:rPr>
          <w:rFonts w:eastAsiaTheme="minorHAnsi"/>
        </w:rPr>
        <w:t>ertain line items have been aggregated in the table above due to commercial sensitivities of balances.</w:t>
      </w:r>
    </w:p>
    <w:p w:rsidR="00566E9A" w:rsidRPr="003A6BA4" w:rsidRDefault="00566E9A" w:rsidP="00AE5760">
      <w:pPr>
        <w:pStyle w:val="Notes"/>
        <w:rPr>
          <w:rFonts w:eastAsiaTheme="minorHAnsi"/>
        </w:rPr>
      </w:pPr>
      <w:r w:rsidRPr="00DE1A8F">
        <w:rPr>
          <w:rFonts w:eastAsiaTheme="minorHAnsi"/>
        </w:rPr>
        <w:t>(b)</w:t>
      </w:r>
      <w:r w:rsidRPr="00DE1A8F">
        <w:rPr>
          <w:rFonts w:eastAsiaTheme="minorHAnsi"/>
        </w:rPr>
        <w:tab/>
      </w:r>
      <w:r w:rsidRPr="00DE1A8F">
        <w:rPr>
          <w:rFonts w:eastAsiaTheme="minorHAnsi"/>
          <w:i w:val="0"/>
        </w:rPr>
        <w:t xml:space="preserve">2016-17 Budget </w:t>
      </w:r>
      <w:r w:rsidRPr="00DE1A8F">
        <w:rPr>
          <w:rFonts w:eastAsiaTheme="minorHAnsi"/>
        </w:rPr>
        <w:t>figures have been restated to reflect more current information.</w:t>
      </w:r>
    </w:p>
    <w:p w:rsidR="00566E9A" w:rsidRPr="003A6BA4" w:rsidRDefault="00566E9A" w:rsidP="00AE5760">
      <w:pPr>
        <w:pStyle w:val="Notes"/>
        <w:rPr>
          <w:rFonts w:eastAsiaTheme="minorHAnsi"/>
        </w:rPr>
      </w:pPr>
      <w:r>
        <w:rPr>
          <w:rFonts w:eastAsiaTheme="minorHAnsi"/>
        </w:rPr>
        <w:t>(c)</w:t>
      </w:r>
      <w:r>
        <w:rPr>
          <w:rFonts w:eastAsiaTheme="minorHAnsi"/>
        </w:rPr>
        <w:tab/>
      </w:r>
      <w:r w:rsidRPr="003A6BA4">
        <w:rPr>
          <w:rFonts w:eastAsiaTheme="minorHAnsi"/>
        </w:rPr>
        <w:t>The other movements in non-financial assets in 2016-17 predominantly relate to the recognition of finance lease arrangements for the new Bendigo Hospital project, the New Schools PPP project and the metropolitan Melbourne buses contract. The 2017-18 estimate predominantly relates to the Ravenhall Prison project, the new Bendigo Hospital project and the New Schools PPP project. The 2018-19 and 2019-20 estimates predominantly relate to the High Capacity Metro Trains Project.</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Heading1"/>
        <w:rPr>
          <w:rFonts w:eastAsiaTheme="minorHAnsi"/>
        </w:rPr>
      </w:pPr>
      <w:bookmarkStart w:id="50" w:name="_Toc468983285"/>
      <w:r>
        <w:rPr>
          <w:rFonts w:eastAsiaTheme="minorHAnsi"/>
        </w:rPr>
        <w:lastRenderedPageBreak/>
        <w:t>Victoria’s loan council allocation</w:t>
      </w:r>
      <w:bookmarkEnd w:id="50"/>
    </w:p>
    <w:p w:rsidR="00566E9A" w:rsidRDefault="00566E9A" w:rsidP="00AE5760">
      <w:pPr>
        <w:rPr>
          <w:rFonts w:eastAsiaTheme="minorHAnsi"/>
        </w:rPr>
      </w:pPr>
      <w:r>
        <w:rPr>
          <w:rFonts w:eastAsiaTheme="minorHAnsi"/>
        </w:rPr>
        <w:t xml:space="preserve">Under the Uniform Presentation Framework (UPF), Victoria is required to publish the Loan Council Allocation (LCA) estimates. The LCA is a measure of each government’s net call on financial markets in a given financial year to meet its budget obligations. The method of public release is the responsibility of each jurisdiction. Victoria discloses its LCA information through the Financial Report for the State of Victoria, Budget Paper No. 5 </w:t>
      </w:r>
      <w:r>
        <w:rPr>
          <w:rFonts w:eastAsiaTheme="minorHAnsi"/>
          <w:i/>
        </w:rPr>
        <w:t>Statement of Finances</w:t>
      </w:r>
      <w:r>
        <w:rPr>
          <w:rFonts w:eastAsiaTheme="minorHAnsi"/>
        </w:rPr>
        <w:t xml:space="preserve"> and Budget Update.</w:t>
      </w:r>
    </w:p>
    <w:p w:rsidR="00566E9A" w:rsidRPr="008E00FE" w:rsidRDefault="00566E9A" w:rsidP="00AE5760">
      <w:pPr>
        <w:rPr>
          <w:rFonts w:eastAsiaTheme="minorHAnsi"/>
        </w:rPr>
      </w:pPr>
      <w:r>
        <w:rPr>
          <w:rFonts w:eastAsiaTheme="minorHAnsi"/>
        </w:rPr>
        <w:t xml:space="preserve">Table 5.25 compares the Victorian 2016-17 LCA nomination approved by the Loan Council in April 2016, with a revised LCA based upon </w:t>
      </w:r>
      <w:r w:rsidRPr="00B7618B">
        <w:rPr>
          <w:rFonts w:eastAsiaTheme="minorHAnsi"/>
          <w:i/>
        </w:rPr>
        <w:t>2016-17 Budget Update</w:t>
      </w:r>
      <w:r>
        <w:rPr>
          <w:rFonts w:eastAsiaTheme="minorHAnsi"/>
        </w:rPr>
        <w:t xml:space="preserve"> estimates.</w:t>
      </w:r>
    </w:p>
    <w:p w:rsidR="00566E9A" w:rsidRDefault="00566E9A" w:rsidP="00AE5760">
      <w:pPr>
        <w:pStyle w:val="Tableheading"/>
        <w:rPr>
          <w:rFonts w:eastAsiaTheme="minorHAnsi"/>
        </w:rPr>
      </w:pPr>
      <w:r>
        <w:rPr>
          <w:rFonts w:eastAsiaTheme="minorHAnsi"/>
        </w:rPr>
        <w:t>Table 5.25:</w:t>
      </w:r>
      <w:r>
        <w:rPr>
          <w:rFonts w:eastAsiaTheme="minorHAnsi"/>
        </w:rPr>
        <w:tab/>
        <w:t>Loan Council Allocation</w:t>
      </w:r>
    </w:p>
    <w:p w:rsidR="00566E9A" w:rsidRPr="00557413" w:rsidRDefault="00566E9A" w:rsidP="00AE5760">
      <w:pPr>
        <w:pStyle w:val="million"/>
        <w:rPr>
          <w:rFonts w:eastAsiaTheme="minorHAnsi"/>
          <w:b/>
          <w:bCs/>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5811"/>
        <w:gridCol w:w="992"/>
        <w:gridCol w:w="964"/>
      </w:tblGrid>
      <w:tr w:rsidR="00AE5760" w:rsidRPr="00557413"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811" w:type="dxa"/>
            <w:tcBorders>
              <w:top w:val="nil"/>
              <w:left w:val="nil"/>
              <w:right w:val="nil"/>
            </w:tcBorders>
            <w:shd w:val="solid" w:color="000000" w:fill="auto"/>
          </w:tcPr>
          <w:p w:rsidR="00AE5760" w:rsidRPr="00557413" w:rsidRDefault="00AE5760" w:rsidP="00AE5760">
            <w:pPr>
              <w:autoSpaceDE w:val="0"/>
              <w:autoSpaceDN w:val="0"/>
              <w:adjustRightInd w:val="0"/>
              <w:rPr>
                <w:rFonts w:eastAsiaTheme="minorEastAsia" w:cs="Calibri"/>
                <w:iCs/>
                <w:color w:val="FFFFFF"/>
                <w:szCs w:val="19"/>
              </w:rPr>
            </w:pPr>
            <w:r w:rsidRPr="00557413">
              <w:rPr>
                <w:rFonts w:eastAsiaTheme="minorEastAsia" w:cs="Calibri"/>
                <w:iCs/>
                <w:color w:val="FFFFFF"/>
                <w:szCs w:val="19"/>
              </w:rPr>
              <w:t xml:space="preserve">  </w:t>
            </w:r>
          </w:p>
        </w:tc>
        <w:tc>
          <w:tcPr>
            <w:tcW w:w="992" w:type="dxa"/>
            <w:tcBorders>
              <w:top w:val="nil"/>
              <w:left w:val="nil"/>
              <w:right w:val="nil"/>
            </w:tcBorders>
            <w:shd w:val="solid" w:color="000000" w:fill="auto"/>
          </w:tcPr>
          <w:p w:rsidR="00AE5760" w:rsidRPr="00557413"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rPr>
            </w:pPr>
            <w:r w:rsidRPr="00557413">
              <w:rPr>
                <w:rFonts w:eastAsiaTheme="minorEastAsia" w:cs="Calibri"/>
                <w:iCs/>
                <w:color w:val="FFFFFF"/>
                <w:szCs w:val="19"/>
              </w:rPr>
              <w:t>2016-17</w:t>
            </w:r>
            <w:r>
              <w:rPr>
                <w:rFonts w:eastAsiaTheme="minorEastAsia" w:cs="Calibri"/>
                <w:iCs/>
                <w:color w:val="FFFFFF"/>
                <w:szCs w:val="19"/>
              </w:rPr>
              <w:br/>
            </w:r>
            <w:r w:rsidRPr="00557413">
              <w:rPr>
                <w:rFonts w:eastAsiaTheme="minorEastAsia" w:cs="Calibri"/>
                <w:iCs/>
                <w:color w:val="FFFFFF"/>
                <w:szCs w:val="19"/>
              </w:rPr>
              <w:t>nomination</w:t>
            </w:r>
          </w:p>
        </w:tc>
        <w:tc>
          <w:tcPr>
            <w:tcW w:w="964" w:type="dxa"/>
            <w:tcBorders>
              <w:top w:val="nil"/>
              <w:left w:val="nil"/>
              <w:right w:val="nil"/>
            </w:tcBorders>
            <w:shd w:val="solid" w:color="000000" w:fill="auto"/>
          </w:tcPr>
          <w:p w:rsidR="00AE5760" w:rsidRPr="00557413"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rPr>
            </w:pPr>
            <w:r w:rsidRPr="00557413">
              <w:rPr>
                <w:rFonts w:eastAsiaTheme="minorEastAsia" w:cs="Calibri"/>
                <w:iCs/>
                <w:color w:val="FFFFFF"/>
                <w:szCs w:val="19"/>
              </w:rPr>
              <w:t>2016-17</w:t>
            </w:r>
            <w:r>
              <w:rPr>
                <w:rFonts w:eastAsiaTheme="minorEastAsia" w:cs="Calibri"/>
                <w:iCs/>
                <w:color w:val="FFFFFF"/>
                <w:szCs w:val="19"/>
              </w:rPr>
              <w:br/>
            </w:r>
            <w:r w:rsidRPr="00557413">
              <w:rPr>
                <w:rFonts w:eastAsiaTheme="minorEastAsia" w:cs="Calibri"/>
                <w:iCs/>
                <w:color w:val="FFFFFF"/>
                <w:szCs w:val="19"/>
              </w:rPr>
              <w:t>revised</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nil"/>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rPr>
            </w:pPr>
            <w:r w:rsidRPr="00557413">
              <w:rPr>
                <w:rFonts w:eastAsiaTheme="minorEastAsia" w:cs="Calibri"/>
                <w:color w:val="000000"/>
                <w:szCs w:val="19"/>
              </w:rPr>
              <w:t>General government cash deficit (+) or surplus (-)</w:t>
            </w:r>
          </w:p>
        </w:tc>
        <w:tc>
          <w:tcPr>
            <w:tcW w:w="992"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1 219</w:t>
            </w:r>
          </w:p>
        </w:tc>
        <w:tc>
          <w:tcPr>
            <w:tcW w:w="964"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3 379</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nil"/>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rPr>
            </w:pPr>
            <w:r w:rsidRPr="00557413">
              <w:rPr>
                <w:rFonts w:eastAsiaTheme="minorEastAsia" w:cs="Calibri"/>
                <w:color w:val="000000"/>
                <w:szCs w:val="19"/>
              </w:rPr>
              <w:t>Public non-financial corporations sector cash deficit (+) or surplus (-)</w:t>
            </w:r>
          </w:p>
        </w:tc>
        <w:tc>
          <w:tcPr>
            <w:tcW w:w="992" w:type="dxa"/>
            <w:tcBorders>
              <w:top w:val="nil"/>
              <w:left w:val="nil"/>
              <w:bottom w:val="single" w:sz="6" w:space="0" w:color="auto"/>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842</w:t>
            </w:r>
          </w:p>
        </w:tc>
        <w:tc>
          <w:tcPr>
            <w:tcW w:w="964" w:type="dxa"/>
            <w:tcBorders>
              <w:top w:val="nil"/>
              <w:left w:val="nil"/>
              <w:bottom w:val="single" w:sz="6" w:space="0" w:color="auto"/>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(7 803)</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single" w:sz="6" w:space="0" w:color="auto"/>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vertAlign w:val="superscript"/>
              </w:rPr>
            </w:pPr>
            <w:r w:rsidRPr="00557413">
              <w:rPr>
                <w:rFonts w:eastAsiaTheme="minorEastAsia" w:cs="Calibri"/>
                <w:color w:val="000000"/>
                <w:szCs w:val="19"/>
              </w:rPr>
              <w:t xml:space="preserve">Non-financial public sector cash deficit (+) or surplus (-) </w:t>
            </w:r>
            <w:r w:rsidRPr="00557413">
              <w:rPr>
                <w:rFonts w:eastAsiaTheme="minorEastAsia" w:cs="Calibri"/>
                <w:color w:val="000000"/>
                <w:szCs w:val="19"/>
                <w:vertAlign w:val="superscript"/>
              </w:rPr>
              <w:t>(a)</w:t>
            </w:r>
          </w:p>
        </w:tc>
        <w:tc>
          <w:tcPr>
            <w:tcW w:w="992"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2 077</w:t>
            </w:r>
          </w:p>
        </w:tc>
        <w:tc>
          <w:tcPr>
            <w:tcW w:w="964"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(4 270)</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nil"/>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rPr>
            </w:pPr>
            <w:r w:rsidRPr="00557413">
              <w:rPr>
                <w:rFonts w:eastAsiaTheme="minorEastAsia" w:cs="Calibri"/>
                <w:color w:val="000000"/>
                <w:szCs w:val="19"/>
              </w:rPr>
              <w:t>Acquisitions under finance leases and similar arrangements</w:t>
            </w:r>
          </w:p>
        </w:tc>
        <w:tc>
          <w:tcPr>
            <w:tcW w:w="992" w:type="dxa"/>
            <w:tcBorders>
              <w:top w:val="nil"/>
              <w:left w:val="nil"/>
              <w:bottom w:val="single" w:sz="6" w:space="0" w:color="auto"/>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496</w:t>
            </w:r>
          </w:p>
        </w:tc>
        <w:tc>
          <w:tcPr>
            <w:tcW w:w="964" w:type="dxa"/>
            <w:tcBorders>
              <w:top w:val="nil"/>
              <w:left w:val="nil"/>
              <w:bottom w:val="single" w:sz="6" w:space="0" w:color="auto"/>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517</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single" w:sz="6" w:space="0" w:color="auto"/>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rPr>
            </w:pPr>
            <w:r w:rsidRPr="00557413">
              <w:rPr>
                <w:rFonts w:eastAsiaTheme="minorEastAsia" w:cs="Calibri"/>
                <w:color w:val="000000"/>
                <w:szCs w:val="19"/>
              </w:rPr>
              <w:t>ABS GFS cash deficit (+) or surplus (-)</w:t>
            </w:r>
          </w:p>
        </w:tc>
        <w:tc>
          <w:tcPr>
            <w:tcW w:w="992"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2 573</w:t>
            </w:r>
          </w:p>
        </w:tc>
        <w:tc>
          <w:tcPr>
            <w:tcW w:w="964"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(3 753)</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nil"/>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vertAlign w:val="superscript"/>
              </w:rPr>
            </w:pPr>
            <w:r w:rsidRPr="00557413">
              <w:rPr>
                <w:rFonts w:eastAsiaTheme="minorEastAsia" w:cs="Calibri"/>
                <w:i/>
                <w:iCs/>
                <w:color w:val="000000"/>
                <w:szCs w:val="19"/>
              </w:rPr>
              <w:t xml:space="preserve">Less net cash flows from investments in financial assets for policy purposes </w:t>
            </w:r>
            <w:r w:rsidRPr="00557413">
              <w:rPr>
                <w:rFonts w:eastAsiaTheme="minorEastAsia" w:cs="Calibri"/>
                <w:color w:val="000000"/>
                <w:szCs w:val="19"/>
                <w:vertAlign w:val="superscript"/>
              </w:rPr>
              <w:t>(b)</w:t>
            </w:r>
          </w:p>
        </w:tc>
        <w:tc>
          <w:tcPr>
            <w:tcW w:w="992"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59</w:t>
            </w:r>
          </w:p>
        </w:tc>
        <w:tc>
          <w:tcPr>
            <w:tcW w:w="964"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(118)</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nil"/>
              <w:left w:val="nil"/>
              <w:bottom w:val="nil"/>
              <w:right w:val="nil"/>
            </w:tcBorders>
          </w:tcPr>
          <w:p w:rsidR="00566E9A" w:rsidRPr="00557413" w:rsidRDefault="00566E9A" w:rsidP="00AE5760">
            <w:pPr>
              <w:autoSpaceDE w:val="0"/>
              <w:autoSpaceDN w:val="0"/>
              <w:adjustRightInd w:val="0"/>
              <w:rPr>
                <w:rFonts w:eastAsiaTheme="minorEastAsia" w:cs="Calibri"/>
                <w:color w:val="000000"/>
                <w:szCs w:val="19"/>
                <w:vertAlign w:val="superscript"/>
              </w:rPr>
            </w:pPr>
            <w:r w:rsidRPr="00557413">
              <w:rPr>
                <w:rFonts w:eastAsiaTheme="minorEastAsia" w:cs="Calibri"/>
                <w:i/>
                <w:iCs/>
                <w:color w:val="000000"/>
                <w:szCs w:val="19"/>
              </w:rPr>
              <w:t xml:space="preserve">Plus memorandum items </w:t>
            </w:r>
            <w:r w:rsidRPr="00557413">
              <w:rPr>
                <w:rFonts w:eastAsiaTheme="minorEastAsia" w:cs="Calibri"/>
                <w:color w:val="000000"/>
                <w:szCs w:val="19"/>
                <w:vertAlign w:val="superscript"/>
              </w:rPr>
              <w:t>(c)</w:t>
            </w:r>
          </w:p>
        </w:tc>
        <w:tc>
          <w:tcPr>
            <w:tcW w:w="992" w:type="dxa"/>
            <w:tcBorders>
              <w:top w:val="nil"/>
              <w:left w:val="nil"/>
              <w:bottom w:val="nil"/>
              <w:right w:val="nil"/>
            </w:tcBorders>
            <w:shd w:val="solid" w:color="FFFFFF" w:fill="auto"/>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484</w:t>
            </w:r>
          </w:p>
        </w:tc>
        <w:tc>
          <w:tcPr>
            <w:tcW w:w="964" w:type="dxa"/>
            <w:tcBorders>
              <w:top w:val="nil"/>
              <w:left w:val="nil"/>
              <w:bottom w:val="nil"/>
              <w:right w:val="nil"/>
            </w:tcBorders>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702</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single" w:sz="6" w:space="0" w:color="auto"/>
              <w:left w:val="nil"/>
              <w:bottom w:val="single" w:sz="6" w:space="0" w:color="auto"/>
              <w:right w:val="nil"/>
            </w:tcBorders>
          </w:tcPr>
          <w:p w:rsidR="00566E9A" w:rsidRPr="00557413" w:rsidRDefault="00566E9A" w:rsidP="00AE5760">
            <w:pPr>
              <w:autoSpaceDE w:val="0"/>
              <w:autoSpaceDN w:val="0"/>
              <w:adjustRightInd w:val="0"/>
              <w:rPr>
                <w:rFonts w:eastAsiaTheme="minorEastAsia" w:cs="Calibri"/>
                <w:b/>
                <w:bCs/>
                <w:color w:val="000000"/>
                <w:szCs w:val="19"/>
              </w:rPr>
            </w:pPr>
            <w:r w:rsidRPr="00557413">
              <w:rPr>
                <w:rFonts w:eastAsiaTheme="minorEastAsia" w:cs="Calibri"/>
                <w:b/>
                <w:bCs/>
                <w:color w:val="000000"/>
                <w:szCs w:val="19"/>
              </w:rPr>
              <w:t>Loan Council Allocation</w:t>
            </w:r>
          </w:p>
        </w:tc>
        <w:tc>
          <w:tcPr>
            <w:tcW w:w="992" w:type="dxa"/>
            <w:tcBorders>
              <w:top w:val="single" w:sz="6" w:space="0" w:color="auto"/>
              <w:left w:val="nil"/>
              <w:bottom w:val="single" w:sz="6" w:space="0" w:color="auto"/>
              <w:right w:val="nil"/>
            </w:tcBorders>
            <w:shd w:val="solid" w:color="FFFFFF" w:fill="auto"/>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rPr>
            </w:pPr>
            <w:r>
              <w:rPr>
                <w:rFonts w:eastAsiaTheme="minorEastAsia" w:cs="Calibri"/>
                <w:b/>
                <w:bCs/>
                <w:color w:val="000000"/>
                <w:szCs w:val="19"/>
              </w:rPr>
              <w:t>2 998</w:t>
            </w:r>
          </w:p>
        </w:tc>
        <w:tc>
          <w:tcPr>
            <w:tcW w:w="964" w:type="dxa"/>
            <w:tcBorders>
              <w:top w:val="single" w:sz="6" w:space="0" w:color="auto"/>
              <w:left w:val="nil"/>
              <w:bottom w:val="single" w:sz="6" w:space="0" w:color="auto"/>
              <w:right w:val="nil"/>
            </w:tcBorders>
            <w:shd w:val="solid" w:color="FFFFFF" w:fill="auto"/>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rPr>
            </w:pPr>
            <w:r>
              <w:rPr>
                <w:rFonts w:eastAsiaTheme="minorEastAsia" w:cs="Calibri"/>
                <w:b/>
                <w:bCs/>
                <w:color w:val="000000"/>
                <w:szCs w:val="19"/>
              </w:rPr>
              <w:t>(2 933)</w:t>
            </w:r>
          </w:p>
        </w:tc>
      </w:tr>
      <w:tr w:rsidR="00566E9A" w:rsidRPr="00557413" w:rsidTr="00AE5760">
        <w:tc>
          <w:tcPr>
            <w:cnfStyle w:val="001000000000" w:firstRow="0" w:lastRow="0" w:firstColumn="1" w:lastColumn="0" w:oddVBand="0" w:evenVBand="0" w:oddHBand="0" w:evenHBand="0" w:firstRowFirstColumn="0" w:firstRowLastColumn="0" w:lastRowFirstColumn="0" w:lastRowLastColumn="0"/>
            <w:tcW w:w="5811" w:type="dxa"/>
            <w:tcBorders>
              <w:top w:val="single" w:sz="6" w:space="0" w:color="auto"/>
              <w:left w:val="nil"/>
              <w:bottom w:val="single" w:sz="12" w:space="0" w:color="auto"/>
              <w:right w:val="nil"/>
            </w:tcBorders>
          </w:tcPr>
          <w:p w:rsidR="00566E9A" w:rsidRPr="00557413" w:rsidRDefault="00566E9A" w:rsidP="00AE5760">
            <w:pPr>
              <w:autoSpaceDE w:val="0"/>
              <w:autoSpaceDN w:val="0"/>
              <w:adjustRightInd w:val="0"/>
              <w:rPr>
                <w:rFonts w:eastAsiaTheme="minorEastAsia" w:cs="Calibri"/>
                <w:color w:val="000000"/>
                <w:szCs w:val="19"/>
                <w:vertAlign w:val="superscript"/>
              </w:rPr>
            </w:pPr>
            <w:r w:rsidRPr="00557413">
              <w:rPr>
                <w:rFonts w:eastAsiaTheme="minorEastAsia" w:cs="Calibri"/>
                <w:color w:val="000000"/>
                <w:szCs w:val="19"/>
              </w:rPr>
              <w:t xml:space="preserve">Tolerance limit (2 per cent of non-financial public sector cash receipts from operating activities) </w:t>
            </w:r>
            <w:r w:rsidRPr="00557413">
              <w:rPr>
                <w:rFonts w:eastAsiaTheme="minorEastAsia" w:cs="Calibri"/>
                <w:color w:val="000000"/>
                <w:szCs w:val="19"/>
                <w:vertAlign w:val="superscript"/>
              </w:rPr>
              <w:t>(d)</w:t>
            </w:r>
          </w:p>
        </w:tc>
        <w:tc>
          <w:tcPr>
            <w:tcW w:w="992" w:type="dxa"/>
            <w:tcBorders>
              <w:top w:val="single" w:sz="6" w:space="0" w:color="auto"/>
              <w:left w:val="nil"/>
              <w:bottom w:val="single" w:sz="12" w:space="0" w:color="auto"/>
              <w:right w:val="nil"/>
            </w:tcBorders>
            <w:shd w:val="solid" w:color="FFFFFF" w:fill="auto"/>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1 217</w:t>
            </w:r>
          </w:p>
        </w:tc>
        <w:tc>
          <w:tcPr>
            <w:tcW w:w="964" w:type="dxa"/>
            <w:tcBorders>
              <w:top w:val="single" w:sz="6" w:space="0" w:color="auto"/>
              <w:left w:val="nil"/>
              <w:bottom w:val="single" w:sz="12" w:space="0" w:color="auto"/>
              <w:right w:val="nil"/>
            </w:tcBorders>
            <w:shd w:val="solid" w:color="FFFFFF" w:fill="auto"/>
          </w:tcPr>
          <w:p w:rsidR="00566E9A" w:rsidRPr="0055741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rPr>
            </w:pPr>
            <w:r>
              <w:rPr>
                <w:rFonts w:eastAsiaTheme="minorEastAsia" w:cs="Calibri"/>
                <w:color w:val="000000"/>
                <w:szCs w:val="19"/>
              </w:rPr>
              <w:t>1 217</w:t>
            </w:r>
          </w:p>
        </w:tc>
      </w:tr>
    </w:tbl>
    <w:p w:rsidR="00566E9A" w:rsidRDefault="00566E9A" w:rsidP="00AE5760">
      <w:pPr>
        <w:pStyle w:val="Source"/>
        <w:rPr>
          <w:rFonts w:eastAsiaTheme="minorHAnsi"/>
        </w:rPr>
      </w:pPr>
      <w:r>
        <w:rPr>
          <w:rFonts w:eastAsiaTheme="minorHAnsi"/>
        </w:rPr>
        <w:t>Source: Department of Treasury and Finance</w:t>
      </w:r>
    </w:p>
    <w:p w:rsidR="00566E9A" w:rsidRDefault="00566E9A" w:rsidP="00AE5760">
      <w:pPr>
        <w:pStyle w:val="Notes"/>
        <w:rPr>
          <w:rFonts w:eastAsiaTheme="minorHAnsi"/>
        </w:rPr>
      </w:pPr>
      <w:r>
        <w:rPr>
          <w:rFonts w:eastAsiaTheme="minorHAnsi"/>
        </w:rPr>
        <w:t>Notes:</w:t>
      </w:r>
    </w:p>
    <w:p w:rsidR="00566E9A" w:rsidRPr="003A6BA4" w:rsidRDefault="00566E9A" w:rsidP="00AE5760">
      <w:pPr>
        <w:pStyle w:val="Notes"/>
        <w:rPr>
          <w:rFonts w:eastAsiaTheme="minorHAnsi"/>
        </w:rPr>
      </w:pPr>
      <w:r>
        <w:rPr>
          <w:rFonts w:eastAsiaTheme="minorHAnsi"/>
        </w:rPr>
        <w:t>(a)</w:t>
      </w:r>
      <w:r>
        <w:rPr>
          <w:rFonts w:eastAsiaTheme="minorHAnsi"/>
        </w:rPr>
        <w:tab/>
      </w:r>
      <w:r w:rsidRPr="003A6BA4">
        <w:rPr>
          <w:rFonts w:eastAsiaTheme="minorHAnsi"/>
        </w:rPr>
        <w:t>The sum of the deficit of the general government and public non-financial corporation sectors does not directly equal the non-financial public sector cash deficit due to inter-sectoral transfers, which are netted out in the calculation of the non-financial public sector figure. The non-financial public sector cash deficit excludes finance lease acquisitions.</w:t>
      </w:r>
    </w:p>
    <w:p w:rsidR="00566E9A" w:rsidRPr="003A6BA4" w:rsidRDefault="00566E9A" w:rsidP="00AE5760">
      <w:pPr>
        <w:pStyle w:val="Notes"/>
        <w:rPr>
          <w:rFonts w:eastAsiaTheme="minorHAnsi"/>
        </w:rPr>
      </w:pPr>
      <w:r>
        <w:rPr>
          <w:rFonts w:eastAsiaTheme="minorHAnsi"/>
        </w:rPr>
        <w:t>(b)</w:t>
      </w:r>
      <w:r>
        <w:rPr>
          <w:rFonts w:eastAsiaTheme="minorHAnsi"/>
        </w:rPr>
        <w:tab/>
      </w:r>
      <w:r w:rsidRPr="003A6BA4">
        <w:rPr>
          <w:rFonts w:eastAsiaTheme="minorHAnsi"/>
        </w:rPr>
        <w:t>The ABS GFS cash deficit is adjusted to include in the LCA the impact of net cash flows from investments in financial assets for policy purposes.</w:t>
      </w:r>
    </w:p>
    <w:p w:rsidR="00566E9A" w:rsidRPr="003A6BA4" w:rsidRDefault="00566E9A" w:rsidP="00AE5760">
      <w:pPr>
        <w:pStyle w:val="Notes"/>
        <w:rPr>
          <w:rFonts w:eastAsiaTheme="minorHAnsi"/>
        </w:rPr>
      </w:pPr>
      <w:r>
        <w:rPr>
          <w:rFonts w:eastAsiaTheme="minorHAnsi"/>
        </w:rPr>
        <w:t>(c)</w:t>
      </w:r>
      <w:r>
        <w:rPr>
          <w:rFonts w:eastAsiaTheme="minorHAnsi"/>
        </w:rPr>
        <w:tab/>
      </w:r>
      <w:r w:rsidRPr="003A6BA4">
        <w:rPr>
          <w:rFonts w:eastAsiaTheme="minorHAnsi"/>
        </w:rPr>
        <w:t>The ABS GFS cash deficit is adjusted to include in the LCA the impact of memorandum items, which include certain transactions that have many of the characteristics of public sector borrowings but do not constitute formal borrowings (e.g. operating leases). They also include, where appropriate, transactions that the Loan Council has agreed should not be included in the LCA (e.g. the over/under funding of employers’ emerging costs under public sector superannuation schemes, or borrowings by entities such as statutory marketing authorities).</w:t>
      </w:r>
    </w:p>
    <w:p w:rsidR="00566E9A" w:rsidRPr="003A6BA4" w:rsidRDefault="00566E9A" w:rsidP="00AE5760">
      <w:pPr>
        <w:pStyle w:val="Notes"/>
        <w:rPr>
          <w:rFonts w:eastAsiaTheme="minorHAnsi"/>
        </w:rPr>
      </w:pPr>
      <w:r>
        <w:rPr>
          <w:rFonts w:eastAsiaTheme="minorHAnsi"/>
        </w:rPr>
        <w:t>(d)</w:t>
      </w:r>
      <w:r>
        <w:rPr>
          <w:rFonts w:eastAsiaTheme="minorHAnsi"/>
        </w:rPr>
        <w:tab/>
      </w:r>
      <w:r w:rsidRPr="003A6BA4">
        <w:rPr>
          <w:rFonts w:eastAsiaTheme="minorHAnsi"/>
        </w:rPr>
        <w:t xml:space="preserve">A tolerance limit equal to 2 per cent of total non-financial public sector cash receipt from operating activities applies to the movement between a jurisdiction’s LCA budget estimate and LCA outcome (calculated using estimates in the </w:t>
      </w:r>
      <w:r w:rsidRPr="003A6BA4">
        <w:rPr>
          <w:rFonts w:eastAsiaTheme="minorHAnsi"/>
          <w:i w:val="0"/>
        </w:rPr>
        <w:t>2016</w:t>
      </w:r>
      <w:r w:rsidRPr="003A6BA4">
        <w:rPr>
          <w:rFonts w:eastAsiaTheme="minorHAnsi"/>
          <w:i w:val="0"/>
        </w:rPr>
        <w:noBreakHyphen/>
        <w:t>17 Budget Update</w:t>
      </w:r>
      <w:r w:rsidRPr="003A6BA4">
        <w:rPr>
          <w:rFonts w:eastAsiaTheme="minorHAnsi"/>
        </w:rPr>
        <w:t xml:space="preserve">). The tolerance limit applying to the movement between Victoria’s 2016-17 LCA nomination and its LCA revised budget estimate is </w:t>
      </w:r>
      <w:r>
        <w:rPr>
          <w:rFonts w:eastAsiaTheme="minorHAnsi"/>
        </w:rPr>
        <w:t xml:space="preserve">$1 217 </w:t>
      </w:r>
      <w:r w:rsidRPr="007E300C">
        <w:rPr>
          <w:rFonts w:eastAsiaTheme="minorHAnsi"/>
        </w:rPr>
        <w:t>million (2</w:t>
      </w:r>
      <w:r>
        <w:rPr>
          <w:rFonts w:eastAsiaTheme="minorHAnsi"/>
        </w:rPr>
        <w:t xml:space="preserve"> per cent of $60 844 million)</w:t>
      </w:r>
      <w:r w:rsidRPr="003A6BA4">
        <w:rPr>
          <w:rFonts w:eastAsiaTheme="minorHAnsi"/>
        </w:rPr>
        <w:t>.</w:t>
      </w:r>
    </w:p>
    <w:p w:rsidR="00566E9A" w:rsidRDefault="00566E9A" w:rsidP="00AE5760">
      <w:pPr>
        <w:rPr>
          <w:rFonts w:eastAsiaTheme="minorHAnsi"/>
        </w:rPr>
      </w:pPr>
    </w:p>
    <w:p w:rsidR="00566E9A" w:rsidRDefault="00566E9A" w:rsidP="00AE5760">
      <w:pPr>
        <w:rPr>
          <w:rFonts w:eastAsiaTheme="minorHAnsi"/>
        </w:rPr>
      </w:pPr>
      <w:r w:rsidRPr="007E300C">
        <w:rPr>
          <w:rFonts w:eastAsiaTheme="minorHAnsi"/>
        </w:rPr>
        <w:t xml:space="preserve">As part of the Loan Council arrangements, the Council has agreed that if at any time a state or territory finds that it is likely to exceed its tolerance limit, in either direction, it is required to provide an explanation to the Council and, in line with the emphasis of </w:t>
      </w:r>
      <w:r w:rsidRPr="00DF6664">
        <w:rPr>
          <w:rFonts w:eastAsiaTheme="minorHAnsi"/>
        </w:rPr>
        <w:t>increased transparency, to make the explanation public. Victoria’s 2016</w:t>
      </w:r>
      <w:r>
        <w:rPr>
          <w:rFonts w:eastAsiaTheme="minorHAnsi"/>
        </w:rPr>
        <w:t>-17 revised LCA (a surplus of $2.9</w:t>
      </w:r>
      <w:r w:rsidRPr="00DF6664">
        <w:rPr>
          <w:rFonts w:eastAsiaTheme="minorHAnsi"/>
        </w:rPr>
        <w:t xml:space="preserve"> billion) exceeds the tolerance limit established under the LCA nomination process </w:t>
      </w:r>
      <w:r>
        <w:rPr>
          <w:rFonts w:eastAsiaTheme="minorHAnsi"/>
        </w:rPr>
        <w:t xml:space="preserve">mainly </w:t>
      </w:r>
      <w:r w:rsidRPr="00DF6664">
        <w:rPr>
          <w:rFonts w:eastAsiaTheme="minorHAnsi"/>
        </w:rPr>
        <w:t>due to the re-phasing of the Port of Melbourne lease transaction proceeds from 2015-16 to 2016-17.</w:t>
      </w:r>
    </w:p>
    <w:p w:rsidR="00566E9A" w:rsidRPr="00884562" w:rsidRDefault="00566E9A" w:rsidP="00AE5760">
      <w:pPr>
        <w:pStyle w:val="Heading1"/>
        <w:rPr>
          <w:rFonts w:eastAsiaTheme="minorHAnsi"/>
        </w:rPr>
      </w:pPr>
      <w:bookmarkStart w:id="51" w:name="_Toc468983286"/>
      <w:r w:rsidRPr="00884562">
        <w:rPr>
          <w:rFonts w:eastAsiaTheme="minorHAnsi"/>
        </w:rPr>
        <w:lastRenderedPageBreak/>
        <w:t>New infrastructure projects with private sector involvement</w:t>
      </w:r>
      <w:bookmarkEnd w:id="51"/>
    </w:p>
    <w:p w:rsidR="00566E9A" w:rsidRPr="00EB7792" w:rsidRDefault="00566E9A" w:rsidP="00AE5760">
      <w:pPr>
        <w:rPr>
          <w:rFonts w:eastAsiaTheme="minorHAnsi"/>
        </w:rPr>
      </w:pPr>
      <w:r w:rsidRPr="00EB7792">
        <w:rPr>
          <w:rFonts w:eastAsiaTheme="minorHAnsi"/>
        </w:rPr>
        <w:t xml:space="preserve">In the interests of transparency, the State is required to disclose the details of new infrastructure projects with private sector involvement that are expected to be contracted during the LCA year, and to report the full contingent exposure, if any. Exposure is to be measured by the Government’s termination liabilities in a case of a private sector default and disclosed as a footnote to, rather than a component of, the LCA. The amount payable will not exceed the fair market value of the project (which is usually calculated by an independent </w:t>
      </w:r>
      <w:proofErr w:type="spellStart"/>
      <w:r w:rsidRPr="00EB7792">
        <w:rPr>
          <w:rFonts w:eastAsiaTheme="minorHAnsi"/>
        </w:rPr>
        <w:t>valuer</w:t>
      </w:r>
      <w:proofErr w:type="spellEnd"/>
      <w:r w:rsidRPr="00EB7792">
        <w:rPr>
          <w:rFonts w:eastAsiaTheme="minorHAnsi"/>
        </w:rPr>
        <w:t>) less any costs incurred by the Government as a result of the default.</w:t>
      </w:r>
    </w:p>
    <w:p w:rsidR="00566E9A" w:rsidRPr="00EB7792" w:rsidRDefault="00566E9A" w:rsidP="00AE5760">
      <w:pPr>
        <w:rPr>
          <w:rFonts w:eastAsiaTheme="minorHAnsi"/>
        </w:rPr>
      </w:pPr>
      <w:r w:rsidRPr="00EB7792">
        <w:rPr>
          <w:rFonts w:eastAsiaTheme="minorHAnsi"/>
        </w:rPr>
        <w:t>Listed below are details of the public private partnership (PPP) projects that are expected to be contracted in the 2016-17 financial year.</w:t>
      </w:r>
    </w:p>
    <w:p w:rsidR="00566E9A" w:rsidRPr="00EB7792" w:rsidRDefault="00566E9A" w:rsidP="00AE5760">
      <w:pPr>
        <w:pStyle w:val="Heading2"/>
        <w:rPr>
          <w:rFonts w:eastAsiaTheme="minorHAnsi"/>
        </w:rPr>
      </w:pPr>
      <w:r w:rsidRPr="00EB7792">
        <w:rPr>
          <w:rFonts w:eastAsiaTheme="minorHAnsi"/>
        </w:rPr>
        <w:t>Casey Hospital Expansion</w:t>
      </w:r>
    </w:p>
    <w:p w:rsidR="00566E9A" w:rsidRPr="00EB7792" w:rsidRDefault="00566E9A" w:rsidP="00AE5760">
      <w:pPr>
        <w:rPr>
          <w:rFonts w:eastAsiaTheme="minorHAnsi"/>
        </w:rPr>
      </w:pPr>
      <w:r w:rsidRPr="00EB7792">
        <w:rPr>
          <w:rFonts w:eastAsiaTheme="minorHAnsi"/>
        </w:rPr>
        <w:t xml:space="preserve">The Casey Hospital expansion project was allocated $106.3 million in the </w:t>
      </w:r>
      <w:r w:rsidRPr="00724BA8">
        <w:rPr>
          <w:rFonts w:eastAsiaTheme="minorHAnsi"/>
          <w:i/>
        </w:rPr>
        <w:t>2015-16 Budget</w:t>
      </w:r>
      <w:r w:rsidRPr="00EB7792">
        <w:rPr>
          <w:rFonts w:eastAsiaTheme="minorHAnsi"/>
        </w:rPr>
        <w:t>. The Government subsequently announced an additional $28.6 million in October 2016 for the expansion and an additional 64 multi-day beds. The expansion will increase the floor area of the existing facility by approximately 12</w:t>
      </w:r>
      <w:r>
        <w:rPr>
          <w:rFonts w:eastAsiaTheme="minorHAnsi"/>
        </w:rPr>
        <w:t xml:space="preserve"> </w:t>
      </w:r>
      <w:r w:rsidRPr="00EB7792">
        <w:rPr>
          <w:rFonts w:eastAsiaTheme="minorHAnsi"/>
        </w:rPr>
        <w:t>700sqm (35 per cent) through a new multi-storey tower that connects with the existing hospital. The scope of the expansion will add 96 beds, four new operating theatres and a new central sterile services department. The expansion will provide significant across-the-board benefits in improving local access for patients and providing an increased range of acute services, provide improved and sustainable patient outcomes, and allow for improved financial performance through improved operational efficiency. Negotiations are progressing to deliver the expansion as a modification under the current PPP contract with Plenary Health, which expires in 2029. The expansion is expected to be operational in 2019.</w:t>
      </w:r>
    </w:p>
    <w:p w:rsidR="00566E9A" w:rsidRPr="00EB7792" w:rsidRDefault="00566E9A" w:rsidP="00AE5760">
      <w:pPr>
        <w:pStyle w:val="Heading2"/>
        <w:rPr>
          <w:rFonts w:eastAsiaTheme="minorHAnsi"/>
        </w:rPr>
      </w:pPr>
      <w:r w:rsidRPr="00EB7792">
        <w:rPr>
          <w:rFonts w:eastAsiaTheme="minorHAnsi"/>
        </w:rPr>
        <w:t>High Capacity Metropolitan Trains</w:t>
      </w:r>
    </w:p>
    <w:p w:rsidR="00566E9A" w:rsidRPr="00EB7792" w:rsidRDefault="00566E9A" w:rsidP="00AE5760">
      <w:pPr>
        <w:rPr>
          <w:rFonts w:eastAsiaTheme="minorHAnsi"/>
        </w:rPr>
      </w:pPr>
      <w:r w:rsidRPr="00EB7792">
        <w:rPr>
          <w:rFonts w:eastAsiaTheme="minorHAnsi"/>
        </w:rPr>
        <w:t>The High Capacity Metropolitan Trains (HCMT) Project will provide a dedicated fleet to meet growing demand on the Cranbourne-Pakenham corridor and later on the Sunbury Line, and will provide the train</w:t>
      </w:r>
      <w:r>
        <w:rPr>
          <w:rFonts w:eastAsiaTheme="minorHAnsi"/>
        </w:rPr>
        <w:t>s</w:t>
      </w:r>
      <w:r w:rsidRPr="00EB7792">
        <w:rPr>
          <w:rFonts w:eastAsiaTheme="minorHAnsi"/>
        </w:rPr>
        <w:t xml:space="preserve"> required for the Metro Tunnel project. </w:t>
      </w:r>
      <w:r>
        <w:rPr>
          <w:rFonts w:eastAsiaTheme="minorHAnsi"/>
        </w:rPr>
        <w:t>A</w:t>
      </w:r>
      <w:r w:rsidRPr="00EB7792">
        <w:rPr>
          <w:rFonts w:eastAsiaTheme="minorHAnsi"/>
        </w:rPr>
        <w:t xml:space="preserve"> new train depot in Pakenham East and the Light Service Facility at Calder Park will have the flexibility to cater for the future rolling stock maintenance needs of the network. Associated infrastructure will be separately delivered by the State. The </w:t>
      </w:r>
      <w:r>
        <w:rPr>
          <w:rFonts w:eastAsiaTheme="minorHAnsi"/>
        </w:rPr>
        <w:t>project</w:t>
      </w:r>
      <w:r w:rsidRPr="00EB7792">
        <w:rPr>
          <w:rFonts w:eastAsiaTheme="minorHAnsi"/>
        </w:rPr>
        <w:t xml:space="preserve"> scope will have a nominal capital cost of $2.2 billion.</w:t>
      </w:r>
    </w:p>
    <w:p w:rsidR="00566E9A" w:rsidRDefault="00566E9A" w:rsidP="00AE5760">
      <w:pPr>
        <w:rPr>
          <w:rFonts w:eastAsiaTheme="minorHAnsi"/>
        </w:rPr>
      </w:pPr>
      <w:r w:rsidRPr="00EB7792">
        <w:rPr>
          <w:rFonts w:eastAsiaTheme="minorHAnsi"/>
        </w:rPr>
        <w:t>The project is being procured as an availability-based PPP project. The successful consortium will be contracted to undertake the design, financing, manufacture and commissioning of 65 HCMTs (with a priced option for an additional 35), the Pakenham East Depot and Simulator and the Calder Park Light Service Facility. The consortium will also be responsible for the operating and maintenance activities over the maintenance phase of the contract, commencing from Provisional Acceptance of the first HCMT and ending 30 years post completion of Provisional Acceptance of the fleet</w:t>
      </w:r>
      <w:r>
        <w:rPr>
          <w:rFonts w:eastAsiaTheme="minorHAnsi"/>
        </w:rPr>
        <w:t>. The contract was</w:t>
      </w:r>
      <w:r w:rsidRPr="00EB7792">
        <w:rPr>
          <w:rFonts w:eastAsiaTheme="minorHAnsi"/>
        </w:rPr>
        <w:t xml:space="preserve"> executed in November 2016, with the first train</w:t>
      </w:r>
      <w:r>
        <w:rPr>
          <w:rFonts w:eastAsiaTheme="minorHAnsi"/>
        </w:rPr>
        <w:t xml:space="preserve"> due</w:t>
      </w:r>
      <w:r w:rsidRPr="00EB7792">
        <w:rPr>
          <w:rFonts w:eastAsiaTheme="minorHAnsi"/>
        </w:rPr>
        <w:t xml:space="preserve"> to be delivered </w:t>
      </w:r>
      <w:r>
        <w:rPr>
          <w:rFonts w:eastAsiaTheme="minorHAnsi"/>
        </w:rPr>
        <w:t xml:space="preserve">for testing </w:t>
      </w:r>
      <w:r w:rsidRPr="00EB7792">
        <w:rPr>
          <w:rFonts w:eastAsiaTheme="minorHAnsi"/>
        </w:rPr>
        <w:t xml:space="preserve">in 2018. </w:t>
      </w:r>
    </w:p>
    <w:p w:rsidR="00566E9A" w:rsidRDefault="00566E9A" w:rsidP="009F1202">
      <w:pPr>
        <w:rPr>
          <w:rFonts w:eastAsiaTheme="minorHAnsi"/>
        </w:rPr>
      </w:pPr>
      <w:r w:rsidRPr="00923F7C">
        <w:rPr>
          <w:rFonts w:eastAsiaTheme="minorHAnsi"/>
        </w:rPr>
        <w:t>There are no other Partnerships Victoria contracts greater than $5 million that are currently expected to be signed during the 2016-17 financial year.</w:t>
      </w:r>
    </w:p>
    <w:p w:rsidR="00C14B16" w:rsidRDefault="00C14B16" w:rsidP="009F1202">
      <w:pPr>
        <w:rPr>
          <w:rFonts w:eastAsiaTheme="minorHAnsi"/>
        </w:rPr>
        <w:sectPr w:rsidR="00C14B16" w:rsidSect="00C14B16">
          <w:headerReference w:type="even" r:id="rId29"/>
          <w:headerReference w:type="default" r:id="rId30"/>
          <w:footerReference w:type="even" r:id="rId31"/>
          <w:footerReference w:type="default" r:id="rId32"/>
          <w:headerReference w:type="first" r:id="rId33"/>
          <w:footerReference w:type="first" r:id="rId34"/>
          <w:pgSz w:w="9979" w:h="14181" w:code="138"/>
          <w:pgMar w:top="1140" w:right="1140" w:bottom="1140" w:left="1140" w:header="720" w:footer="431" w:gutter="0"/>
          <w:cols w:space="708"/>
          <w:docGrid w:linePitch="360"/>
        </w:sectPr>
      </w:pPr>
    </w:p>
    <w:p w:rsidR="00566E9A" w:rsidRDefault="00566E9A" w:rsidP="00AE5760">
      <w:pPr>
        <w:pStyle w:val="ChapterHeading"/>
        <w:rPr>
          <w:rFonts w:eastAsiaTheme="minorHAnsi"/>
        </w:rPr>
      </w:pPr>
      <w:bookmarkStart w:id="52" w:name="_Toc468983287"/>
      <w:r>
        <w:rPr>
          <w:rFonts w:eastAsiaTheme="minorHAnsi"/>
        </w:rPr>
        <w:lastRenderedPageBreak/>
        <w:t>Chapter 6 – Contingent assets and contingent liabilities</w:t>
      </w:r>
      <w:bookmarkEnd w:id="52"/>
    </w:p>
    <w:p w:rsidR="00566E9A" w:rsidRPr="001339A5" w:rsidRDefault="00566E9A" w:rsidP="00AE5760">
      <w:r w:rsidRPr="001339A5">
        <w:t xml:space="preserve">This chapter contains information on contingent assets and liabilities for the general government sector and should be read in </w:t>
      </w:r>
      <w:r>
        <w:t>conjunction with Chapter 4</w:t>
      </w:r>
      <w:r w:rsidRPr="001339A5">
        <w:t>.</w:t>
      </w:r>
    </w:p>
    <w:p w:rsidR="00566E9A" w:rsidRPr="006A75A2" w:rsidRDefault="00566E9A" w:rsidP="00AE5760">
      <w:pPr>
        <w:pStyle w:val="Heading1"/>
      </w:pPr>
      <w:bookmarkStart w:id="53" w:name="_Toc468983288"/>
      <w:r w:rsidRPr="006A75A2">
        <w:t>Contingent assets</w:t>
      </w:r>
      <w:bookmarkEnd w:id="53"/>
    </w:p>
    <w:p w:rsidR="00566E9A" w:rsidRPr="006A75A2" w:rsidRDefault="00566E9A" w:rsidP="00AE5760">
      <w:r w:rsidRPr="006A75A2">
        <w:t>Contingent assets are possible assets that arise from past events, whose existence will be confirmed only by the occurrence or non</w:t>
      </w:r>
      <w:r>
        <w:noBreakHyphen/>
      </w:r>
      <w:r w:rsidRPr="006A75A2">
        <w:t>occurrence of one or more uncertain future events not wholly within the control of the entity.</w:t>
      </w:r>
    </w:p>
    <w:p w:rsidR="00566E9A" w:rsidRDefault="00566E9A" w:rsidP="00AE5760">
      <w:r w:rsidRPr="006A75A2">
        <w:t>These are classified as either quantifiable, where the potential economic benefit is known, or non</w:t>
      </w:r>
      <w:r>
        <w:noBreakHyphen/>
      </w:r>
      <w:r w:rsidRPr="006A75A2">
        <w:t>quantifiable. The table below contains quantifiable cont</w:t>
      </w:r>
      <w:r>
        <w:t xml:space="preserve">ingent assets as </w:t>
      </w:r>
      <w:r w:rsidRPr="0055759B">
        <w:t xml:space="preserve">at </w:t>
      </w:r>
      <w:r>
        <w:t>29 November 2016</w:t>
      </w:r>
      <w:r w:rsidRPr="0055759B">
        <w:t>.</w:t>
      </w:r>
    </w:p>
    <w:p w:rsidR="00566E9A" w:rsidRDefault="00566E9A" w:rsidP="00AE5760">
      <w:pPr>
        <w:pStyle w:val="Tableheading"/>
      </w:pPr>
      <w:r>
        <w:t>Table 6.1</w:t>
      </w:r>
      <w:r w:rsidR="00B4296C">
        <w:t>:</w:t>
      </w:r>
      <w:r>
        <w:tab/>
        <w:t>Quantifiable contingent assets</w:t>
      </w:r>
    </w:p>
    <w:p w:rsidR="00566E9A" w:rsidRPr="000E19E3" w:rsidRDefault="00566E9A" w:rsidP="00AE5760">
      <w:pPr>
        <w:pStyle w:val="million"/>
        <w:rPr>
          <w:rFonts w:asciiTheme="minorHAnsi" w:hAnsiTheme="minorHAnsi"/>
          <w:b/>
          <w:bCs/>
          <w:sz w:val="22"/>
          <w:lang w:val="en-US"/>
        </w:rPr>
      </w:pPr>
      <w:r>
        <w:t>($ million)</w:t>
      </w:r>
    </w:p>
    <w:tbl>
      <w:tblPr>
        <w:tblStyle w:val="DTFFinancialTable"/>
        <w:tblW w:w="7766" w:type="dxa"/>
        <w:tblInd w:w="45" w:type="dxa"/>
        <w:tblLayout w:type="fixed"/>
        <w:tblCellMar>
          <w:left w:w="45" w:type="dxa"/>
          <w:right w:w="45" w:type="dxa"/>
        </w:tblCellMar>
        <w:tblLook w:val="06A0" w:firstRow="1" w:lastRow="0" w:firstColumn="1" w:lastColumn="0" w:noHBand="1" w:noVBand="1"/>
      </w:tblPr>
      <w:tblGrid>
        <w:gridCol w:w="5245"/>
        <w:gridCol w:w="851"/>
        <w:gridCol w:w="1670"/>
      </w:tblGrid>
      <w:tr w:rsidR="00AE5760" w:rsidRPr="000E19E3"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245" w:type="dxa"/>
            <w:tcBorders>
              <w:top w:val="nil"/>
              <w:left w:val="nil"/>
              <w:right w:val="nil"/>
            </w:tcBorders>
            <w:shd w:val="solid" w:color="000000" w:fill="auto"/>
          </w:tcPr>
          <w:p w:rsidR="00AE5760" w:rsidRPr="000E19E3" w:rsidRDefault="00AE5760" w:rsidP="00AE5760">
            <w:pPr>
              <w:autoSpaceDE w:val="0"/>
              <w:autoSpaceDN w:val="0"/>
              <w:adjustRightInd w:val="0"/>
              <w:rPr>
                <w:rFonts w:eastAsiaTheme="minorEastAsia" w:cs="Calibri"/>
                <w:iCs/>
                <w:color w:val="FFFFFF"/>
                <w:szCs w:val="19"/>
                <w:lang w:eastAsia="en-AU"/>
              </w:rPr>
            </w:pPr>
            <w:r w:rsidRPr="000E19E3">
              <w:rPr>
                <w:rFonts w:eastAsiaTheme="minorEastAsia" w:cs="Calibri"/>
                <w:iCs/>
                <w:color w:val="FFFFFF"/>
                <w:szCs w:val="19"/>
                <w:lang w:eastAsia="en-AU"/>
              </w:rPr>
              <w:t xml:space="preserve">  </w:t>
            </w:r>
          </w:p>
        </w:tc>
        <w:tc>
          <w:tcPr>
            <w:tcW w:w="851" w:type="dxa"/>
            <w:tcBorders>
              <w:top w:val="nil"/>
              <w:left w:val="nil"/>
              <w:right w:val="nil"/>
            </w:tcBorders>
            <w:shd w:val="solid" w:color="000000" w:fill="auto"/>
          </w:tcPr>
          <w:p w:rsidR="00AE5760" w:rsidRPr="000E19E3"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E19E3">
              <w:rPr>
                <w:rFonts w:eastAsiaTheme="minorEastAsia" w:cs="Calibri"/>
                <w:iCs/>
                <w:color w:val="FFFFFF"/>
                <w:szCs w:val="19"/>
                <w:lang w:eastAsia="en-AU"/>
              </w:rPr>
              <w:t>As at</w:t>
            </w:r>
            <w:r>
              <w:rPr>
                <w:rFonts w:eastAsiaTheme="minorEastAsia" w:cs="Calibri"/>
                <w:iCs/>
                <w:color w:val="FFFFFF"/>
                <w:szCs w:val="19"/>
                <w:lang w:eastAsia="en-AU"/>
              </w:rPr>
              <w:br/>
            </w:r>
            <w:r w:rsidRPr="000E19E3">
              <w:rPr>
                <w:rFonts w:eastAsiaTheme="minorEastAsia" w:cs="Calibri"/>
                <w:iCs/>
                <w:color w:val="FFFFFF"/>
                <w:szCs w:val="19"/>
                <w:lang w:eastAsia="en-AU"/>
              </w:rPr>
              <w:t>Dec 2016</w:t>
            </w:r>
          </w:p>
        </w:tc>
        <w:tc>
          <w:tcPr>
            <w:tcW w:w="1670" w:type="dxa"/>
            <w:tcBorders>
              <w:top w:val="nil"/>
              <w:left w:val="nil"/>
              <w:right w:val="nil"/>
            </w:tcBorders>
            <w:shd w:val="solid" w:color="000000" w:fill="auto"/>
          </w:tcPr>
          <w:p w:rsidR="00AE5760" w:rsidRPr="000E19E3"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E19E3">
              <w:rPr>
                <w:rFonts w:eastAsiaTheme="minorEastAsia" w:cs="Calibri"/>
                <w:iCs/>
                <w:color w:val="FFFFFF"/>
                <w:szCs w:val="19"/>
                <w:lang w:eastAsia="en-AU"/>
              </w:rPr>
              <w:t>Published budget</w:t>
            </w:r>
            <w:r>
              <w:rPr>
                <w:rFonts w:eastAsiaTheme="minorEastAsia" w:cs="Calibri"/>
                <w:iCs/>
                <w:color w:val="FFFFFF"/>
                <w:szCs w:val="19"/>
                <w:lang w:eastAsia="en-AU"/>
              </w:rPr>
              <w:br/>
            </w:r>
            <w:r w:rsidRPr="000E19E3">
              <w:rPr>
                <w:rFonts w:eastAsiaTheme="minorEastAsia" w:cs="Calibri"/>
                <w:iCs/>
                <w:color w:val="FFFFFF"/>
                <w:szCs w:val="19"/>
                <w:lang w:eastAsia="en-AU"/>
              </w:rPr>
              <w:t xml:space="preserve">estimate </w:t>
            </w:r>
            <w:r w:rsidRPr="000E19E3">
              <w:rPr>
                <w:rFonts w:eastAsiaTheme="minorEastAsia" w:cs="Calibri"/>
                <w:iCs/>
                <w:color w:val="FFFFFF"/>
                <w:szCs w:val="19"/>
                <w:vertAlign w:val="superscript"/>
                <w:lang w:eastAsia="en-AU"/>
              </w:rPr>
              <w:t>(a)</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5"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lang w:eastAsia="en-AU"/>
              </w:rPr>
            </w:pPr>
            <w:r w:rsidRPr="000E19E3">
              <w:rPr>
                <w:rFonts w:eastAsiaTheme="minorEastAsia" w:cs="Calibri"/>
                <w:color w:val="000000"/>
                <w:szCs w:val="19"/>
                <w:lang w:eastAsia="en-AU"/>
              </w:rPr>
              <w:t>Guarantees, indemnities and warranties</w:t>
            </w:r>
          </w:p>
        </w:tc>
        <w:tc>
          <w:tcPr>
            <w:tcW w:w="85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8</w:t>
            </w:r>
          </w:p>
        </w:tc>
        <w:tc>
          <w:tcPr>
            <w:tcW w:w="1670"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5"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lang w:eastAsia="en-AU"/>
              </w:rPr>
            </w:pPr>
            <w:r w:rsidRPr="000E19E3">
              <w:rPr>
                <w:rFonts w:eastAsiaTheme="minorEastAsia" w:cs="Calibri"/>
                <w:color w:val="000000"/>
                <w:szCs w:val="19"/>
                <w:lang w:eastAsia="en-AU"/>
              </w:rPr>
              <w:t>Legal proceedings and disputes</w:t>
            </w:r>
          </w:p>
        </w:tc>
        <w:tc>
          <w:tcPr>
            <w:tcW w:w="85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w:t>
            </w:r>
          </w:p>
        </w:tc>
        <w:tc>
          <w:tcPr>
            <w:tcW w:w="1670"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5"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vertAlign w:val="superscript"/>
                <w:lang w:eastAsia="en-AU"/>
              </w:rPr>
            </w:pPr>
            <w:r w:rsidRPr="000E19E3">
              <w:rPr>
                <w:rFonts w:eastAsiaTheme="minorEastAsia" w:cs="Calibri"/>
                <w:color w:val="000000"/>
                <w:szCs w:val="19"/>
                <w:lang w:eastAsia="en-AU"/>
              </w:rPr>
              <w:t xml:space="preserve">Other </w:t>
            </w:r>
            <w:r w:rsidRPr="000E19E3">
              <w:rPr>
                <w:rFonts w:eastAsiaTheme="minorEastAsia" w:cs="Calibri"/>
                <w:color w:val="000000"/>
                <w:szCs w:val="19"/>
                <w:vertAlign w:val="superscript"/>
                <w:lang w:eastAsia="en-AU"/>
              </w:rPr>
              <w:t>(b)</w:t>
            </w:r>
          </w:p>
        </w:tc>
        <w:tc>
          <w:tcPr>
            <w:tcW w:w="85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102</w:t>
            </w:r>
          </w:p>
        </w:tc>
        <w:tc>
          <w:tcPr>
            <w:tcW w:w="1670"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109</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left w:val="nil"/>
              <w:bottom w:val="single" w:sz="12" w:space="0" w:color="auto"/>
              <w:right w:val="nil"/>
            </w:tcBorders>
          </w:tcPr>
          <w:p w:rsidR="00566E9A" w:rsidRPr="000E19E3" w:rsidRDefault="00566E9A" w:rsidP="00AE5760">
            <w:pPr>
              <w:autoSpaceDE w:val="0"/>
              <w:autoSpaceDN w:val="0"/>
              <w:adjustRightInd w:val="0"/>
              <w:rPr>
                <w:rFonts w:eastAsiaTheme="minorEastAsia" w:cs="Calibri"/>
                <w:b/>
                <w:bCs/>
                <w:color w:val="000000"/>
                <w:szCs w:val="19"/>
                <w:lang w:eastAsia="en-AU"/>
              </w:rPr>
            </w:pPr>
            <w:r w:rsidRPr="000E19E3">
              <w:rPr>
                <w:rFonts w:eastAsiaTheme="minorEastAsia" w:cs="Calibri"/>
                <w:b/>
                <w:bCs/>
                <w:color w:val="000000"/>
                <w:szCs w:val="19"/>
                <w:lang w:eastAsia="en-AU"/>
              </w:rPr>
              <w:t>Total contingent assets</w:t>
            </w:r>
          </w:p>
        </w:tc>
        <w:tc>
          <w:tcPr>
            <w:tcW w:w="851" w:type="dxa"/>
            <w:tcBorders>
              <w:top w:val="single" w:sz="6" w:space="0" w:color="auto"/>
              <w:left w:val="nil"/>
              <w:bottom w:val="single" w:sz="12" w:space="0" w:color="auto"/>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117</w:t>
            </w:r>
          </w:p>
        </w:tc>
        <w:tc>
          <w:tcPr>
            <w:tcW w:w="1670" w:type="dxa"/>
            <w:tcBorders>
              <w:top w:val="single" w:sz="6" w:space="0" w:color="auto"/>
              <w:left w:val="nil"/>
              <w:bottom w:val="single" w:sz="12" w:space="0" w:color="auto"/>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123</w:t>
            </w:r>
          </w:p>
        </w:tc>
      </w:tr>
    </w:tbl>
    <w:p w:rsidR="00566E9A" w:rsidRDefault="00566E9A" w:rsidP="00AE5760">
      <w:pPr>
        <w:pStyle w:val="Notes"/>
      </w:pPr>
      <w:r>
        <w:t>Notes:</w:t>
      </w:r>
    </w:p>
    <w:p w:rsidR="00566E9A" w:rsidRDefault="00566E9A" w:rsidP="00AE5760">
      <w:pPr>
        <w:pStyle w:val="Notes"/>
      </w:pPr>
      <w:r>
        <w:t xml:space="preserve">(a) </w:t>
      </w:r>
      <w:r>
        <w:tab/>
        <w:t xml:space="preserve">As published in the </w:t>
      </w:r>
      <w:r w:rsidRPr="00F26628">
        <w:rPr>
          <w:i w:val="0"/>
        </w:rPr>
        <w:t>2016-17 Budget</w:t>
      </w:r>
      <w:r>
        <w:t>.</w:t>
      </w:r>
    </w:p>
    <w:p w:rsidR="00566E9A" w:rsidRDefault="00566E9A" w:rsidP="00AE5760">
      <w:pPr>
        <w:pStyle w:val="Notes"/>
      </w:pPr>
      <w:r>
        <w:t xml:space="preserve">(b) </w:t>
      </w:r>
      <w:r>
        <w:tab/>
        <w:t xml:space="preserve">Other contingent assets in the general government sector mainly consists of a contingent payment of $100 million from Crown Melbourne, that may be payable in the 2022 calendar year. </w:t>
      </w:r>
    </w:p>
    <w:p w:rsidR="00566E9A" w:rsidRDefault="00566E9A">
      <w:pPr>
        <w:spacing w:after="0"/>
        <w:rPr>
          <w:rFonts w:asciiTheme="majorHAnsi" w:eastAsiaTheme="minorHAnsi" w:hAnsiTheme="majorHAnsi"/>
          <w:b/>
          <w:kern w:val="28"/>
          <w:sz w:val="26"/>
        </w:rPr>
      </w:pPr>
      <w:r>
        <w:rPr>
          <w:rFonts w:eastAsiaTheme="minorHAnsi"/>
        </w:rPr>
        <w:br w:type="page"/>
      </w:r>
    </w:p>
    <w:p w:rsidR="00566E9A" w:rsidRPr="00011C86" w:rsidRDefault="00566E9A" w:rsidP="00AE5760">
      <w:pPr>
        <w:pStyle w:val="Heading2"/>
        <w:rPr>
          <w:rFonts w:eastAsiaTheme="minorHAnsi"/>
        </w:rPr>
      </w:pPr>
      <w:r w:rsidRPr="00011C86">
        <w:rPr>
          <w:rFonts w:eastAsiaTheme="minorHAnsi"/>
        </w:rPr>
        <w:lastRenderedPageBreak/>
        <w:t>Non quantifiable contingent assets</w:t>
      </w:r>
    </w:p>
    <w:p w:rsidR="00566E9A" w:rsidRPr="00011C86" w:rsidRDefault="00566E9A" w:rsidP="00AE5760">
      <w:pPr>
        <w:pStyle w:val="Heading3"/>
        <w:rPr>
          <w:rFonts w:eastAsiaTheme="minorHAnsi"/>
        </w:rPr>
      </w:pPr>
      <w:proofErr w:type="spellStart"/>
      <w:r w:rsidRPr="00011C86">
        <w:rPr>
          <w:rFonts w:eastAsiaTheme="minorHAnsi"/>
        </w:rPr>
        <w:t>CityLink</w:t>
      </w:r>
      <w:proofErr w:type="spellEnd"/>
      <w:r w:rsidRPr="00011C86">
        <w:rPr>
          <w:rFonts w:eastAsiaTheme="minorHAnsi"/>
        </w:rPr>
        <w:t xml:space="preserve"> compensable enhancement claims</w:t>
      </w:r>
    </w:p>
    <w:p w:rsidR="00566E9A" w:rsidRPr="00011C86" w:rsidRDefault="00566E9A" w:rsidP="00AE5760">
      <w:pPr>
        <w:rPr>
          <w:rFonts w:eastAsiaTheme="minorHAnsi"/>
        </w:rPr>
      </w:pPr>
      <w:r w:rsidRPr="00011C86">
        <w:rPr>
          <w:rFonts w:eastAsiaTheme="minorHAnsi"/>
        </w:rPr>
        <w:t xml:space="preserve">The Melbourne </w:t>
      </w:r>
      <w:proofErr w:type="spellStart"/>
      <w:r w:rsidRPr="00011C86">
        <w:rPr>
          <w:rFonts w:eastAsiaTheme="minorHAnsi"/>
        </w:rPr>
        <w:t>CityLink</w:t>
      </w:r>
      <w:proofErr w:type="spellEnd"/>
      <w:r w:rsidRPr="00011C86">
        <w:rPr>
          <w:rFonts w:eastAsiaTheme="minorHAnsi"/>
        </w:rPr>
        <w:t xml:space="preserve"> Concession Deed contains compensable enhancement provisions that enable the State to claim 50 per cent of additional revenue deriv</w:t>
      </w:r>
      <w:r>
        <w:rPr>
          <w:rFonts w:eastAsiaTheme="minorHAnsi"/>
        </w:rPr>
        <w:t xml:space="preserve">ed by </w:t>
      </w:r>
      <w:proofErr w:type="spellStart"/>
      <w:r>
        <w:rPr>
          <w:rFonts w:eastAsiaTheme="minorHAnsi"/>
        </w:rPr>
        <w:t>CityLink</w:t>
      </w:r>
      <w:proofErr w:type="spellEnd"/>
      <w:r>
        <w:rPr>
          <w:rFonts w:eastAsiaTheme="minorHAnsi"/>
        </w:rPr>
        <w:t xml:space="preserve"> Melbourne Ltd</w:t>
      </w:r>
      <w:r w:rsidRPr="00011C86">
        <w:rPr>
          <w:rFonts w:eastAsiaTheme="minorHAnsi"/>
        </w:rPr>
        <w:t xml:space="preserve"> as a result of certain events that particularly benefit </w:t>
      </w:r>
      <w:proofErr w:type="spellStart"/>
      <w:r w:rsidRPr="00011C86">
        <w:rPr>
          <w:rFonts w:eastAsiaTheme="minorHAnsi"/>
        </w:rPr>
        <w:t>CityLink</w:t>
      </w:r>
      <w:proofErr w:type="spellEnd"/>
      <w:r w:rsidRPr="00011C86">
        <w:rPr>
          <w:rFonts w:eastAsiaTheme="minorHAnsi"/>
        </w:rPr>
        <w:t xml:space="preserve">, including changes to the adjoining road network. </w:t>
      </w:r>
    </w:p>
    <w:p w:rsidR="00566E9A" w:rsidRPr="00011C86" w:rsidRDefault="00566E9A" w:rsidP="00AE5760">
      <w:pPr>
        <w:rPr>
          <w:rFonts w:eastAsiaTheme="minorHAnsi"/>
        </w:rPr>
      </w:pPr>
      <w:r w:rsidRPr="00011C86">
        <w:rPr>
          <w:rFonts w:eastAsiaTheme="minorHAnsi"/>
        </w:rPr>
        <w:t xml:space="preserve">Compensable enhancement claims have previously been lodged in respect to works for improving traffic flows on the West Gate Freeway (between </w:t>
      </w:r>
      <w:proofErr w:type="spellStart"/>
      <w:r w:rsidRPr="00011C86">
        <w:rPr>
          <w:rFonts w:eastAsiaTheme="minorHAnsi"/>
        </w:rPr>
        <w:t>Lorimer</w:t>
      </w:r>
      <w:proofErr w:type="spellEnd"/>
      <w:r w:rsidRPr="00011C86">
        <w:rPr>
          <w:rFonts w:eastAsiaTheme="minorHAnsi"/>
        </w:rPr>
        <w:t xml:space="preserve"> and Montague streets), and in the vici</w:t>
      </w:r>
      <w:r>
        <w:rPr>
          <w:rFonts w:eastAsiaTheme="minorHAnsi"/>
        </w:rPr>
        <w:t xml:space="preserve">nity of the intersection of </w:t>
      </w:r>
      <w:r w:rsidRPr="00011C86">
        <w:rPr>
          <w:rFonts w:eastAsiaTheme="minorHAnsi"/>
        </w:rPr>
        <w:t>Bulla Road and the Tullamarine Freeway. The claims were lodged on 20 May 2005 and 29 September 2006 respectively, and are still outstanding.</w:t>
      </w:r>
    </w:p>
    <w:p w:rsidR="00566E9A" w:rsidRPr="00011C86" w:rsidRDefault="00566E9A" w:rsidP="00AE5760">
      <w:pPr>
        <w:pStyle w:val="Heading3"/>
        <w:rPr>
          <w:rFonts w:eastAsiaTheme="minorHAnsi"/>
        </w:rPr>
      </w:pPr>
      <w:r w:rsidRPr="00011C86">
        <w:rPr>
          <w:rFonts w:eastAsiaTheme="minorHAnsi"/>
        </w:rPr>
        <w:t>Peninsula Link compensable enhancement claim</w:t>
      </w:r>
    </w:p>
    <w:p w:rsidR="00566E9A" w:rsidRPr="00011C86" w:rsidRDefault="00566E9A" w:rsidP="00AE5760">
      <w:pPr>
        <w:rPr>
          <w:rFonts w:eastAsiaTheme="minorHAnsi"/>
        </w:rPr>
      </w:pPr>
      <w:r w:rsidRPr="00011C86">
        <w:rPr>
          <w:rFonts w:eastAsiaTheme="minorHAnsi"/>
        </w:rPr>
        <w:t xml:space="preserve">The </w:t>
      </w:r>
      <w:proofErr w:type="spellStart"/>
      <w:r w:rsidRPr="00011C86">
        <w:rPr>
          <w:rFonts w:eastAsiaTheme="minorHAnsi"/>
        </w:rPr>
        <w:t>EastLink</w:t>
      </w:r>
      <w:proofErr w:type="spellEnd"/>
      <w:r w:rsidRPr="00011C86">
        <w:rPr>
          <w:rFonts w:eastAsiaTheme="minorHAnsi"/>
        </w:rPr>
        <w:t xml:space="preserve"> Concession Deed contains compensable enhancement provisions that enable the State to claim 50 per cent of any additional revenue derived by </w:t>
      </w:r>
      <w:proofErr w:type="spellStart"/>
      <w:r w:rsidRPr="00011C86">
        <w:rPr>
          <w:rFonts w:eastAsiaTheme="minorHAnsi"/>
        </w:rPr>
        <w:t>ConnectEast</w:t>
      </w:r>
      <w:proofErr w:type="spellEnd"/>
      <w:r w:rsidRPr="00011C86">
        <w:rPr>
          <w:rFonts w:eastAsiaTheme="minorHAnsi"/>
        </w:rPr>
        <w:t xml:space="preserve"> Pty Ltd (</w:t>
      </w:r>
      <w:proofErr w:type="spellStart"/>
      <w:r w:rsidRPr="00011C86">
        <w:rPr>
          <w:rFonts w:eastAsiaTheme="minorHAnsi"/>
        </w:rPr>
        <w:t>ConnectEast</w:t>
      </w:r>
      <w:proofErr w:type="spellEnd"/>
      <w:r w:rsidRPr="00011C86">
        <w:rPr>
          <w:rFonts w:eastAsiaTheme="minorHAnsi"/>
        </w:rPr>
        <w:t xml:space="preserve">) as a result of certain events that particularly benefit </w:t>
      </w:r>
      <w:proofErr w:type="spellStart"/>
      <w:r w:rsidRPr="00011C86">
        <w:rPr>
          <w:rFonts w:eastAsiaTheme="minorHAnsi"/>
        </w:rPr>
        <w:t>EastLink</w:t>
      </w:r>
      <w:proofErr w:type="spellEnd"/>
      <w:r w:rsidRPr="00011C86">
        <w:rPr>
          <w:rFonts w:eastAsiaTheme="minorHAnsi"/>
        </w:rPr>
        <w:t>, including changes to the adjoining road network.</w:t>
      </w:r>
    </w:p>
    <w:p w:rsidR="00566E9A" w:rsidRPr="00011C86" w:rsidRDefault="00566E9A" w:rsidP="00AE5760">
      <w:pPr>
        <w:rPr>
          <w:rFonts w:eastAsiaTheme="minorHAnsi"/>
        </w:rPr>
      </w:pPr>
      <w:r w:rsidRPr="00011C86">
        <w:rPr>
          <w:rFonts w:eastAsiaTheme="minorHAnsi"/>
        </w:rPr>
        <w:t>On 2 January 2014, the State lodged a compensable enhancement claim as a result of opening Peninsula Link. The claim remains outstanding.</w:t>
      </w:r>
    </w:p>
    <w:p w:rsidR="00566E9A" w:rsidRPr="00011C86" w:rsidRDefault="00566E9A" w:rsidP="00AE5760">
      <w:pPr>
        <w:pStyle w:val="Heading1"/>
        <w:rPr>
          <w:rFonts w:eastAsiaTheme="minorHAnsi"/>
        </w:rPr>
      </w:pPr>
      <w:bookmarkStart w:id="54" w:name="_Toc468983289"/>
      <w:r w:rsidRPr="00011C86">
        <w:rPr>
          <w:rFonts w:eastAsiaTheme="minorHAnsi"/>
        </w:rPr>
        <w:t>Contingent liabilities</w:t>
      </w:r>
      <w:bookmarkEnd w:id="54"/>
    </w:p>
    <w:p w:rsidR="00566E9A" w:rsidRPr="00011C86" w:rsidRDefault="00566E9A" w:rsidP="00AE5760">
      <w:pPr>
        <w:rPr>
          <w:rFonts w:eastAsiaTheme="minorHAnsi"/>
        </w:rPr>
      </w:pPr>
      <w:r w:rsidRPr="00011C86">
        <w:rPr>
          <w:rFonts w:eastAsiaTheme="minorHAnsi"/>
        </w:rPr>
        <w:t>Contingent liabilities are:</w:t>
      </w:r>
    </w:p>
    <w:p w:rsidR="00566E9A" w:rsidRPr="00011C86" w:rsidRDefault="00566E9A" w:rsidP="00AE5760">
      <w:pPr>
        <w:pStyle w:val="BulletText"/>
        <w:rPr>
          <w:rFonts w:eastAsiaTheme="minorHAnsi"/>
        </w:rPr>
      </w:pPr>
      <w:r w:rsidRPr="00011C86">
        <w:rPr>
          <w:rFonts w:eastAsiaTheme="minorHAnsi"/>
        </w:rPr>
        <w:t>possible obligations that arise from past events, whose existence will be confirmed only by the occurrence or non-occurrence of one or more uncertain future events not wholly within the control of the entity; or</w:t>
      </w:r>
    </w:p>
    <w:p w:rsidR="00566E9A" w:rsidRPr="00011C86" w:rsidRDefault="00566E9A" w:rsidP="00AE5760">
      <w:pPr>
        <w:pStyle w:val="BulletText"/>
        <w:rPr>
          <w:rFonts w:eastAsiaTheme="minorHAnsi"/>
        </w:rPr>
      </w:pPr>
      <w:r w:rsidRPr="00011C86">
        <w:rPr>
          <w:rFonts w:eastAsiaTheme="minorHAnsi"/>
        </w:rPr>
        <w:t>present obligations that arise from past events but are not recognised because:</w:t>
      </w:r>
    </w:p>
    <w:p w:rsidR="00566E9A" w:rsidRPr="00011C86" w:rsidRDefault="00566E9A" w:rsidP="00AE5760">
      <w:pPr>
        <w:pStyle w:val="DashText"/>
        <w:rPr>
          <w:rFonts w:eastAsiaTheme="minorHAnsi"/>
        </w:rPr>
      </w:pPr>
      <w:r w:rsidRPr="00011C86">
        <w:rPr>
          <w:rFonts w:eastAsiaTheme="minorHAnsi"/>
        </w:rPr>
        <w:t xml:space="preserve">it is not probable that an outflow of resources embodying economic benefits will be required to settle the obligations; or </w:t>
      </w:r>
    </w:p>
    <w:p w:rsidR="00566E9A" w:rsidRPr="00011C86" w:rsidRDefault="00566E9A" w:rsidP="00AE5760">
      <w:pPr>
        <w:pStyle w:val="DashText"/>
        <w:rPr>
          <w:rFonts w:eastAsiaTheme="minorHAnsi"/>
        </w:rPr>
      </w:pPr>
      <w:r w:rsidRPr="00011C86">
        <w:rPr>
          <w:rFonts w:eastAsiaTheme="minorHAnsi"/>
        </w:rPr>
        <w:t>the amount of the obligations cannot be measured with sufficient reliability.</w:t>
      </w:r>
    </w:p>
    <w:p w:rsidR="00566E9A" w:rsidRPr="00011C86" w:rsidRDefault="00566E9A" w:rsidP="00AE5760">
      <w:pPr>
        <w:rPr>
          <w:rFonts w:eastAsiaTheme="minorHAnsi"/>
        </w:rPr>
      </w:pPr>
      <w:r w:rsidRPr="00011C86">
        <w:rPr>
          <w:rFonts w:eastAsiaTheme="minorHAnsi"/>
        </w:rPr>
        <w:t>Contingent liabilities are also classified as either quantifiable or non-quantifiable.</w:t>
      </w:r>
    </w:p>
    <w:p w:rsidR="00566E9A" w:rsidRDefault="00566E9A" w:rsidP="00AE5760">
      <w:pPr>
        <w:rPr>
          <w:rFonts w:eastAsiaTheme="minorHAnsi"/>
        </w:rPr>
      </w:pPr>
      <w:r w:rsidRPr="00011C86">
        <w:rPr>
          <w:rFonts w:eastAsiaTheme="minorHAnsi"/>
        </w:rPr>
        <w:t xml:space="preserve">The table below contains quantifiable contingent liabilities </w:t>
      </w:r>
      <w:r w:rsidRPr="00755A20">
        <w:rPr>
          <w:rFonts w:eastAsiaTheme="minorHAnsi"/>
        </w:rPr>
        <w:t xml:space="preserve">as </w:t>
      </w:r>
      <w:r w:rsidRPr="0055759B">
        <w:rPr>
          <w:rFonts w:eastAsiaTheme="minorHAnsi"/>
        </w:rPr>
        <w:t>at</w:t>
      </w:r>
      <w:r>
        <w:rPr>
          <w:rFonts w:eastAsiaTheme="minorHAnsi"/>
        </w:rPr>
        <w:t xml:space="preserve"> 29 November 2016</w:t>
      </w:r>
      <w:r w:rsidRPr="0055759B">
        <w:rPr>
          <w:rFonts w:eastAsiaTheme="minorHAnsi"/>
        </w:rPr>
        <w:t>.</w:t>
      </w:r>
    </w:p>
    <w:p w:rsidR="00566E9A" w:rsidRDefault="00566E9A">
      <w:pPr>
        <w:spacing w:after="0"/>
        <w:rPr>
          <w:rFonts w:asciiTheme="majorHAnsi" w:eastAsiaTheme="minorHAnsi" w:hAnsiTheme="majorHAnsi"/>
          <w:b/>
        </w:rPr>
      </w:pPr>
      <w:r>
        <w:rPr>
          <w:rFonts w:eastAsiaTheme="minorHAnsi"/>
        </w:rPr>
        <w:br w:type="page"/>
      </w:r>
    </w:p>
    <w:p w:rsidR="00566E9A" w:rsidRDefault="00566E9A" w:rsidP="00AE5760">
      <w:pPr>
        <w:pStyle w:val="Tableheading"/>
        <w:rPr>
          <w:rFonts w:eastAsiaTheme="minorHAnsi"/>
        </w:rPr>
      </w:pPr>
      <w:r>
        <w:rPr>
          <w:rFonts w:eastAsiaTheme="minorHAnsi"/>
        </w:rPr>
        <w:lastRenderedPageBreak/>
        <w:t>Table 6.2:</w:t>
      </w:r>
      <w:r>
        <w:rPr>
          <w:rFonts w:eastAsiaTheme="minorHAnsi"/>
        </w:rPr>
        <w:tab/>
        <w:t>Quantifiable contingent liabilities</w:t>
      </w:r>
    </w:p>
    <w:p w:rsidR="00566E9A" w:rsidRPr="000E19E3" w:rsidRDefault="00566E9A" w:rsidP="00AE5760">
      <w:pPr>
        <w:pStyle w:val="million"/>
        <w:rPr>
          <w:rFonts w:asciiTheme="minorHAnsi" w:eastAsiaTheme="minorHAnsi" w:hAnsiTheme="minorHAnsi"/>
          <w:b/>
          <w:bCs/>
          <w:sz w:val="22"/>
          <w:lang w:val="en-US"/>
        </w:rPr>
      </w:pPr>
      <w:r>
        <w:rPr>
          <w:rFonts w:eastAsiaTheme="minorHAnsi"/>
        </w:rPr>
        <w:t>($ million)</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5244"/>
        <w:gridCol w:w="992"/>
        <w:gridCol w:w="1531"/>
      </w:tblGrid>
      <w:tr w:rsidR="00AE5760" w:rsidRPr="000E19E3" w:rsidTr="00AE5760">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244" w:type="dxa"/>
            <w:tcBorders>
              <w:top w:val="nil"/>
              <w:left w:val="nil"/>
              <w:right w:val="nil"/>
            </w:tcBorders>
            <w:shd w:val="solid" w:color="000000" w:fill="auto"/>
          </w:tcPr>
          <w:p w:rsidR="00AE5760" w:rsidRPr="000E19E3" w:rsidRDefault="00AE5760" w:rsidP="00AE5760">
            <w:pPr>
              <w:autoSpaceDE w:val="0"/>
              <w:autoSpaceDN w:val="0"/>
              <w:adjustRightInd w:val="0"/>
              <w:rPr>
                <w:rFonts w:eastAsiaTheme="minorEastAsia" w:cs="Calibri"/>
                <w:iCs/>
                <w:color w:val="FFFFFF"/>
                <w:szCs w:val="19"/>
                <w:lang w:eastAsia="en-AU"/>
              </w:rPr>
            </w:pPr>
            <w:r w:rsidRPr="000E19E3">
              <w:rPr>
                <w:rFonts w:eastAsiaTheme="minorEastAsia" w:cs="Calibri"/>
                <w:iCs/>
                <w:color w:val="FFFFFF"/>
                <w:szCs w:val="19"/>
                <w:lang w:eastAsia="en-AU"/>
              </w:rPr>
              <w:t xml:space="preserve">  </w:t>
            </w:r>
          </w:p>
        </w:tc>
        <w:tc>
          <w:tcPr>
            <w:tcW w:w="992" w:type="dxa"/>
            <w:tcBorders>
              <w:top w:val="nil"/>
              <w:left w:val="nil"/>
              <w:right w:val="nil"/>
            </w:tcBorders>
            <w:shd w:val="solid" w:color="000000" w:fill="auto"/>
          </w:tcPr>
          <w:p w:rsidR="00AE5760" w:rsidRPr="000E19E3"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E19E3">
              <w:rPr>
                <w:rFonts w:eastAsiaTheme="minorEastAsia" w:cs="Calibri"/>
                <w:iCs/>
                <w:color w:val="FFFFFF"/>
                <w:szCs w:val="19"/>
                <w:lang w:eastAsia="en-AU"/>
              </w:rPr>
              <w:t xml:space="preserve">As at </w:t>
            </w:r>
            <w:r>
              <w:rPr>
                <w:rFonts w:eastAsiaTheme="minorEastAsia" w:cs="Calibri"/>
                <w:iCs/>
                <w:color w:val="FFFFFF"/>
                <w:szCs w:val="19"/>
                <w:lang w:eastAsia="en-AU"/>
              </w:rPr>
              <w:br/>
            </w:r>
            <w:r w:rsidRPr="000E19E3">
              <w:rPr>
                <w:rFonts w:eastAsiaTheme="minorEastAsia" w:cs="Calibri"/>
                <w:iCs/>
                <w:color w:val="FFFFFF"/>
                <w:szCs w:val="19"/>
                <w:lang w:eastAsia="en-AU"/>
              </w:rPr>
              <w:t>Dec 2016</w:t>
            </w:r>
          </w:p>
        </w:tc>
        <w:tc>
          <w:tcPr>
            <w:tcW w:w="1531" w:type="dxa"/>
            <w:tcBorders>
              <w:top w:val="nil"/>
              <w:left w:val="nil"/>
              <w:right w:val="nil"/>
            </w:tcBorders>
            <w:shd w:val="solid" w:color="000000" w:fill="auto"/>
          </w:tcPr>
          <w:p w:rsidR="00AE5760" w:rsidRPr="000E19E3"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E19E3">
              <w:rPr>
                <w:rFonts w:eastAsiaTheme="minorEastAsia" w:cs="Calibri"/>
                <w:iCs/>
                <w:color w:val="FFFFFF"/>
                <w:szCs w:val="19"/>
                <w:lang w:eastAsia="en-AU"/>
              </w:rPr>
              <w:t xml:space="preserve">Published budget </w:t>
            </w:r>
            <w:r>
              <w:rPr>
                <w:rFonts w:eastAsiaTheme="minorEastAsia" w:cs="Calibri"/>
                <w:iCs/>
                <w:color w:val="FFFFFF"/>
                <w:szCs w:val="19"/>
                <w:lang w:eastAsia="en-AU"/>
              </w:rPr>
              <w:br/>
            </w:r>
            <w:r w:rsidRPr="000E19E3">
              <w:rPr>
                <w:rFonts w:eastAsiaTheme="minorEastAsia" w:cs="Calibri"/>
                <w:iCs/>
                <w:color w:val="FFFFFF"/>
                <w:szCs w:val="19"/>
                <w:lang w:eastAsia="en-AU"/>
              </w:rPr>
              <w:t xml:space="preserve">estimate </w:t>
            </w:r>
            <w:r w:rsidRPr="000E19E3">
              <w:rPr>
                <w:rFonts w:eastAsiaTheme="minorEastAsia" w:cs="Calibri"/>
                <w:iCs/>
                <w:color w:val="FFFFFF"/>
                <w:szCs w:val="19"/>
                <w:vertAlign w:val="superscript"/>
                <w:lang w:eastAsia="en-AU"/>
              </w:rPr>
              <w:t>(a)</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lang w:eastAsia="en-AU"/>
              </w:rPr>
            </w:pPr>
            <w:r w:rsidRPr="000E19E3">
              <w:rPr>
                <w:rFonts w:eastAsiaTheme="minorEastAsia" w:cs="Calibri"/>
                <w:color w:val="000000"/>
                <w:szCs w:val="19"/>
                <w:lang w:eastAsia="en-AU"/>
              </w:rPr>
              <w:t>Guarantees, indemnities and warranties</w:t>
            </w:r>
          </w:p>
        </w:tc>
        <w:tc>
          <w:tcPr>
            <w:tcW w:w="992"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257</w:t>
            </w:r>
          </w:p>
        </w:tc>
        <w:tc>
          <w:tcPr>
            <w:tcW w:w="153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279</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lang w:eastAsia="en-AU"/>
              </w:rPr>
            </w:pPr>
            <w:r w:rsidRPr="000E19E3">
              <w:rPr>
                <w:rFonts w:eastAsiaTheme="minorEastAsia" w:cs="Calibri"/>
                <w:color w:val="000000"/>
                <w:szCs w:val="19"/>
                <w:lang w:eastAsia="en-AU"/>
              </w:rPr>
              <w:t>Legal proceedings and disputes</w:t>
            </w:r>
          </w:p>
        </w:tc>
        <w:tc>
          <w:tcPr>
            <w:tcW w:w="992"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149</w:t>
            </w:r>
          </w:p>
        </w:tc>
        <w:tc>
          <w:tcPr>
            <w:tcW w:w="153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222</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lang w:eastAsia="en-AU"/>
              </w:rPr>
            </w:pPr>
            <w:r w:rsidRPr="000E19E3">
              <w:rPr>
                <w:rFonts w:eastAsiaTheme="minorEastAsia" w:cs="Calibri"/>
                <w:color w:val="000000"/>
                <w:szCs w:val="19"/>
                <w:lang w:eastAsia="en-AU"/>
              </w:rPr>
              <w:t>Other</w:t>
            </w:r>
          </w:p>
        </w:tc>
        <w:tc>
          <w:tcPr>
            <w:tcW w:w="992"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141</w:t>
            </w:r>
          </w:p>
        </w:tc>
        <w:tc>
          <w:tcPr>
            <w:tcW w:w="153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127</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566E9A" w:rsidRPr="000E19E3" w:rsidRDefault="00566E9A" w:rsidP="00AE5760">
            <w:pPr>
              <w:autoSpaceDE w:val="0"/>
              <w:autoSpaceDN w:val="0"/>
              <w:adjustRightInd w:val="0"/>
              <w:rPr>
                <w:rFonts w:eastAsiaTheme="minorEastAsia" w:cs="Calibri"/>
                <w:color w:val="000000"/>
                <w:szCs w:val="19"/>
                <w:vertAlign w:val="superscript"/>
                <w:lang w:eastAsia="en-AU"/>
              </w:rPr>
            </w:pPr>
            <w:r w:rsidRPr="000E19E3">
              <w:rPr>
                <w:rFonts w:eastAsiaTheme="minorEastAsia" w:cs="Calibri"/>
                <w:color w:val="000000"/>
                <w:szCs w:val="19"/>
                <w:lang w:eastAsia="en-AU"/>
              </w:rPr>
              <w:t xml:space="preserve">Non-general government debt </w:t>
            </w:r>
            <w:r w:rsidRPr="000E19E3">
              <w:rPr>
                <w:rFonts w:eastAsiaTheme="minorEastAsia" w:cs="Calibri"/>
                <w:color w:val="000000"/>
                <w:szCs w:val="19"/>
                <w:vertAlign w:val="superscript"/>
                <w:lang w:eastAsia="en-AU"/>
              </w:rPr>
              <w:t>(b)</w:t>
            </w:r>
          </w:p>
        </w:tc>
        <w:tc>
          <w:tcPr>
            <w:tcW w:w="992"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E19E3">
              <w:rPr>
                <w:rFonts w:eastAsiaTheme="minorEastAsia" w:cs="Calibri"/>
                <w:color w:val="000000"/>
                <w:szCs w:val="19"/>
                <w:lang w:eastAsia="en-AU"/>
              </w:rPr>
              <w:t>10 972</w:t>
            </w:r>
          </w:p>
        </w:tc>
        <w:tc>
          <w:tcPr>
            <w:tcW w:w="1531" w:type="dxa"/>
            <w:tcBorders>
              <w:top w:val="nil"/>
              <w:left w:val="nil"/>
              <w:bottom w:val="nil"/>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E19E3">
              <w:rPr>
                <w:rFonts w:eastAsiaTheme="minorEastAsia" w:cs="Calibri"/>
                <w:color w:val="000000"/>
                <w:szCs w:val="19"/>
                <w:lang w:eastAsia="en-AU"/>
              </w:rPr>
              <w:t>10 870</w:t>
            </w:r>
          </w:p>
        </w:tc>
      </w:tr>
      <w:tr w:rsidR="00566E9A" w:rsidRPr="000E19E3" w:rsidTr="00AE5760">
        <w:tc>
          <w:tcPr>
            <w:cnfStyle w:val="001000000000" w:firstRow="0" w:lastRow="0" w:firstColumn="1" w:lastColumn="0" w:oddVBand="0" w:evenVBand="0" w:oddHBand="0" w:evenHBand="0" w:firstRowFirstColumn="0" w:firstRowLastColumn="0" w:lastRowFirstColumn="0" w:lastRowLastColumn="0"/>
            <w:tcW w:w="5244" w:type="dxa"/>
            <w:tcBorders>
              <w:top w:val="single" w:sz="6" w:space="0" w:color="auto"/>
              <w:left w:val="nil"/>
              <w:bottom w:val="single" w:sz="12" w:space="0" w:color="auto"/>
              <w:right w:val="nil"/>
            </w:tcBorders>
          </w:tcPr>
          <w:p w:rsidR="00566E9A" w:rsidRPr="000E19E3" w:rsidRDefault="00566E9A" w:rsidP="00AE5760">
            <w:pPr>
              <w:autoSpaceDE w:val="0"/>
              <w:autoSpaceDN w:val="0"/>
              <w:adjustRightInd w:val="0"/>
              <w:rPr>
                <w:rFonts w:eastAsiaTheme="minorEastAsia" w:cs="Calibri"/>
                <w:b/>
                <w:bCs/>
                <w:color w:val="000000"/>
                <w:szCs w:val="19"/>
                <w:lang w:eastAsia="en-AU"/>
              </w:rPr>
            </w:pPr>
            <w:r w:rsidRPr="000E19E3">
              <w:rPr>
                <w:rFonts w:eastAsiaTheme="minorEastAsia" w:cs="Calibri"/>
                <w:b/>
                <w:bCs/>
                <w:color w:val="000000"/>
                <w:szCs w:val="19"/>
                <w:lang w:eastAsia="en-AU"/>
              </w:rPr>
              <w:t>Total contingent liabilities</w:t>
            </w:r>
          </w:p>
        </w:tc>
        <w:tc>
          <w:tcPr>
            <w:tcW w:w="992" w:type="dxa"/>
            <w:tcBorders>
              <w:top w:val="single" w:sz="6" w:space="0" w:color="auto"/>
              <w:left w:val="nil"/>
              <w:bottom w:val="single" w:sz="12" w:space="0" w:color="auto"/>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E19E3">
              <w:rPr>
                <w:rFonts w:eastAsiaTheme="minorEastAsia" w:cs="Calibri"/>
                <w:b/>
                <w:bCs/>
                <w:color w:val="000000"/>
                <w:szCs w:val="19"/>
                <w:lang w:eastAsia="en-AU"/>
              </w:rPr>
              <w:t>11 518</w:t>
            </w:r>
          </w:p>
        </w:tc>
        <w:tc>
          <w:tcPr>
            <w:tcW w:w="1531" w:type="dxa"/>
            <w:tcBorders>
              <w:top w:val="single" w:sz="6" w:space="0" w:color="auto"/>
              <w:left w:val="nil"/>
              <w:bottom w:val="single" w:sz="12" w:space="0" w:color="auto"/>
              <w:right w:val="nil"/>
            </w:tcBorders>
          </w:tcPr>
          <w:p w:rsidR="00566E9A" w:rsidRPr="000E19E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E19E3">
              <w:rPr>
                <w:rFonts w:eastAsiaTheme="minorEastAsia" w:cs="Calibri"/>
                <w:b/>
                <w:bCs/>
                <w:color w:val="000000"/>
                <w:szCs w:val="19"/>
                <w:lang w:eastAsia="en-AU"/>
              </w:rPr>
              <w:t>11 498</w:t>
            </w:r>
          </w:p>
        </w:tc>
      </w:tr>
    </w:tbl>
    <w:p w:rsidR="00566E9A" w:rsidRPr="00D04B5D" w:rsidRDefault="00566E9A" w:rsidP="00AE5760">
      <w:pPr>
        <w:pStyle w:val="Notes"/>
        <w:rPr>
          <w:rFonts w:eastAsiaTheme="minorHAnsi"/>
        </w:rPr>
      </w:pPr>
      <w:r>
        <w:rPr>
          <w:rFonts w:eastAsiaTheme="minorHAnsi"/>
        </w:rPr>
        <w:t>Note:</w:t>
      </w:r>
    </w:p>
    <w:p w:rsidR="00566E9A" w:rsidRDefault="00566E9A" w:rsidP="00AE5760">
      <w:pPr>
        <w:pStyle w:val="Notes"/>
        <w:rPr>
          <w:rFonts w:eastAsiaTheme="minorHAnsi"/>
        </w:rPr>
      </w:pPr>
      <w:r>
        <w:rPr>
          <w:rFonts w:eastAsiaTheme="minorHAnsi"/>
        </w:rPr>
        <w:t>(a)</w:t>
      </w:r>
      <w:r>
        <w:rPr>
          <w:rFonts w:eastAsiaTheme="minorHAnsi"/>
        </w:rPr>
        <w:tab/>
      </w:r>
      <w:r w:rsidRPr="00D04B5D">
        <w:rPr>
          <w:rFonts w:eastAsiaTheme="minorHAnsi"/>
        </w:rPr>
        <w:t>As pu</w:t>
      </w:r>
      <w:r>
        <w:rPr>
          <w:rFonts w:eastAsiaTheme="minorHAnsi"/>
        </w:rPr>
        <w:t xml:space="preserve">blished in the </w:t>
      </w:r>
      <w:r w:rsidRPr="00C60914">
        <w:rPr>
          <w:rFonts w:eastAsiaTheme="minorHAnsi"/>
          <w:i w:val="0"/>
        </w:rPr>
        <w:t>2016-17 Budget</w:t>
      </w:r>
      <w:r>
        <w:rPr>
          <w:rFonts w:eastAsiaTheme="minorHAnsi"/>
        </w:rPr>
        <w:t>.</w:t>
      </w:r>
    </w:p>
    <w:p w:rsidR="00566E9A" w:rsidRDefault="00566E9A" w:rsidP="00AE5760">
      <w:pPr>
        <w:pStyle w:val="Notes"/>
        <w:rPr>
          <w:rFonts w:eastAsiaTheme="minorHAnsi"/>
        </w:rPr>
      </w:pPr>
      <w:r>
        <w:rPr>
          <w:rFonts w:eastAsiaTheme="minorHAnsi"/>
        </w:rPr>
        <w:t>(b)</w:t>
      </w:r>
      <w:r>
        <w:rPr>
          <w:rFonts w:eastAsiaTheme="minorHAnsi"/>
        </w:rPr>
        <w:tab/>
        <w:t>Mainly represents the guarantee of borrowings provided by the Treasurer for the public sector borrowings portfolio.</w:t>
      </w:r>
    </w:p>
    <w:p w:rsidR="00566E9A" w:rsidRPr="00011C86" w:rsidRDefault="00566E9A" w:rsidP="00AE5760">
      <w:pPr>
        <w:pStyle w:val="Tableheading"/>
        <w:rPr>
          <w:rFonts w:eastAsiaTheme="minorHAnsi"/>
        </w:rPr>
      </w:pPr>
      <w:r w:rsidRPr="00011C86">
        <w:rPr>
          <w:rFonts w:eastAsiaTheme="minorHAnsi"/>
        </w:rPr>
        <w:t>Non</w:t>
      </w:r>
      <w:r>
        <w:rPr>
          <w:rFonts w:eastAsiaTheme="minorHAnsi"/>
        </w:rPr>
        <w:t>-</w:t>
      </w:r>
      <w:r w:rsidRPr="00011C86">
        <w:rPr>
          <w:rFonts w:eastAsiaTheme="minorHAnsi"/>
        </w:rPr>
        <w:t>quantifiable contingent liabilities</w:t>
      </w:r>
    </w:p>
    <w:p w:rsidR="00566E9A" w:rsidRPr="00011C86" w:rsidRDefault="00566E9A" w:rsidP="00AE5760">
      <w:pPr>
        <w:rPr>
          <w:rFonts w:eastAsiaTheme="minorHAnsi"/>
        </w:rPr>
      </w:pPr>
      <w:r w:rsidRPr="00011C86">
        <w:rPr>
          <w:rFonts w:eastAsiaTheme="minorHAnsi"/>
        </w:rPr>
        <w:t>A number of potential obligations are non</w:t>
      </w:r>
      <w:r>
        <w:rPr>
          <w:rFonts w:eastAsiaTheme="minorHAnsi"/>
        </w:rPr>
        <w:t>-</w:t>
      </w:r>
      <w:r w:rsidRPr="00011C86">
        <w:rPr>
          <w:rFonts w:eastAsiaTheme="minorHAnsi"/>
        </w:rPr>
        <w:t>quantifiable at this time arising from:</w:t>
      </w:r>
    </w:p>
    <w:p w:rsidR="00566E9A" w:rsidRPr="00011C86" w:rsidRDefault="00566E9A" w:rsidP="00AE5760">
      <w:pPr>
        <w:pStyle w:val="BulletText"/>
        <w:rPr>
          <w:rFonts w:eastAsiaTheme="minorHAnsi"/>
        </w:rPr>
      </w:pPr>
      <w:r w:rsidRPr="00011C86">
        <w:rPr>
          <w:rFonts w:eastAsiaTheme="minorHAnsi"/>
        </w:rPr>
        <w:t>indemnities provided in relation to transactions, including financial arrangements and consultancy services, as well as for directors and administrators;</w:t>
      </w:r>
    </w:p>
    <w:p w:rsidR="00566E9A" w:rsidRPr="00011C86" w:rsidRDefault="00566E9A" w:rsidP="00AE5760">
      <w:pPr>
        <w:pStyle w:val="BulletText"/>
        <w:rPr>
          <w:rFonts w:eastAsiaTheme="minorHAnsi"/>
        </w:rPr>
      </w:pPr>
      <w:r w:rsidRPr="00011C86">
        <w:rPr>
          <w:rFonts w:eastAsiaTheme="minorHAnsi"/>
        </w:rPr>
        <w:t>performance guarantees, warranties, letters of comfort and the like;</w:t>
      </w:r>
    </w:p>
    <w:p w:rsidR="00566E9A" w:rsidRPr="00011C86" w:rsidRDefault="00566E9A" w:rsidP="00AE5760">
      <w:pPr>
        <w:pStyle w:val="BulletText"/>
        <w:rPr>
          <w:rFonts w:eastAsiaTheme="minorHAnsi"/>
        </w:rPr>
      </w:pPr>
      <w:r w:rsidRPr="00011C86">
        <w:rPr>
          <w:rFonts w:eastAsiaTheme="minorHAnsi"/>
        </w:rPr>
        <w:t>deeds in respect of certain obligations; and</w:t>
      </w:r>
    </w:p>
    <w:p w:rsidR="00566E9A" w:rsidRPr="00011C86" w:rsidRDefault="00566E9A" w:rsidP="00AE5760">
      <w:pPr>
        <w:pStyle w:val="BulletText"/>
        <w:rPr>
          <w:rFonts w:eastAsiaTheme="minorHAnsi"/>
        </w:rPr>
      </w:pPr>
      <w:r w:rsidRPr="00011C86">
        <w:rPr>
          <w:rFonts w:eastAsiaTheme="minorHAnsi"/>
        </w:rPr>
        <w:t>unclaimed monies, which may be subject to future claims by the general public against the State.</w:t>
      </w:r>
    </w:p>
    <w:p w:rsidR="00566E9A" w:rsidRPr="00011C86" w:rsidRDefault="00566E9A" w:rsidP="00AE5760">
      <w:pPr>
        <w:rPr>
          <w:rFonts w:eastAsiaTheme="minorHAnsi"/>
        </w:rPr>
      </w:pPr>
      <w:r w:rsidRPr="00011C86">
        <w:rPr>
          <w:rFonts w:eastAsiaTheme="minorHAnsi"/>
        </w:rPr>
        <w:t>An overv</w:t>
      </w:r>
      <w:r>
        <w:rPr>
          <w:rFonts w:eastAsiaTheme="minorHAnsi"/>
        </w:rPr>
        <w:t>iew of the more significant non</w:t>
      </w:r>
      <w:r>
        <w:rPr>
          <w:rFonts w:eastAsiaTheme="minorHAnsi"/>
        </w:rPr>
        <w:noBreakHyphen/>
      </w:r>
      <w:r w:rsidRPr="00011C86">
        <w:rPr>
          <w:rFonts w:eastAsiaTheme="minorHAnsi"/>
        </w:rPr>
        <w:t>quantifiable liabilities follows:</w:t>
      </w:r>
    </w:p>
    <w:p w:rsidR="00566E9A" w:rsidRPr="00011C86" w:rsidRDefault="00566E9A" w:rsidP="00AE5760">
      <w:pPr>
        <w:pStyle w:val="Heading3"/>
        <w:rPr>
          <w:rFonts w:eastAsiaTheme="minorHAnsi"/>
        </w:rPr>
      </w:pPr>
      <w:proofErr w:type="spellStart"/>
      <w:r w:rsidRPr="00011C86">
        <w:rPr>
          <w:rFonts w:eastAsiaTheme="minorHAnsi"/>
        </w:rPr>
        <w:t>AgriBio</w:t>
      </w:r>
      <w:proofErr w:type="spellEnd"/>
      <w:r w:rsidRPr="00011C86">
        <w:rPr>
          <w:rFonts w:eastAsiaTheme="minorHAnsi"/>
        </w:rPr>
        <w:t xml:space="preserve"> Centre for </w:t>
      </w:r>
      <w:proofErr w:type="spellStart"/>
      <w:r w:rsidRPr="00011C86">
        <w:rPr>
          <w:rFonts w:eastAsiaTheme="minorHAnsi"/>
        </w:rPr>
        <w:t>AgriBioscience</w:t>
      </w:r>
      <w:proofErr w:type="spellEnd"/>
      <w:r w:rsidRPr="00011C86">
        <w:rPr>
          <w:rFonts w:eastAsiaTheme="minorHAnsi"/>
        </w:rPr>
        <w:t xml:space="preserve"> (formerly known as The Biosciences Research Centre)</w:t>
      </w:r>
    </w:p>
    <w:p w:rsidR="00566E9A" w:rsidRPr="00011C86" w:rsidRDefault="00566E9A" w:rsidP="00AE5760">
      <w:pPr>
        <w:rPr>
          <w:rFonts w:eastAsiaTheme="minorHAnsi"/>
        </w:rPr>
      </w:pPr>
      <w:r w:rsidRPr="00011C86">
        <w:rPr>
          <w:rFonts w:eastAsiaTheme="minorHAnsi"/>
        </w:rPr>
        <w:t xml:space="preserve">The quarterly service fee payment obligations of the </w:t>
      </w:r>
      <w:proofErr w:type="spellStart"/>
      <w:r w:rsidRPr="00011C86">
        <w:rPr>
          <w:rFonts w:eastAsiaTheme="minorHAnsi"/>
        </w:rPr>
        <w:t>AgriBio</w:t>
      </w:r>
      <w:proofErr w:type="spellEnd"/>
      <w:r w:rsidRPr="00011C86">
        <w:rPr>
          <w:rFonts w:eastAsiaTheme="minorHAnsi"/>
        </w:rPr>
        <w:t xml:space="preserve"> Centre for </w:t>
      </w:r>
      <w:proofErr w:type="spellStart"/>
      <w:r w:rsidRPr="00011C86">
        <w:rPr>
          <w:rFonts w:eastAsiaTheme="minorHAnsi"/>
        </w:rPr>
        <w:t>AgriBioscience</w:t>
      </w:r>
      <w:proofErr w:type="spellEnd"/>
      <w:r w:rsidRPr="00011C86">
        <w:rPr>
          <w:rFonts w:eastAsiaTheme="minorHAnsi"/>
        </w:rPr>
        <w:t xml:space="preserve"> on behalf of the joint venture participants (Department of Economic Development, Jobs, Transport and Resources, and La</w:t>
      </w:r>
      <w:r>
        <w:rPr>
          <w:rFonts w:eastAsiaTheme="minorHAnsi"/>
        </w:rPr>
        <w:t xml:space="preserve"> Trobe University) are backed</w:t>
      </w:r>
      <w:r w:rsidRPr="00011C86">
        <w:rPr>
          <w:rFonts w:eastAsiaTheme="minorHAnsi"/>
        </w:rPr>
        <w:t xml:space="preserve"> by the State of Victoria via a State Support Deed. Under this Deed, the State ensures that the joint venture participants have severally the financial capacity to meet their payment obligations to Biosciences Research Centre Pty Ltd (BRC), thereby enabling BRC to meet its obligations</w:t>
      </w:r>
      <w:r>
        <w:rPr>
          <w:rFonts w:eastAsiaTheme="minorHAnsi"/>
        </w:rPr>
        <w:t xml:space="preserve"> to pay the service fee to the C</w:t>
      </w:r>
      <w:r w:rsidRPr="00011C86">
        <w:rPr>
          <w:rFonts w:eastAsiaTheme="minorHAnsi"/>
        </w:rPr>
        <w:t>oncessionaire pursuant to the project agreement. The State underwrites the risk of any default by BRC.</w:t>
      </w:r>
    </w:p>
    <w:p w:rsidR="00566E9A" w:rsidRDefault="00566E9A">
      <w:pPr>
        <w:spacing w:after="0"/>
        <w:rPr>
          <w:rFonts w:asciiTheme="majorHAnsi" w:eastAsiaTheme="minorHAnsi" w:hAnsiTheme="majorHAnsi"/>
          <w:b/>
          <w:i/>
          <w:kern w:val="28"/>
          <w:sz w:val="24"/>
        </w:rPr>
      </w:pPr>
      <w:r>
        <w:rPr>
          <w:rFonts w:eastAsiaTheme="minorHAnsi"/>
        </w:rPr>
        <w:br w:type="page"/>
      </w:r>
    </w:p>
    <w:p w:rsidR="00566E9A" w:rsidRPr="00011C86" w:rsidRDefault="00566E9A" w:rsidP="00AE5760">
      <w:pPr>
        <w:pStyle w:val="Heading3"/>
        <w:rPr>
          <w:rFonts w:eastAsiaTheme="minorHAnsi"/>
        </w:rPr>
      </w:pPr>
      <w:r w:rsidRPr="00011C86">
        <w:rPr>
          <w:rFonts w:eastAsiaTheme="minorHAnsi"/>
        </w:rPr>
        <w:lastRenderedPageBreak/>
        <w:t>Department of Education and Training</w:t>
      </w:r>
    </w:p>
    <w:p w:rsidR="00566E9A" w:rsidRPr="00011C86" w:rsidRDefault="00566E9A" w:rsidP="00AE5760">
      <w:pPr>
        <w:rPr>
          <w:rFonts w:eastAsiaTheme="minorHAnsi"/>
        </w:rPr>
      </w:pPr>
      <w:r w:rsidRPr="00011C86">
        <w:rPr>
          <w:rFonts w:eastAsiaTheme="minorHAnsi"/>
        </w:rPr>
        <w:t>The Department has a number of unquantifiable contingent liabilities, arising from indemnities provided by it, as follows:</w:t>
      </w:r>
    </w:p>
    <w:p w:rsidR="00566E9A" w:rsidRPr="00011C86" w:rsidRDefault="00566E9A" w:rsidP="00AE5760">
      <w:pPr>
        <w:pStyle w:val="BulletText"/>
        <w:rPr>
          <w:rFonts w:eastAsiaTheme="minorHAnsi"/>
        </w:rPr>
      </w:pPr>
      <w:r w:rsidRPr="00011C86">
        <w:rPr>
          <w:rFonts w:eastAsiaTheme="minorHAnsi"/>
        </w:rPr>
        <w:t xml:space="preserve">Volunteer school workers and volunteer student workers: the </w:t>
      </w:r>
      <w:r w:rsidRPr="00D04B5D">
        <w:rPr>
          <w:rFonts w:eastAsiaTheme="minorHAnsi"/>
          <w:i/>
        </w:rPr>
        <w:t xml:space="preserve">Education and Training Reform Act 2006 </w:t>
      </w:r>
      <w:r w:rsidRPr="00011C86">
        <w:rPr>
          <w:rFonts w:eastAsiaTheme="minorHAnsi"/>
        </w:rPr>
        <w:t>provides a specific indemnity for personal injuries suffered by volunteer school workers and volunteer student workers arising out of or in the course of engaging in school work or community work respectively.</w:t>
      </w:r>
    </w:p>
    <w:p w:rsidR="00566E9A" w:rsidRPr="00011C86" w:rsidRDefault="00566E9A" w:rsidP="00AE5760">
      <w:pPr>
        <w:pStyle w:val="BulletText"/>
        <w:rPr>
          <w:rFonts w:eastAsiaTheme="minorHAnsi"/>
        </w:rPr>
      </w:pPr>
      <w:r w:rsidRPr="00011C86">
        <w:rPr>
          <w:rFonts w:eastAsiaTheme="minorHAnsi"/>
        </w:rPr>
        <w:t xml:space="preserve">Members of school councils: the </w:t>
      </w:r>
      <w:r w:rsidRPr="00D04B5D">
        <w:rPr>
          <w:rFonts w:eastAsiaTheme="minorHAnsi"/>
          <w:i/>
        </w:rPr>
        <w:t>Education and Training Reform Act 2006</w:t>
      </w:r>
      <w:r w:rsidRPr="00011C86">
        <w:rPr>
          <w:rFonts w:eastAsiaTheme="minorHAnsi"/>
        </w:rPr>
        <w:t xml:space="preserve"> provides an indemnity to members of school councils for any legal liability, whether in contract, negligence or defamation.</w:t>
      </w:r>
    </w:p>
    <w:p w:rsidR="00566E9A" w:rsidRPr="00011C86" w:rsidRDefault="00566E9A" w:rsidP="00AE5760">
      <w:pPr>
        <w:pStyle w:val="BulletText"/>
        <w:rPr>
          <w:rFonts w:eastAsiaTheme="minorHAnsi"/>
        </w:rPr>
      </w:pPr>
      <w:r w:rsidRPr="00011C86">
        <w:rPr>
          <w:rFonts w:eastAsiaTheme="minorHAnsi"/>
        </w:rPr>
        <w:t>Teachers: if a teacher is named as a defendant in a student personal injury claim, any costs and damages will generally be paid by the Department provided the teacher was not drunk, under the influence of illicit drugs or engaging in a criminal offence and the behaviour was not outrageous and was related to their employment.</w:t>
      </w:r>
    </w:p>
    <w:p w:rsidR="00566E9A" w:rsidRPr="00011C86" w:rsidRDefault="00566E9A" w:rsidP="00AE5760">
      <w:pPr>
        <w:pStyle w:val="BulletText"/>
        <w:rPr>
          <w:rFonts w:eastAsiaTheme="minorHAnsi"/>
        </w:rPr>
      </w:pPr>
      <w:r w:rsidRPr="00011C86">
        <w:rPr>
          <w:rFonts w:eastAsiaTheme="minorHAnsi"/>
        </w:rPr>
        <w:t>School councils: the Department will usually indemnify school councils in claims of common law negligence, and will often indemnify in relation to employment disputes, for the cost of settlement and legal representation. The Department will take into account the impact of payment upon the school’s educational program and any insurance cover for the school council, and will likely indemnify if the Department is satisfied that:</w:t>
      </w:r>
    </w:p>
    <w:p w:rsidR="00566E9A" w:rsidRPr="00011C86" w:rsidRDefault="00566E9A" w:rsidP="00AE5760">
      <w:pPr>
        <w:pStyle w:val="DashText"/>
        <w:rPr>
          <w:rFonts w:eastAsiaTheme="minorHAnsi"/>
        </w:rPr>
      </w:pPr>
      <w:r w:rsidRPr="00011C86">
        <w:rPr>
          <w:rFonts w:eastAsiaTheme="minorHAnsi"/>
        </w:rPr>
        <w:t>the school council acted in good faith and according to issued guidelines and directions; and</w:t>
      </w:r>
    </w:p>
    <w:p w:rsidR="00566E9A" w:rsidRPr="00011C86" w:rsidRDefault="00566E9A" w:rsidP="00AE5760">
      <w:pPr>
        <w:pStyle w:val="DashText"/>
        <w:rPr>
          <w:rFonts w:eastAsiaTheme="minorHAnsi"/>
        </w:rPr>
      </w:pPr>
      <w:r w:rsidRPr="00011C86">
        <w:rPr>
          <w:rFonts w:eastAsiaTheme="minorHAnsi"/>
        </w:rPr>
        <w:t>the school council has insufficient funds to pay the claim.</w:t>
      </w:r>
    </w:p>
    <w:p w:rsidR="00566E9A" w:rsidRPr="00011C86" w:rsidRDefault="00566E9A" w:rsidP="00AE5760">
      <w:pPr>
        <w:pStyle w:val="Heading3"/>
        <w:rPr>
          <w:rFonts w:eastAsiaTheme="minorHAnsi"/>
        </w:rPr>
      </w:pPr>
      <w:r w:rsidRPr="00011C86">
        <w:rPr>
          <w:rFonts w:eastAsiaTheme="minorHAnsi"/>
        </w:rPr>
        <w:t xml:space="preserve">Public acquisition overlays for the future development of rail and road infrastructure </w:t>
      </w:r>
    </w:p>
    <w:p w:rsidR="00566E9A" w:rsidRPr="00011C86" w:rsidRDefault="00566E9A" w:rsidP="00AE5760">
      <w:pPr>
        <w:rPr>
          <w:rFonts w:eastAsiaTheme="minorHAnsi"/>
        </w:rPr>
      </w:pPr>
      <w:r w:rsidRPr="00011C86">
        <w:rPr>
          <w:rFonts w:eastAsiaTheme="minorHAnsi"/>
        </w:rPr>
        <w:t>Public acquisition overlays are in place to reserve certain areas of land for</w:t>
      </w:r>
      <w:r>
        <w:rPr>
          <w:rFonts w:eastAsiaTheme="minorHAnsi"/>
        </w:rPr>
        <w:t xml:space="preserve"> the </w:t>
      </w:r>
      <w:r w:rsidRPr="00011C86">
        <w:rPr>
          <w:rFonts w:eastAsiaTheme="minorHAnsi"/>
        </w:rPr>
        <w:t xml:space="preserve">future development of rail and road infrastructure. Under Section 98 of the </w:t>
      </w:r>
      <w:r w:rsidRPr="00D04B5D">
        <w:rPr>
          <w:rFonts w:eastAsiaTheme="minorHAnsi"/>
          <w:i/>
        </w:rPr>
        <w:t>Planning and Environment Act 1987,</w:t>
      </w:r>
      <w:r w:rsidRPr="00011C86">
        <w:rPr>
          <w:rFonts w:eastAsiaTheme="minorHAnsi"/>
        </w:rPr>
        <w:t xml:space="preserve"> the State has a legislative responsibility to compensate eligible land and property owners who face either:</w:t>
      </w:r>
    </w:p>
    <w:p w:rsidR="00566E9A" w:rsidRPr="00011C86" w:rsidRDefault="00566E9A" w:rsidP="00AE5760">
      <w:pPr>
        <w:pStyle w:val="BulletText"/>
        <w:rPr>
          <w:rFonts w:eastAsiaTheme="minorHAnsi"/>
        </w:rPr>
      </w:pPr>
      <w:r w:rsidRPr="00011C86">
        <w:rPr>
          <w:rFonts w:eastAsiaTheme="minorHAnsi"/>
        </w:rPr>
        <w:t>loss on sale – an eligible landowner is entitled to compensation for the incremental loss on sale when a property affected by a public acquisition overlay is sold for less than its market value; or</w:t>
      </w:r>
    </w:p>
    <w:p w:rsidR="00566E9A" w:rsidRPr="00011C86" w:rsidRDefault="00566E9A" w:rsidP="00AE5760">
      <w:pPr>
        <w:pStyle w:val="BulletText"/>
        <w:rPr>
          <w:rFonts w:eastAsiaTheme="minorHAnsi"/>
        </w:rPr>
      </w:pPr>
      <w:r w:rsidRPr="00011C86">
        <w:rPr>
          <w:rFonts w:eastAsiaTheme="minorHAnsi"/>
        </w:rPr>
        <w:t>financial loss – the entitlement to financial loss compensation is triggered when a development permit is refused because the property is required for a public purpose.</w:t>
      </w:r>
    </w:p>
    <w:p w:rsidR="00566E9A" w:rsidRPr="00011C86" w:rsidRDefault="00566E9A" w:rsidP="00AE5760">
      <w:pPr>
        <w:rPr>
          <w:rFonts w:eastAsiaTheme="minorHAnsi"/>
        </w:rPr>
      </w:pPr>
      <w:r w:rsidRPr="00011C86">
        <w:rPr>
          <w:rFonts w:eastAsiaTheme="minorHAnsi"/>
        </w:rPr>
        <w:t xml:space="preserve">Compensation and purchase claims occur as a result of claims by land owners. The future liability depends on factors including the number of claims received and the prevailing value of land at the time the claim is made, which cannot be reliably quantified. </w:t>
      </w:r>
    </w:p>
    <w:p w:rsidR="00566E9A" w:rsidRPr="00011C86" w:rsidRDefault="00566E9A" w:rsidP="00AE5760">
      <w:pPr>
        <w:pStyle w:val="Heading3"/>
        <w:rPr>
          <w:rFonts w:eastAsiaTheme="minorHAnsi"/>
        </w:rPr>
      </w:pPr>
      <w:r w:rsidRPr="00011C86">
        <w:rPr>
          <w:rFonts w:eastAsiaTheme="minorHAnsi"/>
        </w:rPr>
        <w:lastRenderedPageBreak/>
        <w:t>Public transport rail partnership agreements</w:t>
      </w:r>
    </w:p>
    <w:p w:rsidR="00566E9A" w:rsidRPr="00011C86" w:rsidRDefault="00566E9A" w:rsidP="00AE5760">
      <w:pPr>
        <w:rPr>
          <w:rFonts w:eastAsiaTheme="minorHAnsi"/>
        </w:rPr>
      </w:pPr>
      <w:r w:rsidRPr="00011C86">
        <w:rPr>
          <w:rFonts w:eastAsiaTheme="minorHAnsi"/>
        </w:rPr>
        <w:t>Public Transport Victoria (PTV) is party to partnership contractual arrangements with franchisees to operate metropolitan rail transport services in the State, from 30 November 2009 until 30 November 2017. The major contingent liabilities arising in the event of early termination or expiry of the contract are:</w:t>
      </w:r>
    </w:p>
    <w:p w:rsidR="00566E9A" w:rsidRPr="00011C86" w:rsidRDefault="00566E9A" w:rsidP="00AE5760">
      <w:pPr>
        <w:pStyle w:val="BulletText"/>
        <w:rPr>
          <w:rFonts w:eastAsiaTheme="minorHAnsi"/>
        </w:rPr>
      </w:pPr>
      <w:r w:rsidRPr="00011C86">
        <w:rPr>
          <w:rFonts w:eastAsiaTheme="minorHAnsi"/>
        </w:rPr>
        <w:t>partnership assets – to maintain continuity of services, at early termination or expiry of the franchise contract, assets will revert to PTV or a successor. In the case of some assets, a reversion back to PTV would entail those assets being purchased; and</w:t>
      </w:r>
    </w:p>
    <w:p w:rsidR="00566E9A" w:rsidRPr="00011C86" w:rsidRDefault="00566E9A" w:rsidP="00AE5760">
      <w:pPr>
        <w:pStyle w:val="BulletText"/>
        <w:rPr>
          <w:rFonts w:eastAsiaTheme="minorHAnsi"/>
        </w:rPr>
      </w:pPr>
      <w:r w:rsidRPr="00011C86">
        <w:rPr>
          <w:rFonts w:eastAsiaTheme="minorHAnsi"/>
        </w:rPr>
        <w:t xml:space="preserve">unfunded superannuation – at the early termination or expiry of the contract, PTV will assume any unfunded superannuation amounts (apart from contributions the operator is required to pay over the contract term) to the extent that the State becomes the successor operator. </w:t>
      </w:r>
    </w:p>
    <w:p w:rsidR="00566E9A" w:rsidRPr="00011C86" w:rsidRDefault="00566E9A" w:rsidP="00AE5760">
      <w:pPr>
        <w:pStyle w:val="Heading3"/>
        <w:rPr>
          <w:rFonts w:eastAsiaTheme="minorHAnsi"/>
        </w:rPr>
      </w:pPr>
      <w:r w:rsidRPr="00011C86">
        <w:rPr>
          <w:rFonts w:eastAsiaTheme="minorHAnsi"/>
        </w:rPr>
        <w:t>Level Crossing Removal Program</w:t>
      </w:r>
    </w:p>
    <w:p w:rsidR="00566E9A" w:rsidRPr="00011C86" w:rsidRDefault="00566E9A" w:rsidP="00AE5760">
      <w:pPr>
        <w:rPr>
          <w:rFonts w:eastAsiaTheme="minorHAnsi"/>
        </w:rPr>
      </w:pPr>
      <w:r w:rsidRPr="00011C86">
        <w:rPr>
          <w:rFonts w:eastAsiaTheme="minorHAnsi"/>
        </w:rPr>
        <w:t>The State has introduced a voluntary purchase scheme for residential properties directly impacted by the Caulfield-Dandenong level crossing removal project. The scheme commenced on 29 March 2016. The Level Crossing Removal Authority is anticipating future claims by property owners for either outright purchase and associated costs or costs related to landscaping if property owners choose to stay. Due to the uncertainty of the take-up of the offer, it is not feasible to quantify the value of the liability at this stage.</w:t>
      </w:r>
    </w:p>
    <w:p w:rsidR="00566E9A" w:rsidRPr="00011C86" w:rsidRDefault="00566E9A" w:rsidP="00AE5760">
      <w:pPr>
        <w:pStyle w:val="Heading3"/>
        <w:rPr>
          <w:rFonts w:eastAsiaTheme="minorHAnsi"/>
        </w:rPr>
      </w:pPr>
      <w:proofErr w:type="spellStart"/>
      <w:r w:rsidRPr="00011C86">
        <w:rPr>
          <w:rFonts w:eastAsiaTheme="minorHAnsi"/>
        </w:rPr>
        <w:t>Fiskville</w:t>
      </w:r>
      <w:proofErr w:type="spellEnd"/>
      <w:r w:rsidRPr="00011C86">
        <w:rPr>
          <w:rFonts w:eastAsiaTheme="minorHAnsi"/>
        </w:rPr>
        <w:t xml:space="preserve"> independent investigation and closure of training college</w:t>
      </w:r>
    </w:p>
    <w:p w:rsidR="00566E9A" w:rsidRPr="00011C86" w:rsidRDefault="00566E9A" w:rsidP="00AE5760">
      <w:pPr>
        <w:rPr>
          <w:rFonts w:eastAsiaTheme="minorHAnsi"/>
        </w:rPr>
      </w:pPr>
      <w:r w:rsidRPr="00011C86">
        <w:rPr>
          <w:rFonts w:eastAsiaTheme="minorHAnsi"/>
        </w:rPr>
        <w:t xml:space="preserve">An independent investigation was undertaken into the historical use of chemicals for live firefighting training at </w:t>
      </w:r>
      <w:proofErr w:type="spellStart"/>
      <w:r w:rsidRPr="00011C86">
        <w:rPr>
          <w:rFonts w:eastAsiaTheme="minorHAnsi"/>
        </w:rPr>
        <w:t>Fiskville</w:t>
      </w:r>
      <w:proofErr w:type="spellEnd"/>
      <w:r w:rsidRPr="00011C86">
        <w:rPr>
          <w:rFonts w:eastAsiaTheme="minorHAnsi"/>
        </w:rPr>
        <w:t xml:space="preserve"> between 1971 and 1999. The report of the independent investigation has been released and the Country Fire Authority (CFA) has accepted all of the facts, recommendations and conclusions and is committed to implementing all recommendations. </w:t>
      </w:r>
    </w:p>
    <w:p w:rsidR="00566E9A" w:rsidRPr="00011C86" w:rsidRDefault="00566E9A" w:rsidP="00AE5760">
      <w:pPr>
        <w:rPr>
          <w:rFonts w:eastAsiaTheme="minorHAnsi"/>
        </w:rPr>
      </w:pPr>
      <w:r w:rsidRPr="00011C86">
        <w:rPr>
          <w:rFonts w:eastAsiaTheme="minorHAnsi"/>
        </w:rPr>
        <w:t xml:space="preserve">In August 2012, the CFA established a program office to manage the implementation of the report’s recommendations and an additional 11 management initiatives to which the CFA Board committed in its response to the report. </w:t>
      </w:r>
    </w:p>
    <w:p w:rsidR="00566E9A" w:rsidRPr="00011C86" w:rsidRDefault="00566E9A" w:rsidP="00AE5760">
      <w:pPr>
        <w:rPr>
          <w:rFonts w:eastAsiaTheme="minorHAnsi"/>
        </w:rPr>
      </w:pPr>
      <w:r w:rsidRPr="00011C86">
        <w:rPr>
          <w:rFonts w:eastAsiaTheme="minorHAnsi"/>
        </w:rPr>
        <w:t xml:space="preserve">On 26 March 2015, the Government announced the permanent closure of </w:t>
      </w:r>
      <w:proofErr w:type="spellStart"/>
      <w:r w:rsidRPr="00011C86">
        <w:rPr>
          <w:rFonts w:eastAsiaTheme="minorHAnsi"/>
        </w:rPr>
        <w:t>Fiskville</w:t>
      </w:r>
      <w:proofErr w:type="spellEnd"/>
      <w:r w:rsidRPr="00011C86">
        <w:rPr>
          <w:rFonts w:eastAsiaTheme="minorHAnsi"/>
        </w:rPr>
        <w:t xml:space="preserve"> Training College (</w:t>
      </w:r>
      <w:proofErr w:type="spellStart"/>
      <w:r w:rsidRPr="00011C86">
        <w:rPr>
          <w:rFonts w:eastAsiaTheme="minorHAnsi"/>
        </w:rPr>
        <w:t>Fiskville</w:t>
      </w:r>
      <w:proofErr w:type="spellEnd"/>
      <w:r w:rsidRPr="00011C86">
        <w:rPr>
          <w:rFonts w:eastAsiaTheme="minorHAnsi"/>
        </w:rPr>
        <w:t xml:space="preserve">). </w:t>
      </w:r>
      <w:proofErr w:type="spellStart"/>
      <w:r w:rsidRPr="00011C86">
        <w:rPr>
          <w:rFonts w:eastAsiaTheme="minorHAnsi"/>
        </w:rPr>
        <w:t>Fiskville</w:t>
      </w:r>
      <w:proofErr w:type="spellEnd"/>
      <w:r w:rsidRPr="00011C86">
        <w:rPr>
          <w:rFonts w:eastAsiaTheme="minorHAnsi"/>
        </w:rPr>
        <w:t xml:space="preserve"> and Victorian Emergency Management Training Centre training grounds owned by CFA at the Penshurst, Bangholme, West Sale, Wangaratta, Huntly, and </w:t>
      </w:r>
      <w:proofErr w:type="spellStart"/>
      <w:r w:rsidRPr="00011C86">
        <w:rPr>
          <w:rFonts w:eastAsiaTheme="minorHAnsi"/>
        </w:rPr>
        <w:t>Longerenong</w:t>
      </w:r>
      <w:proofErr w:type="spellEnd"/>
      <w:r w:rsidRPr="00011C86">
        <w:rPr>
          <w:rFonts w:eastAsiaTheme="minorHAnsi"/>
        </w:rPr>
        <w:t xml:space="preserve"> have been the subject of notices issued by the Environment Protection </w:t>
      </w:r>
      <w:r>
        <w:rPr>
          <w:rFonts w:eastAsiaTheme="minorHAnsi"/>
        </w:rPr>
        <w:t>Authority</w:t>
      </w:r>
      <w:r w:rsidRPr="00011C86">
        <w:rPr>
          <w:rFonts w:eastAsiaTheme="minorHAnsi"/>
        </w:rPr>
        <w:t xml:space="preserve"> (EPA).</w:t>
      </w:r>
    </w:p>
    <w:p w:rsidR="00566E9A" w:rsidRDefault="00566E9A" w:rsidP="00AE5760">
      <w:pPr>
        <w:rPr>
          <w:rFonts w:eastAsiaTheme="minorHAnsi"/>
        </w:rPr>
      </w:pPr>
      <w:r w:rsidRPr="00011C86">
        <w:rPr>
          <w:rFonts w:eastAsiaTheme="minorHAnsi"/>
        </w:rPr>
        <w:t xml:space="preserve">CFA has a number of contingent liabilities arising from the closure of </w:t>
      </w:r>
      <w:proofErr w:type="spellStart"/>
      <w:r w:rsidRPr="00011C86">
        <w:rPr>
          <w:rFonts w:eastAsiaTheme="minorHAnsi"/>
        </w:rPr>
        <w:t>Fiskville</w:t>
      </w:r>
      <w:proofErr w:type="spellEnd"/>
      <w:r w:rsidRPr="00011C86">
        <w:rPr>
          <w:rFonts w:eastAsiaTheme="minorHAnsi"/>
        </w:rPr>
        <w:t xml:space="preserve"> and the notices issued by </w:t>
      </w:r>
      <w:r>
        <w:rPr>
          <w:rFonts w:eastAsiaTheme="minorHAnsi"/>
        </w:rPr>
        <w:t xml:space="preserve">the </w:t>
      </w:r>
      <w:r w:rsidRPr="00011C86">
        <w:rPr>
          <w:rFonts w:eastAsiaTheme="minorHAnsi"/>
        </w:rPr>
        <w:t xml:space="preserve">EPA. These relate to any further notices that may be issued by </w:t>
      </w:r>
      <w:r>
        <w:rPr>
          <w:rFonts w:eastAsiaTheme="minorHAnsi"/>
        </w:rPr>
        <w:t xml:space="preserve">the </w:t>
      </w:r>
      <w:r w:rsidRPr="00011C86">
        <w:rPr>
          <w:rFonts w:eastAsiaTheme="minorHAnsi"/>
        </w:rPr>
        <w:t xml:space="preserve">EPA, any regulatory infringements that may be imposed by </w:t>
      </w:r>
      <w:r>
        <w:rPr>
          <w:rFonts w:eastAsiaTheme="minorHAnsi"/>
        </w:rPr>
        <w:t xml:space="preserve">the </w:t>
      </w:r>
      <w:r w:rsidRPr="00011C86">
        <w:rPr>
          <w:rFonts w:eastAsiaTheme="minorHAnsi"/>
        </w:rPr>
        <w:t xml:space="preserve">EPA, compensation that may be sought, any legal claims that may be made, recommendations made by the Victorian Parliamentary Inquiry into the CFA Training College at </w:t>
      </w:r>
      <w:proofErr w:type="spellStart"/>
      <w:r w:rsidRPr="00011C86">
        <w:rPr>
          <w:rFonts w:eastAsiaTheme="minorHAnsi"/>
        </w:rPr>
        <w:t>Fiskville</w:t>
      </w:r>
      <w:proofErr w:type="spellEnd"/>
      <w:r w:rsidRPr="00011C86">
        <w:rPr>
          <w:rFonts w:eastAsiaTheme="minorHAnsi"/>
        </w:rPr>
        <w:t xml:space="preserve"> and the costs of relocating the Firefighters’ Memorial previously located at </w:t>
      </w:r>
      <w:proofErr w:type="spellStart"/>
      <w:r w:rsidRPr="00011C86">
        <w:rPr>
          <w:rFonts w:eastAsiaTheme="minorHAnsi"/>
        </w:rPr>
        <w:t>Fiskville</w:t>
      </w:r>
      <w:proofErr w:type="spellEnd"/>
      <w:r w:rsidRPr="00011C86">
        <w:rPr>
          <w:rFonts w:eastAsiaTheme="minorHAnsi"/>
        </w:rPr>
        <w:t>.</w:t>
      </w:r>
    </w:p>
    <w:p w:rsidR="00566E9A" w:rsidRPr="00221166" w:rsidRDefault="00566E9A" w:rsidP="00AE5760">
      <w:pPr>
        <w:rPr>
          <w:rFonts w:eastAsiaTheme="minorHAnsi"/>
        </w:rPr>
      </w:pPr>
      <w:r w:rsidRPr="00221166">
        <w:rPr>
          <w:rFonts w:eastAsiaTheme="minorHAnsi"/>
        </w:rPr>
        <w:lastRenderedPageBreak/>
        <w:t xml:space="preserve">The Government response to the </w:t>
      </w:r>
      <w:proofErr w:type="spellStart"/>
      <w:r w:rsidRPr="00221166">
        <w:rPr>
          <w:rFonts w:eastAsiaTheme="minorHAnsi"/>
        </w:rPr>
        <w:t>Fiskville</w:t>
      </w:r>
      <w:proofErr w:type="spellEnd"/>
      <w:r w:rsidRPr="00221166">
        <w:rPr>
          <w:rFonts w:eastAsiaTheme="minorHAnsi"/>
        </w:rPr>
        <w:t xml:space="preserve"> Inquiry was tabled in Parliament on </w:t>
      </w:r>
      <w:r>
        <w:rPr>
          <w:rFonts w:eastAsiaTheme="minorHAnsi"/>
        </w:rPr>
        <w:br/>
        <w:t xml:space="preserve">24 November 2016. </w:t>
      </w:r>
      <w:r w:rsidRPr="00221166">
        <w:rPr>
          <w:rFonts w:eastAsiaTheme="minorHAnsi"/>
        </w:rPr>
        <w:t>The response supports all of the 31 recommendations of the Inquiry, either in full, in principle or in part.</w:t>
      </w:r>
    </w:p>
    <w:p w:rsidR="00566E9A" w:rsidRPr="00011C86" w:rsidRDefault="00566E9A" w:rsidP="00AE5760">
      <w:pPr>
        <w:rPr>
          <w:rFonts w:eastAsiaTheme="minorHAnsi"/>
        </w:rPr>
      </w:pPr>
      <w:r w:rsidRPr="00221166">
        <w:rPr>
          <w:rFonts w:eastAsiaTheme="minorHAnsi"/>
        </w:rPr>
        <w:t xml:space="preserve">The exact financial implications of the Government's response are </w:t>
      </w:r>
      <w:r>
        <w:rPr>
          <w:rFonts w:eastAsiaTheme="minorHAnsi"/>
        </w:rPr>
        <w:t>yet to be</w:t>
      </w:r>
      <w:r w:rsidRPr="00221166">
        <w:rPr>
          <w:rFonts w:eastAsiaTheme="minorHAnsi"/>
        </w:rPr>
        <w:t xml:space="preserve"> quantified</w:t>
      </w:r>
      <w:r>
        <w:rPr>
          <w:rFonts w:eastAsiaTheme="minorHAnsi"/>
        </w:rPr>
        <w:t>.</w:t>
      </w:r>
    </w:p>
    <w:p w:rsidR="00566E9A" w:rsidRPr="00011C86" w:rsidRDefault="00566E9A" w:rsidP="00AE5760">
      <w:pPr>
        <w:pStyle w:val="Heading3"/>
        <w:rPr>
          <w:rFonts w:eastAsiaTheme="minorHAnsi"/>
        </w:rPr>
      </w:pPr>
      <w:r w:rsidRPr="00011C86">
        <w:rPr>
          <w:rFonts w:eastAsiaTheme="minorHAnsi"/>
        </w:rPr>
        <w:t>Compulsory property acquisitions</w:t>
      </w:r>
    </w:p>
    <w:p w:rsidR="00566E9A" w:rsidRPr="00011C86" w:rsidRDefault="00566E9A" w:rsidP="00AE5760">
      <w:pPr>
        <w:rPr>
          <w:rFonts w:eastAsiaTheme="minorHAnsi"/>
        </w:rPr>
      </w:pPr>
      <w:r w:rsidRPr="00011C86">
        <w:rPr>
          <w:rFonts w:eastAsiaTheme="minorHAnsi"/>
        </w:rPr>
        <w:t xml:space="preserve">The State has compulsorily acquired a number of properties (residential and commercial) through the </w:t>
      </w:r>
      <w:r w:rsidRPr="00D04B5D">
        <w:rPr>
          <w:rFonts w:eastAsiaTheme="minorHAnsi"/>
          <w:i/>
        </w:rPr>
        <w:t>Land Acquisition and Compensation Act 1986</w:t>
      </w:r>
      <w:r w:rsidRPr="00011C86">
        <w:rPr>
          <w:rFonts w:eastAsiaTheme="minorHAnsi"/>
        </w:rPr>
        <w:t xml:space="preserve"> to facilitate delivery of various projects. Possible future claims for compensation arising from the compulsory acquisition of these properties cannot be quantified at this stage.</w:t>
      </w:r>
    </w:p>
    <w:p w:rsidR="00566E9A" w:rsidRPr="00011C86" w:rsidRDefault="00566E9A" w:rsidP="00AE5760">
      <w:pPr>
        <w:pStyle w:val="Heading3"/>
        <w:rPr>
          <w:rFonts w:eastAsiaTheme="minorHAnsi"/>
        </w:rPr>
      </w:pPr>
      <w:r w:rsidRPr="00011C86">
        <w:rPr>
          <w:rFonts w:eastAsiaTheme="minorHAnsi"/>
        </w:rPr>
        <w:t>Land remediation – environmental concerns</w:t>
      </w:r>
    </w:p>
    <w:p w:rsidR="00566E9A" w:rsidRPr="00011C86" w:rsidRDefault="00566E9A" w:rsidP="00AE5760">
      <w:pPr>
        <w:rPr>
          <w:rFonts w:eastAsiaTheme="minorHAnsi"/>
        </w:rPr>
      </w:pPr>
      <w:r w:rsidRPr="00011C86">
        <w:rPr>
          <w:rFonts w:eastAsiaTheme="minorHAnsi"/>
        </w:rPr>
        <w:t xml:space="preserve">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a contamination risk is identified. </w:t>
      </w:r>
    </w:p>
    <w:p w:rsidR="00566E9A" w:rsidRPr="00011C86" w:rsidRDefault="00566E9A" w:rsidP="00AE5760">
      <w:pPr>
        <w:pStyle w:val="Heading3"/>
        <w:rPr>
          <w:rFonts w:eastAsiaTheme="minorHAnsi"/>
        </w:rPr>
      </w:pPr>
      <w:r w:rsidRPr="00011C86">
        <w:rPr>
          <w:rFonts w:eastAsiaTheme="minorHAnsi"/>
        </w:rPr>
        <w:t>Native Title</w:t>
      </w:r>
    </w:p>
    <w:p w:rsidR="00566E9A" w:rsidRPr="00011C86" w:rsidRDefault="00566E9A" w:rsidP="00AE5760">
      <w:pPr>
        <w:rPr>
          <w:rFonts w:eastAsiaTheme="minorHAnsi"/>
        </w:rPr>
      </w:pPr>
      <w:r w:rsidRPr="00011C86">
        <w:rPr>
          <w:rFonts w:eastAsiaTheme="minorHAnsi"/>
        </w:rPr>
        <w:t xml:space="preserve">A number of claims have been filed with the Federal Court under </w:t>
      </w:r>
      <w:r w:rsidRPr="00D04B5D">
        <w:rPr>
          <w:rFonts w:eastAsiaTheme="minorHAnsi"/>
        </w:rPr>
        <w:t>the</w:t>
      </w:r>
      <w:r w:rsidRPr="00D04B5D">
        <w:rPr>
          <w:rFonts w:eastAsiaTheme="minorHAnsi"/>
          <w:i/>
        </w:rPr>
        <w:t xml:space="preserve"> </w:t>
      </w:r>
      <w:r w:rsidRPr="00800A9C">
        <w:rPr>
          <w:rFonts w:eastAsiaTheme="minorHAnsi"/>
        </w:rPr>
        <w:t xml:space="preserve">Commonwealth </w:t>
      </w:r>
      <w:r w:rsidRPr="00D04B5D">
        <w:rPr>
          <w:rFonts w:eastAsiaTheme="minorHAnsi"/>
          <w:i/>
        </w:rPr>
        <w:t>Native Title Act 1993</w:t>
      </w:r>
      <w:r w:rsidRPr="00011C86">
        <w:rPr>
          <w:rFonts w:eastAsiaTheme="minorHAnsi"/>
        </w:rPr>
        <w:t xml:space="preserve"> that affect Victoria. It is not feasible at this time to quantify any future liability. </w:t>
      </w:r>
    </w:p>
    <w:p w:rsidR="00566E9A" w:rsidRPr="00011C86" w:rsidRDefault="00566E9A" w:rsidP="00AE5760">
      <w:pPr>
        <w:pStyle w:val="Heading3"/>
        <w:rPr>
          <w:rFonts w:eastAsiaTheme="minorHAnsi"/>
        </w:rPr>
      </w:pPr>
      <w:r w:rsidRPr="00011C86">
        <w:rPr>
          <w:rFonts w:eastAsiaTheme="minorHAnsi"/>
        </w:rPr>
        <w:t>Melbourne Park redevelopment</w:t>
      </w:r>
    </w:p>
    <w:p w:rsidR="00566E9A" w:rsidRPr="00011C86" w:rsidRDefault="00566E9A" w:rsidP="00AE5760">
      <w:pPr>
        <w:rPr>
          <w:rFonts w:eastAsiaTheme="minorHAnsi"/>
        </w:rPr>
      </w:pPr>
      <w:r w:rsidRPr="00011C86">
        <w:rPr>
          <w:rFonts w:eastAsiaTheme="minorHAnsi"/>
        </w:rPr>
        <w:t>In 2010, the State entered into a capital works agreement with Tennis Australia and the Melbourne and Olympic Park Trust for the Australian Open to remain at Melbourne Park until 2036. The agreement contains a number of conditions including that the State will invest in further improvements to Melbourne Park in three stages or (if an agreed investment threshold is</w:t>
      </w:r>
      <w:r>
        <w:rPr>
          <w:rFonts w:eastAsiaTheme="minorHAnsi"/>
        </w:rPr>
        <w:t xml:space="preserve"> not </w:t>
      </w:r>
      <w:r w:rsidRPr="00011C86">
        <w:rPr>
          <w:rFonts w:eastAsiaTheme="minorHAnsi"/>
        </w:rPr>
        <w:t xml:space="preserve">reached) pay a rights fee to retain the Australian Open at Melbourne Park until 2036. </w:t>
      </w:r>
    </w:p>
    <w:p w:rsidR="00566E9A" w:rsidRPr="00011C86" w:rsidRDefault="00566E9A" w:rsidP="00AE5760">
      <w:pPr>
        <w:rPr>
          <w:rFonts w:eastAsiaTheme="minorHAnsi"/>
        </w:rPr>
      </w:pPr>
      <w:r>
        <w:rPr>
          <w:rFonts w:eastAsiaTheme="minorHAnsi"/>
        </w:rPr>
        <w:t xml:space="preserve">In the </w:t>
      </w:r>
      <w:r w:rsidRPr="007D57ED">
        <w:rPr>
          <w:rFonts w:eastAsiaTheme="minorHAnsi"/>
          <w:i/>
        </w:rPr>
        <w:t>2010-11 Budget</w:t>
      </w:r>
      <w:r w:rsidRPr="00011C86">
        <w:rPr>
          <w:rFonts w:eastAsiaTheme="minorHAnsi"/>
        </w:rPr>
        <w:t>, Stage 1 of the Melbourne Park redevelopment with a total estimated investment of $363 million was announced. In January 2014, a further $338</w:t>
      </w:r>
      <w:r>
        <w:rPr>
          <w:rFonts w:eastAsiaTheme="minorHAnsi"/>
        </w:rPr>
        <w:t> </w:t>
      </w:r>
      <w:r w:rsidRPr="00011C86">
        <w:rPr>
          <w:rFonts w:eastAsiaTheme="minorHAnsi"/>
        </w:rPr>
        <w:t xml:space="preserve">million of total estimated investment was announced by the State for Stage 2 </w:t>
      </w:r>
      <w:r>
        <w:rPr>
          <w:rFonts w:eastAsiaTheme="minorHAnsi"/>
        </w:rPr>
        <w:br/>
      </w:r>
      <w:r w:rsidRPr="00011C86">
        <w:rPr>
          <w:rFonts w:eastAsiaTheme="minorHAnsi"/>
        </w:rPr>
        <w:t xml:space="preserve">of the redevelopment. </w:t>
      </w:r>
    </w:p>
    <w:p w:rsidR="00566E9A" w:rsidRDefault="00566E9A">
      <w:pPr>
        <w:spacing w:after="0"/>
        <w:rPr>
          <w:rFonts w:asciiTheme="majorHAnsi" w:eastAsiaTheme="minorHAnsi" w:hAnsiTheme="majorHAnsi"/>
          <w:b/>
          <w:i/>
          <w:kern w:val="28"/>
          <w:sz w:val="24"/>
        </w:rPr>
      </w:pPr>
      <w:r>
        <w:rPr>
          <w:rFonts w:eastAsiaTheme="minorHAnsi"/>
        </w:rPr>
        <w:br w:type="page"/>
      </w:r>
    </w:p>
    <w:p w:rsidR="00566E9A" w:rsidRPr="00011C86" w:rsidRDefault="00566E9A" w:rsidP="00AE5760">
      <w:pPr>
        <w:pStyle w:val="Heading3"/>
        <w:rPr>
          <w:rFonts w:eastAsiaTheme="minorHAnsi"/>
        </w:rPr>
      </w:pPr>
      <w:r w:rsidRPr="00011C86">
        <w:rPr>
          <w:rFonts w:eastAsiaTheme="minorHAnsi"/>
        </w:rPr>
        <w:lastRenderedPageBreak/>
        <w:t>Royal Melbourne Showgrounds redevelopment</w:t>
      </w:r>
    </w:p>
    <w:p w:rsidR="00566E9A" w:rsidRPr="00011C86" w:rsidRDefault="00566E9A" w:rsidP="00AE5760">
      <w:pPr>
        <w:rPr>
          <w:rFonts w:eastAsiaTheme="minorHAnsi"/>
        </w:rPr>
      </w:pPr>
      <w:r w:rsidRPr="00011C86">
        <w:rPr>
          <w:rFonts w:eastAsiaTheme="minorHAnsi"/>
        </w:rPr>
        <w:t>Under the State’s commitment to the Royal Agriculture Society of Victoria (RASV),</w:t>
      </w:r>
      <w:r>
        <w:rPr>
          <w:rFonts w:eastAsiaTheme="minorHAnsi"/>
        </w:rPr>
        <w:t xml:space="preserve"> the State has agreed to back</w:t>
      </w:r>
      <w:r w:rsidRPr="00011C86">
        <w:rPr>
          <w:rFonts w:eastAsiaTheme="minorHAnsi"/>
        </w:rPr>
        <w:t xml:space="preserve"> certain obligations of RASV which may arise out of the joint venture agreement. In accordance with the terms set out in the State’s commitment to RASV, the State will pay (in the form of a loan) the amount requested by RASV. If any outstanding loan amount remains unpaid at the date, which is 25 years after the commencement of the operation term under the development and operation agreement, RASV will be obliged to satisfy and discharge each such outstanding loan amount. This may take the form of a transfer to the State, of the whole of the RASV participating interest in the joint venture.</w:t>
      </w:r>
    </w:p>
    <w:p w:rsidR="00566E9A" w:rsidRPr="00011C86" w:rsidRDefault="00566E9A" w:rsidP="00AE5760">
      <w:pPr>
        <w:rPr>
          <w:rFonts w:eastAsiaTheme="minorHAnsi"/>
        </w:rPr>
      </w:pPr>
      <w:r w:rsidRPr="00011C86">
        <w:rPr>
          <w:rFonts w:eastAsiaTheme="minorHAnsi"/>
        </w:rPr>
        <w:t xml:space="preserve">Under the State Support Deed – Core Land, the State has undertaken to ensure the performance of the payment obligations in favour of the Concessionaire and the performance of the joint venture financial obligations in favour of the security trustee. </w:t>
      </w:r>
    </w:p>
    <w:p w:rsidR="00566E9A" w:rsidRPr="00011C86" w:rsidRDefault="00566E9A" w:rsidP="00AE5760">
      <w:pPr>
        <w:rPr>
          <w:rFonts w:eastAsiaTheme="minorHAnsi"/>
        </w:rPr>
      </w:pPr>
      <w:r w:rsidRPr="00011C86">
        <w:rPr>
          <w:rFonts w:eastAsiaTheme="minorHAnsi"/>
        </w:rPr>
        <w:t>The State has also entered into an agreement through the State Support Deed – Non Core Land with Showgrounds Retail Developments Pty Ltd and the RASV, wher</w:t>
      </w:r>
      <w:r>
        <w:rPr>
          <w:rFonts w:eastAsiaTheme="minorHAnsi"/>
        </w:rPr>
        <w:t xml:space="preserve">eby the State agrees to guarantee </w:t>
      </w:r>
      <w:r w:rsidRPr="00011C86">
        <w:rPr>
          <w:rFonts w:eastAsiaTheme="minorHAnsi"/>
        </w:rPr>
        <w:t>certain payment obligations of the RA</w:t>
      </w:r>
      <w:r>
        <w:rPr>
          <w:rFonts w:eastAsiaTheme="minorHAnsi"/>
        </w:rPr>
        <w:t>SV that may arise under the non</w:t>
      </w:r>
      <w:r>
        <w:rPr>
          <w:rFonts w:eastAsiaTheme="minorHAnsi"/>
        </w:rPr>
        <w:noBreakHyphen/>
      </w:r>
      <w:r w:rsidRPr="00011C86">
        <w:rPr>
          <w:rFonts w:eastAsiaTheme="minorHAnsi"/>
        </w:rPr>
        <w:t xml:space="preserve">core development agreement. </w:t>
      </w:r>
    </w:p>
    <w:p w:rsidR="00566E9A" w:rsidRPr="00011C86" w:rsidRDefault="00566E9A" w:rsidP="00AE5760">
      <w:pPr>
        <w:pStyle w:val="Heading3"/>
        <w:rPr>
          <w:rFonts w:eastAsiaTheme="minorHAnsi"/>
        </w:rPr>
      </w:pPr>
      <w:r w:rsidRPr="00011C86">
        <w:rPr>
          <w:rFonts w:eastAsiaTheme="minorHAnsi"/>
        </w:rPr>
        <w:t>Victorian Managed Insurance Authority – insurance cover</w:t>
      </w:r>
    </w:p>
    <w:p w:rsidR="00566E9A" w:rsidRPr="00011C86" w:rsidRDefault="00566E9A" w:rsidP="00AE5760">
      <w:pPr>
        <w:rPr>
          <w:rFonts w:eastAsiaTheme="minorHAnsi"/>
        </w:rPr>
      </w:pPr>
      <w:r w:rsidRPr="00011C86">
        <w:rPr>
          <w:rFonts w:eastAsiaTheme="minorHAnsi"/>
        </w:rPr>
        <w:t xml:space="preserve">The Victorian Managed Insurance Authority (VMIA) was established in 1996 as an insurer for state government departments, participating bodies and other entities as defined under the </w:t>
      </w:r>
      <w:r w:rsidRPr="00D04B5D">
        <w:rPr>
          <w:rFonts w:eastAsiaTheme="minorHAnsi"/>
          <w:i/>
        </w:rPr>
        <w:t>Victorian Managed Insurance Authority Act 1996</w:t>
      </w:r>
      <w:r w:rsidRPr="00011C86">
        <w:rPr>
          <w:rFonts w:eastAsiaTheme="minorHAnsi"/>
        </w:rPr>
        <w:t>. The VMIA provides its clients with a range of insurance cover, including for property, public and products liability, professional indemnity and contract works. The VMIA reinsures in the private market for losses above $50 million arising out of any one occurrence, up to a maximum of $1 billion for public and products liability, and for losses above $50 million arising out of any on</w:t>
      </w:r>
      <w:r>
        <w:rPr>
          <w:rFonts w:eastAsiaTheme="minorHAnsi"/>
        </w:rPr>
        <w:t>e event, up to a maximum of $3.6</w:t>
      </w:r>
      <w:r w:rsidRPr="00011C86">
        <w:rPr>
          <w:rFonts w:eastAsiaTheme="minorHAnsi"/>
        </w:rPr>
        <w:t xml:space="preserve"> billion for property. The risk of losses above these reinsured levels is borne by the State.</w:t>
      </w:r>
    </w:p>
    <w:p w:rsidR="00566E9A" w:rsidRPr="00011C86" w:rsidRDefault="00566E9A" w:rsidP="00AE5760">
      <w:pPr>
        <w:rPr>
          <w:rFonts w:eastAsiaTheme="minorHAnsi"/>
        </w:rPr>
      </w:pPr>
      <w:r w:rsidRPr="00011C86">
        <w:rPr>
          <w:rFonts w:eastAsiaTheme="minorHAnsi"/>
        </w:rPr>
        <w:t xml:space="preserve">The VMIA also insures the Department of Health and Human Services for all public sector medical indemnity claims incurred in each policy year from 1 July 2003, regardless of when claims are finally settled. Under the indemnity deed to provide stop loss protection for the VMIA, </w:t>
      </w:r>
      <w:r>
        <w:rPr>
          <w:rFonts w:eastAsiaTheme="minorHAnsi"/>
        </w:rPr>
        <w:t xml:space="preserve">the </w:t>
      </w:r>
      <w:r w:rsidRPr="00011C86">
        <w:rPr>
          <w:rFonts w:eastAsiaTheme="minorHAnsi"/>
        </w:rPr>
        <w:t>D</w:t>
      </w:r>
      <w:r>
        <w:rPr>
          <w:rFonts w:eastAsiaTheme="minorHAnsi"/>
        </w:rPr>
        <w:t xml:space="preserve">epartment of </w:t>
      </w:r>
      <w:r w:rsidRPr="00011C86">
        <w:rPr>
          <w:rFonts w:eastAsiaTheme="minorHAnsi"/>
        </w:rPr>
        <w:t>T</w:t>
      </w:r>
      <w:r>
        <w:rPr>
          <w:rFonts w:eastAsiaTheme="minorHAnsi"/>
        </w:rPr>
        <w:t xml:space="preserve">reasury and </w:t>
      </w:r>
      <w:r w:rsidRPr="00011C86">
        <w:rPr>
          <w:rFonts w:eastAsiaTheme="minorHAnsi"/>
        </w:rPr>
        <w:t>F</w:t>
      </w:r>
      <w:r>
        <w:rPr>
          <w:rFonts w:eastAsiaTheme="minorHAnsi"/>
        </w:rPr>
        <w:t>inance</w:t>
      </w:r>
      <w:r w:rsidRPr="00011C86">
        <w:rPr>
          <w:rFonts w:eastAsiaTheme="minorHAnsi"/>
        </w:rPr>
        <w:t xml:space="preserve"> has agreed to reimburse the VMIA if the ultimate claims payouts exceed by more than 20 per cent of the initial estimate on which the risk premium was based.</w:t>
      </w:r>
    </w:p>
    <w:p w:rsidR="00566E9A" w:rsidRDefault="00566E9A">
      <w:pPr>
        <w:spacing w:after="0"/>
        <w:rPr>
          <w:rFonts w:asciiTheme="majorHAnsi" w:eastAsiaTheme="minorHAnsi" w:hAnsiTheme="majorHAnsi"/>
          <w:b/>
          <w:i/>
          <w:kern w:val="28"/>
          <w:sz w:val="24"/>
        </w:rPr>
      </w:pPr>
      <w:r>
        <w:rPr>
          <w:rFonts w:eastAsiaTheme="minorHAnsi"/>
        </w:rPr>
        <w:br w:type="page"/>
      </w:r>
    </w:p>
    <w:p w:rsidR="00566E9A" w:rsidRDefault="00566E9A" w:rsidP="00AE5760">
      <w:pPr>
        <w:pStyle w:val="Heading3"/>
        <w:rPr>
          <w:rFonts w:eastAsiaTheme="minorHAnsi"/>
        </w:rPr>
      </w:pPr>
      <w:r>
        <w:rPr>
          <w:rFonts w:eastAsiaTheme="minorHAnsi"/>
        </w:rPr>
        <w:lastRenderedPageBreak/>
        <w:t>2016 Flood and Storm Events</w:t>
      </w:r>
    </w:p>
    <w:p w:rsidR="00566E9A" w:rsidRPr="009D40EF" w:rsidRDefault="00566E9A" w:rsidP="00AE5760">
      <w:pPr>
        <w:rPr>
          <w:rFonts w:eastAsiaTheme="minorHAnsi"/>
        </w:rPr>
      </w:pPr>
      <w:r w:rsidRPr="00D149D5">
        <w:rPr>
          <w:rFonts w:eastAsiaTheme="minorHAnsi"/>
        </w:rPr>
        <w:t>Since September 2016 , under the Commonwealth-State Natural Disaster Relief and Recovery Arrangements (NDRRA), a severe flood and storm event has been affecting a large number of local government</w:t>
      </w:r>
      <w:r>
        <w:rPr>
          <w:rFonts w:eastAsiaTheme="minorHAnsi"/>
        </w:rPr>
        <w:t xml:space="preserve"> areas (LGAs) across Victoria. </w:t>
      </w:r>
      <w:r w:rsidRPr="00D149D5">
        <w:rPr>
          <w:rFonts w:eastAsiaTheme="minorHAnsi"/>
        </w:rPr>
        <w:t xml:space="preserve">At the time of </w:t>
      </w:r>
      <w:r>
        <w:rPr>
          <w:rFonts w:eastAsiaTheme="minorHAnsi"/>
        </w:rPr>
        <w:t>preparing this report</w:t>
      </w:r>
      <w:r w:rsidRPr="00D149D5">
        <w:rPr>
          <w:rFonts w:eastAsiaTheme="minorHAnsi"/>
        </w:rPr>
        <w:t>, 50 LGAs have been impacted and the initial impact assessments are still being collected and analysed to determine the estimated cost of the damage that has and is occurring. While it is still too early to determine the total costs likely to be incurred, these costs could potentially be shared between the Victorian and the Commonwealth Governments.</w:t>
      </w:r>
    </w:p>
    <w:p w:rsidR="00566E9A" w:rsidRDefault="00566E9A" w:rsidP="00AE5760">
      <w:pPr>
        <w:ind w:right="-94"/>
        <w:rPr>
          <w:rFonts w:eastAsiaTheme="minorHAnsi"/>
        </w:rPr>
      </w:pPr>
      <w:r w:rsidRPr="009D40EF">
        <w:rPr>
          <w:rFonts w:eastAsiaTheme="minorHAnsi"/>
        </w:rPr>
        <w:t xml:space="preserve">On 17 September 2016, the State formally activated </w:t>
      </w:r>
      <w:r>
        <w:rPr>
          <w:rFonts w:eastAsiaTheme="minorHAnsi"/>
        </w:rPr>
        <w:t xml:space="preserve">the NDRRA with the Commonwealth. </w:t>
      </w:r>
      <w:r w:rsidRPr="00E8464F">
        <w:rPr>
          <w:rFonts w:eastAsiaTheme="minorHAnsi"/>
        </w:rPr>
        <w:t>In addition, the State has activated the NDRRA for the 11 November 2016 storm event impacting the Mildura LGA.</w:t>
      </w:r>
    </w:p>
    <w:p w:rsidR="00566E9A" w:rsidRDefault="00566E9A" w:rsidP="00AE5760">
      <w:pPr>
        <w:rPr>
          <w:rFonts w:eastAsiaTheme="minorHAnsi"/>
        </w:rPr>
      </w:pPr>
      <w:r w:rsidRPr="00011C86">
        <w:rPr>
          <w:rFonts w:eastAsiaTheme="minorHAnsi"/>
        </w:rPr>
        <w:t>At this stage</w:t>
      </w:r>
      <w:r>
        <w:rPr>
          <w:rFonts w:eastAsiaTheme="minorHAnsi"/>
        </w:rPr>
        <w:t>,</w:t>
      </w:r>
      <w:r w:rsidRPr="00011C86">
        <w:rPr>
          <w:rFonts w:eastAsiaTheme="minorHAnsi"/>
        </w:rPr>
        <w:t xml:space="preserve"> it is impractical to quantify the financial effects of these contingent liabilities.</w:t>
      </w:r>
    </w:p>
    <w:p w:rsidR="00566E9A" w:rsidRDefault="00566E9A" w:rsidP="00B47029">
      <w:pPr>
        <w:rPr>
          <w:rFonts w:eastAsiaTheme="minorHAnsi"/>
        </w:rPr>
      </w:pPr>
    </w:p>
    <w:p w:rsidR="00566E9A" w:rsidRDefault="00566E9A" w:rsidP="009F1202">
      <w:pPr>
        <w:rPr>
          <w:rFonts w:eastAsiaTheme="minorHAnsi"/>
        </w:rPr>
        <w:sectPr w:rsidR="00566E9A" w:rsidSect="009F1202">
          <w:footerReference w:type="even" r:id="rId35"/>
          <w:footerReference w:type="default" r:id="rId36"/>
          <w:type w:val="continuous"/>
          <w:pgSz w:w="9979" w:h="14181" w:code="138"/>
          <w:pgMar w:top="1138" w:right="1138" w:bottom="1138" w:left="1138" w:header="720" w:footer="432" w:gutter="0"/>
          <w:cols w:space="708"/>
          <w:docGrid w:linePitch="360"/>
        </w:sectPr>
      </w:pPr>
    </w:p>
    <w:p w:rsidR="00566E9A" w:rsidRDefault="00566E9A" w:rsidP="00AE5760">
      <w:pPr>
        <w:pStyle w:val="ChapterHeading"/>
        <w:rPr>
          <w:rFonts w:eastAsiaTheme="minorHAnsi"/>
        </w:rPr>
      </w:pPr>
      <w:bookmarkStart w:id="55" w:name="_Toc468983290"/>
      <w:r>
        <w:rPr>
          <w:rFonts w:eastAsiaTheme="minorHAnsi"/>
        </w:rPr>
        <w:lastRenderedPageBreak/>
        <w:t>Appendix A – Specific policy initiatives affecting the budget position</w:t>
      </w:r>
      <w:bookmarkEnd w:id="55"/>
    </w:p>
    <w:p w:rsidR="00566E9A" w:rsidRDefault="00566E9A" w:rsidP="00AE5760">
      <w:pPr>
        <w:rPr>
          <w:rFonts w:eastAsiaTheme="minorHAnsi"/>
        </w:rPr>
      </w:pPr>
      <w:r w:rsidRPr="00F00EF9">
        <w:rPr>
          <w:rFonts w:eastAsiaTheme="minorHAnsi"/>
        </w:rPr>
        <w:t>Appendix A outlines specific policy initiatives that affect outputs and assets, including Treasurer</w:t>
      </w:r>
      <w:r>
        <w:rPr>
          <w:rFonts w:eastAsiaTheme="minorHAnsi"/>
        </w:rPr>
        <w:t>’</w:t>
      </w:r>
      <w:r w:rsidRPr="00F00EF9">
        <w:rPr>
          <w:rFonts w:eastAsiaTheme="minorHAnsi"/>
        </w:rPr>
        <w:t xml:space="preserve">s Advances, agreed by the Government since the </w:t>
      </w:r>
      <w:r w:rsidRPr="00F00EF9">
        <w:rPr>
          <w:rFonts w:eastAsiaTheme="minorHAnsi"/>
          <w:i/>
        </w:rPr>
        <w:t>201</w:t>
      </w:r>
      <w:r>
        <w:rPr>
          <w:rFonts w:eastAsiaTheme="minorHAnsi"/>
          <w:i/>
        </w:rPr>
        <w:t>6</w:t>
      </w:r>
      <w:r w:rsidRPr="00F00EF9">
        <w:rPr>
          <w:rFonts w:eastAsiaTheme="minorHAnsi"/>
          <w:i/>
        </w:rPr>
        <w:t>-1</w:t>
      </w:r>
      <w:r>
        <w:rPr>
          <w:rFonts w:eastAsiaTheme="minorHAnsi"/>
          <w:i/>
        </w:rPr>
        <w:t>7</w:t>
      </w:r>
      <w:r w:rsidRPr="00F00EF9">
        <w:rPr>
          <w:rFonts w:eastAsiaTheme="minorHAnsi"/>
          <w:i/>
        </w:rPr>
        <w:t xml:space="preserve"> Budget</w:t>
      </w:r>
      <w:r w:rsidRPr="00F00EF9">
        <w:rPr>
          <w:rFonts w:eastAsiaTheme="minorHAnsi"/>
        </w:rPr>
        <w:t xml:space="preserve">. </w:t>
      </w:r>
    </w:p>
    <w:p w:rsidR="00566E9A" w:rsidRDefault="00566E9A" w:rsidP="00AE5760">
      <w:pPr>
        <w:rPr>
          <w:rFonts w:eastAsiaTheme="minorHAnsi"/>
        </w:rPr>
      </w:pPr>
      <w:r>
        <w:rPr>
          <w:rFonts w:eastAsiaTheme="minorHAnsi"/>
        </w:rPr>
        <w:t>The following tables provide details of:</w:t>
      </w:r>
    </w:p>
    <w:p w:rsidR="00566E9A" w:rsidRDefault="00566E9A" w:rsidP="00AE5760">
      <w:pPr>
        <w:pStyle w:val="BulletText"/>
        <w:rPr>
          <w:rFonts w:eastAsiaTheme="minorHAnsi"/>
        </w:rPr>
      </w:pPr>
      <w:r>
        <w:rPr>
          <w:rFonts w:eastAsiaTheme="minorHAnsi"/>
        </w:rPr>
        <w:t>revenue initiatives;</w:t>
      </w:r>
    </w:p>
    <w:p w:rsidR="00566E9A" w:rsidRDefault="00566E9A" w:rsidP="00AE5760">
      <w:pPr>
        <w:pStyle w:val="BulletText"/>
        <w:rPr>
          <w:rFonts w:eastAsiaTheme="minorHAnsi"/>
        </w:rPr>
      </w:pPr>
      <w:r>
        <w:rPr>
          <w:rFonts w:eastAsiaTheme="minorHAnsi"/>
        </w:rPr>
        <w:t>whole of government output and asset initiatives; and</w:t>
      </w:r>
    </w:p>
    <w:p w:rsidR="00566E9A" w:rsidRPr="00E640BE" w:rsidRDefault="00566E9A" w:rsidP="00AE5760">
      <w:pPr>
        <w:pStyle w:val="BulletText"/>
        <w:rPr>
          <w:rFonts w:eastAsiaTheme="minorHAnsi"/>
        </w:rPr>
      </w:pPr>
      <w:r>
        <w:rPr>
          <w:rFonts w:eastAsiaTheme="minorHAnsi"/>
        </w:rPr>
        <w:t>output and asset initiatives for departments.</w:t>
      </w:r>
    </w:p>
    <w:p w:rsidR="00566E9A" w:rsidRPr="00F00EF9" w:rsidRDefault="00566E9A" w:rsidP="00AE5760">
      <w:pPr>
        <w:rPr>
          <w:rFonts w:eastAsiaTheme="minorHAnsi"/>
        </w:rPr>
      </w:pPr>
      <w:r w:rsidRPr="00F00EF9">
        <w:rPr>
          <w:rFonts w:eastAsiaTheme="minorHAnsi"/>
        </w:rPr>
        <w:t>Appendix A also includes a cross reference between initiatives and their relevant departmental outputs</w:t>
      </w:r>
      <w:r>
        <w:rPr>
          <w:rFonts w:eastAsiaTheme="minorHAnsi"/>
        </w:rPr>
        <w:t>,</w:t>
      </w:r>
      <w:r w:rsidRPr="00F00EF9">
        <w:rPr>
          <w:rFonts w:eastAsiaTheme="minorHAnsi"/>
        </w:rPr>
        <w:t xml:space="preserve"> which aims to indicate the impact of policy decisions on relevant portfolios.</w:t>
      </w:r>
    </w:p>
    <w:p w:rsidR="00566E9A" w:rsidRDefault="00566E9A" w:rsidP="00AE5760">
      <w:pPr>
        <w:rPr>
          <w:rFonts w:eastAsiaTheme="minorHAnsi"/>
        </w:rPr>
      </w:pPr>
      <w:r w:rsidRPr="00F00EF9">
        <w:rPr>
          <w:rFonts w:eastAsiaTheme="minorHAnsi"/>
        </w:rPr>
        <w:t>The figures included are the gross cost of decisions. Funding from reprioritisation and other sources has not been deducted from the total cost of new initiatives.</w:t>
      </w:r>
    </w:p>
    <w:p w:rsidR="00566E9A" w:rsidRDefault="00566E9A">
      <w:pPr>
        <w:spacing w:after="0"/>
        <w:rPr>
          <w:rFonts w:eastAsiaTheme="minorHAnsi"/>
        </w:rPr>
      </w:pPr>
      <w:r>
        <w:rPr>
          <w:rFonts w:eastAsiaTheme="minorHAnsi"/>
        </w:rPr>
        <w:br w:type="page"/>
      </w:r>
    </w:p>
    <w:p w:rsidR="00566E9A" w:rsidRPr="00F00EF9" w:rsidRDefault="00566E9A" w:rsidP="00AE5760">
      <w:pPr>
        <w:pStyle w:val="Heading1"/>
        <w:rPr>
          <w:rFonts w:eastAsiaTheme="minorHAnsi"/>
        </w:rPr>
      </w:pPr>
      <w:bookmarkStart w:id="56" w:name="_Toc468983291"/>
      <w:r>
        <w:rPr>
          <w:rFonts w:eastAsiaTheme="minorHAnsi"/>
        </w:rPr>
        <w:lastRenderedPageBreak/>
        <w:t>Revenue initiatives</w:t>
      </w:r>
      <w:bookmarkEnd w:id="56"/>
      <w:r w:rsidRPr="00F00EF9">
        <w:rPr>
          <w:rFonts w:eastAsiaTheme="minorHAnsi"/>
        </w:rPr>
        <w:t xml:space="preserve"> </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1</w:t>
      </w:r>
      <w:r w:rsidRPr="00F00EF9">
        <w:rPr>
          <w:rFonts w:eastAsiaTheme="minorHAnsi"/>
        </w:rPr>
        <w:t>:</w:t>
      </w:r>
      <w:r w:rsidRPr="00F00EF9">
        <w:rPr>
          <w:rFonts w:eastAsiaTheme="minorHAnsi"/>
        </w:rPr>
        <w:tab/>
      </w:r>
      <w:r>
        <w:rPr>
          <w:rFonts w:eastAsiaTheme="minorHAnsi"/>
        </w:rPr>
        <w:t>Revenue initiatives</w:t>
      </w:r>
    </w:p>
    <w:p w:rsidR="00566E9A" w:rsidRPr="003D51A1" w:rsidRDefault="00566E9A" w:rsidP="00AE5760">
      <w:pPr>
        <w:pStyle w:val="million"/>
        <w:rPr>
          <w:rFonts w:asciiTheme="minorHAnsi" w:eastAsiaTheme="minorHAnsi" w:hAnsiTheme="minorHAnsi"/>
          <w:b/>
          <w:bCs/>
          <w:sz w:val="22"/>
          <w:lang w:val="en-US"/>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566E9A" w:rsidRPr="003D51A1"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single" w:sz="6" w:space="0" w:color="auto"/>
              <w:bottom w:val="single" w:sz="6" w:space="0" w:color="auto"/>
              <w:right w:val="nil"/>
            </w:tcBorders>
            <w:shd w:val="solid" w:color="000000" w:fill="auto"/>
          </w:tcPr>
          <w:p w:rsidR="00566E9A" w:rsidRPr="003D51A1" w:rsidRDefault="00566E9A" w:rsidP="00AE5760">
            <w:pPr>
              <w:autoSpaceDE w:val="0"/>
              <w:autoSpaceDN w:val="0"/>
              <w:adjustRightInd w:val="0"/>
              <w:rPr>
                <w:rFonts w:eastAsiaTheme="minorEastAsia" w:cs="Calibri"/>
                <w:color w:val="FFFFFF"/>
                <w:lang w:eastAsia="en-AU"/>
              </w:rPr>
            </w:pPr>
            <w:r w:rsidRPr="003D51A1">
              <w:rPr>
                <w:rFonts w:eastAsiaTheme="minorEastAsia" w:cs="Calibri"/>
                <w:color w:val="FFFFFF"/>
                <w:lang w:eastAsia="en-AU"/>
              </w:rPr>
              <w:t xml:space="preserve"> </w:t>
            </w:r>
          </w:p>
        </w:tc>
        <w:tc>
          <w:tcPr>
            <w:tcW w:w="850" w:type="dxa"/>
            <w:tcBorders>
              <w:top w:val="single" w:sz="6" w:space="0" w:color="auto"/>
              <w:left w:val="nil"/>
              <w:bottom w:val="single" w:sz="6" w:space="0" w:color="auto"/>
              <w:right w:val="nil"/>
            </w:tcBorders>
            <w:shd w:val="solid" w:color="000000" w:fill="auto"/>
          </w:tcPr>
          <w:p w:rsidR="00566E9A" w:rsidRPr="003D51A1"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51A1">
              <w:rPr>
                <w:rFonts w:eastAsiaTheme="minorEastAsia" w:cs="Calibri"/>
                <w:iCs/>
                <w:color w:val="FFFFFF"/>
                <w:lang w:eastAsia="en-AU"/>
              </w:rPr>
              <w:t>2016-17</w:t>
            </w:r>
          </w:p>
        </w:tc>
        <w:tc>
          <w:tcPr>
            <w:tcW w:w="850" w:type="dxa"/>
            <w:tcBorders>
              <w:top w:val="single" w:sz="6" w:space="0" w:color="auto"/>
              <w:left w:val="nil"/>
              <w:bottom w:val="single" w:sz="6" w:space="0" w:color="auto"/>
              <w:right w:val="nil"/>
            </w:tcBorders>
            <w:shd w:val="solid" w:color="000000" w:fill="auto"/>
          </w:tcPr>
          <w:p w:rsidR="00566E9A" w:rsidRPr="003D51A1"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51A1">
              <w:rPr>
                <w:rFonts w:eastAsiaTheme="minorEastAsia" w:cs="Calibri"/>
                <w:iCs/>
                <w:color w:val="FFFFFF"/>
                <w:lang w:eastAsia="en-AU"/>
              </w:rPr>
              <w:t>2017-18</w:t>
            </w:r>
          </w:p>
        </w:tc>
        <w:tc>
          <w:tcPr>
            <w:tcW w:w="850" w:type="dxa"/>
            <w:tcBorders>
              <w:top w:val="single" w:sz="6" w:space="0" w:color="auto"/>
              <w:left w:val="nil"/>
              <w:bottom w:val="single" w:sz="6" w:space="0" w:color="auto"/>
              <w:right w:val="nil"/>
            </w:tcBorders>
            <w:shd w:val="solid" w:color="000000" w:fill="auto"/>
          </w:tcPr>
          <w:p w:rsidR="00566E9A" w:rsidRPr="003D51A1"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51A1">
              <w:rPr>
                <w:rFonts w:eastAsiaTheme="minorEastAsia" w:cs="Calibri"/>
                <w:iCs/>
                <w:color w:val="FFFFFF"/>
                <w:lang w:eastAsia="en-AU"/>
              </w:rPr>
              <w:t>2018-19</w:t>
            </w:r>
          </w:p>
        </w:tc>
        <w:tc>
          <w:tcPr>
            <w:tcW w:w="850" w:type="dxa"/>
            <w:tcBorders>
              <w:top w:val="single" w:sz="6" w:space="0" w:color="auto"/>
              <w:left w:val="nil"/>
              <w:bottom w:val="single" w:sz="6" w:space="0" w:color="auto"/>
              <w:right w:val="nil"/>
            </w:tcBorders>
            <w:shd w:val="solid" w:color="000000" w:fill="auto"/>
          </w:tcPr>
          <w:p w:rsidR="00566E9A" w:rsidRPr="003D51A1"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51A1">
              <w:rPr>
                <w:rFonts w:eastAsiaTheme="minorEastAsia" w:cs="Calibri"/>
                <w:iCs/>
                <w:color w:val="FFFFFF"/>
                <w:lang w:eastAsia="en-AU"/>
              </w:rPr>
              <w:t>2019-20</w:t>
            </w:r>
          </w:p>
        </w:tc>
      </w:tr>
      <w:tr w:rsidR="00566E9A" w:rsidRPr="003D51A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3D51A1" w:rsidRDefault="00566E9A" w:rsidP="00AE5760">
            <w:pPr>
              <w:autoSpaceDE w:val="0"/>
              <w:autoSpaceDN w:val="0"/>
              <w:adjustRightInd w:val="0"/>
              <w:rPr>
                <w:rFonts w:eastAsiaTheme="minorEastAsia" w:cs="Calibri"/>
                <w:color w:val="000000"/>
                <w:lang w:eastAsia="en-AU"/>
              </w:rPr>
            </w:pPr>
            <w:r w:rsidRPr="003D51A1">
              <w:rPr>
                <w:rFonts w:eastAsiaTheme="minorEastAsia" w:cs="Calibri"/>
                <w:color w:val="000000"/>
                <w:lang w:eastAsia="en-AU"/>
              </w:rPr>
              <w:t>Commercial passenger vehicle reform</w:t>
            </w:r>
          </w:p>
        </w:tc>
        <w:tc>
          <w:tcPr>
            <w:tcW w:w="850" w:type="dxa"/>
            <w:tcBorders>
              <w:top w:val="nil"/>
              <w:left w:val="nil"/>
              <w:bottom w:val="nil"/>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51A1">
              <w:rPr>
                <w:rFonts w:eastAsiaTheme="minorEastAsia" w:cs="Calibri"/>
                <w:color w:val="000000"/>
                <w:lang w:eastAsia="en-AU"/>
              </w:rPr>
              <w:t>(21.2)</w:t>
            </w:r>
          </w:p>
        </w:tc>
        <w:tc>
          <w:tcPr>
            <w:tcW w:w="850" w:type="dxa"/>
            <w:tcBorders>
              <w:top w:val="nil"/>
              <w:left w:val="nil"/>
              <w:bottom w:val="nil"/>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51A1">
              <w:rPr>
                <w:rFonts w:eastAsiaTheme="minorEastAsia" w:cs="Calibri"/>
                <w:color w:val="000000"/>
                <w:lang w:eastAsia="en-AU"/>
              </w:rPr>
              <w:t>1.6</w:t>
            </w:r>
          </w:p>
        </w:tc>
        <w:tc>
          <w:tcPr>
            <w:tcW w:w="850" w:type="dxa"/>
            <w:tcBorders>
              <w:top w:val="nil"/>
              <w:left w:val="nil"/>
              <w:bottom w:val="nil"/>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51A1">
              <w:rPr>
                <w:rFonts w:eastAsiaTheme="minorEastAsia" w:cs="Calibri"/>
                <w:color w:val="000000"/>
                <w:lang w:eastAsia="en-AU"/>
              </w:rPr>
              <w:t>25.8</w:t>
            </w:r>
          </w:p>
        </w:tc>
        <w:tc>
          <w:tcPr>
            <w:tcW w:w="850" w:type="dxa"/>
            <w:tcBorders>
              <w:top w:val="nil"/>
              <w:left w:val="nil"/>
              <w:bottom w:val="nil"/>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51A1">
              <w:rPr>
                <w:rFonts w:eastAsiaTheme="minorEastAsia" w:cs="Calibri"/>
                <w:color w:val="000000"/>
                <w:lang w:eastAsia="en-AU"/>
              </w:rPr>
              <w:t>26.4</w:t>
            </w:r>
          </w:p>
        </w:tc>
      </w:tr>
      <w:tr w:rsidR="00566E9A" w:rsidRPr="003D51A1"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shd w:val="solid" w:color="FFFFFF" w:fill="auto"/>
          </w:tcPr>
          <w:p w:rsidR="00566E9A" w:rsidRPr="003D51A1" w:rsidRDefault="00566E9A" w:rsidP="00AE5760">
            <w:pPr>
              <w:autoSpaceDE w:val="0"/>
              <w:autoSpaceDN w:val="0"/>
              <w:adjustRightInd w:val="0"/>
              <w:rPr>
                <w:rFonts w:eastAsiaTheme="minorEastAsia" w:cs="Calibri"/>
                <w:b/>
                <w:bCs/>
                <w:color w:val="000000"/>
                <w:lang w:eastAsia="en-AU"/>
              </w:rPr>
            </w:pPr>
            <w:r w:rsidRPr="003D51A1">
              <w:rPr>
                <w:rFonts w:eastAsiaTheme="minorEastAsia" w:cs="Calibri"/>
                <w:b/>
                <w:bCs/>
                <w:color w:val="000000"/>
                <w:lang w:eastAsia="en-AU"/>
              </w:rPr>
              <w:t xml:space="preserve"> </w:t>
            </w:r>
          </w:p>
        </w:tc>
        <w:tc>
          <w:tcPr>
            <w:tcW w:w="850" w:type="dxa"/>
            <w:tcBorders>
              <w:top w:val="single" w:sz="6" w:space="0" w:color="auto"/>
              <w:left w:val="nil"/>
              <w:bottom w:val="single" w:sz="12" w:space="0" w:color="auto"/>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51A1">
              <w:rPr>
                <w:rFonts w:eastAsiaTheme="minorEastAsia" w:cs="Calibri"/>
                <w:b/>
                <w:bCs/>
                <w:color w:val="000000"/>
                <w:lang w:eastAsia="en-AU"/>
              </w:rPr>
              <w:t>(21.2)</w:t>
            </w:r>
          </w:p>
        </w:tc>
        <w:tc>
          <w:tcPr>
            <w:tcW w:w="850" w:type="dxa"/>
            <w:tcBorders>
              <w:top w:val="single" w:sz="6" w:space="0" w:color="auto"/>
              <w:left w:val="nil"/>
              <w:bottom w:val="single" w:sz="12" w:space="0" w:color="auto"/>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51A1">
              <w:rPr>
                <w:rFonts w:eastAsiaTheme="minorEastAsia" w:cs="Calibri"/>
                <w:b/>
                <w:bCs/>
                <w:color w:val="000000"/>
                <w:lang w:eastAsia="en-AU"/>
              </w:rPr>
              <w:t>1.6</w:t>
            </w:r>
          </w:p>
        </w:tc>
        <w:tc>
          <w:tcPr>
            <w:tcW w:w="850" w:type="dxa"/>
            <w:tcBorders>
              <w:top w:val="single" w:sz="6" w:space="0" w:color="auto"/>
              <w:left w:val="nil"/>
              <w:bottom w:val="single" w:sz="12" w:space="0" w:color="auto"/>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51A1">
              <w:rPr>
                <w:rFonts w:eastAsiaTheme="minorEastAsia" w:cs="Calibri"/>
                <w:b/>
                <w:bCs/>
                <w:color w:val="000000"/>
                <w:lang w:eastAsia="en-AU"/>
              </w:rPr>
              <w:t>25.8</w:t>
            </w:r>
          </w:p>
        </w:tc>
        <w:tc>
          <w:tcPr>
            <w:tcW w:w="850" w:type="dxa"/>
            <w:tcBorders>
              <w:top w:val="single" w:sz="6" w:space="0" w:color="auto"/>
              <w:left w:val="nil"/>
              <w:bottom w:val="single" w:sz="12" w:space="0" w:color="auto"/>
              <w:right w:val="nil"/>
            </w:tcBorders>
          </w:tcPr>
          <w:p w:rsidR="00566E9A" w:rsidRPr="003D51A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51A1">
              <w:rPr>
                <w:rFonts w:eastAsiaTheme="minorEastAsia" w:cs="Calibri"/>
                <w:b/>
                <w:bCs/>
                <w:color w:val="000000"/>
                <w:lang w:eastAsia="en-AU"/>
              </w:rPr>
              <w:t>26.4</w:t>
            </w:r>
          </w:p>
        </w:tc>
      </w:tr>
    </w:tbl>
    <w:p w:rsidR="00566E9A" w:rsidRDefault="00566E9A" w:rsidP="00AE5760">
      <w:pPr>
        <w:rPr>
          <w:rFonts w:eastAsiaTheme="minorHAnsi"/>
        </w:rPr>
      </w:pPr>
    </w:p>
    <w:p w:rsidR="00566E9A" w:rsidRPr="00F00EF9" w:rsidRDefault="00566E9A" w:rsidP="00AE5760">
      <w:pPr>
        <w:pStyle w:val="Heading5"/>
        <w:rPr>
          <w:rFonts w:eastAsiaTheme="minorHAnsi"/>
        </w:rPr>
      </w:pPr>
      <w:r w:rsidRPr="005501F6">
        <w:rPr>
          <w:rFonts w:eastAsiaTheme="minorHAnsi"/>
        </w:rPr>
        <w:t xml:space="preserve">Commercial passenger </w:t>
      </w:r>
      <w:r>
        <w:rPr>
          <w:rFonts w:eastAsiaTheme="minorHAnsi"/>
        </w:rPr>
        <w:t>vehicle</w:t>
      </w:r>
      <w:r w:rsidRPr="005501F6">
        <w:rPr>
          <w:rFonts w:eastAsiaTheme="minorHAnsi"/>
        </w:rPr>
        <w:t xml:space="preserve"> reform</w:t>
      </w:r>
    </w:p>
    <w:p w:rsidR="00566E9A" w:rsidRDefault="00566E9A" w:rsidP="00AE5760">
      <w:pPr>
        <w:rPr>
          <w:rFonts w:eastAsiaTheme="minorHAnsi"/>
        </w:rPr>
      </w:pPr>
      <w:r w:rsidRPr="002F4725">
        <w:rPr>
          <w:rFonts w:eastAsiaTheme="minorHAnsi"/>
        </w:rPr>
        <w:t xml:space="preserve">As part of the </w:t>
      </w:r>
      <w:r>
        <w:rPr>
          <w:rFonts w:eastAsiaTheme="minorHAnsi"/>
        </w:rPr>
        <w:t xml:space="preserve">Government’s commercial passenger vehicle </w:t>
      </w:r>
      <w:r w:rsidRPr="002F4725">
        <w:rPr>
          <w:rFonts w:eastAsiaTheme="minorHAnsi"/>
        </w:rPr>
        <w:t xml:space="preserve">reform package, </w:t>
      </w:r>
      <w:r w:rsidRPr="004A3122">
        <w:rPr>
          <w:rFonts w:eastAsiaTheme="minorHAnsi"/>
        </w:rPr>
        <w:t xml:space="preserve">from </w:t>
      </w:r>
      <w:r>
        <w:rPr>
          <w:rFonts w:eastAsiaTheme="minorHAnsi"/>
        </w:rPr>
        <w:t>early </w:t>
      </w:r>
      <w:r w:rsidRPr="004A3122">
        <w:rPr>
          <w:rFonts w:eastAsiaTheme="minorHAnsi"/>
        </w:rPr>
        <w:t xml:space="preserve">2018 all commercial passenger </w:t>
      </w:r>
      <w:r>
        <w:rPr>
          <w:rFonts w:eastAsiaTheme="minorHAnsi"/>
        </w:rPr>
        <w:t>vehicle</w:t>
      </w:r>
      <w:r w:rsidRPr="004A3122">
        <w:rPr>
          <w:rFonts w:eastAsiaTheme="minorHAnsi"/>
        </w:rPr>
        <w:t xml:space="preserve"> providers will be charged a levy equivalent to $</w:t>
      </w:r>
      <w:r>
        <w:rPr>
          <w:rFonts w:eastAsiaTheme="minorHAnsi"/>
        </w:rPr>
        <w:t xml:space="preserve">2 per trip on </w:t>
      </w:r>
      <w:r w:rsidRPr="004A3122">
        <w:rPr>
          <w:rFonts w:eastAsiaTheme="minorHAnsi"/>
        </w:rPr>
        <w:t xml:space="preserve">all </w:t>
      </w:r>
      <w:r>
        <w:rPr>
          <w:rFonts w:eastAsiaTheme="minorHAnsi"/>
        </w:rPr>
        <w:t xml:space="preserve">commercial passenger vehicle </w:t>
      </w:r>
      <w:r w:rsidRPr="004A3122">
        <w:rPr>
          <w:rFonts w:eastAsiaTheme="minorHAnsi"/>
        </w:rPr>
        <w:t xml:space="preserve">trips. </w:t>
      </w:r>
      <w:r>
        <w:rPr>
          <w:rFonts w:eastAsiaTheme="minorHAnsi"/>
        </w:rPr>
        <w:t xml:space="preserve"> </w:t>
      </w:r>
    </w:p>
    <w:p w:rsidR="00566E9A" w:rsidRDefault="00566E9A" w:rsidP="00AE5760">
      <w:pPr>
        <w:rPr>
          <w:rFonts w:eastAsiaTheme="minorHAnsi"/>
        </w:rPr>
      </w:pPr>
      <w:r>
        <w:rPr>
          <w:rFonts w:eastAsiaTheme="minorHAnsi"/>
        </w:rPr>
        <w:t>Levy revenues</w:t>
      </w:r>
      <w:r w:rsidRPr="004A3122">
        <w:rPr>
          <w:rFonts w:eastAsiaTheme="minorHAnsi"/>
        </w:rPr>
        <w:t xml:space="preserve"> will contribute to the industry support package</w:t>
      </w:r>
      <w:r>
        <w:rPr>
          <w:rFonts w:eastAsiaTheme="minorHAnsi"/>
        </w:rPr>
        <w:t xml:space="preserve">, which includes </w:t>
      </w:r>
      <w:r w:rsidRPr="005C1A0B">
        <w:rPr>
          <w:rFonts w:eastAsiaTheme="minorHAnsi"/>
        </w:rPr>
        <w:t xml:space="preserve">financial assistance to existing </w:t>
      </w:r>
      <w:r>
        <w:rPr>
          <w:rFonts w:eastAsiaTheme="minorHAnsi"/>
        </w:rPr>
        <w:t xml:space="preserve">taxi </w:t>
      </w:r>
      <w:r w:rsidRPr="005C1A0B">
        <w:rPr>
          <w:rFonts w:eastAsiaTheme="minorHAnsi"/>
        </w:rPr>
        <w:t>licence holders</w:t>
      </w:r>
      <w:r>
        <w:rPr>
          <w:rFonts w:eastAsiaTheme="minorHAnsi"/>
        </w:rPr>
        <w:t xml:space="preserve"> and</w:t>
      </w:r>
      <w:r w:rsidRPr="005C1A0B">
        <w:rPr>
          <w:rFonts w:eastAsiaTheme="minorHAnsi"/>
        </w:rPr>
        <w:t xml:space="preserve"> additional funding to improve access to convenient</w:t>
      </w:r>
      <w:r>
        <w:rPr>
          <w:rFonts w:eastAsiaTheme="minorHAnsi"/>
        </w:rPr>
        <w:t xml:space="preserve"> and</w:t>
      </w:r>
      <w:r w:rsidRPr="005C1A0B">
        <w:rPr>
          <w:rFonts w:eastAsiaTheme="minorHAnsi"/>
        </w:rPr>
        <w:t xml:space="preserve"> reliable point-to-point transport for people with a disability</w:t>
      </w:r>
      <w:r>
        <w:rPr>
          <w:rFonts w:eastAsiaTheme="minorHAnsi"/>
        </w:rPr>
        <w:t>.</w:t>
      </w:r>
      <w:r w:rsidRPr="005C1A0B">
        <w:rPr>
          <w:rFonts w:eastAsiaTheme="minorHAnsi"/>
        </w:rPr>
        <w:t xml:space="preserve"> </w:t>
      </w:r>
    </w:p>
    <w:p w:rsidR="00566E9A" w:rsidRDefault="00566E9A" w:rsidP="00AE5760">
      <w:pPr>
        <w:rPr>
          <w:rFonts w:eastAsiaTheme="minorHAnsi"/>
        </w:rPr>
      </w:pPr>
      <w:r>
        <w:rPr>
          <w:rFonts w:eastAsiaTheme="minorHAnsi"/>
        </w:rPr>
        <w:t>The effect on revenue includes the combined impact of the levy and the foregone revenue from taxi licence fees.</w:t>
      </w:r>
    </w:p>
    <w:p w:rsidR="00566E9A" w:rsidRDefault="00566E9A">
      <w:pPr>
        <w:spacing w:after="0"/>
        <w:rPr>
          <w:rFonts w:eastAsiaTheme="minorHAnsi"/>
        </w:rPr>
      </w:pPr>
    </w:p>
    <w:p w:rsidR="00566E9A" w:rsidRDefault="00566E9A">
      <w:pPr>
        <w:spacing w:after="0"/>
        <w:rPr>
          <w:rFonts w:eastAsiaTheme="minorHAnsi"/>
          <w:i/>
        </w:rPr>
      </w:pPr>
    </w:p>
    <w:p w:rsidR="00566E9A" w:rsidRPr="00C73044" w:rsidRDefault="00566E9A">
      <w:pPr>
        <w:spacing w:after="0"/>
        <w:rPr>
          <w:rFonts w:asciiTheme="majorHAnsi" w:eastAsiaTheme="minorHAnsi" w:hAnsiTheme="majorHAnsi"/>
          <w:b/>
          <w:i/>
          <w:caps/>
          <w:sz w:val="26"/>
        </w:rPr>
      </w:pPr>
      <w:r w:rsidRPr="00C73044">
        <w:rPr>
          <w:rFonts w:eastAsiaTheme="minorHAnsi"/>
          <w:i/>
        </w:rPr>
        <w:br w:type="page"/>
      </w:r>
    </w:p>
    <w:p w:rsidR="00566E9A" w:rsidRPr="00F00EF9" w:rsidRDefault="00566E9A" w:rsidP="00AE5760">
      <w:pPr>
        <w:pStyle w:val="Heading1"/>
        <w:rPr>
          <w:rFonts w:eastAsiaTheme="minorHAnsi"/>
        </w:rPr>
      </w:pPr>
      <w:bookmarkStart w:id="57" w:name="_Toc468983292"/>
      <w:r>
        <w:rPr>
          <w:rFonts w:eastAsiaTheme="minorHAnsi"/>
        </w:rPr>
        <w:lastRenderedPageBreak/>
        <w:t xml:space="preserve">Whole of government </w:t>
      </w:r>
      <w:r>
        <w:t>– Latrobe Valley Assistance Package</w:t>
      </w:r>
      <w:bookmarkEnd w:id="57"/>
      <w:r w:rsidRPr="00F00EF9">
        <w:rPr>
          <w:rFonts w:eastAsiaTheme="minorHAnsi"/>
        </w:rPr>
        <w:t xml:space="preserve"> </w:t>
      </w:r>
    </w:p>
    <w:p w:rsidR="00566E9A" w:rsidRPr="00F00EF9" w:rsidRDefault="00566E9A" w:rsidP="00AE5760">
      <w:pPr>
        <w:pStyle w:val="Heading3"/>
        <w:rPr>
          <w:rFonts w:eastAsiaTheme="minorHAnsi"/>
        </w:rPr>
      </w:pPr>
      <w:r w:rsidRPr="00F00EF9">
        <w:rPr>
          <w:rFonts w:eastAsiaTheme="minorHAnsi"/>
        </w:rPr>
        <w:t>Output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2</w:t>
      </w:r>
      <w:r w:rsidRPr="00F00EF9">
        <w:rPr>
          <w:rFonts w:eastAsiaTheme="minorHAnsi"/>
        </w:rPr>
        <w:t>:</w:t>
      </w:r>
      <w:r w:rsidRPr="00F00EF9">
        <w:rPr>
          <w:rFonts w:eastAsiaTheme="minorHAnsi"/>
        </w:rPr>
        <w:tab/>
      </w:r>
      <w:r>
        <w:rPr>
          <w:rFonts w:eastAsiaTheme="minorHAnsi"/>
        </w:rPr>
        <w:t>Output initiatives – Latrobe Valley Assistance Package</w:t>
      </w:r>
    </w:p>
    <w:p w:rsidR="00566E9A" w:rsidRPr="00C906B9" w:rsidRDefault="00566E9A" w:rsidP="00AE5760">
      <w:pPr>
        <w:pStyle w:val="million"/>
        <w:rPr>
          <w:lang w:val="en-US"/>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566E9A" w:rsidRPr="00C906B9"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single" w:sz="6" w:space="0" w:color="auto"/>
              <w:bottom w:val="single" w:sz="6" w:space="0" w:color="auto"/>
              <w:right w:val="nil"/>
            </w:tcBorders>
            <w:shd w:val="solid" w:color="000000" w:fill="auto"/>
          </w:tcPr>
          <w:p w:rsidR="00566E9A" w:rsidRPr="00C906B9" w:rsidRDefault="00566E9A" w:rsidP="00AE5760">
            <w:pPr>
              <w:autoSpaceDE w:val="0"/>
              <w:autoSpaceDN w:val="0"/>
              <w:adjustRightInd w:val="0"/>
              <w:rPr>
                <w:rFonts w:eastAsiaTheme="minorEastAsia" w:cs="Calibri"/>
                <w:color w:val="FFFFFF"/>
                <w:lang w:eastAsia="en-AU"/>
              </w:rPr>
            </w:pPr>
            <w:r w:rsidRPr="00C906B9">
              <w:rPr>
                <w:rFonts w:eastAsiaTheme="minorEastAsia" w:cs="Calibri"/>
                <w:color w:val="FFFFFF"/>
                <w:lang w:eastAsia="en-AU"/>
              </w:rPr>
              <w:t xml:space="preserve"> </w:t>
            </w:r>
          </w:p>
        </w:tc>
        <w:tc>
          <w:tcPr>
            <w:tcW w:w="850" w:type="dxa"/>
            <w:tcBorders>
              <w:top w:val="single" w:sz="6" w:space="0" w:color="auto"/>
              <w:left w:val="nil"/>
              <w:bottom w:val="single" w:sz="6" w:space="0" w:color="auto"/>
              <w:right w:val="nil"/>
            </w:tcBorders>
            <w:shd w:val="solid" w:color="000000" w:fill="auto"/>
          </w:tcPr>
          <w:p w:rsidR="00566E9A" w:rsidRPr="00C906B9"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C906B9">
              <w:rPr>
                <w:rFonts w:eastAsiaTheme="minorEastAsia" w:cs="Calibri"/>
                <w:iCs/>
                <w:color w:val="FFFFFF"/>
                <w:lang w:eastAsia="en-AU"/>
              </w:rPr>
              <w:t>2016-17</w:t>
            </w:r>
          </w:p>
        </w:tc>
        <w:tc>
          <w:tcPr>
            <w:tcW w:w="850" w:type="dxa"/>
            <w:tcBorders>
              <w:top w:val="single" w:sz="6" w:space="0" w:color="auto"/>
              <w:left w:val="nil"/>
              <w:bottom w:val="single" w:sz="6" w:space="0" w:color="auto"/>
              <w:right w:val="nil"/>
            </w:tcBorders>
            <w:shd w:val="solid" w:color="000000" w:fill="auto"/>
          </w:tcPr>
          <w:p w:rsidR="00566E9A" w:rsidRPr="00C906B9"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C906B9">
              <w:rPr>
                <w:rFonts w:eastAsiaTheme="minorEastAsia" w:cs="Calibri"/>
                <w:iCs/>
                <w:color w:val="FFFFFF"/>
                <w:lang w:eastAsia="en-AU"/>
              </w:rPr>
              <w:t>2017-18</w:t>
            </w:r>
          </w:p>
        </w:tc>
        <w:tc>
          <w:tcPr>
            <w:tcW w:w="850" w:type="dxa"/>
            <w:tcBorders>
              <w:top w:val="single" w:sz="6" w:space="0" w:color="auto"/>
              <w:left w:val="nil"/>
              <w:bottom w:val="single" w:sz="6" w:space="0" w:color="auto"/>
              <w:right w:val="nil"/>
            </w:tcBorders>
            <w:shd w:val="solid" w:color="000000" w:fill="auto"/>
          </w:tcPr>
          <w:p w:rsidR="00566E9A" w:rsidRPr="00C906B9"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C906B9">
              <w:rPr>
                <w:rFonts w:eastAsiaTheme="minorEastAsia" w:cs="Calibri"/>
                <w:iCs/>
                <w:color w:val="FFFFFF"/>
                <w:lang w:eastAsia="en-AU"/>
              </w:rPr>
              <w:t>2018-19</w:t>
            </w:r>
          </w:p>
        </w:tc>
        <w:tc>
          <w:tcPr>
            <w:tcW w:w="850" w:type="dxa"/>
            <w:tcBorders>
              <w:top w:val="single" w:sz="6" w:space="0" w:color="auto"/>
              <w:left w:val="nil"/>
              <w:bottom w:val="single" w:sz="6" w:space="0" w:color="auto"/>
              <w:right w:val="nil"/>
            </w:tcBorders>
            <w:shd w:val="solid" w:color="000000" w:fill="auto"/>
          </w:tcPr>
          <w:p w:rsidR="00566E9A" w:rsidRPr="00C906B9"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C906B9">
              <w:rPr>
                <w:rFonts w:eastAsiaTheme="minorEastAsia" w:cs="Calibri"/>
                <w:iCs/>
                <w:color w:val="FFFFFF"/>
                <w:lang w:eastAsia="en-AU"/>
              </w:rPr>
              <w:t>2019-20</w:t>
            </w:r>
          </w:p>
        </w:tc>
      </w:tr>
      <w:tr w:rsidR="00566E9A" w:rsidRPr="00C906B9"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906B9" w:rsidRDefault="00566E9A" w:rsidP="00AE5760">
            <w:pPr>
              <w:autoSpaceDE w:val="0"/>
              <w:autoSpaceDN w:val="0"/>
              <w:adjustRightInd w:val="0"/>
              <w:rPr>
                <w:rFonts w:eastAsiaTheme="minorEastAsia" w:cs="Calibri"/>
                <w:color w:val="000000"/>
                <w:lang w:eastAsia="en-AU"/>
              </w:rPr>
            </w:pPr>
            <w:r w:rsidRPr="00C906B9">
              <w:rPr>
                <w:rFonts w:eastAsiaTheme="minorEastAsia" w:cs="Calibri"/>
                <w:color w:val="000000"/>
                <w:lang w:eastAsia="en-AU"/>
              </w:rPr>
              <w:t>Community Infrastructure and Investment Fund</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48.4</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42.0</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38.3</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38.3</w:t>
            </w:r>
          </w:p>
        </w:tc>
      </w:tr>
      <w:tr w:rsidR="00566E9A" w:rsidRPr="00C906B9"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906B9" w:rsidRDefault="00566E9A" w:rsidP="00AE5760">
            <w:pPr>
              <w:autoSpaceDE w:val="0"/>
              <w:autoSpaceDN w:val="0"/>
              <w:adjustRightInd w:val="0"/>
              <w:rPr>
                <w:rFonts w:eastAsiaTheme="minorEastAsia" w:cs="Calibri"/>
                <w:color w:val="000000"/>
                <w:lang w:eastAsia="en-AU"/>
              </w:rPr>
            </w:pPr>
            <w:r w:rsidRPr="00C906B9">
              <w:rPr>
                <w:rFonts w:eastAsiaTheme="minorEastAsia" w:cs="Calibri"/>
                <w:color w:val="000000"/>
                <w:lang w:eastAsia="en-AU"/>
              </w:rPr>
              <w:t>Economic Growth Zone</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6.5</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14.5</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14.5</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14.5</w:t>
            </w:r>
          </w:p>
        </w:tc>
      </w:tr>
      <w:tr w:rsidR="00566E9A" w:rsidRPr="00C906B9"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906B9" w:rsidRDefault="00566E9A" w:rsidP="00AE5760">
            <w:pPr>
              <w:autoSpaceDE w:val="0"/>
              <w:autoSpaceDN w:val="0"/>
              <w:adjustRightInd w:val="0"/>
              <w:rPr>
                <w:rFonts w:eastAsiaTheme="minorEastAsia" w:cs="Calibri"/>
                <w:color w:val="000000"/>
                <w:lang w:eastAsia="en-AU"/>
              </w:rPr>
            </w:pPr>
            <w:r w:rsidRPr="00C906B9">
              <w:rPr>
                <w:rFonts w:eastAsiaTheme="minorEastAsia" w:cs="Calibri"/>
                <w:color w:val="000000"/>
                <w:lang w:eastAsia="en-AU"/>
              </w:rPr>
              <w:t>Latrobe Valley Authority</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5.0</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5.0</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5.0</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5.0</w:t>
            </w:r>
          </w:p>
        </w:tc>
      </w:tr>
      <w:tr w:rsidR="00566E9A" w:rsidRPr="00C906B9"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906B9" w:rsidRDefault="00566E9A" w:rsidP="00AE5760">
            <w:pPr>
              <w:autoSpaceDE w:val="0"/>
              <w:autoSpaceDN w:val="0"/>
              <w:adjustRightInd w:val="0"/>
              <w:rPr>
                <w:rFonts w:eastAsiaTheme="minorEastAsia" w:cs="Calibri"/>
                <w:color w:val="000000"/>
                <w:lang w:eastAsia="en-AU"/>
              </w:rPr>
            </w:pPr>
            <w:r w:rsidRPr="00C906B9">
              <w:rPr>
                <w:rFonts w:eastAsiaTheme="minorEastAsia" w:cs="Calibri"/>
                <w:color w:val="000000"/>
                <w:lang w:eastAsia="en-AU"/>
              </w:rPr>
              <w:t xml:space="preserve">Worker and business support </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6.4</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8.6</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3.6</w:t>
            </w:r>
          </w:p>
        </w:tc>
        <w:tc>
          <w:tcPr>
            <w:tcW w:w="850" w:type="dxa"/>
            <w:tcBorders>
              <w:top w:val="nil"/>
              <w:left w:val="nil"/>
              <w:bottom w:val="nil"/>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906B9">
              <w:rPr>
                <w:rFonts w:eastAsiaTheme="minorEastAsia" w:cs="Calibri"/>
                <w:color w:val="000000"/>
                <w:lang w:eastAsia="en-AU"/>
              </w:rPr>
              <w:t>3.6</w:t>
            </w:r>
          </w:p>
        </w:tc>
      </w:tr>
      <w:tr w:rsidR="00566E9A" w:rsidRPr="00C906B9"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C906B9" w:rsidRDefault="00566E9A" w:rsidP="00AE5760">
            <w:pPr>
              <w:autoSpaceDE w:val="0"/>
              <w:autoSpaceDN w:val="0"/>
              <w:adjustRightInd w:val="0"/>
              <w:rPr>
                <w:rFonts w:eastAsiaTheme="minorEastAsia" w:cs="Calibri"/>
                <w:b/>
                <w:bCs/>
                <w:color w:val="000000"/>
                <w:lang w:eastAsia="en-AU"/>
              </w:rPr>
            </w:pPr>
            <w:r w:rsidRPr="00C906B9">
              <w:rPr>
                <w:rFonts w:eastAsiaTheme="minorEastAsia" w:cs="Calibri"/>
                <w:b/>
                <w:bCs/>
                <w:color w:val="000000"/>
                <w:lang w:eastAsia="en-AU"/>
              </w:rPr>
              <w:t xml:space="preserve"> </w:t>
            </w:r>
          </w:p>
        </w:tc>
        <w:tc>
          <w:tcPr>
            <w:tcW w:w="850" w:type="dxa"/>
            <w:tcBorders>
              <w:top w:val="single" w:sz="6" w:space="0" w:color="auto"/>
              <w:left w:val="nil"/>
              <w:bottom w:val="single" w:sz="12" w:space="0" w:color="auto"/>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C906B9">
              <w:rPr>
                <w:rFonts w:eastAsiaTheme="minorEastAsia" w:cs="Calibri"/>
                <w:b/>
                <w:bCs/>
                <w:color w:val="000000"/>
                <w:lang w:eastAsia="en-AU"/>
              </w:rPr>
              <w:t>66.3</w:t>
            </w:r>
          </w:p>
        </w:tc>
        <w:tc>
          <w:tcPr>
            <w:tcW w:w="850" w:type="dxa"/>
            <w:tcBorders>
              <w:top w:val="single" w:sz="6" w:space="0" w:color="auto"/>
              <w:left w:val="nil"/>
              <w:bottom w:val="single" w:sz="12" w:space="0" w:color="auto"/>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C906B9">
              <w:rPr>
                <w:rFonts w:eastAsiaTheme="minorEastAsia" w:cs="Calibri"/>
                <w:b/>
                <w:bCs/>
                <w:color w:val="000000"/>
                <w:lang w:eastAsia="en-AU"/>
              </w:rPr>
              <w:t>70.1</w:t>
            </w:r>
          </w:p>
        </w:tc>
        <w:tc>
          <w:tcPr>
            <w:tcW w:w="850" w:type="dxa"/>
            <w:tcBorders>
              <w:top w:val="single" w:sz="6" w:space="0" w:color="auto"/>
              <w:left w:val="nil"/>
              <w:bottom w:val="single" w:sz="12" w:space="0" w:color="auto"/>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C906B9">
              <w:rPr>
                <w:rFonts w:eastAsiaTheme="minorEastAsia" w:cs="Calibri"/>
                <w:b/>
                <w:bCs/>
                <w:color w:val="000000"/>
                <w:lang w:eastAsia="en-AU"/>
              </w:rPr>
              <w:t>61.3</w:t>
            </w:r>
          </w:p>
        </w:tc>
        <w:tc>
          <w:tcPr>
            <w:tcW w:w="850" w:type="dxa"/>
            <w:tcBorders>
              <w:top w:val="single" w:sz="6" w:space="0" w:color="auto"/>
              <w:left w:val="nil"/>
              <w:bottom w:val="single" w:sz="12" w:space="0" w:color="auto"/>
              <w:right w:val="nil"/>
            </w:tcBorders>
          </w:tcPr>
          <w:p w:rsidR="00566E9A" w:rsidRPr="00C906B9"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C906B9">
              <w:rPr>
                <w:rFonts w:eastAsiaTheme="minorEastAsia" w:cs="Calibri"/>
                <w:b/>
                <w:bCs/>
                <w:color w:val="000000"/>
                <w:lang w:eastAsia="en-AU"/>
              </w:rPr>
              <w:t>61.3</w:t>
            </w:r>
          </w:p>
        </w:tc>
      </w:tr>
    </w:tbl>
    <w:p w:rsidR="00566E9A" w:rsidRDefault="00566E9A" w:rsidP="00AE5760">
      <w:pPr>
        <w:rPr>
          <w:rFonts w:eastAsiaTheme="minorHAnsi"/>
        </w:rPr>
      </w:pPr>
    </w:p>
    <w:p w:rsidR="00566E9A" w:rsidRPr="00F00EF9" w:rsidRDefault="00566E9A" w:rsidP="00AE5760">
      <w:pPr>
        <w:pStyle w:val="Heading5"/>
        <w:rPr>
          <w:rFonts w:eastAsiaTheme="minorHAnsi"/>
        </w:rPr>
      </w:pPr>
      <w:r w:rsidRPr="006833FA">
        <w:rPr>
          <w:rFonts w:eastAsiaTheme="minorHAnsi"/>
        </w:rPr>
        <w:t>Community Infrastructure and Investment Fund</w:t>
      </w:r>
    </w:p>
    <w:p w:rsidR="00566E9A" w:rsidRDefault="00566E9A" w:rsidP="00AE5760">
      <w:pPr>
        <w:rPr>
          <w:rFonts w:eastAsiaTheme="minorHAnsi"/>
        </w:rPr>
      </w:pPr>
      <w:r w:rsidRPr="006833FA">
        <w:rPr>
          <w:rFonts w:eastAsiaTheme="minorHAnsi"/>
        </w:rPr>
        <w:t xml:space="preserve">The Government will establish a fund for new local projects, </w:t>
      </w:r>
      <w:r>
        <w:rPr>
          <w:rFonts w:eastAsiaTheme="minorHAnsi"/>
        </w:rPr>
        <w:t>which could include</w:t>
      </w:r>
      <w:r w:rsidRPr="006833FA">
        <w:rPr>
          <w:rFonts w:eastAsiaTheme="minorHAnsi"/>
        </w:rPr>
        <w:t xml:space="preserve"> road and rail upgrades, school upgrades and health facilities to assist Latrobe Valley communities to grow and to create more local jobs.</w:t>
      </w:r>
    </w:p>
    <w:p w:rsidR="00566E9A" w:rsidRPr="00F00EF9" w:rsidRDefault="00566E9A" w:rsidP="00AE5760">
      <w:pPr>
        <w:pStyle w:val="Heading5"/>
        <w:rPr>
          <w:rFonts w:eastAsiaTheme="minorHAnsi"/>
        </w:rPr>
      </w:pPr>
      <w:r>
        <w:rPr>
          <w:rFonts w:eastAsiaTheme="minorHAnsi"/>
        </w:rPr>
        <w:t>Economic Growth Zone</w:t>
      </w:r>
    </w:p>
    <w:p w:rsidR="00566E9A" w:rsidRDefault="00566E9A" w:rsidP="00AE5760">
      <w:pPr>
        <w:rPr>
          <w:rFonts w:eastAsiaTheme="minorHAnsi"/>
        </w:rPr>
      </w:pPr>
      <w:r w:rsidRPr="006833FA">
        <w:rPr>
          <w:rFonts w:eastAsiaTheme="minorHAnsi"/>
        </w:rPr>
        <w:t xml:space="preserve">To create local jobs, financial incentives (including reimbursement of fees and charges) will be provided to companies seeking to start or expand their businesses in the Latrobe Valley. The </w:t>
      </w:r>
      <w:r>
        <w:rPr>
          <w:rFonts w:eastAsiaTheme="minorHAnsi"/>
        </w:rPr>
        <w:t>E</w:t>
      </w:r>
      <w:r w:rsidRPr="006833FA">
        <w:rPr>
          <w:rFonts w:eastAsiaTheme="minorHAnsi"/>
        </w:rPr>
        <w:t xml:space="preserve">conomic </w:t>
      </w:r>
      <w:r>
        <w:rPr>
          <w:rFonts w:eastAsiaTheme="minorHAnsi"/>
        </w:rPr>
        <w:t>G</w:t>
      </w:r>
      <w:r w:rsidRPr="006833FA">
        <w:rPr>
          <w:rFonts w:eastAsiaTheme="minorHAnsi"/>
        </w:rPr>
        <w:t xml:space="preserve">rowth </w:t>
      </w:r>
      <w:r>
        <w:rPr>
          <w:rFonts w:eastAsiaTheme="minorHAnsi"/>
        </w:rPr>
        <w:t>Z</w:t>
      </w:r>
      <w:r w:rsidRPr="006833FA">
        <w:rPr>
          <w:rFonts w:eastAsiaTheme="minorHAnsi"/>
        </w:rPr>
        <w:t xml:space="preserve">one will cover the local government areas of Latrobe City Council, Wellington Shire and Baw </w:t>
      </w:r>
      <w:proofErr w:type="spellStart"/>
      <w:r w:rsidRPr="006833FA">
        <w:rPr>
          <w:rFonts w:eastAsiaTheme="minorHAnsi"/>
        </w:rPr>
        <w:t>Baw</w:t>
      </w:r>
      <w:proofErr w:type="spellEnd"/>
      <w:r w:rsidRPr="006833FA">
        <w:rPr>
          <w:rFonts w:eastAsiaTheme="minorHAnsi"/>
        </w:rPr>
        <w:t xml:space="preserve"> Shire.</w:t>
      </w:r>
    </w:p>
    <w:p w:rsidR="00566E9A" w:rsidRPr="00F00EF9" w:rsidRDefault="00566E9A" w:rsidP="00AE5760">
      <w:pPr>
        <w:pStyle w:val="Heading5"/>
        <w:rPr>
          <w:rFonts w:eastAsiaTheme="minorHAnsi"/>
        </w:rPr>
      </w:pPr>
      <w:r w:rsidRPr="006833FA">
        <w:rPr>
          <w:rFonts w:eastAsiaTheme="minorHAnsi"/>
        </w:rPr>
        <w:t>Latrobe Valley Authority</w:t>
      </w:r>
    </w:p>
    <w:p w:rsidR="00566E9A" w:rsidRDefault="00566E9A" w:rsidP="00AE5760">
      <w:pPr>
        <w:rPr>
          <w:rFonts w:eastAsiaTheme="minorHAnsi"/>
        </w:rPr>
      </w:pPr>
      <w:r w:rsidRPr="006833FA">
        <w:rPr>
          <w:rFonts w:eastAsiaTheme="minorHAnsi"/>
        </w:rPr>
        <w:t xml:space="preserve">The Government </w:t>
      </w:r>
      <w:r>
        <w:rPr>
          <w:rFonts w:eastAsiaTheme="minorHAnsi"/>
        </w:rPr>
        <w:t>has established</w:t>
      </w:r>
      <w:r w:rsidRPr="006833FA">
        <w:rPr>
          <w:rFonts w:eastAsiaTheme="minorHAnsi"/>
        </w:rPr>
        <w:t xml:space="preserve"> a dedicated authority to respond to the closure of the Hazelwood power plant</w:t>
      </w:r>
      <w:r>
        <w:rPr>
          <w:rFonts w:eastAsiaTheme="minorHAnsi"/>
        </w:rPr>
        <w:t>,</w:t>
      </w:r>
      <w:r w:rsidRPr="006833FA">
        <w:rPr>
          <w:rFonts w:eastAsiaTheme="minorHAnsi"/>
        </w:rPr>
        <w:t xml:space="preserve"> and to manage the transition and future economic development of the Latrobe Valley. The authority will also assess eligibility for Economic Growth Zone funding on a case-by-case basis.</w:t>
      </w:r>
    </w:p>
    <w:p w:rsidR="00566E9A" w:rsidRPr="00F00EF9" w:rsidRDefault="00566E9A" w:rsidP="00AE5760">
      <w:pPr>
        <w:pStyle w:val="Heading5"/>
        <w:rPr>
          <w:rFonts w:eastAsiaTheme="minorHAnsi"/>
        </w:rPr>
      </w:pPr>
      <w:r w:rsidRPr="006833FA">
        <w:rPr>
          <w:rFonts w:eastAsiaTheme="minorHAnsi"/>
        </w:rPr>
        <w:t>Worker and business support</w:t>
      </w:r>
    </w:p>
    <w:p w:rsidR="00566E9A" w:rsidRDefault="00566E9A" w:rsidP="00AE5760">
      <w:pPr>
        <w:rPr>
          <w:rFonts w:eastAsiaTheme="minorHAnsi"/>
        </w:rPr>
      </w:pPr>
      <w:r w:rsidRPr="006833FA">
        <w:rPr>
          <w:rFonts w:eastAsiaTheme="minorHAnsi"/>
        </w:rPr>
        <w:t>Support will be provided to workers and business</w:t>
      </w:r>
      <w:r>
        <w:rPr>
          <w:rFonts w:eastAsiaTheme="minorHAnsi"/>
        </w:rPr>
        <w:t>es</w:t>
      </w:r>
      <w:r w:rsidRPr="006833FA">
        <w:rPr>
          <w:rFonts w:eastAsiaTheme="minorHAnsi"/>
        </w:rPr>
        <w:t xml:space="preserve"> affected by the closure of the Hazelwood power plant, through the establishment of a Worker Transition Centre, counselling, financial advice, subsidi</w:t>
      </w:r>
      <w:r>
        <w:rPr>
          <w:rFonts w:eastAsiaTheme="minorHAnsi"/>
        </w:rPr>
        <w:t>s</w:t>
      </w:r>
      <w:r w:rsidRPr="006833FA">
        <w:rPr>
          <w:rFonts w:eastAsiaTheme="minorHAnsi"/>
        </w:rPr>
        <w:t xml:space="preserve">ed job seeker training, tailored </w:t>
      </w:r>
      <w:r>
        <w:rPr>
          <w:rFonts w:eastAsiaTheme="minorHAnsi"/>
        </w:rPr>
        <w:t>assistance</w:t>
      </w:r>
      <w:r w:rsidRPr="006833FA">
        <w:rPr>
          <w:rFonts w:eastAsiaTheme="minorHAnsi"/>
        </w:rPr>
        <w:t xml:space="preserve"> for businesses and </w:t>
      </w:r>
      <w:r>
        <w:rPr>
          <w:rFonts w:eastAsiaTheme="minorHAnsi"/>
        </w:rPr>
        <w:t xml:space="preserve">the </w:t>
      </w:r>
      <w:r w:rsidRPr="006833FA">
        <w:rPr>
          <w:rFonts w:eastAsiaTheme="minorHAnsi"/>
        </w:rPr>
        <w:t>expansion of the</w:t>
      </w:r>
      <w:r>
        <w:rPr>
          <w:rFonts w:eastAsiaTheme="minorHAnsi"/>
        </w:rPr>
        <w:t xml:space="preserve"> Back to Work Scheme</w:t>
      </w:r>
      <w:r w:rsidRPr="006833FA">
        <w:rPr>
          <w:rFonts w:eastAsiaTheme="minorHAnsi"/>
        </w:rPr>
        <w:t xml:space="preserve"> to businesses that employ workers in the Latrobe Valley.</w:t>
      </w:r>
    </w:p>
    <w:p w:rsidR="00566E9A" w:rsidRDefault="00566E9A">
      <w:pPr>
        <w:spacing w:after="0"/>
        <w:rPr>
          <w:rFonts w:eastAsiaTheme="minorHAnsi"/>
        </w:rPr>
      </w:pPr>
    </w:p>
    <w:p w:rsidR="00566E9A" w:rsidRDefault="00566E9A">
      <w:pPr>
        <w:spacing w:after="0"/>
        <w:rPr>
          <w:rFonts w:asciiTheme="majorHAnsi" w:eastAsiaTheme="minorHAnsi" w:hAnsiTheme="majorHAnsi"/>
          <w:b/>
          <w:i/>
          <w:kern w:val="28"/>
          <w:sz w:val="24"/>
        </w:rPr>
      </w:pPr>
      <w:r>
        <w:rPr>
          <w:rFonts w:eastAsiaTheme="minorHAnsi"/>
        </w:rPr>
        <w:br w:type="page"/>
      </w:r>
    </w:p>
    <w:p w:rsidR="00566E9A" w:rsidRPr="00F00EF9" w:rsidRDefault="00566E9A" w:rsidP="00AE5760">
      <w:pPr>
        <w:pStyle w:val="Heading3"/>
        <w:rPr>
          <w:rFonts w:eastAsiaTheme="minorHAnsi"/>
        </w:rPr>
      </w:pPr>
      <w:r>
        <w:rPr>
          <w:rFonts w:eastAsiaTheme="minorHAnsi"/>
        </w:rPr>
        <w:lastRenderedPageBreak/>
        <w:t>Asset</w:t>
      </w:r>
      <w:r w:rsidRPr="00F00EF9">
        <w:rPr>
          <w:rFonts w:eastAsiaTheme="minorHAnsi"/>
        </w:rPr>
        <w:t xml:space="preserve"> initiatives</w:t>
      </w:r>
    </w:p>
    <w:p w:rsidR="00566E9A" w:rsidRDefault="00566E9A" w:rsidP="00AE5760">
      <w:pPr>
        <w:pStyle w:val="Tableheading"/>
        <w:rPr>
          <w:rFonts w:eastAsiaTheme="minorHAnsi"/>
        </w:rPr>
      </w:pPr>
      <w:r w:rsidRPr="00F00EF9">
        <w:rPr>
          <w:rFonts w:eastAsiaTheme="minorHAnsi"/>
        </w:rPr>
        <w:t>Table A.</w:t>
      </w:r>
      <w:r>
        <w:rPr>
          <w:rFonts w:eastAsiaTheme="minorHAnsi"/>
        </w:rPr>
        <w:t>3</w:t>
      </w:r>
      <w:r w:rsidRPr="00F00EF9">
        <w:rPr>
          <w:rFonts w:eastAsiaTheme="minorHAnsi"/>
        </w:rPr>
        <w:t>:</w:t>
      </w:r>
      <w:r w:rsidRPr="00F00EF9">
        <w:rPr>
          <w:rFonts w:eastAsiaTheme="minorHAnsi"/>
        </w:rPr>
        <w:tab/>
      </w:r>
      <w:r>
        <w:rPr>
          <w:rFonts w:eastAsiaTheme="minorHAnsi"/>
        </w:rPr>
        <w:t>Asset initiatives – Latrobe Valley Assistance Package</w:t>
      </w:r>
    </w:p>
    <w:p w:rsidR="00566E9A" w:rsidRPr="003D67FF" w:rsidRDefault="00566E9A" w:rsidP="00AE5760">
      <w:pPr>
        <w:pStyle w:val="million"/>
        <w:rPr>
          <w:lang w:val="en-US"/>
        </w:rPr>
      </w:pPr>
      <w:r>
        <w:rPr>
          <w:rFonts w:eastAsiaTheme="minorHAnsi"/>
        </w:rPr>
        <w:t>($ million)</w:t>
      </w:r>
    </w:p>
    <w:tbl>
      <w:tblPr>
        <w:tblStyle w:val="DTFFinancialTable"/>
        <w:tblW w:w="7773" w:type="dxa"/>
        <w:tblInd w:w="45" w:type="dxa"/>
        <w:tblLayout w:type="fixed"/>
        <w:tblCellMar>
          <w:left w:w="45" w:type="dxa"/>
          <w:right w:w="45" w:type="dxa"/>
        </w:tblCellMar>
        <w:tblLook w:val="06A0" w:firstRow="1" w:lastRow="0" w:firstColumn="1" w:lastColumn="0" w:noHBand="1" w:noVBand="1"/>
      </w:tblPr>
      <w:tblGrid>
        <w:gridCol w:w="3628"/>
        <w:gridCol w:w="867"/>
        <w:gridCol w:w="867"/>
        <w:gridCol w:w="867"/>
        <w:gridCol w:w="867"/>
        <w:gridCol w:w="677"/>
      </w:tblGrid>
      <w:tr w:rsidR="00566E9A" w:rsidRPr="003D67FF"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Borders>
              <w:top w:val="single" w:sz="6" w:space="0" w:color="auto"/>
              <w:left w:val="single" w:sz="6" w:space="0" w:color="auto"/>
              <w:bottom w:val="single" w:sz="6" w:space="0" w:color="auto"/>
              <w:right w:val="nil"/>
            </w:tcBorders>
            <w:shd w:val="solid" w:color="000000" w:fill="auto"/>
          </w:tcPr>
          <w:p w:rsidR="00566E9A" w:rsidRPr="003D67FF" w:rsidRDefault="00566E9A" w:rsidP="00AE5760">
            <w:pPr>
              <w:autoSpaceDE w:val="0"/>
              <w:autoSpaceDN w:val="0"/>
              <w:adjustRightInd w:val="0"/>
              <w:rPr>
                <w:rFonts w:eastAsiaTheme="minorEastAsia" w:cs="Calibri"/>
                <w:color w:val="FFFFFF"/>
                <w:lang w:eastAsia="en-AU"/>
              </w:rPr>
            </w:pPr>
            <w:r w:rsidRPr="003D67FF">
              <w:rPr>
                <w:rFonts w:eastAsiaTheme="minorEastAsia" w:cs="Calibri"/>
                <w:color w:val="FFFFFF"/>
                <w:lang w:eastAsia="en-AU"/>
              </w:rPr>
              <w:t xml:space="preserve"> </w:t>
            </w:r>
          </w:p>
        </w:tc>
        <w:tc>
          <w:tcPr>
            <w:tcW w:w="867"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2016-17</w:t>
            </w:r>
          </w:p>
        </w:tc>
        <w:tc>
          <w:tcPr>
            <w:tcW w:w="867"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2017-18</w:t>
            </w:r>
          </w:p>
        </w:tc>
        <w:tc>
          <w:tcPr>
            <w:tcW w:w="867"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2018-19</w:t>
            </w:r>
          </w:p>
        </w:tc>
        <w:tc>
          <w:tcPr>
            <w:tcW w:w="867"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2019-20</w:t>
            </w:r>
          </w:p>
        </w:tc>
        <w:tc>
          <w:tcPr>
            <w:tcW w:w="677"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TEI</w:t>
            </w:r>
          </w:p>
        </w:tc>
      </w:tr>
      <w:tr w:rsidR="00566E9A" w:rsidRPr="003D67FF" w:rsidTr="00AE5760">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566E9A" w:rsidRPr="003D67FF" w:rsidRDefault="00566E9A" w:rsidP="00AE5760">
            <w:pPr>
              <w:autoSpaceDE w:val="0"/>
              <w:autoSpaceDN w:val="0"/>
              <w:adjustRightInd w:val="0"/>
              <w:rPr>
                <w:rFonts w:eastAsiaTheme="minorEastAsia" w:cs="Calibri"/>
                <w:color w:val="000000"/>
                <w:lang w:eastAsia="en-AU"/>
              </w:rPr>
            </w:pPr>
            <w:r w:rsidRPr="003D67FF">
              <w:rPr>
                <w:rFonts w:eastAsiaTheme="minorEastAsia" w:cs="Calibri"/>
                <w:color w:val="000000"/>
                <w:lang w:eastAsia="en-AU"/>
              </w:rPr>
              <w:t>Community Infrastructure and Investment Fund</w:t>
            </w:r>
          </w:p>
        </w:tc>
        <w:tc>
          <w:tcPr>
            <w:tcW w:w="86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0.5</w:t>
            </w:r>
          </w:p>
        </w:tc>
        <w:tc>
          <w:tcPr>
            <w:tcW w:w="86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6.0</w:t>
            </w:r>
          </w:p>
        </w:tc>
        <w:tc>
          <w:tcPr>
            <w:tcW w:w="86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86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67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6.5</w:t>
            </w:r>
          </w:p>
        </w:tc>
      </w:tr>
      <w:tr w:rsidR="00566E9A" w:rsidRPr="003D67FF" w:rsidTr="00AE5760">
        <w:tc>
          <w:tcPr>
            <w:cnfStyle w:val="001000000000" w:firstRow="0" w:lastRow="0" w:firstColumn="1" w:lastColumn="0" w:oddVBand="0" w:evenVBand="0" w:oddHBand="0" w:evenHBand="0" w:firstRowFirstColumn="0" w:firstRowLastColumn="0" w:lastRowFirstColumn="0" w:lastRowLastColumn="0"/>
            <w:tcW w:w="3628"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rPr>
                <w:rFonts w:eastAsiaTheme="minorEastAsia" w:cs="Calibri"/>
                <w:b/>
                <w:bCs/>
                <w:color w:val="000000"/>
                <w:lang w:eastAsia="en-AU"/>
              </w:rPr>
            </w:pPr>
            <w:r w:rsidRPr="003D67FF">
              <w:rPr>
                <w:rFonts w:eastAsiaTheme="minorEastAsia" w:cs="Calibri"/>
                <w:b/>
                <w:bCs/>
                <w:color w:val="000000"/>
                <w:lang w:eastAsia="en-AU"/>
              </w:rPr>
              <w:t xml:space="preserve"> </w:t>
            </w:r>
          </w:p>
        </w:tc>
        <w:tc>
          <w:tcPr>
            <w:tcW w:w="867"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0.5</w:t>
            </w:r>
          </w:p>
        </w:tc>
        <w:tc>
          <w:tcPr>
            <w:tcW w:w="867"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6.0</w:t>
            </w:r>
          </w:p>
        </w:tc>
        <w:tc>
          <w:tcPr>
            <w:tcW w:w="867"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w:t>
            </w:r>
          </w:p>
        </w:tc>
        <w:tc>
          <w:tcPr>
            <w:tcW w:w="867"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w:t>
            </w:r>
          </w:p>
        </w:tc>
        <w:tc>
          <w:tcPr>
            <w:tcW w:w="677"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6.5</w:t>
            </w:r>
          </w:p>
        </w:tc>
      </w:tr>
    </w:tbl>
    <w:p w:rsidR="00566E9A" w:rsidRDefault="00566E9A">
      <w:pPr>
        <w:spacing w:after="0"/>
        <w:rPr>
          <w:rFonts w:eastAsiaTheme="minorHAnsi"/>
          <w:i/>
        </w:rPr>
      </w:pPr>
    </w:p>
    <w:p w:rsidR="00566E9A" w:rsidRPr="00F00EF9" w:rsidRDefault="00566E9A" w:rsidP="00AE5760">
      <w:pPr>
        <w:pStyle w:val="Heading5"/>
        <w:rPr>
          <w:rFonts w:eastAsiaTheme="minorHAnsi"/>
        </w:rPr>
      </w:pPr>
      <w:r w:rsidRPr="006833FA">
        <w:rPr>
          <w:rFonts w:eastAsiaTheme="minorHAnsi"/>
        </w:rPr>
        <w:t>Community Infrastructure and Investment Fund</w:t>
      </w:r>
    </w:p>
    <w:p w:rsidR="00566E9A" w:rsidRPr="00E57F15" w:rsidRDefault="00566E9A" w:rsidP="00AE5760">
      <w:pPr>
        <w:rPr>
          <w:rFonts w:eastAsiaTheme="minorHAnsi"/>
        </w:rPr>
      </w:pPr>
      <w:r w:rsidRPr="006B3154">
        <w:rPr>
          <w:rFonts w:eastAsiaTheme="minorHAnsi"/>
        </w:rPr>
        <w:t xml:space="preserve">Refer to the </w:t>
      </w:r>
      <w:r>
        <w:rPr>
          <w:rFonts w:eastAsiaTheme="minorHAnsi"/>
        </w:rPr>
        <w:t>output</w:t>
      </w:r>
      <w:r w:rsidRPr="006B3154">
        <w:rPr>
          <w:rFonts w:eastAsiaTheme="minorHAnsi"/>
        </w:rPr>
        <w:t xml:space="preserve"> initiative for a description of this initiative.</w:t>
      </w:r>
    </w:p>
    <w:p w:rsidR="00566E9A" w:rsidRPr="001C713F" w:rsidRDefault="00566E9A">
      <w:pPr>
        <w:spacing w:after="0"/>
        <w:rPr>
          <w:rFonts w:asciiTheme="majorHAnsi" w:eastAsiaTheme="minorHAnsi" w:hAnsiTheme="majorHAnsi"/>
          <w:b/>
          <w:i/>
          <w:caps/>
          <w:sz w:val="26"/>
        </w:rPr>
      </w:pPr>
      <w:r w:rsidRPr="001C713F">
        <w:rPr>
          <w:rFonts w:eastAsiaTheme="minorHAnsi"/>
          <w:i/>
        </w:rPr>
        <w:br w:type="page"/>
      </w:r>
    </w:p>
    <w:p w:rsidR="00566E9A" w:rsidRPr="00F00EF9" w:rsidRDefault="00566E9A" w:rsidP="00AE5760">
      <w:pPr>
        <w:pStyle w:val="Heading1"/>
        <w:rPr>
          <w:rFonts w:eastAsiaTheme="minorHAnsi"/>
        </w:rPr>
      </w:pPr>
      <w:bookmarkStart w:id="58" w:name="_Toc468983293"/>
      <w:r w:rsidRPr="00F00EF9">
        <w:rPr>
          <w:rFonts w:eastAsiaTheme="minorHAnsi"/>
        </w:rPr>
        <w:lastRenderedPageBreak/>
        <w:t xml:space="preserve">Department of </w:t>
      </w:r>
      <w:r>
        <w:rPr>
          <w:rFonts w:eastAsiaTheme="minorHAnsi"/>
        </w:rPr>
        <w:t>Economic Development, Jobs, Transport and Resources</w:t>
      </w:r>
      <w:bookmarkEnd w:id="58"/>
    </w:p>
    <w:p w:rsidR="00566E9A" w:rsidRPr="00F00EF9" w:rsidRDefault="00566E9A" w:rsidP="00AE5760">
      <w:pPr>
        <w:pStyle w:val="Heading3"/>
        <w:rPr>
          <w:rFonts w:eastAsiaTheme="minorHAnsi"/>
        </w:rPr>
      </w:pPr>
      <w:r w:rsidRPr="00F00EF9">
        <w:rPr>
          <w:rFonts w:eastAsiaTheme="minorHAnsi"/>
        </w:rPr>
        <w:t>Output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4</w:t>
      </w:r>
      <w:r w:rsidRPr="00F00EF9">
        <w:rPr>
          <w:rFonts w:eastAsiaTheme="minorHAnsi"/>
        </w:rPr>
        <w:t>:</w:t>
      </w:r>
      <w:r w:rsidRPr="00F00EF9">
        <w:rPr>
          <w:rFonts w:eastAsiaTheme="minorHAnsi"/>
        </w:rPr>
        <w:tab/>
      </w:r>
      <w:r>
        <w:rPr>
          <w:rFonts w:eastAsiaTheme="minorHAnsi"/>
        </w:rPr>
        <w:t>Output initiatives – Department of Economic Development, Jobs, Transport and Resources</w:t>
      </w:r>
    </w:p>
    <w:p w:rsidR="00566E9A" w:rsidRPr="008734F3" w:rsidRDefault="00566E9A" w:rsidP="00AE5760">
      <w:pPr>
        <w:pStyle w:val="million"/>
        <w:rPr>
          <w:rFonts w:eastAsiaTheme="minorHAnsi"/>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73" w:type="dxa"/>
        <w:tblInd w:w="45" w:type="dxa"/>
        <w:tblLayout w:type="fixed"/>
        <w:tblCellMar>
          <w:left w:w="45" w:type="dxa"/>
          <w:right w:w="45" w:type="dxa"/>
        </w:tblCellMar>
        <w:tblLook w:val="06A0" w:firstRow="1" w:lastRow="0" w:firstColumn="1" w:lastColumn="0" w:noHBand="1" w:noVBand="1"/>
      </w:tblPr>
      <w:tblGrid>
        <w:gridCol w:w="4705"/>
        <w:gridCol w:w="165"/>
        <w:gridCol w:w="539"/>
        <w:gridCol w:w="788"/>
        <w:gridCol w:w="788"/>
        <w:gridCol w:w="788"/>
      </w:tblGrid>
      <w:tr w:rsidR="00566E9A" w:rsidRPr="007006DB"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5" w:type="dxa"/>
            <w:tcBorders>
              <w:top w:val="single" w:sz="6" w:space="0" w:color="auto"/>
              <w:left w:val="single" w:sz="6" w:space="0" w:color="auto"/>
              <w:bottom w:val="single" w:sz="6" w:space="0" w:color="auto"/>
              <w:right w:val="nil"/>
            </w:tcBorders>
            <w:shd w:val="solid" w:color="000000" w:fill="auto"/>
          </w:tcPr>
          <w:p w:rsidR="00566E9A" w:rsidRPr="007006DB" w:rsidRDefault="00566E9A" w:rsidP="00AE5760">
            <w:pPr>
              <w:autoSpaceDE w:val="0"/>
              <w:autoSpaceDN w:val="0"/>
              <w:adjustRightInd w:val="0"/>
              <w:rPr>
                <w:rFonts w:eastAsiaTheme="minorEastAsia" w:cs="Calibri"/>
                <w:color w:val="FFFFFF"/>
                <w:lang w:eastAsia="en-AU"/>
              </w:rPr>
            </w:pPr>
            <w:r w:rsidRPr="007006DB">
              <w:rPr>
                <w:rFonts w:eastAsiaTheme="minorEastAsia" w:cs="Calibri"/>
                <w:color w:val="FFFFFF"/>
                <w:lang w:eastAsia="en-AU"/>
              </w:rPr>
              <w:t xml:space="preserve"> </w:t>
            </w:r>
          </w:p>
        </w:tc>
        <w:tc>
          <w:tcPr>
            <w:tcW w:w="704" w:type="dxa"/>
            <w:gridSpan w:val="2"/>
            <w:tcBorders>
              <w:top w:val="single" w:sz="6" w:space="0" w:color="auto"/>
              <w:left w:val="nil"/>
              <w:bottom w:val="single" w:sz="6" w:space="0" w:color="auto"/>
              <w:right w:val="nil"/>
            </w:tcBorders>
            <w:shd w:val="solid" w:color="000000" w:fill="auto"/>
          </w:tcPr>
          <w:p w:rsidR="00566E9A" w:rsidRPr="007006DB"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006DB">
              <w:rPr>
                <w:rFonts w:eastAsiaTheme="minorEastAsia" w:cs="Calibri"/>
                <w:iCs/>
                <w:color w:val="FFFFFF"/>
                <w:lang w:eastAsia="en-AU"/>
              </w:rPr>
              <w:t>2016-17</w:t>
            </w:r>
          </w:p>
        </w:tc>
        <w:tc>
          <w:tcPr>
            <w:tcW w:w="788" w:type="dxa"/>
            <w:tcBorders>
              <w:top w:val="single" w:sz="6" w:space="0" w:color="auto"/>
              <w:left w:val="nil"/>
              <w:bottom w:val="single" w:sz="6" w:space="0" w:color="auto"/>
              <w:right w:val="nil"/>
            </w:tcBorders>
            <w:shd w:val="solid" w:color="000000" w:fill="auto"/>
          </w:tcPr>
          <w:p w:rsidR="00566E9A" w:rsidRPr="007006DB"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006DB">
              <w:rPr>
                <w:rFonts w:eastAsiaTheme="minorEastAsia" w:cs="Calibri"/>
                <w:iCs/>
                <w:color w:val="FFFFFF"/>
                <w:lang w:eastAsia="en-AU"/>
              </w:rPr>
              <w:t>2017-18</w:t>
            </w:r>
          </w:p>
        </w:tc>
        <w:tc>
          <w:tcPr>
            <w:tcW w:w="788" w:type="dxa"/>
            <w:tcBorders>
              <w:top w:val="single" w:sz="6" w:space="0" w:color="auto"/>
              <w:left w:val="nil"/>
              <w:bottom w:val="single" w:sz="6" w:space="0" w:color="auto"/>
              <w:right w:val="nil"/>
            </w:tcBorders>
            <w:shd w:val="solid" w:color="000000" w:fill="auto"/>
          </w:tcPr>
          <w:p w:rsidR="00566E9A" w:rsidRPr="007006DB"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006DB">
              <w:rPr>
                <w:rFonts w:eastAsiaTheme="minorEastAsia" w:cs="Calibri"/>
                <w:iCs/>
                <w:color w:val="FFFFFF"/>
                <w:lang w:eastAsia="en-AU"/>
              </w:rPr>
              <w:t>2018-19</w:t>
            </w:r>
          </w:p>
        </w:tc>
        <w:tc>
          <w:tcPr>
            <w:tcW w:w="788" w:type="dxa"/>
            <w:tcBorders>
              <w:top w:val="single" w:sz="6" w:space="0" w:color="auto"/>
              <w:left w:val="nil"/>
              <w:bottom w:val="single" w:sz="6" w:space="0" w:color="auto"/>
              <w:right w:val="nil"/>
            </w:tcBorders>
            <w:shd w:val="solid" w:color="000000" w:fill="auto"/>
          </w:tcPr>
          <w:p w:rsidR="00566E9A" w:rsidRPr="007006DB"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7006DB">
              <w:rPr>
                <w:rFonts w:eastAsiaTheme="minorEastAsia" w:cs="Calibri"/>
                <w:iCs/>
                <w:color w:val="FFFFFF"/>
                <w:lang w:eastAsia="en-AU"/>
              </w:rPr>
              <w:t>2019-20</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r w:rsidRPr="007006DB">
              <w:rPr>
                <w:rFonts w:eastAsiaTheme="minorEastAsia" w:cs="Calibri"/>
                <w:color w:val="000000"/>
                <w:lang w:eastAsia="en-AU"/>
              </w:rPr>
              <w:t>Commercial passenger vehicle reform</w:t>
            </w:r>
          </w:p>
        </w:tc>
        <w:tc>
          <w:tcPr>
            <w:tcW w:w="704" w:type="dxa"/>
            <w:gridSpan w:val="2"/>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221.5</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173.3</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5.0</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5.0</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proofErr w:type="spellStart"/>
            <w:r w:rsidRPr="007006DB">
              <w:rPr>
                <w:rFonts w:eastAsiaTheme="minorEastAsia" w:cs="Calibri"/>
                <w:i/>
                <w:iCs/>
                <w:color w:val="000000"/>
                <w:lang w:eastAsia="en-AU"/>
              </w:rPr>
              <w:t>Myki</w:t>
            </w:r>
            <w:proofErr w:type="spellEnd"/>
            <w:r w:rsidRPr="007006DB">
              <w:rPr>
                <w:rFonts w:eastAsiaTheme="minorEastAsia" w:cs="Calibri"/>
                <w:color w:val="000000"/>
                <w:lang w:eastAsia="en-AU"/>
              </w:rPr>
              <w:t xml:space="preserve"> ticketing services retender</w:t>
            </w:r>
          </w:p>
        </w:tc>
        <w:tc>
          <w:tcPr>
            <w:tcW w:w="704" w:type="dxa"/>
            <w:gridSpan w:val="2"/>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28.4</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35.6</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36.1</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32.9</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870" w:type="dxa"/>
            <w:gridSpan w:val="2"/>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r w:rsidRPr="007006DB">
              <w:rPr>
                <w:rFonts w:eastAsiaTheme="minorEastAsia" w:cs="Calibri"/>
                <w:color w:val="000000"/>
                <w:lang w:eastAsia="en-AU"/>
              </w:rPr>
              <w:t>Outer Suburban Arterial Roads – northern package development</w:t>
            </w:r>
          </w:p>
        </w:tc>
        <w:tc>
          <w:tcPr>
            <w:tcW w:w="539"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5.6</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7006DB">
              <w:rPr>
                <w:rFonts w:eastAsiaTheme="minorEastAsia" w:cs="Calibri"/>
                <w:color w:val="000000"/>
                <w:lang w:eastAsia="en-AU"/>
              </w:rPr>
              <w:t>..</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7006DB">
              <w:rPr>
                <w:rFonts w:eastAsiaTheme="minorEastAsia" w:cs="Calibri"/>
                <w:color w:val="000000"/>
                <w:lang w:eastAsia="en-AU"/>
              </w:rPr>
              <w:t>..</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7006DB">
              <w:rPr>
                <w:rFonts w:eastAsiaTheme="minorEastAsia" w:cs="Calibri"/>
                <w:color w:val="000000"/>
                <w:lang w:eastAsia="en-AU"/>
              </w:rPr>
              <w:t>..</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r w:rsidRPr="007006DB">
              <w:rPr>
                <w:rFonts w:eastAsiaTheme="minorEastAsia" w:cs="Calibri"/>
                <w:color w:val="000000"/>
                <w:lang w:eastAsia="en-AU"/>
              </w:rPr>
              <w:t>Outer Suburban Arterial Roads – western package</w:t>
            </w:r>
          </w:p>
        </w:tc>
        <w:tc>
          <w:tcPr>
            <w:tcW w:w="704" w:type="dxa"/>
            <w:gridSpan w:val="2"/>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tbc</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tbc</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tbc</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tbc</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r w:rsidRPr="007006DB">
              <w:rPr>
                <w:rFonts w:eastAsiaTheme="minorEastAsia" w:cs="Calibri"/>
                <w:color w:val="000000"/>
                <w:lang w:eastAsia="en-AU"/>
              </w:rPr>
              <w:t>Portable long service leave and labour hire inquiry outcomes</w:t>
            </w:r>
          </w:p>
        </w:tc>
        <w:tc>
          <w:tcPr>
            <w:tcW w:w="704" w:type="dxa"/>
            <w:gridSpan w:val="2"/>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1.3</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r w:rsidRPr="007006DB">
              <w:rPr>
                <w:rFonts w:eastAsiaTheme="minorEastAsia" w:cs="Calibri"/>
                <w:color w:val="000000"/>
                <w:lang w:eastAsia="en-AU"/>
              </w:rPr>
              <w:t xml:space="preserve">Rural Assistance Commissioner </w:t>
            </w:r>
          </w:p>
        </w:tc>
        <w:tc>
          <w:tcPr>
            <w:tcW w:w="704" w:type="dxa"/>
            <w:gridSpan w:val="2"/>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0.5</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0.5</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0.5</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0.5</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nil"/>
              <w:left w:val="nil"/>
              <w:bottom w:val="nil"/>
              <w:right w:val="nil"/>
            </w:tcBorders>
          </w:tcPr>
          <w:p w:rsidR="00566E9A" w:rsidRPr="007006DB" w:rsidRDefault="00566E9A" w:rsidP="00AE5760">
            <w:pPr>
              <w:autoSpaceDE w:val="0"/>
              <w:autoSpaceDN w:val="0"/>
              <w:adjustRightInd w:val="0"/>
              <w:rPr>
                <w:rFonts w:eastAsiaTheme="minorEastAsia" w:cs="Calibri"/>
                <w:color w:val="000000"/>
                <w:lang w:eastAsia="en-AU"/>
              </w:rPr>
            </w:pPr>
            <w:r w:rsidRPr="007006DB">
              <w:rPr>
                <w:rFonts w:eastAsiaTheme="minorEastAsia" w:cs="Calibri"/>
                <w:color w:val="000000"/>
                <w:lang w:eastAsia="en-AU"/>
              </w:rPr>
              <w:t>V/Line wheel wear management</w:t>
            </w:r>
          </w:p>
        </w:tc>
        <w:tc>
          <w:tcPr>
            <w:tcW w:w="704" w:type="dxa"/>
            <w:gridSpan w:val="2"/>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16.8</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w:t>
            </w:r>
          </w:p>
        </w:tc>
        <w:tc>
          <w:tcPr>
            <w:tcW w:w="788" w:type="dxa"/>
            <w:tcBorders>
              <w:top w:val="nil"/>
              <w:left w:val="nil"/>
              <w:bottom w:val="nil"/>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7006DB">
              <w:rPr>
                <w:rFonts w:eastAsiaTheme="minorEastAsia" w:cs="Calibri"/>
                <w:color w:val="000000"/>
                <w:lang w:eastAsia="en-AU"/>
              </w:rPr>
              <w:t>..</w:t>
            </w:r>
          </w:p>
        </w:tc>
      </w:tr>
      <w:tr w:rsidR="00566E9A" w:rsidRPr="007006DB" w:rsidTr="00AE5760">
        <w:tc>
          <w:tcPr>
            <w:cnfStyle w:val="001000000000" w:firstRow="0" w:lastRow="0" w:firstColumn="1" w:lastColumn="0" w:oddVBand="0" w:evenVBand="0" w:oddHBand="0" w:evenHBand="0" w:firstRowFirstColumn="0" w:firstRowLastColumn="0" w:lastRowFirstColumn="0" w:lastRowLastColumn="0"/>
            <w:tcW w:w="4705" w:type="dxa"/>
            <w:tcBorders>
              <w:top w:val="single" w:sz="6" w:space="0" w:color="auto"/>
              <w:left w:val="nil"/>
              <w:bottom w:val="single" w:sz="12" w:space="0" w:color="auto"/>
              <w:right w:val="nil"/>
            </w:tcBorders>
          </w:tcPr>
          <w:p w:rsidR="00566E9A" w:rsidRPr="007006DB" w:rsidRDefault="00566E9A" w:rsidP="00AE5760">
            <w:pPr>
              <w:autoSpaceDE w:val="0"/>
              <w:autoSpaceDN w:val="0"/>
              <w:adjustRightInd w:val="0"/>
              <w:rPr>
                <w:rFonts w:eastAsiaTheme="minorEastAsia" w:cs="Calibri"/>
                <w:b/>
                <w:bCs/>
                <w:color w:val="000000"/>
                <w:lang w:eastAsia="en-AU"/>
              </w:rPr>
            </w:pPr>
            <w:r w:rsidRPr="007006DB">
              <w:rPr>
                <w:rFonts w:eastAsiaTheme="minorEastAsia" w:cs="Calibri"/>
                <w:b/>
                <w:bCs/>
                <w:color w:val="000000"/>
                <w:lang w:eastAsia="en-AU"/>
              </w:rPr>
              <w:t xml:space="preserve"> </w:t>
            </w:r>
          </w:p>
        </w:tc>
        <w:tc>
          <w:tcPr>
            <w:tcW w:w="704" w:type="dxa"/>
            <w:gridSpan w:val="2"/>
            <w:tcBorders>
              <w:top w:val="single" w:sz="6" w:space="0" w:color="auto"/>
              <w:left w:val="nil"/>
              <w:bottom w:val="single" w:sz="12" w:space="0" w:color="auto"/>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006DB">
              <w:rPr>
                <w:rFonts w:eastAsiaTheme="minorEastAsia" w:cs="Calibri"/>
                <w:b/>
                <w:bCs/>
                <w:color w:val="000000"/>
                <w:lang w:eastAsia="en-AU"/>
              </w:rPr>
              <w:t>274.1</w:t>
            </w:r>
          </w:p>
        </w:tc>
        <w:tc>
          <w:tcPr>
            <w:tcW w:w="788" w:type="dxa"/>
            <w:tcBorders>
              <w:top w:val="single" w:sz="6" w:space="0" w:color="auto"/>
              <w:left w:val="nil"/>
              <w:bottom w:val="single" w:sz="12" w:space="0" w:color="auto"/>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006DB">
              <w:rPr>
                <w:rFonts w:eastAsiaTheme="minorEastAsia" w:cs="Calibri"/>
                <w:b/>
                <w:bCs/>
                <w:color w:val="000000"/>
                <w:lang w:eastAsia="en-AU"/>
              </w:rPr>
              <w:t>209.4</w:t>
            </w:r>
          </w:p>
        </w:tc>
        <w:tc>
          <w:tcPr>
            <w:tcW w:w="788" w:type="dxa"/>
            <w:tcBorders>
              <w:top w:val="single" w:sz="6" w:space="0" w:color="auto"/>
              <w:left w:val="nil"/>
              <w:bottom w:val="single" w:sz="12" w:space="0" w:color="auto"/>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006DB">
              <w:rPr>
                <w:rFonts w:eastAsiaTheme="minorEastAsia" w:cs="Calibri"/>
                <w:b/>
                <w:bCs/>
                <w:color w:val="000000"/>
                <w:lang w:eastAsia="en-AU"/>
              </w:rPr>
              <w:t>41.6</w:t>
            </w:r>
          </w:p>
        </w:tc>
        <w:tc>
          <w:tcPr>
            <w:tcW w:w="788" w:type="dxa"/>
            <w:tcBorders>
              <w:top w:val="single" w:sz="6" w:space="0" w:color="auto"/>
              <w:left w:val="nil"/>
              <w:bottom w:val="single" w:sz="12" w:space="0" w:color="auto"/>
              <w:right w:val="nil"/>
            </w:tcBorders>
          </w:tcPr>
          <w:p w:rsidR="00566E9A" w:rsidRPr="007006DB"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7006DB">
              <w:rPr>
                <w:rFonts w:eastAsiaTheme="minorEastAsia" w:cs="Calibri"/>
                <w:b/>
                <w:bCs/>
                <w:color w:val="000000"/>
                <w:lang w:eastAsia="en-AU"/>
              </w:rPr>
              <w:t>38.4</w:t>
            </w:r>
          </w:p>
        </w:tc>
      </w:tr>
    </w:tbl>
    <w:p w:rsidR="00566E9A" w:rsidRPr="00F00EF9" w:rsidRDefault="00566E9A" w:rsidP="00AE5760">
      <w:pPr>
        <w:rPr>
          <w:rFonts w:eastAsiaTheme="minorHAnsi"/>
        </w:rPr>
      </w:pPr>
    </w:p>
    <w:p w:rsidR="00566E9A" w:rsidRPr="00F00EF9" w:rsidRDefault="00566E9A" w:rsidP="00AE5760">
      <w:pPr>
        <w:pStyle w:val="Heading5"/>
        <w:rPr>
          <w:rFonts w:eastAsiaTheme="minorHAnsi"/>
        </w:rPr>
      </w:pPr>
      <w:r w:rsidRPr="005C1A0B">
        <w:rPr>
          <w:rFonts w:eastAsiaTheme="minorHAnsi"/>
        </w:rPr>
        <w:t xml:space="preserve">Commercial passenger </w:t>
      </w:r>
      <w:r>
        <w:rPr>
          <w:rFonts w:eastAsiaTheme="minorHAnsi"/>
        </w:rPr>
        <w:t>vehicle</w:t>
      </w:r>
      <w:r w:rsidRPr="005C1A0B">
        <w:rPr>
          <w:rFonts w:eastAsiaTheme="minorHAnsi"/>
        </w:rPr>
        <w:t xml:space="preserve"> reform</w:t>
      </w:r>
    </w:p>
    <w:p w:rsidR="00566E9A" w:rsidRPr="005C1A0B" w:rsidRDefault="00566E9A" w:rsidP="00AE5760">
      <w:pPr>
        <w:rPr>
          <w:rFonts w:eastAsiaTheme="minorHAnsi"/>
        </w:rPr>
      </w:pPr>
      <w:r w:rsidRPr="005C1A0B">
        <w:rPr>
          <w:rFonts w:eastAsiaTheme="minorHAnsi"/>
        </w:rPr>
        <w:t xml:space="preserve">The Government is providing Victorians with greater transport choices by establishing a single commercial passenger </w:t>
      </w:r>
      <w:r>
        <w:rPr>
          <w:rFonts w:eastAsiaTheme="minorHAnsi"/>
        </w:rPr>
        <w:t>vehicle</w:t>
      </w:r>
      <w:r w:rsidRPr="005C1A0B">
        <w:rPr>
          <w:rFonts w:eastAsiaTheme="minorHAnsi"/>
        </w:rPr>
        <w:t xml:space="preserve"> industry. The current licencing regime will be replaced by a single registration system</w:t>
      </w:r>
      <w:r>
        <w:rPr>
          <w:rFonts w:eastAsiaTheme="minorHAnsi"/>
        </w:rPr>
        <w:t xml:space="preserve">, which </w:t>
      </w:r>
      <w:r w:rsidRPr="005C1A0B">
        <w:rPr>
          <w:rFonts w:eastAsiaTheme="minorHAnsi"/>
        </w:rPr>
        <w:t xml:space="preserve">will ensure high quality and safety standards for all commercial passenger vehicles, including taxis, hire cars and ride share services. </w:t>
      </w:r>
    </w:p>
    <w:p w:rsidR="00566E9A" w:rsidRPr="005C1A0B" w:rsidRDefault="00566E9A" w:rsidP="00AE5760">
      <w:pPr>
        <w:rPr>
          <w:rFonts w:eastAsiaTheme="minorHAnsi"/>
        </w:rPr>
      </w:pPr>
      <w:r>
        <w:rPr>
          <w:rFonts w:eastAsiaTheme="minorHAnsi"/>
        </w:rPr>
        <w:t>T</w:t>
      </w:r>
      <w:r w:rsidRPr="005C1A0B">
        <w:rPr>
          <w:rFonts w:eastAsiaTheme="minorHAnsi"/>
        </w:rPr>
        <w:t>he reform package</w:t>
      </w:r>
      <w:r>
        <w:rPr>
          <w:rFonts w:eastAsiaTheme="minorHAnsi"/>
        </w:rPr>
        <w:t xml:space="preserve"> </w:t>
      </w:r>
      <w:r w:rsidRPr="005C1A0B">
        <w:rPr>
          <w:rFonts w:eastAsiaTheme="minorHAnsi"/>
        </w:rPr>
        <w:t>includes financial assistance to existing</w:t>
      </w:r>
      <w:r>
        <w:rPr>
          <w:rFonts w:eastAsiaTheme="minorHAnsi"/>
        </w:rPr>
        <w:t xml:space="preserve"> taxi</w:t>
      </w:r>
      <w:r w:rsidRPr="005C1A0B">
        <w:rPr>
          <w:rFonts w:eastAsiaTheme="minorHAnsi"/>
        </w:rPr>
        <w:t xml:space="preserve"> licence holders</w:t>
      </w:r>
      <w:r>
        <w:rPr>
          <w:rFonts w:eastAsiaTheme="minorHAnsi"/>
        </w:rPr>
        <w:t xml:space="preserve"> and</w:t>
      </w:r>
      <w:r w:rsidRPr="005C1A0B">
        <w:rPr>
          <w:rFonts w:eastAsiaTheme="minorHAnsi"/>
        </w:rPr>
        <w:t xml:space="preserve"> additional funding to improve access to convenient</w:t>
      </w:r>
      <w:r>
        <w:rPr>
          <w:rFonts w:eastAsiaTheme="minorHAnsi"/>
        </w:rPr>
        <w:t xml:space="preserve"> and</w:t>
      </w:r>
      <w:r w:rsidRPr="005C1A0B">
        <w:rPr>
          <w:rFonts w:eastAsiaTheme="minorHAnsi"/>
        </w:rPr>
        <w:t xml:space="preserve"> reliable point-to-point transport for people with a disability</w:t>
      </w:r>
      <w:r>
        <w:rPr>
          <w:rFonts w:eastAsiaTheme="minorHAnsi"/>
        </w:rPr>
        <w:t>.</w:t>
      </w:r>
      <w:r w:rsidRPr="005C1A0B">
        <w:rPr>
          <w:rFonts w:eastAsiaTheme="minorHAnsi"/>
        </w:rPr>
        <w:t xml:space="preserve"> All commercial passenger vehicle providers will be charged a levy equivalent to $2 per trip to fund the transition. </w:t>
      </w:r>
    </w:p>
    <w:p w:rsidR="00566E9A" w:rsidRDefault="00566E9A" w:rsidP="00AE5760">
      <w:pPr>
        <w:rPr>
          <w:rFonts w:eastAsiaTheme="minorHAnsi"/>
        </w:rPr>
      </w:pPr>
      <w:r w:rsidRPr="005C1A0B">
        <w:rPr>
          <w:rFonts w:eastAsiaTheme="minorHAnsi"/>
        </w:rPr>
        <w:t>This initiative contributes to the Department of Economic Development, Jobs, Transport and Resources</w:t>
      </w:r>
      <w:r>
        <w:rPr>
          <w:rFonts w:eastAsiaTheme="minorHAnsi"/>
        </w:rPr>
        <w:t>’</w:t>
      </w:r>
      <w:r w:rsidRPr="005C1A0B">
        <w:rPr>
          <w:rFonts w:eastAsiaTheme="minorHAnsi"/>
        </w:rPr>
        <w:t xml:space="preserve"> Taxi and Hire Vehicle Services output.</w:t>
      </w:r>
    </w:p>
    <w:p w:rsidR="00566E9A" w:rsidRPr="00F00EF9" w:rsidRDefault="00566E9A" w:rsidP="00AE5760">
      <w:pPr>
        <w:pStyle w:val="Heading5"/>
        <w:rPr>
          <w:rFonts w:eastAsiaTheme="minorHAnsi"/>
        </w:rPr>
      </w:pPr>
      <w:proofErr w:type="spellStart"/>
      <w:r w:rsidRPr="00B50A9F">
        <w:rPr>
          <w:rFonts w:eastAsiaTheme="minorHAnsi"/>
          <w:i/>
        </w:rPr>
        <w:t>Myki</w:t>
      </w:r>
      <w:proofErr w:type="spellEnd"/>
      <w:r w:rsidRPr="006B3154">
        <w:rPr>
          <w:rFonts w:eastAsiaTheme="minorHAnsi"/>
        </w:rPr>
        <w:t xml:space="preserve"> ticketing services retender</w:t>
      </w:r>
    </w:p>
    <w:p w:rsidR="00566E9A" w:rsidRPr="006B3154" w:rsidRDefault="00566E9A" w:rsidP="00AE5760">
      <w:pPr>
        <w:rPr>
          <w:rFonts w:eastAsiaTheme="minorHAnsi"/>
        </w:rPr>
      </w:pPr>
      <w:r w:rsidRPr="006B3154">
        <w:rPr>
          <w:rFonts w:eastAsiaTheme="minorHAnsi"/>
        </w:rPr>
        <w:t>Refer to the asset initiative for a description of this initiative.</w:t>
      </w:r>
    </w:p>
    <w:p w:rsidR="00566E9A" w:rsidRPr="00F00EF9" w:rsidRDefault="00566E9A" w:rsidP="00AE5760">
      <w:pPr>
        <w:pStyle w:val="Heading5"/>
        <w:rPr>
          <w:rFonts w:eastAsiaTheme="minorHAnsi"/>
        </w:rPr>
      </w:pPr>
      <w:r w:rsidRPr="006B3154">
        <w:rPr>
          <w:rFonts w:eastAsiaTheme="minorHAnsi"/>
        </w:rPr>
        <w:t xml:space="preserve">Outer Suburban Arterial Roads </w:t>
      </w:r>
      <w:r>
        <w:rPr>
          <w:rFonts w:eastAsiaTheme="minorHAnsi"/>
        </w:rPr>
        <w:t>–</w:t>
      </w:r>
      <w:r w:rsidRPr="006B3154">
        <w:rPr>
          <w:rFonts w:eastAsiaTheme="minorHAnsi"/>
        </w:rPr>
        <w:t xml:space="preserve"> </w:t>
      </w:r>
      <w:r>
        <w:rPr>
          <w:rFonts w:eastAsiaTheme="minorHAnsi"/>
        </w:rPr>
        <w:t>n</w:t>
      </w:r>
      <w:r w:rsidRPr="006B3154">
        <w:rPr>
          <w:rFonts w:eastAsiaTheme="minorHAnsi"/>
        </w:rPr>
        <w:t>orthern package development</w:t>
      </w:r>
    </w:p>
    <w:p w:rsidR="00566E9A" w:rsidRDefault="00566E9A" w:rsidP="00AE5760">
      <w:pPr>
        <w:rPr>
          <w:rFonts w:eastAsiaTheme="minorHAnsi"/>
        </w:rPr>
      </w:pPr>
      <w:r w:rsidRPr="00D34E7C">
        <w:rPr>
          <w:rFonts w:eastAsiaTheme="minorHAnsi"/>
        </w:rPr>
        <w:t xml:space="preserve">The Government has allocated </w:t>
      </w:r>
      <w:r>
        <w:rPr>
          <w:rFonts w:eastAsiaTheme="minorHAnsi"/>
        </w:rPr>
        <w:t xml:space="preserve">funding </w:t>
      </w:r>
      <w:r w:rsidRPr="00D34E7C">
        <w:rPr>
          <w:rFonts w:eastAsiaTheme="minorHAnsi"/>
        </w:rPr>
        <w:t xml:space="preserve">to progress the </w:t>
      </w:r>
      <w:r>
        <w:rPr>
          <w:rFonts w:eastAsiaTheme="minorHAnsi"/>
        </w:rPr>
        <w:t xml:space="preserve">business case </w:t>
      </w:r>
      <w:r w:rsidRPr="00D34E7C">
        <w:rPr>
          <w:rFonts w:eastAsiaTheme="minorHAnsi"/>
        </w:rPr>
        <w:t xml:space="preserve">development </w:t>
      </w:r>
      <w:r>
        <w:rPr>
          <w:rFonts w:eastAsiaTheme="minorHAnsi"/>
        </w:rPr>
        <w:t>of</w:t>
      </w:r>
      <w:r w:rsidRPr="00D34E7C">
        <w:rPr>
          <w:rFonts w:eastAsiaTheme="minorHAnsi"/>
        </w:rPr>
        <w:t xml:space="preserve"> </w:t>
      </w:r>
      <w:r>
        <w:rPr>
          <w:rFonts w:eastAsiaTheme="minorHAnsi"/>
        </w:rPr>
        <w:t xml:space="preserve">the northern package of the </w:t>
      </w:r>
      <w:r w:rsidRPr="00D34E7C">
        <w:rPr>
          <w:rFonts w:eastAsiaTheme="minorHAnsi"/>
        </w:rPr>
        <w:t xml:space="preserve">Outer Suburban Arterial Roads </w:t>
      </w:r>
      <w:r>
        <w:rPr>
          <w:rFonts w:eastAsiaTheme="minorHAnsi"/>
        </w:rPr>
        <w:t>(OSARs) Program</w:t>
      </w:r>
      <w:r w:rsidRPr="00D34E7C">
        <w:rPr>
          <w:rFonts w:eastAsiaTheme="minorHAnsi"/>
        </w:rPr>
        <w:t xml:space="preserve"> </w:t>
      </w:r>
      <w:r>
        <w:rPr>
          <w:rFonts w:eastAsiaTheme="minorHAnsi"/>
        </w:rPr>
        <w:t>for future consideration</w:t>
      </w:r>
      <w:r w:rsidRPr="00D34E7C">
        <w:rPr>
          <w:rFonts w:eastAsiaTheme="minorHAnsi"/>
        </w:rPr>
        <w:t>.</w:t>
      </w:r>
    </w:p>
    <w:p w:rsidR="00566E9A" w:rsidRPr="006B3154" w:rsidRDefault="00566E9A" w:rsidP="00AE5760">
      <w:pPr>
        <w:rPr>
          <w:rFonts w:eastAsiaTheme="minorHAnsi"/>
        </w:rPr>
      </w:pPr>
      <w:r w:rsidRPr="006B3154">
        <w:rPr>
          <w:rFonts w:eastAsiaTheme="minorHAnsi"/>
        </w:rPr>
        <w:t>This initiative contributes to the Department of Economic Development, Jobs, Transport and Resources</w:t>
      </w:r>
      <w:r>
        <w:rPr>
          <w:rFonts w:eastAsiaTheme="minorHAnsi"/>
        </w:rPr>
        <w:t>’</w:t>
      </w:r>
      <w:r w:rsidRPr="006B3154">
        <w:rPr>
          <w:rFonts w:eastAsiaTheme="minorHAnsi"/>
        </w:rPr>
        <w:t xml:space="preserve"> </w:t>
      </w:r>
      <w:r>
        <w:rPr>
          <w:rFonts w:eastAsiaTheme="minorHAnsi"/>
        </w:rPr>
        <w:t>Road Operations and Network Improvements</w:t>
      </w:r>
      <w:r w:rsidRPr="006B3154">
        <w:rPr>
          <w:rFonts w:eastAsiaTheme="minorHAnsi"/>
        </w:rPr>
        <w:t xml:space="preserve"> output.</w:t>
      </w:r>
    </w:p>
    <w:p w:rsidR="00566E9A" w:rsidRPr="00F00EF9" w:rsidRDefault="00566E9A" w:rsidP="00AE5760">
      <w:pPr>
        <w:pStyle w:val="Heading5"/>
        <w:rPr>
          <w:rFonts w:eastAsiaTheme="minorHAnsi"/>
        </w:rPr>
      </w:pPr>
      <w:r w:rsidRPr="006B3154">
        <w:rPr>
          <w:rFonts w:eastAsiaTheme="minorHAnsi"/>
        </w:rPr>
        <w:t xml:space="preserve">Outer Suburban Arterial Roads </w:t>
      </w:r>
      <w:r>
        <w:rPr>
          <w:rFonts w:eastAsiaTheme="minorHAnsi"/>
        </w:rPr>
        <w:t>–</w:t>
      </w:r>
      <w:r w:rsidRPr="006B3154">
        <w:rPr>
          <w:rFonts w:eastAsiaTheme="minorHAnsi"/>
        </w:rPr>
        <w:t xml:space="preserve"> </w:t>
      </w:r>
      <w:r>
        <w:rPr>
          <w:rFonts w:eastAsiaTheme="minorHAnsi"/>
        </w:rPr>
        <w:t>w</w:t>
      </w:r>
      <w:r w:rsidRPr="006B3154">
        <w:rPr>
          <w:rFonts w:eastAsiaTheme="minorHAnsi"/>
        </w:rPr>
        <w:t>estern package</w:t>
      </w:r>
    </w:p>
    <w:p w:rsidR="00566E9A" w:rsidRPr="006B3154" w:rsidRDefault="00566E9A" w:rsidP="00AE5760">
      <w:pPr>
        <w:rPr>
          <w:rFonts w:eastAsiaTheme="minorHAnsi"/>
        </w:rPr>
      </w:pPr>
      <w:r w:rsidRPr="006B3154">
        <w:rPr>
          <w:rFonts w:eastAsiaTheme="minorHAnsi"/>
        </w:rPr>
        <w:t>Refer to the asset initiative for a description of this initiative.</w:t>
      </w:r>
    </w:p>
    <w:p w:rsidR="00566E9A" w:rsidRPr="00F00EF9" w:rsidRDefault="00566E9A" w:rsidP="00AE5760">
      <w:pPr>
        <w:pStyle w:val="Heading5"/>
        <w:rPr>
          <w:rFonts w:eastAsiaTheme="minorHAnsi"/>
        </w:rPr>
      </w:pPr>
      <w:r w:rsidRPr="006B3154">
        <w:rPr>
          <w:rFonts w:eastAsiaTheme="minorHAnsi"/>
        </w:rPr>
        <w:lastRenderedPageBreak/>
        <w:t xml:space="preserve">Portable </w:t>
      </w:r>
      <w:r>
        <w:rPr>
          <w:rFonts w:eastAsiaTheme="minorHAnsi"/>
        </w:rPr>
        <w:t>l</w:t>
      </w:r>
      <w:r w:rsidRPr="006B3154">
        <w:rPr>
          <w:rFonts w:eastAsiaTheme="minorHAnsi"/>
        </w:rPr>
        <w:t xml:space="preserve">ong </w:t>
      </w:r>
      <w:r>
        <w:rPr>
          <w:rFonts w:eastAsiaTheme="minorHAnsi"/>
        </w:rPr>
        <w:t>s</w:t>
      </w:r>
      <w:r w:rsidRPr="006B3154">
        <w:rPr>
          <w:rFonts w:eastAsiaTheme="minorHAnsi"/>
        </w:rPr>
        <w:t xml:space="preserve">ervice </w:t>
      </w:r>
      <w:r>
        <w:rPr>
          <w:rFonts w:eastAsiaTheme="minorHAnsi"/>
        </w:rPr>
        <w:t>l</w:t>
      </w:r>
      <w:r w:rsidRPr="006B3154">
        <w:rPr>
          <w:rFonts w:eastAsiaTheme="minorHAnsi"/>
        </w:rPr>
        <w:t xml:space="preserve">eave and </w:t>
      </w:r>
      <w:r>
        <w:rPr>
          <w:rFonts w:eastAsiaTheme="minorHAnsi"/>
        </w:rPr>
        <w:t>l</w:t>
      </w:r>
      <w:r w:rsidRPr="006B3154">
        <w:rPr>
          <w:rFonts w:eastAsiaTheme="minorHAnsi"/>
        </w:rPr>
        <w:t xml:space="preserve">abour </w:t>
      </w:r>
      <w:r>
        <w:rPr>
          <w:rFonts w:eastAsiaTheme="minorHAnsi"/>
        </w:rPr>
        <w:t>h</w:t>
      </w:r>
      <w:r w:rsidRPr="006B3154">
        <w:rPr>
          <w:rFonts w:eastAsiaTheme="minorHAnsi"/>
        </w:rPr>
        <w:t>ire inquiry outcomes</w:t>
      </w:r>
    </w:p>
    <w:p w:rsidR="00566E9A" w:rsidRPr="006B3154" w:rsidRDefault="00566E9A" w:rsidP="00AE5760">
      <w:pPr>
        <w:rPr>
          <w:rFonts w:eastAsiaTheme="minorHAnsi"/>
        </w:rPr>
      </w:pPr>
      <w:r w:rsidRPr="006B3154">
        <w:rPr>
          <w:rFonts w:eastAsiaTheme="minorHAnsi"/>
        </w:rPr>
        <w:t>In response to the recommendations of the Victorian Parliamentary Economic, Education, Jobs and Skills Committee Inquiry, the Government will undertake feasibility studies into the introduction of portable long service leave schemes in selected industries. The Government will also investigate possible models for the regulation of the labour hire industry as raised by the Victorian Inquiry into the Labour Hire Industry and Insecure Work.</w:t>
      </w:r>
    </w:p>
    <w:p w:rsidR="00566E9A" w:rsidRDefault="00566E9A" w:rsidP="00AE5760">
      <w:pPr>
        <w:rPr>
          <w:rFonts w:eastAsiaTheme="minorHAnsi"/>
        </w:rPr>
      </w:pPr>
      <w:r w:rsidRPr="006B3154">
        <w:rPr>
          <w:rFonts w:eastAsiaTheme="minorHAnsi"/>
        </w:rPr>
        <w:t>This initiative contributes to the Department of Economic Development, Jobs, Transport and Resources</w:t>
      </w:r>
      <w:r>
        <w:rPr>
          <w:rFonts w:eastAsiaTheme="minorHAnsi"/>
        </w:rPr>
        <w:t>’</w:t>
      </w:r>
      <w:r w:rsidRPr="006B3154">
        <w:rPr>
          <w:rFonts w:eastAsiaTheme="minorHAnsi"/>
        </w:rPr>
        <w:t xml:space="preserve"> Industrial Relations output.</w:t>
      </w:r>
    </w:p>
    <w:p w:rsidR="00566E9A" w:rsidRPr="00F00EF9" w:rsidRDefault="00566E9A" w:rsidP="00AE5760">
      <w:pPr>
        <w:pStyle w:val="Heading5"/>
        <w:rPr>
          <w:rFonts w:eastAsiaTheme="minorHAnsi"/>
        </w:rPr>
      </w:pPr>
      <w:r w:rsidRPr="006B3154">
        <w:rPr>
          <w:rFonts w:eastAsiaTheme="minorHAnsi"/>
        </w:rPr>
        <w:t>Rural Assistance Commissioner</w:t>
      </w:r>
    </w:p>
    <w:p w:rsidR="00566E9A" w:rsidRPr="006B3154" w:rsidRDefault="00566E9A" w:rsidP="00AE5760">
      <w:pPr>
        <w:rPr>
          <w:rFonts w:eastAsiaTheme="minorHAnsi"/>
        </w:rPr>
      </w:pPr>
      <w:r w:rsidRPr="006B3154">
        <w:rPr>
          <w:rFonts w:eastAsiaTheme="minorHAnsi"/>
        </w:rPr>
        <w:t>The Government establish</w:t>
      </w:r>
      <w:r>
        <w:rPr>
          <w:rFonts w:eastAsiaTheme="minorHAnsi"/>
        </w:rPr>
        <w:t>ed</w:t>
      </w:r>
      <w:r w:rsidRPr="006B3154">
        <w:rPr>
          <w:rFonts w:eastAsiaTheme="minorHAnsi"/>
        </w:rPr>
        <w:t xml:space="preserve"> a new statutory body called the Rural Assistance Commissioner, to undertake the functions of the previous Rural Finance Corporation.</w:t>
      </w:r>
    </w:p>
    <w:p w:rsidR="00566E9A" w:rsidRPr="006B3154" w:rsidRDefault="00566E9A" w:rsidP="00AE5760">
      <w:pPr>
        <w:rPr>
          <w:rFonts w:eastAsiaTheme="minorHAnsi"/>
        </w:rPr>
      </w:pPr>
      <w:r w:rsidRPr="006B3154">
        <w:rPr>
          <w:rFonts w:eastAsiaTheme="minorHAnsi"/>
        </w:rPr>
        <w:t>This initiative contributes to the Department of Economic Development, Jobs, Transport and Resources</w:t>
      </w:r>
      <w:r>
        <w:rPr>
          <w:rFonts w:eastAsiaTheme="minorHAnsi"/>
        </w:rPr>
        <w:t>’</w:t>
      </w:r>
      <w:r w:rsidRPr="006B3154">
        <w:rPr>
          <w:rFonts w:eastAsiaTheme="minorHAnsi"/>
        </w:rPr>
        <w:t xml:space="preserve"> Regional Development output.</w:t>
      </w:r>
    </w:p>
    <w:p w:rsidR="00566E9A" w:rsidRPr="00F00EF9" w:rsidRDefault="00566E9A" w:rsidP="00AE5760">
      <w:pPr>
        <w:pStyle w:val="Heading5"/>
        <w:rPr>
          <w:rFonts w:eastAsiaTheme="minorHAnsi"/>
        </w:rPr>
      </w:pPr>
      <w:r w:rsidRPr="006B3154">
        <w:rPr>
          <w:rFonts w:eastAsiaTheme="minorHAnsi"/>
        </w:rPr>
        <w:t>V/Line wheel wear management</w:t>
      </w:r>
    </w:p>
    <w:p w:rsidR="00566E9A" w:rsidRPr="006B3154" w:rsidRDefault="00566E9A" w:rsidP="00AE5760">
      <w:pPr>
        <w:rPr>
          <w:rFonts w:eastAsiaTheme="minorHAnsi"/>
        </w:rPr>
      </w:pPr>
      <w:r w:rsidRPr="006B3154">
        <w:rPr>
          <w:rFonts w:eastAsiaTheme="minorHAnsi"/>
        </w:rPr>
        <w:t>As part of its wheel wear management strategy, V/Line will install new hardware</w:t>
      </w:r>
      <w:r>
        <w:rPr>
          <w:rFonts w:eastAsiaTheme="minorHAnsi"/>
        </w:rPr>
        <w:t xml:space="preserve"> that allows it to capture timely and accurate data</w:t>
      </w:r>
      <w:r w:rsidRPr="006B3154">
        <w:rPr>
          <w:rFonts w:eastAsiaTheme="minorHAnsi"/>
        </w:rPr>
        <w:t xml:space="preserve"> on the wheel condition of its </w:t>
      </w:r>
      <w:proofErr w:type="spellStart"/>
      <w:r w:rsidRPr="006B3154">
        <w:rPr>
          <w:rFonts w:eastAsiaTheme="minorHAnsi"/>
        </w:rPr>
        <w:t>VLocity</w:t>
      </w:r>
      <w:proofErr w:type="spellEnd"/>
      <w:r w:rsidRPr="006B3154">
        <w:rPr>
          <w:rFonts w:eastAsiaTheme="minorHAnsi"/>
        </w:rPr>
        <w:t xml:space="preserve"> train</w:t>
      </w:r>
      <w:r>
        <w:rPr>
          <w:rFonts w:eastAsiaTheme="minorHAnsi"/>
        </w:rPr>
        <w:t xml:space="preserve">s without the need to withdraw a </w:t>
      </w:r>
      <w:proofErr w:type="spellStart"/>
      <w:r>
        <w:rPr>
          <w:rFonts w:eastAsiaTheme="minorHAnsi"/>
        </w:rPr>
        <w:t>VLocity</w:t>
      </w:r>
      <w:proofErr w:type="spellEnd"/>
      <w:r>
        <w:rPr>
          <w:rFonts w:eastAsiaTheme="minorHAnsi"/>
        </w:rPr>
        <w:t xml:space="preserve"> from service</w:t>
      </w:r>
      <w:r w:rsidRPr="006B3154">
        <w:rPr>
          <w:rFonts w:eastAsiaTheme="minorHAnsi"/>
        </w:rPr>
        <w:t xml:space="preserve">. This strategy also includes </w:t>
      </w:r>
      <w:r>
        <w:rPr>
          <w:rFonts w:eastAsiaTheme="minorHAnsi"/>
        </w:rPr>
        <w:t xml:space="preserve">having additional spare wheel sets and improved maintenance. </w:t>
      </w:r>
    </w:p>
    <w:p w:rsidR="00566E9A" w:rsidRPr="006B3154" w:rsidRDefault="00566E9A" w:rsidP="00AE5760">
      <w:pPr>
        <w:rPr>
          <w:rFonts w:eastAsiaTheme="minorHAnsi"/>
        </w:rPr>
      </w:pPr>
      <w:r w:rsidRPr="006B3154">
        <w:rPr>
          <w:rFonts w:eastAsiaTheme="minorHAnsi"/>
        </w:rPr>
        <w:t>This initiative contributes to the Department of Economic Development, Jobs, Transport and Resources</w:t>
      </w:r>
      <w:r>
        <w:rPr>
          <w:rFonts w:eastAsiaTheme="minorHAnsi"/>
        </w:rPr>
        <w:t>’</w:t>
      </w:r>
      <w:r w:rsidRPr="006B3154">
        <w:rPr>
          <w:rFonts w:eastAsiaTheme="minorHAnsi"/>
        </w:rPr>
        <w:t xml:space="preserve"> Train Services output.</w:t>
      </w:r>
    </w:p>
    <w:p w:rsidR="00566E9A" w:rsidRDefault="00566E9A">
      <w:pPr>
        <w:spacing w:after="0"/>
        <w:rPr>
          <w:rFonts w:eastAsiaTheme="minorHAnsi"/>
        </w:rPr>
      </w:pPr>
    </w:p>
    <w:p w:rsidR="00566E9A" w:rsidRDefault="00566E9A">
      <w:pPr>
        <w:spacing w:after="0"/>
        <w:rPr>
          <w:rFonts w:asciiTheme="majorHAnsi" w:eastAsiaTheme="minorHAnsi" w:hAnsiTheme="majorHAnsi"/>
          <w:b/>
          <w:i/>
          <w:kern w:val="28"/>
          <w:sz w:val="24"/>
        </w:rPr>
      </w:pPr>
      <w:r>
        <w:rPr>
          <w:rFonts w:eastAsiaTheme="minorHAnsi"/>
        </w:rPr>
        <w:br w:type="page"/>
      </w:r>
    </w:p>
    <w:p w:rsidR="00566E9A" w:rsidRPr="00F00EF9" w:rsidRDefault="00566E9A" w:rsidP="00AE5760">
      <w:pPr>
        <w:pStyle w:val="Heading3"/>
        <w:rPr>
          <w:rFonts w:eastAsiaTheme="minorHAnsi"/>
        </w:rPr>
      </w:pPr>
      <w:r>
        <w:rPr>
          <w:rFonts w:eastAsiaTheme="minorHAnsi"/>
        </w:rPr>
        <w:lastRenderedPageBreak/>
        <w:t>Asset</w:t>
      </w:r>
      <w:r w:rsidRPr="00F00EF9">
        <w:rPr>
          <w:rFonts w:eastAsiaTheme="minorHAnsi"/>
        </w:rPr>
        <w:t xml:space="preserve">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5</w:t>
      </w:r>
      <w:r w:rsidRPr="00F00EF9">
        <w:rPr>
          <w:rFonts w:eastAsiaTheme="minorHAnsi"/>
        </w:rPr>
        <w:t>:</w:t>
      </w:r>
      <w:r w:rsidRPr="00F00EF9">
        <w:rPr>
          <w:rFonts w:eastAsiaTheme="minorHAnsi"/>
        </w:rPr>
        <w:tab/>
      </w:r>
      <w:r>
        <w:rPr>
          <w:rFonts w:eastAsiaTheme="minorHAnsi"/>
        </w:rPr>
        <w:t>Asset initiatives – Department of Economic Development, Jobs, Transport and Resources</w:t>
      </w:r>
    </w:p>
    <w:p w:rsidR="00566E9A" w:rsidRPr="008734F3" w:rsidRDefault="00566E9A" w:rsidP="00AE5760">
      <w:pPr>
        <w:pStyle w:val="million"/>
        <w:rPr>
          <w:rFonts w:eastAsiaTheme="minorHAnsi"/>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55" w:type="dxa"/>
        <w:tblInd w:w="45" w:type="dxa"/>
        <w:tblLayout w:type="fixed"/>
        <w:tblCellMar>
          <w:left w:w="45" w:type="dxa"/>
          <w:right w:w="45" w:type="dxa"/>
        </w:tblCellMar>
        <w:tblLook w:val="06A0" w:firstRow="1" w:lastRow="0" w:firstColumn="1" w:lastColumn="0" w:noHBand="1" w:noVBand="1"/>
      </w:tblPr>
      <w:tblGrid>
        <w:gridCol w:w="3969"/>
        <w:gridCol w:w="158"/>
        <w:gridCol w:w="619"/>
        <w:gridCol w:w="782"/>
        <w:gridCol w:w="782"/>
        <w:gridCol w:w="782"/>
        <w:gridCol w:w="663"/>
      </w:tblGrid>
      <w:tr w:rsidR="00566E9A" w:rsidRPr="00090412" w:rsidTr="00AE576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single" w:sz="6" w:space="0" w:color="auto"/>
              <w:bottom w:val="single" w:sz="6" w:space="0" w:color="auto"/>
              <w:right w:val="nil"/>
            </w:tcBorders>
            <w:shd w:val="solid" w:color="000000" w:fill="auto"/>
          </w:tcPr>
          <w:p w:rsidR="00566E9A" w:rsidRPr="00090412" w:rsidRDefault="00566E9A" w:rsidP="00AE5760">
            <w:pPr>
              <w:autoSpaceDE w:val="0"/>
              <w:autoSpaceDN w:val="0"/>
              <w:adjustRightInd w:val="0"/>
              <w:rPr>
                <w:rFonts w:eastAsiaTheme="minorEastAsia" w:cs="Calibri"/>
                <w:color w:val="FFFFFF"/>
                <w:lang w:eastAsia="en-AU"/>
              </w:rPr>
            </w:pPr>
            <w:r w:rsidRPr="00090412">
              <w:rPr>
                <w:rFonts w:eastAsiaTheme="minorEastAsia" w:cs="Calibri"/>
                <w:color w:val="FFFFFF"/>
                <w:lang w:eastAsia="en-AU"/>
              </w:rPr>
              <w:t xml:space="preserve"> </w:t>
            </w:r>
          </w:p>
        </w:tc>
        <w:tc>
          <w:tcPr>
            <w:tcW w:w="777" w:type="dxa"/>
            <w:gridSpan w:val="2"/>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2016-17</w:t>
            </w:r>
          </w:p>
        </w:tc>
        <w:tc>
          <w:tcPr>
            <w:tcW w:w="782"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2017-18</w:t>
            </w:r>
          </w:p>
        </w:tc>
        <w:tc>
          <w:tcPr>
            <w:tcW w:w="782"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2018-19</w:t>
            </w:r>
          </w:p>
        </w:tc>
        <w:tc>
          <w:tcPr>
            <w:tcW w:w="782"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2019-20</w:t>
            </w:r>
          </w:p>
        </w:tc>
        <w:tc>
          <w:tcPr>
            <w:tcW w:w="663"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TEI</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vertAlign w:val="superscript"/>
                <w:lang w:eastAsia="en-AU"/>
              </w:rPr>
            </w:pPr>
            <w:proofErr w:type="spellStart"/>
            <w:r w:rsidRPr="00090412">
              <w:rPr>
                <w:rFonts w:eastAsiaTheme="minorEastAsia" w:cs="Calibri"/>
                <w:i/>
                <w:iCs/>
                <w:color w:val="000000"/>
                <w:lang w:eastAsia="en-AU"/>
              </w:rPr>
              <w:t>Myki</w:t>
            </w:r>
            <w:proofErr w:type="spellEnd"/>
            <w:r w:rsidRPr="00090412">
              <w:rPr>
                <w:rFonts w:eastAsiaTheme="minorEastAsia" w:cs="Calibri"/>
                <w:color w:val="000000"/>
                <w:lang w:eastAsia="en-AU"/>
              </w:rPr>
              <w:t xml:space="preserve"> ticketing services retender </w:t>
            </w:r>
            <w:r w:rsidRPr="00090412">
              <w:rPr>
                <w:rFonts w:eastAsiaTheme="minorEastAsia" w:cs="Calibri"/>
                <w:color w:val="000000"/>
                <w:vertAlign w:val="superscript"/>
                <w:lang w:eastAsia="en-AU"/>
              </w:rPr>
              <w:t>(a)</w:t>
            </w:r>
          </w:p>
        </w:tc>
        <w:tc>
          <w:tcPr>
            <w:tcW w:w="777" w:type="dxa"/>
            <w:gridSpan w:val="2"/>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2.4</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2.5</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6.2</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14.9</w:t>
            </w:r>
          </w:p>
        </w:tc>
        <w:tc>
          <w:tcPr>
            <w:tcW w:w="663"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68.5</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 xml:space="preserve">Nine additional </w:t>
            </w:r>
            <w:proofErr w:type="spellStart"/>
            <w:r w:rsidRPr="00090412">
              <w:rPr>
                <w:rFonts w:eastAsiaTheme="minorEastAsia" w:cs="Calibri"/>
                <w:color w:val="000000"/>
                <w:lang w:eastAsia="en-AU"/>
              </w:rPr>
              <w:t>X</w:t>
            </w:r>
            <w:r>
              <w:rPr>
                <w:rFonts w:eastAsiaTheme="minorEastAsia" w:cs="Calibri"/>
                <w:color w:val="000000"/>
                <w:lang w:eastAsia="en-AU"/>
              </w:rPr>
              <w:t>’</w:t>
            </w:r>
            <w:r w:rsidRPr="00090412">
              <w:rPr>
                <w:rFonts w:eastAsiaTheme="minorEastAsia" w:cs="Calibri"/>
                <w:color w:val="000000"/>
                <w:lang w:eastAsia="en-AU"/>
              </w:rPr>
              <w:t>Trapolis</w:t>
            </w:r>
            <w:proofErr w:type="spellEnd"/>
            <w:r w:rsidRPr="00090412">
              <w:rPr>
                <w:rFonts w:eastAsiaTheme="minorEastAsia" w:cs="Calibri"/>
                <w:color w:val="000000"/>
                <w:lang w:eastAsia="en-AU"/>
              </w:rPr>
              <w:t xml:space="preserve"> Trains</w:t>
            </w:r>
          </w:p>
        </w:tc>
        <w:tc>
          <w:tcPr>
            <w:tcW w:w="777" w:type="dxa"/>
            <w:gridSpan w:val="2"/>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38.9</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97.2</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38.9</w:t>
            </w:r>
          </w:p>
        </w:tc>
        <w:tc>
          <w:tcPr>
            <w:tcW w:w="663"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175.0</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127" w:type="dxa"/>
            <w:gridSpan w:val="2"/>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vertAlign w:val="superscript"/>
                <w:lang w:eastAsia="en-AU"/>
              </w:rPr>
            </w:pPr>
            <w:r w:rsidRPr="00090412">
              <w:rPr>
                <w:rFonts w:eastAsiaTheme="minorEastAsia" w:cs="Calibri"/>
                <w:color w:val="000000"/>
                <w:lang w:eastAsia="en-AU"/>
              </w:rPr>
              <w:t xml:space="preserve">Outer Suburban Arterial Roads – western package </w:t>
            </w:r>
            <w:r w:rsidRPr="00090412">
              <w:rPr>
                <w:rFonts w:eastAsiaTheme="minorEastAsia" w:cs="Calibri"/>
                <w:color w:val="000000"/>
                <w:vertAlign w:val="superscript"/>
                <w:lang w:eastAsia="en-AU"/>
              </w:rPr>
              <w:t>(a)(b)</w:t>
            </w:r>
          </w:p>
        </w:tc>
        <w:tc>
          <w:tcPr>
            <w:tcW w:w="618"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tbc</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tbc</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tbc</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tbc</w:t>
            </w:r>
          </w:p>
        </w:tc>
        <w:tc>
          <w:tcPr>
            <w:tcW w:w="663"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tbc</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V/Line wheel wear management</w:t>
            </w:r>
          </w:p>
        </w:tc>
        <w:tc>
          <w:tcPr>
            <w:tcW w:w="777" w:type="dxa"/>
            <w:gridSpan w:val="2"/>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5.5</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782"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663"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5.5</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rPr>
                <w:rFonts w:eastAsiaTheme="minorEastAsia" w:cs="Calibri"/>
                <w:b/>
                <w:bCs/>
                <w:color w:val="000000"/>
                <w:lang w:eastAsia="en-AU"/>
              </w:rPr>
            </w:pPr>
            <w:r w:rsidRPr="00090412">
              <w:rPr>
                <w:rFonts w:eastAsiaTheme="minorEastAsia" w:cs="Calibri"/>
                <w:b/>
                <w:bCs/>
                <w:color w:val="000000"/>
                <w:lang w:eastAsia="en-AU"/>
              </w:rPr>
              <w:t xml:space="preserve"> </w:t>
            </w:r>
          </w:p>
        </w:tc>
        <w:tc>
          <w:tcPr>
            <w:tcW w:w="777" w:type="dxa"/>
            <w:gridSpan w:val="2"/>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7.9</w:t>
            </w:r>
          </w:p>
        </w:tc>
        <w:tc>
          <w:tcPr>
            <w:tcW w:w="782"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41.4</w:t>
            </w:r>
          </w:p>
        </w:tc>
        <w:tc>
          <w:tcPr>
            <w:tcW w:w="782"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103.4</w:t>
            </w:r>
          </w:p>
        </w:tc>
        <w:tc>
          <w:tcPr>
            <w:tcW w:w="782"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53.8</w:t>
            </w:r>
          </w:p>
        </w:tc>
        <w:tc>
          <w:tcPr>
            <w:tcW w:w="663"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249.0</w:t>
            </w:r>
          </w:p>
        </w:tc>
      </w:tr>
    </w:tbl>
    <w:p w:rsidR="00566E9A" w:rsidRDefault="00566E9A" w:rsidP="00AE5760">
      <w:pPr>
        <w:pStyle w:val="Notes"/>
        <w:rPr>
          <w:rFonts w:eastAsiaTheme="minorHAnsi"/>
        </w:rPr>
      </w:pPr>
      <w:r w:rsidRPr="00762B1F">
        <w:rPr>
          <w:rFonts w:eastAsiaTheme="minorHAnsi"/>
        </w:rPr>
        <w:t>Notes</w:t>
      </w:r>
      <w:r>
        <w:rPr>
          <w:rFonts w:eastAsiaTheme="minorHAnsi"/>
        </w:rPr>
        <w:t>:</w:t>
      </w:r>
    </w:p>
    <w:p w:rsidR="00566E9A" w:rsidRDefault="00566E9A" w:rsidP="00AE5760">
      <w:pPr>
        <w:pStyle w:val="Notes"/>
        <w:rPr>
          <w:rFonts w:eastAsiaTheme="minorHAnsi"/>
        </w:rPr>
      </w:pPr>
      <w:r>
        <w:rPr>
          <w:rFonts w:eastAsiaTheme="minorHAnsi"/>
        </w:rPr>
        <w:t>(a)</w:t>
      </w:r>
      <w:r>
        <w:rPr>
          <w:rFonts w:eastAsiaTheme="minorHAnsi"/>
        </w:rPr>
        <w:tab/>
        <w:t>The TEI includes funding beyond 2019-20.</w:t>
      </w:r>
    </w:p>
    <w:p w:rsidR="00566E9A" w:rsidRPr="00762B1F" w:rsidRDefault="00566E9A" w:rsidP="00AE5760">
      <w:pPr>
        <w:pStyle w:val="Notes"/>
        <w:rPr>
          <w:rFonts w:eastAsiaTheme="minorHAnsi"/>
        </w:rPr>
      </w:pPr>
      <w:r>
        <w:rPr>
          <w:rFonts w:eastAsiaTheme="minorHAnsi"/>
        </w:rPr>
        <w:t xml:space="preserve">(b) </w:t>
      </w:r>
      <w:r>
        <w:rPr>
          <w:rFonts w:eastAsiaTheme="minorHAnsi"/>
        </w:rPr>
        <w:tab/>
        <w:t>Funding is to be confirmed upon contractual completion of public private partnership procurement processes and is not reported at this time due to commercial sensitivities.</w:t>
      </w:r>
    </w:p>
    <w:p w:rsidR="00566E9A" w:rsidRDefault="00566E9A">
      <w:pPr>
        <w:spacing w:after="0"/>
        <w:rPr>
          <w:rFonts w:asciiTheme="majorHAnsi" w:eastAsiaTheme="minorHAnsi" w:hAnsiTheme="majorHAnsi"/>
          <w:b/>
          <w:i/>
        </w:rPr>
      </w:pPr>
    </w:p>
    <w:p w:rsidR="00566E9A" w:rsidRPr="00F00EF9" w:rsidRDefault="00566E9A" w:rsidP="00AE5760">
      <w:pPr>
        <w:pStyle w:val="Heading5"/>
        <w:rPr>
          <w:rFonts w:eastAsiaTheme="minorHAnsi"/>
        </w:rPr>
      </w:pPr>
      <w:proofErr w:type="spellStart"/>
      <w:r w:rsidRPr="00F37341">
        <w:rPr>
          <w:rFonts w:eastAsiaTheme="minorHAnsi"/>
          <w:i/>
        </w:rPr>
        <w:t>Myki</w:t>
      </w:r>
      <w:proofErr w:type="spellEnd"/>
      <w:r w:rsidRPr="006B3154">
        <w:rPr>
          <w:rFonts w:eastAsiaTheme="minorHAnsi"/>
        </w:rPr>
        <w:t xml:space="preserve"> ticketing services retender</w:t>
      </w:r>
    </w:p>
    <w:p w:rsidR="00566E9A" w:rsidRPr="006B3154" w:rsidRDefault="00566E9A" w:rsidP="00AE5760">
      <w:pPr>
        <w:rPr>
          <w:rFonts w:eastAsiaTheme="minorHAnsi"/>
        </w:rPr>
      </w:pPr>
      <w:r w:rsidRPr="006B3154">
        <w:rPr>
          <w:rFonts w:eastAsiaTheme="minorHAnsi"/>
        </w:rPr>
        <w:t>The Government has undertaken a competitive retender for the operational and maintenance services for Victoria</w:t>
      </w:r>
      <w:r>
        <w:rPr>
          <w:rFonts w:eastAsiaTheme="minorHAnsi"/>
        </w:rPr>
        <w:t>’</w:t>
      </w:r>
      <w:r w:rsidRPr="006B3154">
        <w:rPr>
          <w:rFonts w:eastAsiaTheme="minorHAnsi"/>
        </w:rPr>
        <w:t xml:space="preserve">s </w:t>
      </w:r>
      <w:proofErr w:type="spellStart"/>
      <w:r w:rsidRPr="00F37341">
        <w:rPr>
          <w:rFonts w:eastAsiaTheme="minorHAnsi"/>
          <w:i/>
        </w:rPr>
        <w:t>myki</w:t>
      </w:r>
      <w:proofErr w:type="spellEnd"/>
      <w:r w:rsidRPr="006B3154">
        <w:rPr>
          <w:rFonts w:eastAsiaTheme="minorHAnsi"/>
        </w:rPr>
        <w:t xml:space="preserve"> ticketing system for the next seven years, with options to extend for three additional years. This allows the Government time to </w:t>
      </w:r>
      <w:r>
        <w:rPr>
          <w:rFonts w:eastAsiaTheme="minorHAnsi"/>
        </w:rPr>
        <w:t>make improvements and upgrades to the existing system, as well as the development of a strategic technological roadmap for future ticketing.</w:t>
      </w:r>
    </w:p>
    <w:p w:rsidR="00566E9A" w:rsidRDefault="00566E9A" w:rsidP="00AE5760">
      <w:pPr>
        <w:rPr>
          <w:rFonts w:eastAsiaTheme="minorHAnsi"/>
        </w:rPr>
      </w:pPr>
      <w:r w:rsidRPr="006B3154">
        <w:rPr>
          <w:rFonts w:eastAsiaTheme="minorHAnsi"/>
        </w:rPr>
        <w:t>This initiative contributes to the Department of Economic Development, Jobs, Transport and Resources</w:t>
      </w:r>
      <w:r>
        <w:rPr>
          <w:rFonts w:eastAsiaTheme="minorHAnsi"/>
        </w:rPr>
        <w:t>’:</w:t>
      </w:r>
    </w:p>
    <w:p w:rsidR="00566E9A" w:rsidRDefault="00566E9A" w:rsidP="00AE5760">
      <w:pPr>
        <w:pStyle w:val="BulletText"/>
        <w:rPr>
          <w:rFonts w:eastAsiaTheme="minorHAnsi"/>
        </w:rPr>
      </w:pPr>
      <w:r w:rsidRPr="00394EA8">
        <w:rPr>
          <w:rFonts w:eastAsiaTheme="minorHAnsi"/>
        </w:rPr>
        <w:t>Train Service</w:t>
      </w:r>
      <w:r>
        <w:rPr>
          <w:rFonts w:eastAsiaTheme="minorHAnsi"/>
        </w:rPr>
        <w:t xml:space="preserve">s output; </w:t>
      </w:r>
      <w:r w:rsidRPr="00394EA8">
        <w:rPr>
          <w:rFonts w:eastAsiaTheme="minorHAnsi"/>
        </w:rPr>
        <w:t>and</w:t>
      </w:r>
    </w:p>
    <w:p w:rsidR="00566E9A" w:rsidRPr="00394EA8" w:rsidRDefault="00566E9A" w:rsidP="00AE5760">
      <w:pPr>
        <w:pStyle w:val="BulletText"/>
        <w:rPr>
          <w:rFonts w:eastAsiaTheme="minorHAnsi"/>
        </w:rPr>
      </w:pPr>
      <w:r w:rsidRPr="00394EA8">
        <w:rPr>
          <w:rFonts w:eastAsiaTheme="minorHAnsi"/>
        </w:rPr>
        <w:t>Tram Services output.</w:t>
      </w:r>
    </w:p>
    <w:p w:rsidR="00566E9A" w:rsidRPr="00F00EF9" w:rsidRDefault="00566E9A" w:rsidP="00AE5760">
      <w:pPr>
        <w:pStyle w:val="Heading5"/>
        <w:rPr>
          <w:rFonts w:eastAsiaTheme="minorHAnsi"/>
        </w:rPr>
      </w:pPr>
      <w:r w:rsidRPr="006B3154">
        <w:rPr>
          <w:rFonts w:eastAsiaTheme="minorHAnsi"/>
        </w:rPr>
        <w:t>Nine addition</w:t>
      </w:r>
      <w:r>
        <w:rPr>
          <w:rFonts w:eastAsiaTheme="minorHAnsi"/>
        </w:rPr>
        <w:t>al</w:t>
      </w:r>
      <w:r w:rsidRPr="006B3154">
        <w:rPr>
          <w:rFonts w:eastAsiaTheme="minorHAnsi"/>
        </w:rPr>
        <w:t xml:space="preserve"> </w:t>
      </w:r>
      <w:proofErr w:type="spellStart"/>
      <w:r w:rsidRPr="006B3154">
        <w:rPr>
          <w:rFonts w:eastAsiaTheme="minorHAnsi"/>
        </w:rPr>
        <w:t>X</w:t>
      </w:r>
      <w:r>
        <w:rPr>
          <w:rFonts w:eastAsiaTheme="minorHAnsi"/>
        </w:rPr>
        <w:t>’</w:t>
      </w:r>
      <w:r w:rsidRPr="006B3154">
        <w:rPr>
          <w:rFonts w:eastAsiaTheme="minorHAnsi"/>
        </w:rPr>
        <w:t>Trapolis</w:t>
      </w:r>
      <w:proofErr w:type="spellEnd"/>
      <w:r w:rsidRPr="006B3154">
        <w:rPr>
          <w:rFonts w:eastAsiaTheme="minorHAnsi"/>
        </w:rPr>
        <w:t xml:space="preserve"> Trains</w:t>
      </w:r>
    </w:p>
    <w:p w:rsidR="00566E9A" w:rsidRPr="006B3154" w:rsidRDefault="00566E9A" w:rsidP="00AE5760">
      <w:pPr>
        <w:rPr>
          <w:rFonts w:eastAsiaTheme="minorHAnsi"/>
        </w:rPr>
      </w:pPr>
      <w:r w:rsidRPr="006B3154">
        <w:rPr>
          <w:rFonts w:eastAsiaTheme="minorHAnsi"/>
        </w:rPr>
        <w:t xml:space="preserve">The Government will purchase nine additional six-car </w:t>
      </w:r>
      <w:proofErr w:type="spellStart"/>
      <w:r w:rsidRPr="006B3154">
        <w:rPr>
          <w:rFonts w:eastAsiaTheme="minorHAnsi"/>
        </w:rPr>
        <w:t>X</w:t>
      </w:r>
      <w:r>
        <w:rPr>
          <w:rFonts w:eastAsiaTheme="minorHAnsi"/>
        </w:rPr>
        <w:t>’</w:t>
      </w:r>
      <w:r w:rsidRPr="006B3154">
        <w:rPr>
          <w:rFonts w:eastAsiaTheme="minorHAnsi"/>
        </w:rPr>
        <w:t>Trapolis</w:t>
      </w:r>
      <w:proofErr w:type="spellEnd"/>
      <w:r w:rsidRPr="006B3154">
        <w:rPr>
          <w:rFonts w:eastAsiaTheme="minorHAnsi"/>
        </w:rPr>
        <w:t xml:space="preserve"> trains. The new trains will allow for improved train reliability and</w:t>
      </w:r>
      <w:r>
        <w:rPr>
          <w:rFonts w:eastAsiaTheme="minorHAnsi"/>
        </w:rPr>
        <w:t>,</w:t>
      </w:r>
      <w:r w:rsidRPr="006B3154">
        <w:rPr>
          <w:rFonts w:eastAsiaTheme="minorHAnsi"/>
        </w:rPr>
        <w:t xml:space="preserve"> together with the Gove</w:t>
      </w:r>
      <w:r>
        <w:rPr>
          <w:rFonts w:eastAsiaTheme="minorHAnsi"/>
        </w:rPr>
        <w:t xml:space="preserve">rnment’s recent investment in </w:t>
      </w:r>
      <w:proofErr w:type="spellStart"/>
      <w:r>
        <w:rPr>
          <w:rFonts w:eastAsiaTheme="minorHAnsi"/>
        </w:rPr>
        <w:t>X’</w:t>
      </w:r>
      <w:r w:rsidRPr="006B3154">
        <w:rPr>
          <w:rFonts w:eastAsiaTheme="minorHAnsi"/>
        </w:rPr>
        <w:t>Trapolis</w:t>
      </w:r>
      <w:proofErr w:type="spellEnd"/>
      <w:r w:rsidRPr="006B3154">
        <w:rPr>
          <w:rFonts w:eastAsiaTheme="minorHAnsi"/>
        </w:rPr>
        <w:t xml:space="preserve"> and high capacity metro trains, will manage growing demand across the metropolitan train network.</w:t>
      </w:r>
    </w:p>
    <w:p w:rsidR="00566E9A" w:rsidRPr="006B3154" w:rsidRDefault="00566E9A" w:rsidP="00AE5760">
      <w:pPr>
        <w:rPr>
          <w:rFonts w:eastAsiaTheme="minorHAnsi"/>
        </w:rPr>
      </w:pPr>
      <w:r w:rsidRPr="006B3154">
        <w:rPr>
          <w:rFonts w:eastAsiaTheme="minorHAnsi"/>
        </w:rPr>
        <w:t>This initiative contributes to the Department of Economic Development, Jobs, Transport and Resources</w:t>
      </w:r>
      <w:r>
        <w:rPr>
          <w:rFonts w:eastAsiaTheme="minorHAnsi"/>
        </w:rPr>
        <w:t>’</w:t>
      </w:r>
      <w:r w:rsidRPr="006B3154">
        <w:rPr>
          <w:rFonts w:eastAsiaTheme="minorHAnsi"/>
        </w:rPr>
        <w:t xml:space="preserve"> Train Services output.</w:t>
      </w:r>
    </w:p>
    <w:p w:rsidR="00566E9A" w:rsidRDefault="00566E9A">
      <w:pPr>
        <w:rPr>
          <w:rFonts w:asciiTheme="majorHAnsi" w:eastAsiaTheme="minorHAnsi" w:hAnsiTheme="majorHAnsi"/>
          <w:b/>
        </w:rPr>
      </w:pPr>
      <w:r>
        <w:rPr>
          <w:rFonts w:eastAsiaTheme="minorHAnsi"/>
        </w:rPr>
        <w:br w:type="page"/>
      </w:r>
    </w:p>
    <w:p w:rsidR="00566E9A" w:rsidRPr="00F00EF9" w:rsidRDefault="00566E9A" w:rsidP="00AE5760">
      <w:pPr>
        <w:pStyle w:val="Heading5"/>
        <w:rPr>
          <w:rFonts w:eastAsiaTheme="minorHAnsi"/>
        </w:rPr>
      </w:pPr>
      <w:r w:rsidRPr="006B3154">
        <w:rPr>
          <w:rFonts w:eastAsiaTheme="minorHAnsi"/>
        </w:rPr>
        <w:lastRenderedPageBreak/>
        <w:t xml:space="preserve">Outer Suburban Arterial Roads </w:t>
      </w:r>
      <w:r>
        <w:rPr>
          <w:rFonts w:eastAsiaTheme="minorHAnsi"/>
        </w:rPr>
        <w:t>–</w:t>
      </w:r>
      <w:r w:rsidRPr="006B3154">
        <w:rPr>
          <w:rFonts w:eastAsiaTheme="minorHAnsi"/>
        </w:rPr>
        <w:t xml:space="preserve"> </w:t>
      </w:r>
      <w:r>
        <w:rPr>
          <w:rFonts w:eastAsiaTheme="minorHAnsi"/>
        </w:rPr>
        <w:t>w</w:t>
      </w:r>
      <w:r w:rsidRPr="006B3154">
        <w:rPr>
          <w:rFonts w:eastAsiaTheme="minorHAnsi"/>
        </w:rPr>
        <w:t>estern package</w:t>
      </w:r>
    </w:p>
    <w:p w:rsidR="00566E9A" w:rsidRPr="005C1A0B" w:rsidRDefault="00566E9A" w:rsidP="00AE5760">
      <w:pPr>
        <w:rPr>
          <w:rFonts w:eastAsiaTheme="minorHAnsi"/>
        </w:rPr>
      </w:pPr>
      <w:r w:rsidRPr="005C1A0B">
        <w:rPr>
          <w:rFonts w:eastAsiaTheme="minorHAnsi"/>
        </w:rPr>
        <w:t xml:space="preserve">The </w:t>
      </w:r>
      <w:r>
        <w:rPr>
          <w:rFonts w:eastAsiaTheme="minorHAnsi"/>
        </w:rPr>
        <w:t>w</w:t>
      </w:r>
      <w:r w:rsidRPr="005C1A0B">
        <w:rPr>
          <w:rFonts w:eastAsiaTheme="minorHAnsi"/>
        </w:rPr>
        <w:t xml:space="preserve">estern </w:t>
      </w:r>
      <w:r>
        <w:rPr>
          <w:rFonts w:eastAsiaTheme="minorHAnsi"/>
        </w:rPr>
        <w:t>p</w:t>
      </w:r>
      <w:r w:rsidRPr="005C1A0B">
        <w:rPr>
          <w:rFonts w:eastAsiaTheme="minorHAnsi"/>
        </w:rPr>
        <w:t xml:space="preserve">ackage of the OSARs Program combines eight high-priority road upgrades with maintenance on more than 700 kilometres of road stretching from Werribee to Footscray. The package will be delivered as an availability </w:t>
      </w:r>
      <w:r>
        <w:rPr>
          <w:rFonts w:eastAsiaTheme="minorHAnsi"/>
        </w:rPr>
        <w:t>p</w:t>
      </w:r>
      <w:r w:rsidRPr="005C1A0B">
        <w:rPr>
          <w:rFonts w:eastAsiaTheme="minorHAnsi"/>
        </w:rPr>
        <w:t xml:space="preserve">ublic </w:t>
      </w:r>
      <w:r>
        <w:rPr>
          <w:rFonts w:eastAsiaTheme="minorHAnsi"/>
        </w:rPr>
        <w:t>p</w:t>
      </w:r>
      <w:r w:rsidRPr="005C1A0B">
        <w:rPr>
          <w:rFonts w:eastAsiaTheme="minorHAnsi"/>
        </w:rPr>
        <w:t xml:space="preserve">rivate </w:t>
      </w:r>
      <w:r>
        <w:rPr>
          <w:rFonts w:eastAsiaTheme="minorHAnsi"/>
        </w:rPr>
        <w:t>p</w:t>
      </w:r>
      <w:r w:rsidRPr="005C1A0B">
        <w:rPr>
          <w:rFonts w:eastAsiaTheme="minorHAnsi"/>
        </w:rPr>
        <w:t>artnership (PPP)</w:t>
      </w:r>
      <w:r>
        <w:rPr>
          <w:rFonts w:eastAsiaTheme="minorHAnsi"/>
        </w:rPr>
        <w:t xml:space="preserve"> with an estimated whole-of-life investment of $1.8 billion</w:t>
      </w:r>
      <w:r w:rsidRPr="005C1A0B">
        <w:rPr>
          <w:rFonts w:eastAsiaTheme="minorHAnsi"/>
        </w:rPr>
        <w:t xml:space="preserve">, which will ensure </w:t>
      </w:r>
      <w:r>
        <w:rPr>
          <w:rFonts w:eastAsiaTheme="minorHAnsi"/>
        </w:rPr>
        <w:t>motorists benefit from new high-</w:t>
      </w:r>
      <w:r w:rsidRPr="005C1A0B">
        <w:rPr>
          <w:rFonts w:eastAsiaTheme="minorHAnsi"/>
        </w:rPr>
        <w:t xml:space="preserve">quality roads while maintaining the existing network to a high standard. </w:t>
      </w:r>
    </w:p>
    <w:p w:rsidR="00566E9A" w:rsidRPr="005C1A0B" w:rsidRDefault="00566E9A" w:rsidP="00AE5760">
      <w:pPr>
        <w:rPr>
          <w:rFonts w:eastAsiaTheme="minorHAnsi"/>
        </w:rPr>
      </w:pPr>
      <w:r w:rsidRPr="005C1A0B">
        <w:rPr>
          <w:rFonts w:eastAsiaTheme="minorHAnsi"/>
        </w:rPr>
        <w:t>The upgrades will in</w:t>
      </w:r>
      <w:r>
        <w:rPr>
          <w:rFonts w:eastAsiaTheme="minorHAnsi"/>
        </w:rPr>
        <w:t>clude</w:t>
      </w:r>
      <w:r w:rsidRPr="005C1A0B">
        <w:rPr>
          <w:rFonts w:eastAsiaTheme="minorHAnsi"/>
        </w:rPr>
        <w:t xml:space="preserve"> a combination of duplication and widening works to western arterial roads including:</w:t>
      </w:r>
    </w:p>
    <w:p w:rsidR="00566E9A" w:rsidRPr="005C1A0B" w:rsidRDefault="00566E9A" w:rsidP="00AE5760">
      <w:pPr>
        <w:pStyle w:val="BulletText"/>
        <w:rPr>
          <w:rFonts w:eastAsiaTheme="minorHAnsi"/>
        </w:rPr>
      </w:pPr>
      <w:proofErr w:type="spellStart"/>
      <w:r>
        <w:rPr>
          <w:rFonts w:eastAsiaTheme="minorHAnsi"/>
        </w:rPr>
        <w:t>D</w:t>
      </w:r>
      <w:r w:rsidRPr="005C1A0B">
        <w:rPr>
          <w:rFonts w:eastAsiaTheme="minorHAnsi"/>
        </w:rPr>
        <w:t>unnings</w:t>
      </w:r>
      <w:proofErr w:type="spellEnd"/>
      <w:r w:rsidRPr="005C1A0B">
        <w:rPr>
          <w:rFonts w:eastAsiaTheme="minorHAnsi"/>
        </w:rPr>
        <w:t xml:space="preserve"> Road and Palmers Road, from Point Cook</w:t>
      </w:r>
      <w:r>
        <w:rPr>
          <w:rFonts w:eastAsiaTheme="minorHAnsi"/>
        </w:rPr>
        <w:t xml:space="preserve"> Road to Princes Freeway, Point </w:t>
      </w:r>
      <w:r w:rsidRPr="005C1A0B">
        <w:rPr>
          <w:rFonts w:eastAsiaTheme="minorHAnsi"/>
        </w:rPr>
        <w:t>Cook;</w:t>
      </w:r>
    </w:p>
    <w:p w:rsidR="00566E9A" w:rsidRPr="005C1A0B" w:rsidRDefault="00566E9A" w:rsidP="00AE5760">
      <w:pPr>
        <w:pStyle w:val="BulletText"/>
        <w:rPr>
          <w:rFonts w:eastAsiaTheme="minorHAnsi"/>
        </w:rPr>
      </w:pPr>
      <w:r w:rsidRPr="005C1A0B">
        <w:rPr>
          <w:rFonts w:eastAsiaTheme="minorHAnsi"/>
        </w:rPr>
        <w:t>Palmers Road, from Princes Freeway to Western Freeway, Truganina;</w:t>
      </w:r>
    </w:p>
    <w:p w:rsidR="00566E9A" w:rsidRPr="005C1A0B" w:rsidRDefault="00566E9A" w:rsidP="00AE5760">
      <w:pPr>
        <w:pStyle w:val="BulletText"/>
        <w:rPr>
          <w:rFonts w:eastAsiaTheme="minorHAnsi"/>
        </w:rPr>
      </w:pPr>
      <w:r w:rsidRPr="005C1A0B">
        <w:rPr>
          <w:rFonts w:eastAsiaTheme="minorHAnsi"/>
        </w:rPr>
        <w:t xml:space="preserve">Derrimut Road, from Sayers Road to </w:t>
      </w:r>
      <w:proofErr w:type="spellStart"/>
      <w:r w:rsidRPr="005C1A0B">
        <w:rPr>
          <w:rFonts w:eastAsiaTheme="minorHAnsi"/>
        </w:rPr>
        <w:t>Dohertys</w:t>
      </w:r>
      <w:proofErr w:type="spellEnd"/>
      <w:r w:rsidRPr="005C1A0B">
        <w:rPr>
          <w:rFonts w:eastAsiaTheme="minorHAnsi"/>
        </w:rPr>
        <w:t xml:space="preserve"> Road, Tarneit;</w:t>
      </w:r>
    </w:p>
    <w:p w:rsidR="00566E9A" w:rsidRPr="005C1A0B" w:rsidRDefault="00566E9A" w:rsidP="00AE5760">
      <w:pPr>
        <w:pStyle w:val="BulletText"/>
        <w:rPr>
          <w:rFonts w:eastAsiaTheme="minorHAnsi"/>
        </w:rPr>
      </w:pPr>
      <w:proofErr w:type="spellStart"/>
      <w:r w:rsidRPr="005C1A0B">
        <w:rPr>
          <w:rFonts w:eastAsiaTheme="minorHAnsi"/>
        </w:rPr>
        <w:t>Leakes</w:t>
      </w:r>
      <w:proofErr w:type="spellEnd"/>
      <w:r w:rsidRPr="005C1A0B">
        <w:rPr>
          <w:rFonts w:eastAsiaTheme="minorHAnsi"/>
        </w:rPr>
        <w:t xml:space="preserve"> Road, from Fitzgerald Road to Derrimut Road, Truganina;</w:t>
      </w:r>
    </w:p>
    <w:p w:rsidR="00566E9A" w:rsidRPr="005C1A0B" w:rsidRDefault="00566E9A" w:rsidP="00AE5760">
      <w:pPr>
        <w:pStyle w:val="BulletText"/>
        <w:rPr>
          <w:rFonts w:eastAsiaTheme="minorHAnsi"/>
        </w:rPr>
      </w:pPr>
      <w:proofErr w:type="spellStart"/>
      <w:r w:rsidRPr="005C1A0B">
        <w:rPr>
          <w:rFonts w:eastAsiaTheme="minorHAnsi"/>
        </w:rPr>
        <w:t>Dohertys</w:t>
      </w:r>
      <w:proofErr w:type="spellEnd"/>
      <w:r w:rsidRPr="005C1A0B">
        <w:rPr>
          <w:rFonts w:eastAsiaTheme="minorHAnsi"/>
        </w:rPr>
        <w:t xml:space="preserve"> Road, from Fitzgerald Road to Grieve Parade, Laverton North;</w:t>
      </w:r>
    </w:p>
    <w:p w:rsidR="00566E9A" w:rsidRPr="005C1A0B" w:rsidRDefault="00566E9A" w:rsidP="00AE5760">
      <w:pPr>
        <w:pStyle w:val="BulletText"/>
        <w:rPr>
          <w:rFonts w:eastAsiaTheme="minorHAnsi"/>
        </w:rPr>
      </w:pPr>
      <w:proofErr w:type="spellStart"/>
      <w:r w:rsidRPr="005C1A0B">
        <w:rPr>
          <w:rFonts w:eastAsiaTheme="minorHAnsi"/>
        </w:rPr>
        <w:t>Dohertys</w:t>
      </w:r>
      <w:proofErr w:type="spellEnd"/>
      <w:r w:rsidRPr="005C1A0B">
        <w:rPr>
          <w:rFonts w:eastAsiaTheme="minorHAnsi"/>
        </w:rPr>
        <w:t xml:space="preserve"> Road, from Foundation Road to Palmers Road, Truganina;</w:t>
      </w:r>
    </w:p>
    <w:p w:rsidR="00566E9A" w:rsidRPr="005C1A0B" w:rsidRDefault="00566E9A" w:rsidP="00AE5760">
      <w:pPr>
        <w:pStyle w:val="BulletText"/>
        <w:rPr>
          <w:rFonts w:eastAsiaTheme="minorHAnsi"/>
        </w:rPr>
      </w:pPr>
      <w:r w:rsidRPr="005C1A0B">
        <w:rPr>
          <w:rFonts w:eastAsiaTheme="minorHAnsi"/>
        </w:rPr>
        <w:t>Princes Freeway/Forsyth Road interchange, Hoppers Crossing; and</w:t>
      </w:r>
    </w:p>
    <w:p w:rsidR="00566E9A" w:rsidRPr="005C1A0B" w:rsidRDefault="00566E9A" w:rsidP="00AE5760">
      <w:pPr>
        <w:pStyle w:val="BulletText"/>
        <w:rPr>
          <w:rFonts w:eastAsiaTheme="minorHAnsi"/>
        </w:rPr>
      </w:pPr>
      <w:proofErr w:type="spellStart"/>
      <w:r w:rsidRPr="005C1A0B">
        <w:rPr>
          <w:rFonts w:eastAsiaTheme="minorHAnsi"/>
        </w:rPr>
        <w:t>Duncans</w:t>
      </w:r>
      <w:proofErr w:type="spellEnd"/>
      <w:r w:rsidRPr="005C1A0B">
        <w:rPr>
          <w:rFonts w:eastAsiaTheme="minorHAnsi"/>
        </w:rPr>
        <w:t xml:space="preserve"> Road interchange, Werribee/Werribee South</w:t>
      </w:r>
      <w:r>
        <w:rPr>
          <w:rFonts w:eastAsiaTheme="minorHAnsi"/>
        </w:rPr>
        <w:t>.</w:t>
      </w:r>
    </w:p>
    <w:p w:rsidR="00566E9A" w:rsidRPr="005C1A0B" w:rsidRDefault="00566E9A" w:rsidP="00AE5760">
      <w:pPr>
        <w:rPr>
          <w:rFonts w:eastAsiaTheme="minorHAnsi"/>
        </w:rPr>
      </w:pPr>
      <w:r w:rsidRPr="005C1A0B">
        <w:rPr>
          <w:rFonts w:eastAsiaTheme="minorHAnsi"/>
        </w:rPr>
        <w:t>The package will transform the outer</w:t>
      </w:r>
      <w:r>
        <w:rPr>
          <w:rFonts w:eastAsiaTheme="minorHAnsi"/>
        </w:rPr>
        <w:t xml:space="preserve"> </w:t>
      </w:r>
      <w:r w:rsidRPr="005C1A0B">
        <w:rPr>
          <w:rFonts w:eastAsiaTheme="minorHAnsi"/>
        </w:rPr>
        <w:t xml:space="preserve">western road network by boosting capacity and improving road pavement conditions with intersection upgrades, almost 30 kilometres of lane duplication, and </w:t>
      </w:r>
      <w:r>
        <w:rPr>
          <w:rFonts w:eastAsiaTheme="minorHAnsi"/>
        </w:rPr>
        <w:t xml:space="preserve">integrated </w:t>
      </w:r>
      <w:r w:rsidRPr="005C1A0B">
        <w:rPr>
          <w:rFonts w:eastAsiaTheme="minorHAnsi"/>
        </w:rPr>
        <w:t xml:space="preserve">road maintenance. </w:t>
      </w:r>
    </w:p>
    <w:p w:rsidR="00566E9A" w:rsidRDefault="00566E9A" w:rsidP="00AE5760">
      <w:pPr>
        <w:rPr>
          <w:rFonts w:eastAsiaTheme="minorHAnsi"/>
        </w:rPr>
      </w:pPr>
      <w:r w:rsidRPr="005C1A0B">
        <w:rPr>
          <w:rFonts w:eastAsiaTheme="minorHAnsi"/>
        </w:rPr>
        <w:t xml:space="preserve">Expressions of </w:t>
      </w:r>
      <w:r>
        <w:rPr>
          <w:rFonts w:eastAsiaTheme="minorHAnsi"/>
        </w:rPr>
        <w:t>i</w:t>
      </w:r>
      <w:r w:rsidRPr="005C1A0B">
        <w:rPr>
          <w:rFonts w:eastAsiaTheme="minorHAnsi"/>
        </w:rPr>
        <w:t xml:space="preserve">nterest were called for in November 2016. The </w:t>
      </w:r>
      <w:r>
        <w:rPr>
          <w:rFonts w:eastAsiaTheme="minorHAnsi"/>
        </w:rPr>
        <w:t>r</w:t>
      </w:r>
      <w:r w:rsidRPr="005C1A0B">
        <w:rPr>
          <w:rFonts w:eastAsiaTheme="minorHAnsi"/>
        </w:rPr>
        <w:t xml:space="preserve">equest for </w:t>
      </w:r>
      <w:r>
        <w:rPr>
          <w:rFonts w:eastAsiaTheme="minorHAnsi"/>
        </w:rPr>
        <w:t>p</w:t>
      </w:r>
      <w:r w:rsidRPr="005C1A0B">
        <w:rPr>
          <w:rFonts w:eastAsiaTheme="minorHAnsi"/>
        </w:rPr>
        <w:t xml:space="preserve">roposal is expected to </w:t>
      </w:r>
      <w:r>
        <w:rPr>
          <w:rFonts w:eastAsiaTheme="minorHAnsi"/>
        </w:rPr>
        <w:t xml:space="preserve">be released </w:t>
      </w:r>
      <w:r w:rsidRPr="005C1A0B">
        <w:rPr>
          <w:rFonts w:eastAsiaTheme="minorHAnsi"/>
        </w:rPr>
        <w:t xml:space="preserve">in early 2017, with construction expected to begin </w:t>
      </w:r>
      <w:r>
        <w:rPr>
          <w:rFonts w:eastAsiaTheme="minorHAnsi"/>
        </w:rPr>
        <w:t xml:space="preserve">in </w:t>
      </w:r>
      <w:r w:rsidRPr="005C1A0B">
        <w:rPr>
          <w:rFonts w:eastAsiaTheme="minorHAnsi"/>
        </w:rPr>
        <w:t>2018.</w:t>
      </w:r>
    </w:p>
    <w:p w:rsidR="00566E9A" w:rsidRPr="006B3154" w:rsidRDefault="00566E9A" w:rsidP="00AE5760">
      <w:pPr>
        <w:rPr>
          <w:rFonts w:eastAsiaTheme="minorHAnsi"/>
        </w:rPr>
      </w:pPr>
      <w:r w:rsidRPr="006B3154">
        <w:rPr>
          <w:rFonts w:eastAsiaTheme="minorHAnsi"/>
        </w:rPr>
        <w:t>This initiative contributes to the Department of Econom</w:t>
      </w:r>
      <w:r>
        <w:rPr>
          <w:rFonts w:eastAsiaTheme="minorHAnsi"/>
        </w:rPr>
        <w:t>ic Development, Jobs, Transport </w:t>
      </w:r>
      <w:r w:rsidRPr="006B3154">
        <w:rPr>
          <w:rFonts w:eastAsiaTheme="minorHAnsi"/>
        </w:rPr>
        <w:t>and Resources</w:t>
      </w:r>
      <w:r>
        <w:rPr>
          <w:rFonts w:eastAsiaTheme="minorHAnsi"/>
        </w:rPr>
        <w:t>’</w:t>
      </w:r>
      <w:r w:rsidRPr="006B3154">
        <w:rPr>
          <w:rFonts w:eastAsiaTheme="minorHAnsi"/>
        </w:rPr>
        <w:t xml:space="preserve"> </w:t>
      </w:r>
      <w:r>
        <w:rPr>
          <w:rFonts w:eastAsiaTheme="minorHAnsi"/>
        </w:rPr>
        <w:t>Road Operations and Network Improvements</w:t>
      </w:r>
      <w:r w:rsidRPr="006B3154">
        <w:rPr>
          <w:rFonts w:eastAsiaTheme="minorHAnsi"/>
        </w:rPr>
        <w:t xml:space="preserve"> output.</w:t>
      </w:r>
    </w:p>
    <w:p w:rsidR="00566E9A" w:rsidRPr="00F00EF9" w:rsidRDefault="00566E9A" w:rsidP="00AE5760">
      <w:pPr>
        <w:pStyle w:val="Heading5"/>
        <w:rPr>
          <w:rFonts w:eastAsiaTheme="minorHAnsi"/>
        </w:rPr>
      </w:pPr>
      <w:r w:rsidRPr="006B3154">
        <w:rPr>
          <w:rFonts w:eastAsiaTheme="minorHAnsi"/>
        </w:rPr>
        <w:t>V/Line wheel wear management</w:t>
      </w:r>
    </w:p>
    <w:p w:rsidR="00566E9A" w:rsidRPr="006B3154" w:rsidRDefault="00566E9A" w:rsidP="00AE5760">
      <w:pPr>
        <w:rPr>
          <w:rFonts w:eastAsiaTheme="minorHAnsi"/>
        </w:rPr>
      </w:pPr>
      <w:r w:rsidRPr="006B3154">
        <w:rPr>
          <w:rFonts w:eastAsiaTheme="minorHAnsi"/>
        </w:rPr>
        <w:t xml:space="preserve">Refer to the </w:t>
      </w:r>
      <w:r>
        <w:rPr>
          <w:rFonts w:eastAsiaTheme="minorHAnsi"/>
        </w:rPr>
        <w:t>output</w:t>
      </w:r>
      <w:r w:rsidRPr="006B3154">
        <w:rPr>
          <w:rFonts w:eastAsiaTheme="minorHAnsi"/>
        </w:rPr>
        <w:t xml:space="preserve"> initiative for a description of this initiative.</w:t>
      </w:r>
    </w:p>
    <w:p w:rsidR="00566E9A" w:rsidRDefault="00566E9A" w:rsidP="00AE5760">
      <w:pPr>
        <w:spacing w:after="0"/>
        <w:rPr>
          <w:rFonts w:eastAsiaTheme="minorHAnsi"/>
        </w:rPr>
      </w:pPr>
    </w:p>
    <w:p w:rsidR="00566E9A" w:rsidRDefault="00566E9A">
      <w:pPr>
        <w:spacing w:after="0"/>
        <w:rPr>
          <w:rFonts w:eastAsiaTheme="minorHAnsi"/>
        </w:rPr>
      </w:pPr>
    </w:p>
    <w:p w:rsidR="00566E9A" w:rsidRPr="00C73044" w:rsidRDefault="00566E9A">
      <w:pPr>
        <w:spacing w:after="0"/>
        <w:rPr>
          <w:rFonts w:asciiTheme="majorHAnsi" w:eastAsiaTheme="minorHAnsi" w:hAnsiTheme="majorHAnsi"/>
          <w:b/>
          <w:i/>
          <w:caps/>
          <w:sz w:val="26"/>
        </w:rPr>
      </w:pPr>
      <w:r w:rsidRPr="00C73044">
        <w:rPr>
          <w:rFonts w:eastAsiaTheme="minorHAnsi"/>
          <w:i/>
        </w:rPr>
        <w:br w:type="page"/>
      </w:r>
    </w:p>
    <w:p w:rsidR="00566E9A" w:rsidRPr="00F00EF9" w:rsidRDefault="00566E9A" w:rsidP="00AE5760">
      <w:pPr>
        <w:pStyle w:val="Heading1"/>
        <w:rPr>
          <w:rFonts w:eastAsiaTheme="minorHAnsi"/>
        </w:rPr>
      </w:pPr>
      <w:bookmarkStart w:id="59" w:name="_Toc468983294"/>
      <w:r w:rsidRPr="00F00EF9">
        <w:rPr>
          <w:rFonts w:eastAsiaTheme="minorHAnsi"/>
        </w:rPr>
        <w:lastRenderedPageBreak/>
        <w:t xml:space="preserve">Department of </w:t>
      </w:r>
      <w:r>
        <w:rPr>
          <w:rFonts w:eastAsiaTheme="minorHAnsi"/>
        </w:rPr>
        <w:t>Environment, Land, Water and Planning</w:t>
      </w:r>
      <w:bookmarkEnd w:id="59"/>
    </w:p>
    <w:p w:rsidR="00566E9A" w:rsidRPr="00F00EF9" w:rsidRDefault="00566E9A" w:rsidP="00AE5760">
      <w:pPr>
        <w:pStyle w:val="Heading3"/>
        <w:spacing w:before="200"/>
        <w:rPr>
          <w:rFonts w:eastAsiaTheme="minorHAnsi"/>
        </w:rPr>
      </w:pPr>
      <w:r w:rsidRPr="00F00EF9">
        <w:rPr>
          <w:rFonts w:eastAsiaTheme="minorHAnsi"/>
        </w:rPr>
        <w:t>Output initiatives</w:t>
      </w:r>
    </w:p>
    <w:p w:rsidR="00566E9A" w:rsidRPr="00F00EF9" w:rsidRDefault="00566E9A" w:rsidP="00AE5760">
      <w:pPr>
        <w:pStyle w:val="Tableheading"/>
        <w:spacing w:before="200"/>
        <w:ind w:left="1151" w:hanging="1151"/>
        <w:rPr>
          <w:rFonts w:eastAsiaTheme="minorHAnsi"/>
        </w:rPr>
      </w:pPr>
      <w:r w:rsidRPr="00F00EF9">
        <w:rPr>
          <w:rFonts w:eastAsiaTheme="minorHAnsi"/>
        </w:rPr>
        <w:t>Table A.</w:t>
      </w:r>
      <w:r>
        <w:rPr>
          <w:rFonts w:eastAsiaTheme="minorHAnsi"/>
        </w:rPr>
        <w:t>6</w:t>
      </w:r>
      <w:r w:rsidRPr="00F00EF9">
        <w:rPr>
          <w:rFonts w:eastAsiaTheme="minorHAnsi"/>
        </w:rPr>
        <w:t>:</w:t>
      </w:r>
      <w:r w:rsidRPr="00F00EF9">
        <w:rPr>
          <w:rFonts w:eastAsiaTheme="minorHAnsi"/>
        </w:rPr>
        <w:tab/>
      </w:r>
      <w:r>
        <w:rPr>
          <w:rFonts w:eastAsiaTheme="minorHAnsi"/>
        </w:rPr>
        <w:t>Output initiatives – Department of Environment, Land, Water and Planning</w:t>
      </w:r>
    </w:p>
    <w:p w:rsidR="00566E9A" w:rsidRPr="008734F3" w:rsidRDefault="00566E9A" w:rsidP="00AE5760">
      <w:pPr>
        <w:pStyle w:val="million"/>
        <w:rPr>
          <w:rFonts w:eastAsiaTheme="minorHAnsi"/>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566E9A" w:rsidRPr="00090412"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single" w:sz="6" w:space="0" w:color="auto"/>
              <w:bottom w:val="single" w:sz="6" w:space="0" w:color="auto"/>
              <w:right w:val="nil"/>
            </w:tcBorders>
            <w:shd w:val="solid" w:color="000000" w:fill="auto"/>
          </w:tcPr>
          <w:p w:rsidR="00566E9A" w:rsidRPr="00090412" w:rsidRDefault="00566E9A" w:rsidP="00AE5760">
            <w:pPr>
              <w:autoSpaceDE w:val="0"/>
              <w:autoSpaceDN w:val="0"/>
              <w:adjustRightInd w:val="0"/>
              <w:rPr>
                <w:rFonts w:eastAsiaTheme="minorEastAsia" w:cs="Calibri"/>
                <w:color w:val="FFFFFF"/>
                <w:lang w:eastAsia="en-AU"/>
              </w:rPr>
            </w:pPr>
            <w:r w:rsidRPr="00090412">
              <w:rPr>
                <w:rFonts w:eastAsiaTheme="minorEastAsia" w:cs="Calibri"/>
                <w:color w:val="FFFFFF"/>
                <w:lang w:eastAsia="en-AU"/>
              </w:rPr>
              <w:t xml:space="preserve"> </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2016-17</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2017-18</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2018-19</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2019-20</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Additional aviation resources for firefighting</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11.1</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Fighting Extinction Fund</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1.6</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Land Use Victoria</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2.3</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Recovery of bushfire affected communities</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5.8</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Supporting growth through effective planning</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1.0</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rPr>
                <w:rFonts w:eastAsiaTheme="minorEastAsia" w:cs="Calibri"/>
                <w:b/>
                <w:bCs/>
                <w:color w:val="000000"/>
                <w:lang w:eastAsia="en-AU"/>
              </w:rPr>
            </w:pPr>
            <w:r w:rsidRPr="00090412">
              <w:rPr>
                <w:rFonts w:eastAsiaTheme="minorEastAsia" w:cs="Calibri"/>
                <w:b/>
                <w:bCs/>
                <w:color w:val="000000"/>
                <w:lang w:eastAsia="en-AU"/>
              </w:rPr>
              <w:t xml:space="preserve"> </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21.7</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w:t>
            </w:r>
          </w:p>
        </w:tc>
      </w:tr>
    </w:tbl>
    <w:p w:rsidR="00566E9A" w:rsidRDefault="00566E9A" w:rsidP="00AE5760">
      <w:pPr>
        <w:rPr>
          <w:rFonts w:eastAsiaTheme="minorHAnsi"/>
        </w:rPr>
      </w:pPr>
    </w:p>
    <w:p w:rsidR="00566E9A" w:rsidRDefault="00566E9A" w:rsidP="00AE5760">
      <w:pPr>
        <w:pStyle w:val="Heading5"/>
        <w:rPr>
          <w:rFonts w:eastAsiaTheme="minorHAnsi"/>
        </w:rPr>
      </w:pPr>
      <w:r>
        <w:rPr>
          <w:rFonts w:eastAsiaTheme="minorHAnsi"/>
        </w:rPr>
        <w:t>Additional aviation resources for firefighting</w:t>
      </w:r>
    </w:p>
    <w:p w:rsidR="00566E9A" w:rsidRDefault="00566E9A" w:rsidP="00AE5760">
      <w:pPr>
        <w:rPr>
          <w:rFonts w:eastAsiaTheme="minorHAnsi"/>
        </w:rPr>
      </w:pPr>
      <w:r w:rsidRPr="00553074">
        <w:rPr>
          <w:rFonts w:eastAsiaTheme="minorHAnsi"/>
        </w:rPr>
        <w:t xml:space="preserve">An additional five firefighting aviation resources including two large air tankers, two </w:t>
      </w:r>
      <w:proofErr w:type="spellStart"/>
      <w:r w:rsidRPr="00553074">
        <w:rPr>
          <w:rFonts w:eastAsiaTheme="minorHAnsi"/>
        </w:rPr>
        <w:t>helitaks</w:t>
      </w:r>
      <w:proofErr w:type="spellEnd"/>
      <w:r w:rsidRPr="00553074">
        <w:rPr>
          <w:rFonts w:eastAsiaTheme="minorHAnsi"/>
        </w:rPr>
        <w:t xml:space="preserve"> and one fixed wing aircraft will continue to be available to support the State</w:t>
      </w:r>
      <w:r>
        <w:rPr>
          <w:rFonts w:eastAsiaTheme="minorHAnsi"/>
        </w:rPr>
        <w:t>’</w:t>
      </w:r>
      <w:r w:rsidRPr="00553074">
        <w:rPr>
          <w:rFonts w:eastAsiaTheme="minorHAnsi"/>
        </w:rPr>
        <w:t>s firefighting capability for the 2016-17 bushfire season.</w:t>
      </w:r>
    </w:p>
    <w:p w:rsidR="00566E9A" w:rsidRDefault="00566E9A" w:rsidP="00AE5760">
      <w:pPr>
        <w:rPr>
          <w:rFonts w:eastAsiaTheme="minorHAnsi"/>
        </w:rPr>
      </w:pPr>
      <w:r>
        <w:rPr>
          <w:rFonts w:eastAsiaTheme="minorHAnsi"/>
        </w:rPr>
        <w:t xml:space="preserve">This initiative contributes to the </w:t>
      </w:r>
      <w:r w:rsidRPr="00553074">
        <w:rPr>
          <w:rFonts w:eastAsiaTheme="minorHAnsi"/>
        </w:rPr>
        <w:t>Department of Environment, Land, Water and Planning</w:t>
      </w:r>
      <w:r>
        <w:rPr>
          <w:rFonts w:eastAsiaTheme="minorHAnsi"/>
        </w:rPr>
        <w:t>’</w:t>
      </w:r>
      <w:r w:rsidRPr="00553074">
        <w:rPr>
          <w:rFonts w:eastAsiaTheme="minorHAnsi"/>
        </w:rPr>
        <w:t>s</w:t>
      </w:r>
      <w:r>
        <w:rPr>
          <w:rFonts w:eastAsiaTheme="minorHAnsi"/>
        </w:rPr>
        <w:t xml:space="preserve"> Fire and Emergency Management output. </w:t>
      </w:r>
    </w:p>
    <w:p w:rsidR="00566E9A" w:rsidRDefault="00566E9A" w:rsidP="00AE5760">
      <w:pPr>
        <w:pStyle w:val="Heading5"/>
        <w:rPr>
          <w:rFonts w:eastAsiaTheme="minorHAnsi"/>
        </w:rPr>
      </w:pPr>
      <w:r>
        <w:rPr>
          <w:rFonts w:eastAsiaTheme="minorHAnsi"/>
        </w:rPr>
        <w:t>Fighting Extinction Fund</w:t>
      </w:r>
    </w:p>
    <w:p w:rsidR="00566E9A" w:rsidRDefault="00566E9A" w:rsidP="00AE5760">
      <w:pPr>
        <w:rPr>
          <w:rFonts w:eastAsiaTheme="minorHAnsi"/>
        </w:rPr>
      </w:pPr>
      <w:r>
        <w:rPr>
          <w:rFonts w:eastAsiaTheme="minorHAnsi"/>
        </w:rPr>
        <w:t xml:space="preserve">New conservation programs will be established for six species of reptiles, frogs and invertebrates that are in danger of becoming extinct. </w:t>
      </w:r>
    </w:p>
    <w:p w:rsidR="00566E9A" w:rsidRPr="006B50C3" w:rsidRDefault="00566E9A" w:rsidP="00AE5760">
      <w:pPr>
        <w:rPr>
          <w:rFonts w:eastAsiaTheme="minorHAnsi"/>
        </w:rPr>
      </w:pPr>
      <w:r>
        <w:rPr>
          <w:rFonts w:eastAsiaTheme="minorHAnsi"/>
        </w:rPr>
        <w:t xml:space="preserve">This initiative contributes to the Department of Environment, Land, Water and Planning’s Management of Forests, Parks and Public Land output. </w:t>
      </w:r>
    </w:p>
    <w:p w:rsidR="00566E9A" w:rsidRPr="00F00EF9" w:rsidRDefault="00566E9A" w:rsidP="00AE5760">
      <w:pPr>
        <w:pStyle w:val="Heading5"/>
        <w:rPr>
          <w:rFonts w:eastAsiaTheme="minorHAnsi"/>
        </w:rPr>
      </w:pPr>
      <w:r w:rsidRPr="00842F08">
        <w:rPr>
          <w:rFonts w:eastAsiaTheme="minorHAnsi"/>
        </w:rPr>
        <w:t>Land Use Victoria</w:t>
      </w:r>
    </w:p>
    <w:p w:rsidR="00566E9A" w:rsidRDefault="00566E9A" w:rsidP="00AE5760">
      <w:pPr>
        <w:rPr>
          <w:rFonts w:eastAsiaTheme="minorHAnsi"/>
        </w:rPr>
      </w:pPr>
      <w:r w:rsidRPr="00856CE1">
        <w:rPr>
          <w:rFonts w:eastAsiaTheme="minorHAnsi"/>
        </w:rPr>
        <w:t xml:space="preserve">Refer to the asset initiative for a </w:t>
      </w:r>
      <w:r>
        <w:rPr>
          <w:rFonts w:eastAsiaTheme="minorHAnsi"/>
        </w:rPr>
        <w:t>description of this initiative.</w:t>
      </w:r>
    </w:p>
    <w:p w:rsidR="00566E9A" w:rsidRPr="00F00EF9" w:rsidRDefault="00566E9A" w:rsidP="00AE5760">
      <w:pPr>
        <w:pStyle w:val="Heading5"/>
        <w:rPr>
          <w:rFonts w:eastAsiaTheme="minorHAnsi"/>
        </w:rPr>
      </w:pPr>
      <w:r w:rsidRPr="00842F08">
        <w:rPr>
          <w:rFonts w:eastAsiaTheme="minorHAnsi"/>
        </w:rPr>
        <w:t>Recovery of bushfire affected communities</w:t>
      </w:r>
    </w:p>
    <w:p w:rsidR="00566E9A" w:rsidRPr="00842F08" w:rsidRDefault="00566E9A" w:rsidP="00AE5760">
      <w:pPr>
        <w:rPr>
          <w:rFonts w:eastAsiaTheme="minorHAnsi"/>
        </w:rPr>
      </w:pPr>
      <w:r w:rsidRPr="00842F08">
        <w:rPr>
          <w:rFonts w:eastAsiaTheme="minorHAnsi"/>
        </w:rPr>
        <w:t xml:space="preserve">Local communities will be supported to assist recovery from the 2015-16 summer bushfire season. Works on drainage, erosion management and retaining walls will be undertaken in Colac Otway Shire. A contribution towards the </w:t>
      </w:r>
      <w:proofErr w:type="spellStart"/>
      <w:r w:rsidRPr="00842F08">
        <w:rPr>
          <w:rFonts w:eastAsiaTheme="minorHAnsi"/>
        </w:rPr>
        <w:t>Moorabool</w:t>
      </w:r>
      <w:proofErr w:type="spellEnd"/>
      <w:r w:rsidRPr="00842F08">
        <w:rPr>
          <w:rFonts w:eastAsiaTheme="minorHAnsi"/>
        </w:rPr>
        <w:t xml:space="preserve"> Shire Council community hub will improve facilities for the community. Indigo Shire Council will be </w:t>
      </w:r>
      <w:r>
        <w:rPr>
          <w:rFonts w:eastAsiaTheme="minorHAnsi"/>
        </w:rPr>
        <w:t>assist</w:t>
      </w:r>
      <w:r w:rsidRPr="00842F08">
        <w:rPr>
          <w:rFonts w:eastAsiaTheme="minorHAnsi"/>
        </w:rPr>
        <w:t xml:space="preserve">ed to extend the Barnawartha recovery support officer role for a further year. </w:t>
      </w:r>
    </w:p>
    <w:p w:rsidR="00566E9A" w:rsidRDefault="00566E9A" w:rsidP="00AE5760">
      <w:pPr>
        <w:rPr>
          <w:rFonts w:eastAsiaTheme="minorHAnsi"/>
        </w:rPr>
      </w:pPr>
      <w:r w:rsidRPr="00842F08">
        <w:rPr>
          <w:rFonts w:eastAsiaTheme="minorHAnsi"/>
        </w:rPr>
        <w:t>This initiative contributes to the Department of Environment, Land, Water and Planning</w:t>
      </w:r>
      <w:r>
        <w:rPr>
          <w:rFonts w:eastAsiaTheme="minorHAnsi"/>
        </w:rPr>
        <w:t>’</w:t>
      </w:r>
      <w:r w:rsidRPr="00842F08">
        <w:rPr>
          <w:rFonts w:eastAsiaTheme="minorHAnsi"/>
        </w:rPr>
        <w:t xml:space="preserve">s Local Government output. </w:t>
      </w:r>
    </w:p>
    <w:p w:rsidR="00566E9A" w:rsidRDefault="00566E9A" w:rsidP="00AE5760">
      <w:pPr>
        <w:pStyle w:val="Heading5"/>
        <w:rPr>
          <w:rFonts w:eastAsiaTheme="minorHAnsi"/>
        </w:rPr>
      </w:pPr>
      <w:r>
        <w:rPr>
          <w:rFonts w:eastAsiaTheme="minorHAnsi"/>
        </w:rPr>
        <w:t>Supporting growth through effective planning</w:t>
      </w:r>
    </w:p>
    <w:p w:rsidR="00566E9A" w:rsidRDefault="00566E9A" w:rsidP="00AE5760">
      <w:pPr>
        <w:rPr>
          <w:rFonts w:eastAsiaTheme="minorHAnsi"/>
        </w:rPr>
      </w:pPr>
      <w:r>
        <w:rPr>
          <w:rFonts w:eastAsiaTheme="minorHAnsi"/>
        </w:rPr>
        <w:t xml:space="preserve">Additional planning staff will improve the responsiveness of the planning system, to better meet the needs of a growing population and current levels of development. </w:t>
      </w:r>
    </w:p>
    <w:p w:rsidR="00566E9A" w:rsidRDefault="00566E9A" w:rsidP="00AE5760">
      <w:pPr>
        <w:rPr>
          <w:rFonts w:eastAsiaTheme="minorHAnsi"/>
        </w:rPr>
      </w:pPr>
      <w:r>
        <w:rPr>
          <w:rFonts w:eastAsiaTheme="minorHAnsi"/>
        </w:rPr>
        <w:t xml:space="preserve">This initiative contributes to the Department of Environment, Land, Water and Planning’s Planning, Building and Heritage output. </w:t>
      </w:r>
    </w:p>
    <w:p w:rsidR="00566E9A" w:rsidRPr="00DC0702" w:rsidRDefault="00566E9A" w:rsidP="00AE5760">
      <w:pPr>
        <w:pStyle w:val="Heading3"/>
        <w:rPr>
          <w:rFonts w:eastAsiaTheme="minorHAnsi"/>
        </w:rPr>
      </w:pPr>
      <w:r>
        <w:rPr>
          <w:rFonts w:eastAsiaTheme="minorHAnsi"/>
        </w:rPr>
        <w:lastRenderedPageBreak/>
        <w:t>Asset</w:t>
      </w:r>
      <w:r w:rsidRPr="00F00EF9">
        <w:rPr>
          <w:rFonts w:eastAsiaTheme="minorHAnsi"/>
        </w:rPr>
        <w:t xml:space="preserve">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7</w:t>
      </w:r>
      <w:r w:rsidRPr="00F00EF9">
        <w:rPr>
          <w:rFonts w:eastAsiaTheme="minorHAnsi"/>
        </w:rPr>
        <w:t>:</w:t>
      </w:r>
      <w:r w:rsidRPr="00F00EF9">
        <w:rPr>
          <w:rFonts w:eastAsiaTheme="minorHAnsi"/>
        </w:rPr>
        <w:tab/>
      </w:r>
      <w:r>
        <w:rPr>
          <w:rFonts w:eastAsiaTheme="minorHAnsi"/>
        </w:rPr>
        <w:t>Asset initiatives – Department of Environment, Land, Water and Planning</w:t>
      </w:r>
    </w:p>
    <w:p w:rsidR="00566E9A" w:rsidRPr="008734F3" w:rsidRDefault="00566E9A" w:rsidP="00AE5760">
      <w:pPr>
        <w:pStyle w:val="million"/>
        <w:rPr>
          <w:rFonts w:eastAsiaTheme="minorHAnsi"/>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74" w:type="dxa"/>
        <w:tblInd w:w="45" w:type="dxa"/>
        <w:tblLayout w:type="fixed"/>
        <w:tblCellMar>
          <w:left w:w="45" w:type="dxa"/>
          <w:right w:w="45" w:type="dxa"/>
        </w:tblCellMar>
        <w:tblLook w:val="06A0" w:firstRow="1" w:lastRow="0" w:firstColumn="1" w:lastColumn="0" w:noHBand="1" w:noVBand="1"/>
      </w:tblPr>
      <w:tblGrid>
        <w:gridCol w:w="3515"/>
        <w:gridCol w:w="896"/>
        <w:gridCol w:w="896"/>
        <w:gridCol w:w="896"/>
        <w:gridCol w:w="896"/>
        <w:gridCol w:w="675"/>
      </w:tblGrid>
      <w:tr w:rsidR="00566E9A" w:rsidRPr="002E4364"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single" w:sz="6" w:space="0" w:color="auto"/>
              <w:bottom w:val="single" w:sz="6" w:space="0" w:color="auto"/>
              <w:right w:val="nil"/>
            </w:tcBorders>
            <w:shd w:val="solid" w:color="000000" w:fill="auto"/>
          </w:tcPr>
          <w:p w:rsidR="00566E9A" w:rsidRPr="002E4364" w:rsidRDefault="00566E9A" w:rsidP="00AE5760">
            <w:pPr>
              <w:autoSpaceDE w:val="0"/>
              <w:autoSpaceDN w:val="0"/>
              <w:adjustRightInd w:val="0"/>
              <w:rPr>
                <w:rFonts w:eastAsiaTheme="minorEastAsia" w:cs="Calibri"/>
                <w:color w:val="FFFFFF"/>
                <w:lang w:eastAsia="en-AU"/>
              </w:rPr>
            </w:pPr>
            <w:r w:rsidRPr="002E4364">
              <w:rPr>
                <w:rFonts w:eastAsiaTheme="minorEastAsia" w:cs="Calibri"/>
                <w:color w:val="FFFFFF"/>
                <w:lang w:eastAsia="en-AU"/>
              </w:rPr>
              <w:t xml:space="preserve"> </w:t>
            </w:r>
          </w:p>
        </w:tc>
        <w:tc>
          <w:tcPr>
            <w:tcW w:w="896" w:type="dxa"/>
            <w:tcBorders>
              <w:top w:val="single" w:sz="6" w:space="0" w:color="auto"/>
              <w:left w:val="nil"/>
              <w:bottom w:val="single" w:sz="6" w:space="0" w:color="auto"/>
              <w:right w:val="nil"/>
            </w:tcBorders>
            <w:shd w:val="solid" w:color="000000" w:fill="auto"/>
          </w:tcPr>
          <w:p w:rsidR="00566E9A" w:rsidRPr="002E436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2E4364">
              <w:rPr>
                <w:rFonts w:eastAsiaTheme="minorEastAsia" w:cs="Calibri"/>
                <w:iCs/>
                <w:color w:val="FFFFFF"/>
                <w:lang w:eastAsia="en-AU"/>
              </w:rPr>
              <w:t>2016-17</w:t>
            </w:r>
          </w:p>
        </w:tc>
        <w:tc>
          <w:tcPr>
            <w:tcW w:w="896" w:type="dxa"/>
            <w:tcBorders>
              <w:top w:val="single" w:sz="6" w:space="0" w:color="auto"/>
              <w:left w:val="nil"/>
              <w:bottom w:val="single" w:sz="6" w:space="0" w:color="auto"/>
              <w:right w:val="nil"/>
            </w:tcBorders>
            <w:shd w:val="solid" w:color="000000" w:fill="auto"/>
          </w:tcPr>
          <w:p w:rsidR="00566E9A" w:rsidRPr="002E436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2E4364">
              <w:rPr>
                <w:rFonts w:eastAsiaTheme="minorEastAsia" w:cs="Calibri"/>
                <w:iCs/>
                <w:color w:val="FFFFFF"/>
                <w:lang w:eastAsia="en-AU"/>
              </w:rPr>
              <w:t>2017-18</w:t>
            </w:r>
          </w:p>
        </w:tc>
        <w:tc>
          <w:tcPr>
            <w:tcW w:w="896" w:type="dxa"/>
            <w:tcBorders>
              <w:top w:val="single" w:sz="6" w:space="0" w:color="auto"/>
              <w:left w:val="nil"/>
              <w:bottom w:val="single" w:sz="6" w:space="0" w:color="auto"/>
              <w:right w:val="nil"/>
            </w:tcBorders>
            <w:shd w:val="solid" w:color="000000" w:fill="auto"/>
          </w:tcPr>
          <w:p w:rsidR="00566E9A" w:rsidRPr="002E436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2E4364">
              <w:rPr>
                <w:rFonts w:eastAsiaTheme="minorEastAsia" w:cs="Calibri"/>
                <w:iCs/>
                <w:color w:val="FFFFFF"/>
                <w:lang w:eastAsia="en-AU"/>
              </w:rPr>
              <w:t>2018-19</w:t>
            </w:r>
          </w:p>
        </w:tc>
        <w:tc>
          <w:tcPr>
            <w:tcW w:w="896" w:type="dxa"/>
            <w:tcBorders>
              <w:top w:val="single" w:sz="6" w:space="0" w:color="auto"/>
              <w:left w:val="nil"/>
              <w:bottom w:val="single" w:sz="6" w:space="0" w:color="auto"/>
              <w:right w:val="nil"/>
            </w:tcBorders>
            <w:shd w:val="solid" w:color="000000" w:fill="auto"/>
          </w:tcPr>
          <w:p w:rsidR="00566E9A" w:rsidRPr="002E436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2E4364">
              <w:rPr>
                <w:rFonts w:eastAsiaTheme="minorEastAsia" w:cs="Calibri"/>
                <w:iCs/>
                <w:color w:val="FFFFFF"/>
                <w:lang w:eastAsia="en-AU"/>
              </w:rPr>
              <w:t>2019-20</w:t>
            </w:r>
          </w:p>
        </w:tc>
        <w:tc>
          <w:tcPr>
            <w:tcW w:w="675" w:type="dxa"/>
            <w:tcBorders>
              <w:top w:val="single" w:sz="6" w:space="0" w:color="auto"/>
              <w:left w:val="nil"/>
              <w:bottom w:val="single" w:sz="6" w:space="0" w:color="auto"/>
              <w:right w:val="nil"/>
            </w:tcBorders>
            <w:shd w:val="solid" w:color="000000" w:fill="auto"/>
          </w:tcPr>
          <w:p w:rsidR="00566E9A" w:rsidRPr="002E436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2E4364">
              <w:rPr>
                <w:rFonts w:eastAsiaTheme="minorEastAsia" w:cs="Calibri"/>
                <w:iCs/>
                <w:color w:val="FFFFFF"/>
                <w:lang w:eastAsia="en-AU"/>
              </w:rPr>
              <w:t>TEI</w:t>
            </w:r>
          </w:p>
        </w:tc>
      </w:tr>
      <w:tr w:rsidR="00566E9A" w:rsidRPr="002E4364"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566E9A" w:rsidRPr="002E4364" w:rsidRDefault="00566E9A" w:rsidP="00AE5760">
            <w:pPr>
              <w:autoSpaceDE w:val="0"/>
              <w:autoSpaceDN w:val="0"/>
              <w:adjustRightInd w:val="0"/>
              <w:rPr>
                <w:rFonts w:eastAsiaTheme="minorEastAsia" w:cs="Calibri"/>
                <w:color w:val="000000"/>
                <w:lang w:eastAsia="en-AU"/>
              </w:rPr>
            </w:pPr>
            <w:r w:rsidRPr="002E4364">
              <w:rPr>
                <w:rFonts w:eastAsiaTheme="minorEastAsia" w:cs="Calibri"/>
                <w:color w:val="000000"/>
                <w:lang w:eastAsia="en-AU"/>
              </w:rPr>
              <w:t>Land Use Victoria</w:t>
            </w:r>
          </w:p>
        </w:tc>
        <w:tc>
          <w:tcPr>
            <w:tcW w:w="896" w:type="dxa"/>
            <w:tcBorders>
              <w:top w:val="nil"/>
              <w:left w:val="nil"/>
              <w:bottom w:val="nil"/>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E4364">
              <w:rPr>
                <w:rFonts w:eastAsiaTheme="minorEastAsia" w:cs="Calibri"/>
                <w:color w:val="000000"/>
                <w:lang w:eastAsia="en-AU"/>
              </w:rPr>
              <w:t>4.0</w:t>
            </w:r>
          </w:p>
        </w:tc>
        <w:tc>
          <w:tcPr>
            <w:tcW w:w="896" w:type="dxa"/>
            <w:tcBorders>
              <w:top w:val="nil"/>
              <w:left w:val="nil"/>
              <w:bottom w:val="nil"/>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E4364">
              <w:rPr>
                <w:rFonts w:eastAsiaTheme="minorEastAsia" w:cs="Calibri"/>
                <w:color w:val="000000"/>
                <w:lang w:eastAsia="en-AU"/>
              </w:rPr>
              <w:t>2.8</w:t>
            </w:r>
          </w:p>
        </w:tc>
        <w:tc>
          <w:tcPr>
            <w:tcW w:w="896" w:type="dxa"/>
            <w:tcBorders>
              <w:top w:val="nil"/>
              <w:left w:val="nil"/>
              <w:bottom w:val="nil"/>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E4364">
              <w:rPr>
                <w:rFonts w:eastAsiaTheme="minorEastAsia" w:cs="Calibri"/>
                <w:color w:val="000000"/>
                <w:lang w:eastAsia="en-AU"/>
              </w:rPr>
              <w:t>..</w:t>
            </w:r>
          </w:p>
        </w:tc>
        <w:tc>
          <w:tcPr>
            <w:tcW w:w="896" w:type="dxa"/>
            <w:tcBorders>
              <w:top w:val="nil"/>
              <w:left w:val="nil"/>
              <w:bottom w:val="nil"/>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E4364">
              <w:rPr>
                <w:rFonts w:eastAsiaTheme="minorEastAsia" w:cs="Calibri"/>
                <w:color w:val="000000"/>
                <w:lang w:eastAsia="en-AU"/>
              </w:rPr>
              <w:t>..</w:t>
            </w:r>
          </w:p>
        </w:tc>
        <w:tc>
          <w:tcPr>
            <w:tcW w:w="675" w:type="dxa"/>
            <w:tcBorders>
              <w:top w:val="nil"/>
              <w:left w:val="nil"/>
              <w:bottom w:val="nil"/>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2E4364">
              <w:rPr>
                <w:rFonts w:eastAsiaTheme="minorEastAsia" w:cs="Calibri"/>
                <w:color w:val="000000"/>
                <w:lang w:eastAsia="en-AU"/>
              </w:rPr>
              <w:t>6.8</w:t>
            </w:r>
          </w:p>
        </w:tc>
      </w:tr>
      <w:tr w:rsidR="00566E9A" w:rsidRPr="002E4364"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566E9A" w:rsidRPr="002E4364" w:rsidRDefault="00566E9A" w:rsidP="00AE5760">
            <w:pPr>
              <w:autoSpaceDE w:val="0"/>
              <w:autoSpaceDN w:val="0"/>
              <w:adjustRightInd w:val="0"/>
              <w:rPr>
                <w:rFonts w:eastAsiaTheme="minorEastAsia" w:cs="Calibri"/>
                <w:b/>
                <w:bCs/>
                <w:color w:val="000000"/>
                <w:lang w:eastAsia="en-AU"/>
              </w:rPr>
            </w:pPr>
            <w:r w:rsidRPr="002E4364">
              <w:rPr>
                <w:rFonts w:eastAsiaTheme="minorEastAsia" w:cs="Calibri"/>
                <w:b/>
                <w:bCs/>
                <w:color w:val="000000"/>
                <w:lang w:eastAsia="en-AU"/>
              </w:rPr>
              <w:t xml:space="preserve"> </w:t>
            </w:r>
          </w:p>
        </w:tc>
        <w:tc>
          <w:tcPr>
            <w:tcW w:w="896" w:type="dxa"/>
            <w:tcBorders>
              <w:top w:val="single" w:sz="6" w:space="0" w:color="auto"/>
              <w:left w:val="nil"/>
              <w:bottom w:val="single" w:sz="12" w:space="0" w:color="auto"/>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2E4364">
              <w:rPr>
                <w:rFonts w:eastAsiaTheme="minorEastAsia" w:cs="Calibri"/>
                <w:b/>
                <w:bCs/>
                <w:color w:val="000000"/>
                <w:lang w:eastAsia="en-AU"/>
              </w:rPr>
              <w:t>4.0</w:t>
            </w:r>
          </w:p>
        </w:tc>
        <w:tc>
          <w:tcPr>
            <w:tcW w:w="896" w:type="dxa"/>
            <w:tcBorders>
              <w:top w:val="single" w:sz="6" w:space="0" w:color="auto"/>
              <w:left w:val="nil"/>
              <w:bottom w:val="single" w:sz="12" w:space="0" w:color="auto"/>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2E4364">
              <w:rPr>
                <w:rFonts w:eastAsiaTheme="minorEastAsia" w:cs="Calibri"/>
                <w:b/>
                <w:bCs/>
                <w:color w:val="000000"/>
                <w:lang w:eastAsia="en-AU"/>
              </w:rPr>
              <w:t>2.8</w:t>
            </w:r>
          </w:p>
        </w:tc>
        <w:tc>
          <w:tcPr>
            <w:tcW w:w="896" w:type="dxa"/>
            <w:tcBorders>
              <w:top w:val="single" w:sz="6" w:space="0" w:color="auto"/>
              <w:left w:val="nil"/>
              <w:bottom w:val="single" w:sz="12" w:space="0" w:color="auto"/>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2E4364">
              <w:rPr>
                <w:rFonts w:eastAsiaTheme="minorEastAsia" w:cs="Calibri"/>
                <w:b/>
                <w:bCs/>
                <w:color w:val="000000"/>
                <w:lang w:eastAsia="en-AU"/>
              </w:rPr>
              <w:t>..</w:t>
            </w:r>
          </w:p>
        </w:tc>
        <w:tc>
          <w:tcPr>
            <w:tcW w:w="896" w:type="dxa"/>
            <w:tcBorders>
              <w:top w:val="single" w:sz="6" w:space="0" w:color="auto"/>
              <w:left w:val="nil"/>
              <w:bottom w:val="single" w:sz="12" w:space="0" w:color="auto"/>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2E4364">
              <w:rPr>
                <w:rFonts w:eastAsiaTheme="minorEastAsia" w:cs="Calibri"/>
                <w:b/>
                <w:bCs/>
                <w:color w:val="000000"/>
                <w:lang w:eastAsia="en-AU"/>
              </w:rPr>
              <w:t>..</w:t>
            </w:r>
          </w:p>
        </w:tc>
        <w:tc>
          <w:tcPr>
            <w:tcW w:w="675" w:type="dxa"/>
            <w:tcBorders>
              <w:top w:val="single" w:sz="6" w:space="0" w:color="auto"/>
              <w:left w:val="nil"/>
              <w:bottom w:val="single" w:sz="12" w:space="0" w:color="auto"/>
              <w:right w:val="nil"/>
            </w:tcBorders>
          </w:tcPr>
          <w:p w:rsidR="00566E9A" w:rsidRPr="002E436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2E4364">
              <w:rPr>
                <w:rFonts w:eastAsiaTheme="minorEastAsia" w:cs="Calibri"/>
                <w:b/>
                <w:bCs/>
                <w:color w:val="000000"/>
                <w:lang w:eastAsia="en-AU"/>
              </w:rPr>
              <w:t>6.8</w:t>
            </w:r>
          </w:p>
        </w:tc>
      </w:tr>
    </w:tbl>
    <w:p w:rsidR="00566E9A" w:rsidRDefault="00566E9A" w:rsidP="00AE5760">
      <w:pPr>
        <w:rPr>
          <w:rFonts w:eastAsiaTheme="minorHAnsi"/>
        </w:rPr>
      </w:pPr>
    </w:p>
    <w:p w:rsidR="00566E9A" w:rsidRPr="00F00EF9" w:rsidRDefault="00566E9A" w:rsidP="00AE5760">
      <w:pPr>
        <w:pStyle w:val="Heading5"/>
        <w:rPr>
          <w:rFonts w:eastAsiaTheme="minorHAnsi"/>
        </w:rPr>
      </w:pPr>
      <w:r w:rsidRPr="00842F08">
        <w:rPr>
          <w:rFonts w:eastAsiaTheme="minorHAnsi"/>
        </w:rPr>
        <w:t>Land Use Victoria</w:t>
      </w:r>
    </w:p>
    <w:p w:rsidR="00566E9A" w:rsidRPr="00842F08" w:rsidRDefault="00566E9A" w:rsidP="00AE5760">
      <w:pPr>
        <w:rPr>
          <w:rFonts w:eastAsiaTheme="minorHAnsi"/>
        </w:rPr>
      </w:pPr>
      <w:r w:rsidRPr="00842F08">
        <w:rPr>
          <w:rFonts w:eastAsiaTheme="minorHAnsi"/>
        </w:rPr>
        <w:t xml:space="preserve">Land Use Victoria has been established to create a single agency providing strategic advice to </w:t>
      </w:r>
      <w:r>
        <w:rPr>
          <w:rFonts w:eastAsiaTheme="minorHAnsi"/>
        </w:rPr>
        <w:t>G</w:t>
      </w:r>
      <w:r w:rsidRPr="00842F08">
        <w:rPr>
          <w:rFonts w:eastAsiaTheme="minorHAnsi"/>
        </w:rPr>
        <w:t>overnment on land holdings</w:t>
      </w:r>
      <w:r>
        <w:rPr>
          <w:rFonts w:eastAsiaTheme="minorHAnsi"/>
        </w:rPr>
        <w:t>,</w:t>
      </w:r>
      <w:r w:rsidRPr="00842F08">
        <w:rPr>
          <w:rFonts w:eastAsiaTheme="minorHAnsi"/>
        </w:rPr>
        <w:t xml:space="preserve"> and a centre of expertise in government land information. The new functions will provide strategic land use assessments on potential future uses of government land and develop the Government Land Information Service as a central source of information for government landholdings.</w:t>
      </w:r>
    </w:p>
    <w:p w:rsidR="00566E9A" w:rsidRDefault="00566E9A" w:rsidP="00AE5760">
      <w:pPr>
        <w:rPr>
          <w:rFonts w:eastAsiaTheme="minorHAnsi"/>
        </w:rPr>
      </w:pPr>
      <w:r w:rsidRPr="00842F08">
        <w:rPr>
          <w:rFonts w:eastAsiaTheme="minorHAnsi"/>
        </w:rPr>
        <w:t>This initiative contributes to the Department of Environment, Land, Water and Planning</w:t>
      </w:r>
      <w:r>
        <w:rPr>
          <w:rFonts w:eastAsiaTheme="minorHAnsi"/>
        </w:rPr>
        <w:t>’</w:t>
      </w:r>
      <w:r w:rsidRPr="00842F08">
        <w:rPr>
          <w:rFonts w:eastAsiaTheme="minorHAnsi"/>
        </w:rPr>
        <w:t xml:space="preserve">s </w:t>
      </w:r>
      <w:r>
        <w:rPr>
          <w:rFonts w:eastAsiaTheme="minorHAnsi"/>
        </w:rPr>
        <w:t>Land Victoria output.</w:t>
      </w:r>
    </w:p>
    <w:p w:rsidR="00566E9A" w:rsidRDefault="00566E9A">
      <w:pPr>
        <w:spacing w:after="0"/>
        <w:rPr>
          <w:rFonts w:asciiTheme="majorHAnsi" w:eastAsiaTheme="minorHAnsi" w:hAnsiTheme="majorHAnsi"/>
          <w:b/>
          <w:caps/>
          <w:sz w:val="26"/>
        </w:rPr>
      </w:pPr>
      <w:r>
        <w:rPr>
          <w:rFonts w:eastAsiaTheme="minorHAnsi"/>
        </w:rPr>
        <w:br w:type="page"/>
      </w:r>
    </w:p>
    <w:p w:rsidR="00566E9A" w:rsidRPr="00F00EF9" w:rsidRDefault="00566E9A" w:rsidP="00AE5760">
      <w:pPr>
        <w:pStyle w:val="Heading1"/>
        <w:rPr>
          <w:rFonts w:eastAsiaTheme="minorHAnsi"/>
        </w:rPr>
      </w:pPr>
      <w:bookmarkStart w:id="60" w:name="_Toc468983295"/>
      <w:r w:rsidRPr="00F00EF9">
        <w:rPr>
          <w:rFonts w:eastAsiaTheme="minorHAnsi"/>
        </w:rPr>
        <w:lastRenderedPageBreak/>
        <w:t xml:space="preserve">Department of </w:t>
      </w:r>
      <w:r>
        <w:rPr>
          <w:rFonts w:eastAsiaTheme="minorHAnsi"/>
        </w:rPr>
        <w:t>Health and Human Services</w:t>
      </w:r>
      <w:bookmarkEnd w:id="60"/>
    </w:p>
    <w:p w:rsidR="00566E9A" w:rsidRPr="00F00EF9" w:rsidRDefault="00566E9A" w:rsidP="00AE5760">
      <w:pPr>
        <w:pStyle w:val="Heading3"/>
        <w:rPr>
          <w:rFonts w:eastAsiaTheme="minorHAnsi"/>
        </w:rPr>
      </w:pPr>
      <w:r w:rsidRPr="00F00EF9">
        <w:rPr>
          <w:rFonts w:eastAsiaTheme="minorHAnsi"/>
        </w:rPr>
        <w:t>Output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8</w:t>
      </w:r>
      <w:r w:rsidRPr="00F00EF9">
        <w:rPr>
          <w:rFonts w:eastAsiaTheme="minorHAnsi"/>
        </w:rPr>
        <w:t>:</w:t>
      </w:r>
      <w:r w:rsidRPr="00F00EF9">
        <w:rPr>
          <w:rFonts w:eastAsiaTheme="minorHAnsi"/>
        </w:rPr>
        <w:tab/>
      </w:r>
      <w:r>
        <w:rPr>
          <w:rFonts w:eastAsiaTheme="minorHAnsi"/>
        </w:rPr>
        <w:t>Output initiatives – Department of Health and Human Services</w:t>
      </w:r>
    </w:p>
    <w:p w:rsidR="00566E9A" w:rsidRPr="008734F3" w:rsidRDefault="00566E9A" w:rsidP="00AE5760">
      <w:pPr>
        <w:pStyle w:val="million"/>
        <w:rPr>
          <w:rFonts w:eastAsiaTheme="minorHAnsi"/>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1" w:type="dxa"/>
        <w:tblInd w:w="45" w:type="dxa"/>
        <w:tblLayout w:type="fixed"/>
        <w:tblCellMar>
          <w:left w:w="45" w:type="dxa"/>
          <w:right w:w="45" w:type="dxa"/>
        </w:tblCellMar>
        <w:tblLook w:val="06A0" w:firstRow="1" w:lastRow="0" w:firstColumn="1" w:lastColumn="0" w:noHBand="1" w:noVBand="1"/>
      </w:tblPr>
      <w:tblGrid>
        <w:gridCol w:w="4535"/>
        <w:gridCol w:w="805"/>
        <w:gridCol w:w="805"/>
        <w:gridCol w:w="805"/>
        <w:gridCol w:w="811"/>
      </w:tblGrid>
      <w:tr w:rsidR="00566E9A" w:rsidRPr="00A60CE4"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auto"/>
              <w:left w:val="single" w:sz="6" w:space="0" w:color="auto"/>
              <w:bottom w:val="single" w:sz="6" w:space="0" w:color="auto"/>
              <w:right w:val="nil"/>
            </w:tcBorders>
            <w:shd w:val="solid" w:color="000000" w:fill="auto"/>
          </w:tcPr>
          <w:p w:rsidR="00566E9A" w:rsidRPr="00A60CE4" w:rsidRDefault="00566E9A" w:rsidP="00AE5760">
            <w:pPr>
              <w:autoSpaceDE w:val="0"/>
              <w:autoSpaceDN w:val="0"/>
              <w:adjustRightInd w:val="0"/>
              <w:rPr>
                <w:rFonts w:eastAsiaTheme="minorEastAsia" w:cs="Calibri"/>
                <w:color w:val="FFFFFF"/>
                <w:lang w:eastAsia="en-AU"/>
              </w:rPr>
            </w:pPr>
            <w:r w:rsidRPr="00A60CE4">
              <w:rPr>
                <w:rFonts w:eastAsiaTheme="minorEastAsia" w:cs="Calibri"/>
                <w:color w:val="FFFFFF"/>
                <w:lang w:eastAsia="en-AU"/>
              </w:rPr>
              <w:t xml:space="preserve"> </w:t>
            </w:r>
          </w:p>
        </w:tc>
        <w:tc>
          <w:tcPr>
            <w:tcW w:w="805" w:type="dxa"/>
            <w:tcBorders>
              <w:top w:val="single" w:sz="6" w:space="0" w:color="auto"/>
              <w:left w:val="nil"/>
              <w:bottom w:val="single" w:sz="6" w:space="0" w:color="auto"/>
              <w:right w:val="nil"/>
            </w:tcBorders>
            <w:shd w:val="solid" w:color="000000" w:fill="auto"/>
          </w:tcPr>
          <w:p w:rsidR="00566E9A" w:rsidRPr="00A60CE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60CE4">
              <w:rPr>
                <w:rFonts w:eastAsiaTheme="minorEastAsia" w:cs="Calibri"/>
                <w:iCs/>
                <w:color w:val="FFFFFF"/>
                <w:lang w:eastAsia="en-AU"/>
              </w:rPr>
              <w:t>2016-17</w:t>
            </w:r>
          </w:p>
        </w:tc>
        <w:tc>
          <w:tcPr>
            <w:tcW w:w="805" w:type="dxa"/>
            <w:tcBorders>
              <w:top w:val="single" w:sz="6" w:space="0" w:color="auto"/>
              <w:left w:val="nil"/>
              <w:bottom w:val="single" w:sz="6" w:space="0" w:color="auto"/>
              <w:right w:val="nil"/>
            </w:tcBorders>
            <w:shd w:val="solid" w:color="000000" w:fill="auto"/>
          </w:tcPr>
          <w:p w:rsidR="00566E9A" w:rsidRPr="00A60CE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60CE4">
              <w:rPr>
                <w:rFonts w:eastAsiaTheme="minorEastAsia" w:cs="Calibri"/>
                <w:iCs/>
                <w:color w:val="FFFFFF"/>
                <w:lang w:eastAsia="en-AU"/>
              </w:rPr>
              <w:t>2017-18</w:t>
            </w:r>
          </w:p>
        </w:tc>
        <w:tc>
          <w:tcPr>
            <w:tcW w:w="805" w:type="dxa"/>
            <w:tcBorders>
              <w:top w:val="single" w:sz="6" w:space="0" w:color="auto"/>
              <w:left w:val="nil"/>
              <w:bottom w:val="single" w:sz="6" w:space="0" w:color="auto"/>
              <w:right w:val="nil"/>
            </w:tcBorders>
            <w:shd w:val="solid" w:color="000000" w:fill="auto"/>
          </w:tcPr>
          <w:p w:rsidR="00566E9A" w:rsidRPr="00A60CE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60CE4">
              <w:rPr>
                <w:rFonts w:eastAsiaTheme="minorEastAsia" w:cs="Calibri"/>
                <w:iCs/>
                <w:color w:val="FFFFFF"/>
                <w:lang w:eastAsia="en-AU"/>
              </w:rPr>
              <w:t>2018-19</w:t>
            </w:r>
          </w:p>
        </w:tc>
        <w:tc>
          <w:tcPr>
            <w:tcW w:w="811" w:type="dxa"/>
            <w:tcBorders>
              <w:top w:val="single" w:sz="6" w:space="0" w:color="auto"/>
              <w:left w:val="nil"/>
              <w:bottom w:val="single" w:sz="6" w:space="0" w:color="auto"/>
              <w:right w:val="nil"/>
            </w:tcBorders>
            <w:shd w:val="solid" w:color="000000" w:fill="auto"/>
          </w:tcPr>
          <w:p w:rsidR="00566E9A" w:rsidRPr="00A60CE4"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60CE4">
              <w:rPr>
                <w:rFonts w:eastAsiaTheme="minorEastAsia" w:cs="Calibri"/>
                <w:iCs/>
                <w:color w:val="FFFFFF"/>
                <w:lang w:eastAsia="en-AU"/>
              </w:rPr>
              <w:t>2019-20</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r w:rsidRPr="00A60CE4">
              <w:rPr>
                <w:rFonts w:eastAsiaTheme="minorEastAsia" w:cs="Calibri"/>
                <w:color w:val="000000"/>
                <w:lang w:eastAsia="en-AU"/>
              </w:rPr>
              <w:t>Improved private rental access programs for disadvantaged Victorians</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16.4</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16.8</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r w:rsidRPr="00A60CE4">
              <w:rPr>
                <w:rFonts w:eastAsiaTheme="minorEastAsia" w:cs="Calibri"/>
                <w:color w:val="000000"/>
                <w:lang w:eastAsia="en-AU"/>
              </w:rPr>
              <w:t>Improving ambulance response times</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65.9</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60.3</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101.8</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115.3</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r w:rsidRPr="00A60CE4">
              <w:rPr>
                <w:rFonts w:eastAsiaTheme="minorEastAsia" w:cs="Calibri"/>
                <w:color w:val="000000"/>
                <w:lang w:eastAsia="en-AU"/>
              </w:rPr>
              <w:t>Redevelopment of public housing estate program</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16.3</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r w:rsidRPr="00A60CE4">
              <w:rPr>
                <w:rFonts w:eastAsiaTheme="minorEastAsia" w:cs="Calibri"/>
                <w:color w:val="000000"/>
                <w:lang w:eastAsia="en-AU"/>
              </w:rPr>
              <w:t>Responses to homelessness</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1.7</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52.1</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25.7</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18.3</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r w:rsidRPr="00A60CE4">
              <w:rPr>
                <w:rFonts w:eastAsiaTheme="minorEastAsia" w:cs="Calibri"/>
                <w:color w:val="000000"/>
                <w:lang w:eastAsia="en-AU"/>
              </w:rPr>
              <w:t>Strengthened workforce response in youth justice precincts</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3.9</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6.6</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r w:rsidRPr="00A60CE4">
              <w:rPr>
                <w:rFonts w:eastAsiaTheme="minorEastAsia" w:cs="Calibri"/>
                <w:color w:val="000000"/>
                <w:lang w:eastAsia="en-AU"/>
              </w:rPr>
              <w:t>Strengthened youth justice response</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10.0</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17.0</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2.4</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566E9A" w:rsidRPr="00A60CE4" w:rsidRDefault="00566E9A" w:rsidP="00AE5760">
            <w:pPr>
              <w:autoSpaceDE w:val="0"/>
              <w:autoSpaceDN w:val="0"/>
              <w:adjustRightInd w:val="0"/>
              <w:rPr>
                <w:rFonts w:eastAsiaTheme="minorEastAsia" w:cs="Calibri"/>
                <w:color w:val="000000"/>
                <w:lang w:eastAsia="en-AU"/>
              </w:rPr>
            </w:pPr>
            <w:proofErr w:type="spellStart"/>
            <w:r w:rsidRPr="00A60CE4">
              <w:rPr>
                <w:rFonts w:eastAsiaTheme="minorEastAsia" w:cs="Calibri"/>
                <w:color w:val="000000"/>
                <w:lang w:eastAsia="en-AU"/>
              </w:rPr>
              <w:t>Supercare</w:t>
            </w:r>
            <w:proofErr w:type="spellEnd"/>
            <w:r w:rsidRPr="00A60CE4">
              <w:rPr>
                <w:rFonts w:eastAsiaTheme="minorEastAsia" w:cs="Calibri"/>
                <w:color w:val="000000"/>
                <w:lang w:eastAsia="en-AU"/>
              </w:rPr>
              <w:t xml:space="preserve"> Pharmacies – additional funding</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2.0</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4.1</w:t>
            </w:r>
          </w:p>
        </w:tc>
        <w:tc>
          <w:tcPr>
            <w:tcW w:w="805"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10.0</w:t>
            </w:r>
          </w:p>
        </w:tc>
        <w:tc>
          <w:tcPr>
            <w:tcW w:w="811" w:type="dxa"/>
            <w:tcBorders>
              <w:top w:val="nil"/>
              <w:left w:val="nil"/>
              <w:bottom w:val="nil"/>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60CE4">
              <w:rPr>
                <w:rFonts w:eastAsiaTheme="minorEastAsia" w:cs="Calibri"/>
                <w:color w:val="000000"/>
                <w:lang w:eastAsia="en-AU"/>
              </w:rPr>
              <w:t>9.6</w:t>
            </w:r>
          </w:p>
        </w:tc>
      </w:tr>
      <w:tr w:rsidR="00566E9A" w:rsidRPr="00A60CE4" w:rsidTr="00AE5760">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auto"/>
              <w:left w:val="nil"/>
              <w:bottom w:val="single" w:sz="12" w:space="0" w:color="auto"/>
              <w:right w:val="nil"/>
            </w:tcBorders>
          </w:tcPr>
          <w:p w:rsidR="00566E9A" w:rsidRPr="00A60CE4" w:rsidRDefault="00566E9A" w:rsidP="00AE5760">
            <w:pPr>
              <w:autoSpaceDE w:val="0"/>
              <w:autoSpaceDN w:val="0"/>
              <w:adjustRightInd w:val="0"/>
              <w:rPr>
                <w:rFonts w:eastAsiaTheme="minorEastAsia" w:cs="Calibri"/>
                <w:b/>
                <w:bCs/>
                <w:color w:val="000000"/>
                <w:lang w:eastAsia="en-AU"/>
              </w:rPr>
            </w:pPr>
            <w:r w:rsidRPr="00A60CE4">
              <w:rPr>
                <w:rFonts w:eastAsiaTheme="minorEastAsia" w:cs="Calibri"/>
                <w:b/>
                <w:bCs/>
                <w:color w:val="000000"/>
                <w:lang w:eastAsia="en-AU"/>
              </w:rPr>
              <w:t xml:space="preserve"> </w:t>
            </w:r>
          </w:p>
        </w:tc>
        <w:tc>
          <w:tcPr>
            <w:tcW w:w="805" w:type="dxa"/>
            <w:tcBorders>
              <w:top w:val="single" w:sz="6" w:space="0" w:color="auto"/>
              <w:left w:val="nil"/>
              <w:bottom w:val="single" w:sz="12" w:space="0" w:color="auto"/>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60CE4">
              <w:rPr>
                <w:rFonts w:eastAsiaTheme="minorEastAsia" w:cs="Calibri"/>
                <w:b/>
                <w:bCs/>
                <w:color w:val="000000"/>
                <w:lang w:eastAsia="en-AU"/>
              </w:rPr>
              <w:t>89.9</w:t>
            </w:r>
          </w:p>
        </w:tc>
        <w:tc>
          <w:tcPr>
            <w:tcW w:w="805" w:type="dxa"/>
            <w:tcBorders>
              <w:top w:val="single" w:sz="6" w:space="0" w:color="auto"/>
              <w:left w:val="nil"/>
              <w:bottom w:val="single" w:sz="12" w:space="0" w:color="auto"/>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60CE4">
              <w:rPr>
                <w:rFonts w:eastAsiaTheme="minorEastAsia" w:cs="Calibri"/>
                <w:b/>
                <w:bCs/>
                <w:color w:val="000000"/>
                <w:lang w:eastAsia="en-AU"/>
              </w:rPr>
              <w:t>149.5</w:t>
            </w:r>
          </w:p>
        </w:tc>
        <w:tc>
          <w:tcPr>
            <w:tcW w:w="805" w:type="dxa"/>
            <w:tcBorders>
              <w:top w:val="single" w:sz="6" w:space="0" w:color="auto"/>
              <w:left w:val="nil"/>
              <w:bottom w:val="single" w:sz="12" w:space="0" w:color="auto"/>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60CE4">
              <w:rPr>
                <w:rFonts w:eastAsiaTheme="minorEastAsia" w:cs="Calibri"/>
                <w:b/>
                <w:bCs/>
                <w:color w:val="000000"/>
                <w:lang w:eastAsia="en-AU"/>
              </w:rPr>
              <w:t>171.3</w:t>
            </w:r>
          </w:p>
        </w:tc>
        <w:tc>
          <w:tcPr>
            <w:tcW w:w="811" w:type="dxa"/>
            <w:tcBorders>
              <w:top w:val="single" w:sz="6" w:space="0" w:color="auto"/>
              <w:left w:val="nil"/>
              <w:bottom w:val="single" w:sz="12" w:space="0" w:color="auto"/>
              <w:right w:val="nil"/>
            </w:tcBorders>
          </w:tcPr>
          <w:p w:rsidR="00566E9A" w:rsidRPr="00A60CE4"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60CE4">
              <w:rPr>
                <w:rFonts w:eastAsiaTheme="minorEastAsia" w:cs="Calibri"/>
                <w:b/>
                <w:bCs/>
                <w:color w:val="000000"/>
                <w:lang w:eastAsia="en-AU"/>
              </w:rPr>
              <w:t>145.6</w:t>
            </w:r>
          </w:p>
        </w:tc>
      </w:tr>
    </w:tbl>
    <w:p w:rsidR="00566E9A" w:rsidRDefault="00566E9A" w:rsidP="00AE5760">
      <w:pPr>
        <w:rPr>
          <w:rFonts w:eastAsiaTheme="minorHAnsi"/>
        </w:rPr>
      </w:pPr>
    </w:p>
    <w:p w:rsidR="00566E9A" w:rsidRPr="00F00EF9" w:rsidRDefault="00566E9A" w:rsidP="00AE5760">
      <w:pPr>
        <w:pStyle w:val="Heading5"/>
        <w:rPr>
          <w:rFonts w:eastAsiaTheme="minorHAnsi"/>
        </w:rPr>
      </w:pPr>
      <w:r w:rsidRPr="00E57F15">
        <w:rPr>
          <w:rFonts w:eastAsiaTheme="minorHAnsi"/>
        </w:rPr>
        <w:t>Improved private rental access programs for disadvantaged Victorians</w:t>
      </w:r>
    </w:p>
    <w:p w:rsidR="00566E9A" w:rsidRPr="00F96F1D" w:rsidRDefault="00566E9A" w:rsidP="00AE5760">
      <w:pPr>
        <w:rPr>
          <w:rFonts w:eastAsiaTheme="minorHAnsi"/>
        </w:rPr>
      </w:pPr>
      <w:r>
        <w:rPr>
          <w:rFonts w:eastAsiaTheme="minorHAnsi"/>
        </w:rPr>
        <w:t>E</w:t>
      </w:r>
      <w:r w:rsidRPr="00F96F1D">
        <w:rPr>
          <w:rFonts w:eastAsiaTheme="minorHAnsi"/>
        </w:rPr>
        <w:t xml:space="preserve">xisting private rental access support </w:t>
      </w:r>
      <w:r>
        <w:rPr>
          <w:rFonts w:eastAsiaTheme="minorHAnsi"/>
        </w:rPr>
        <w:t xml:space="preserve">will be extended </w:t>
      </w:r>
      <w:r w:rsidRPr="00F96F1D">
        <w:rPr>
          <w:rFonts w:eastAsiaTheme="minorHAnsi"/>
        </w:rPr>
        <w:t xml:space="preserve">to continue to assist people to enter or maintain private rental housing. </w:t>
      </w:r>
      <w:r>
        <w:rPr>
          <w:rFonts w:eastAsiaTheme="minorHAnsi"/>
        </w:rPr>
        <w:t>It</w:t>
      </w:r>
      <w:r w:rsidRPr="00F96F1D">
        <w:rPr>
          <w:rFonts w:eastAsiaTheme="minorHAnsi"/>
        </w:rPr>
        <w:t xml:space="preserve"> is short-term in nature, in preference to more intense interventions, such as crisis and transitional housing. </w:t>
      </w:r>
    </w:p>
    <w:p w:rsidR="00566E9A" w:rsidRDefault="00566E9A" w:rsidP="00AE5760">
      <w:pPr>
        <w:rPr>
          <w:rFonts w:eastAsiaTheme="minorHAnsi"/>
        </w:rPr>
      </w:pPr>
      <w:r w:rsidRPr="00F96F1D">
        <w:rPr>
          <w:rFonts w:eastAsiaTheme="minorHAnsi"/>
        </w:rPr>
        <w:t>This initiative contributes to the Department of Health and Human Services</w:t>
      </w:r>
      <w:r>
        <w:rPr>
          <w:rFonts w:eastAsiaTheme="minorHAnsi"/>
        </w:rPr>
        <w:t>’</w:t>
      </w:r>
      <w:r w:rsidRPr="00F96F1D">
        <w:rPr>
          <w:rFonts w:eastAsiaTheme="minorHAnsi"/>
        </w:rPr>
        <w:t xml:space="preserve"> Housing Assistance output</w:t>
      </w:r>
      <w:r>
        <w:rPr>
          <w:rFonts w:eastAsiaTheme="minorHAnsi"/>
        </w:rPr>
        <w:t>.</w:t>
      </w:r>
    </w:p>
    <w:p w:rsidR="00566E9A" w:rsidRDefault="00566E9A" w:rsidP="00AE5760">
      <w:pPr>
        <w:pStyle w:val="Heading5"/>
        <w:rPr>
          <w:rFonts w:eastAsiaTheme="minorHAnsi"/>
        </w:rPr>
      </w:pPr>
      <w:r>
        <w:rPr>
          <w:rFonts w:eastAsiaTheme="minorHAnsi"/>
        </w:rPr>
        <w:t xml:space="preserve">Improving </w:t>
      </w:r>
      <w:r w:rsidRPr="000B4B73">
        <w:rPr>
          <w:rFonts w:eastAsiaTheme="minorHAnsi"/>
        </w:rPr>
        <w:t>ambulance response t</w:t>
      </w:r>
      <w:r>
        <w:rPr>
          <w:rFonts w:eastAsiaTheme="minorHAnsi"/>
        </w:rPr>
        <w:t>imes</w:t>
      </w:r>
    </w:p>
    <w:p w:rsidR="00566E9A" w:rsidRPr="000B4B73" w:rsidRDefault="00566E9A" w:rsidP="00AE5760">
      <w:pPr>
        <w:rPr>
          <w:rFonts w:eastAsiaTheme="minorHAnsi"/>
        </w:rPr>
      </w:pPr>
      <w:r>
        <w:rPr>
          <w:rFonts w:eastAsiaTheme="minorHAnsi"/>
        </w:rPr>
        <w:t xml:space="preserve">Ambulance response times </w:t>
      </w:r>
      <w:r w:rsidRPr="000B4B73">
        <w:rPr>
          <w:rFonts w:eastAsiaTheme="minorHAnsi"/>
        </w:rPr>
        <w:t xml:space="preserve">will </w:t>
      </w:r>
      <w:r>
        <w:rPr>
          <w:rFonts w:eastAsiaTheme="minorHAnsi"/>
        </w:rPr>
        <w:t xml:space="preserve">be </w:t>
      </w:r>
      <w:r w:rsidRPr="000B4B73">
        <w:rPr>
          <w:rFonts w:eastAsiaTheme="minorHAnsi"/>
        </w:rPr>
        <w:t>improve</w:t>
      </w:r>
      <w:r>
        <w:rPr>
          <w:rFonts w:eastAsiaTheme="minorHAnsi"/>
        </w:rPr>
        <w:t xml:space="preserve">d </w:t>
      </w:r>
      <w:r w:rsidRPr="000B4B73">
        <w:rPr>
          <w:rFonts w:eastAsiaTheme="minorHAnsi"/>
        </w:rPr>
        <w:t xml:space="preserve">by: employing 450 paramedics over the next three years; establishing six new super response centres to meet demand in key areas; building new or upgrading 15 ambulance </w:t>
      </w:r>
      <w:r>
        <w:rPr>
          <w:rFonts w:eastAsiaTheme="minorHAnsi"/>
        </w:rPr>
        <w:t>stations</w:t>
      </w:r>
      <w:r w:rsidRPr="000B4B73">
        <w:rPr>
          <w:rFonts w:eastAsiaTheme="minorHAnsi"/>
        </w:rPr>
        <w:t>; purchasing new ambulance vehicles and equipment; creating 12 new services in rural and remote towns with a local paramedic and vehicle; and investing in hospital emergency departments to increase the availability of beds.</w:t>
      </w:r>
    </w:p>
    <w:p w:rsidR="00566E9A" w:rsidRPr="000B4B73" w:rsidRDefault="00566E9A" w:rsidP="00AE5760">
      <w:pPr>
        <w:rPr>
          <w:rFonts w:eastAsiaTheme="minorHAnsi"/>
        </w:rPr>
      </w:pPr>
      <w:r w:rsidRPr="000B4B73">
        <w:rPr>
          <w:rFonts w:eastAsiaTheme="minorHAnsi"/>
        </w:rPr>
        <w:t>This initiative contributes to the Department of Health and Human Services</w:t>
      </w:r>
      <w:r>
        <w:rPr>
          <w:rFonts w:eastAsiaTheme="minorHAnsi"/>
        </w:rPr>
        <w:t>’</w:t>
      </w:r>
      <w:r w:rsidRPr="000B4B73">
        <w:rPr>
          <w:rFonts w:eastAsiaTheme="minorHAnsi"/>
        </w:rPr>
        <w:t>:</w:t>
      </w:r>
    </w:p>
    <w:p w:rsidR="00566E9A" w:rsidRPr="000B4B73" w:rsidRDefault="00566E9A" w:rsidP="00AE5760">
      <w:pPr>
        <w:pStyle w:val="BulletText"/>
        <w:rPr>
          <w:rFonts w:eastAsiaTheme="minorHAnsi"/>
        </w:rPr>
      </w:pPr>
      <w:r w:rsidRPr="000B4B73">
        <w:rPr>
          <w:rFonts w:eastAsiaTheme="minorHAnsi"/>
        </w:rPr>
        <w:t>Ambulance Emergency Services output;</w:t>
      </w:r>
    </w:p>
    <w:p w:rsidR="00566E9A" w:rsidRPr="000B4B73" w:rsidRDefault="00566E9A" w:rsidP="00AE5760">
      <w:pPr>
        <w:pStyle w:val="BulletText"/>
        <w:rPr>
          <w:rFonts w:eastAsiaTheme="minorHAnsi"/>
        </w:rPr>
      </w:pPr>
      <w:r w:rsidRPr="000B4B73">
        <w:rPr>
          <w:rFonts w:eastAsiaTheme="minorHAnsi"/>
        </w:rPr>
        <w:t>Ambulance Non-Emergency Services output; and</w:t>
      </w:r>
    </w:p>
    <w:p w:rsidR="00566E9A" w:rsidRDefault="00566E9A" w:rsidP="00AE5760">
      <w:pPr>
        <w:pStyle w:val="BulletText"/>
        <w:rPr>
          <w:rFonts w:eastAsiaTheme="minorHAnsi"/>
        </w:rPr>
      </w:pPr>
      <w:r w:rsidRPr="000B4B73">
        <w:rPr>
          <w:rFonts w:eastAsiaTheme="minorHAnsi"/>
        </w:rPr>
        <w:t>Emergency Services output.</w:t>
      </w:r>
    </w:p>
    <w:p w:rsidR="00566E9A" w:rsidRPr="00F00EF9" w:rsidRDefault="00566E9A" w:rsidP="00AE5760">
      <w:pPr>
        <w:pStyle w:val="Heading5"/>
        <w:rPr>
          <w:rFonts w:eastAsiaTheme="minorHAnsi"/>
        </w:rPr>
      </w:pPr>
      <w:r w:rsidRPr="00E57F15">
        <w:rPr>
          <w:rFonts w:eastAsiaTheme="minorHAnsi"/>
        </w:rPr>
        <w:t xml:space="preserve">Redevelopment of </w:t>
      </w:r>
      <w:r>
        <w:rPr>
          <w:rFonts w:eastAsiaTheme="minorHAnsi"/>
        </w:rPr>
        <w:t>p</w:t>
      </w:r>
      <w:r w:rsidRPr="00E57F15">
        <w:rPr>
          <w:rFonts w:eastAsiaTheme="minorHAnsi"/>
        </w:rPr>
        <w:t xml:space="preserve">ublic </w:t>
      </w:r>
      <w:r>
        <w:rPr>
          <w:rFonts w:eastAsiaTheme="minorHAnsi"/>
        </w:rPr>
        <w:t>h</w:t>
      </w:r>
      <w:r w:rsidRPr="00E57F15">
        <w:rPr>
          <w:rFonts w:eastAsiaTheme="minorHAnsi"/>
        </w:rPr>
        <w:t xml:space="preserve">ousing </w:t>
      </w:r>
      <w:r>
        <w:rPr>
          <w:rFonts w:eastAsiaTheme="minorHAnsi"/>
        </w:rPr>
        <w:t>e</w:t>
      </w:r>
      <w:r w:rsidRPr="00E57F15">
        <w:rPr>
          <w:rFonts w:eastAsiaTheme="minorHAnsi"/>
        </w:rPr>
        <w:t xml:space="preserve">state </w:t>
      </w:r>
      <w:r>
        <w:rPr>
          <w:rFonts w:eastAsiaTheme="minorHAnsi"/>
        </w:rPr>
        <w:t>p</w:t>
      </w:r>
      <w:r w:rsidRPr="00E57F15">
        <w:rPr>
          <w:rFonts w:eastAsiaTheme="minorHAnsi"/>
        </w:rPr>
        <w:t>rogram</w:t>
      </w:r>
    </w:p>
    <w:p w:rsidR="00566E9A" w:rsidRPr="009960F4" w:rsidRDefault="00566E9A" w:rsidP="00AE5760">
      <w:pPr>
        <w:rPr>
          <w:rFonts w:eastAsiaTheme="minorHAnsi"/>
        </w:rPr>
      </w:pPr>
      <w:r>
        <w:rPr>
          <w:rFonts w:eastAsiaTheme="minorHAnsi"/>
        </w:rPr>
        <w:t>The Government will e</w:t>
      </w:r>
      <w:r w:rsidRPr="009960F4">
        <w:rPr>
          <w:rFonts w:eastAsiaTheme="minorHAnsi"/>
        </w:rPr>
        <w:t>stablish a project planning and delivery program to redevelop existing public housing estates. This program will engage Development Victoria, the community housing sector, and the private sector, and wi</w:t>
      </w:r>
      <w:r>
        <w:rPr>
          <w:rFonts w:eastAsiaTheme="minorHAnsi"/>
        </w:rPr>
        <w:t xml:space="preserve">ll lead to the redevelopment </w:t>
      </w:r>
      <w:r>
        <w:rPr>
          <w:rFonts w:eastAsiaTheme="minorHAnsi"/>
        </w:rPr>
        <w:br/>
        <w:t xml:space="preserve">of </w:t>
      </w:r>
      <w:r w:rsidRPr="009960F4">
        <w:rPr>
          <w:rFonts w:eastAsiaTheme="minorHAnsi"/>
        </w:rPr>
        <w:t xml:space="preserve">public housing properties, new social housing dwellings and private properties. </w:t>
      </w:r>
    </w:p>
    <w:p w:rsidR="00566E9A" w:rsidRDefault="00566E9A" w:rsidP="00AE5760">
      <w:pPr>
        <w:rPr>
          <w:rFonts w:eastAsiaTheme="minorHAnsi"/>
        </w:rPr>
      </w:pPr>
      <w:r w:rsidRPr="009960F4">
        <w:rPr>
          <w:rFonts w:eastAsiaTheme="minorHAnsi"/>
        </w:rPr>
        <w:t>This initiative contributes to the Department of Health and Human Services</w:t>
      </w:r>
      <w:r>
        <w:rPr>
          <w:rFonts w:eastAsiaTheme="minorHAnsi"/>
        </w:rPr>
        <w:t>’</w:t>
      </w:r>
      <w:r w:rsidRPr="009960F4">
        <w:rPr>
          <w:rFonts w:eastAsiaTheme="minorHAnsi"/>
        </w:rPr>
        <w:t xml:space="preserve"> Housing Assistance output.</w:t>
      </w:r>
    </w:p>
    <w:p w:rsidR="00566E9A" w:rsidRPr="00F00EF9" w:rsidRDefault="00566E9A" w:rsidP="00AE5760">
      <w:pPr>
        <w:pStyle w:val="Heading5"/>
        <w:rPr>
          <w:rFonts w:eastAsiaTheme="minorHAnsi"/>
        </w:rPr>
      </w:pPr>
      <w:r w:rsidRPr="00E57F15">
        <w:rPr>
          <w:rFonts w:eastAsiaTheme="minorHAnsi"/>
        </w:rPr>
        <w:lastRenderedPageBreak/>
        <w:t>Responses to homelessness</w:t>
      </w:r>
    </w:p>
    <w:p w:rsidR="00566E9A" w:rsidRPr="009960F4" w:rsidRDefault="00566E9A" w:rsidP="00AE5760">
      <w:pPr>
        <w:rPr>
          <w:rFonts w:eastAsiaTheme="minorHAnsi"/>
        </w:rPr>
      </w:pPr>
      <w:r>
        <w:rPr>
          <w:rFonts w:eastAsiaTheme="minorHAnsi"/>
        </w:rPr>
        <w:t>The Government</w:t>
      </w:r>
      <w:r w:rsidRPr="009960F4">
        <w:rPr>
          <w:rFonts w:eastAsiaTheme="minorHAnsi"/>
        </w:rPr>
        <w:t xml:space="preserve"> will help 19</w:t>
      </w:r>
      <w:r>
        <w:rPr>
          <w:rFonts w:eastAsiaTheme="minorHAnsi"/>
        </w:rPr>
        <w:t xml:space="preserve"> </w:t>
      </w:r>
      <w:r w:rsidRPr="009960F4">
        <w:rPr>
          <w:rFonts w:eastAsiaTheme="minorHAnsi"/>
        </w:rPr>
        <w:t>000 people at risk of or experiencing homelessness over the next five years, providing targeted support in particular for rough sleepers, young people and veterans. The package includes support for more than 1</w:t>
      </w:r>
      <w:r>
        <w:rPr>
          <w:rFonts w:eastAsiaTheme="minorHAnsi"/>
        </w:rPr>
        <w:t xml:space="preserve"> </w:t>
      </w:r>
      <w:r w:rsidRPr="009960F4">
        <w:rPr>
          <w:rFonts w:eastAsiaTheme="minorHAnsi"/>
        </w:rPr>
        <w:t>900 people to access housing, mental health, alcohol and drug services.</w:t>
      </w:r>
    </w:p>
    <w:p w:rsidR="00566E9A" w:rsidRPr="009960F4" w:rsidRDefault="00566E9A" w:rsidP="00AE5760">
      <w:pPr>
        <w:rPr>
          <w:rFonts w:eastAsiaTheme="minorHAnsi"/>
        </w:rPr>
      </w:pPr>
      <w:r w:rsidRPr="009960F4">
        <w:rPr>
          <w:rFonts w:eastAsiaTheme="minorHAnsi"/>
        </w:rPr>
        <w:t>This initiative contributes to the Department of Health and Human Services</w:t>
      </w:r>
      <w:r>
        <w:rPr>
          <w:rFonts w:eastAsiaTheme="minorHAnsi"/>
        </w:rPr>
        <w:t>’</w:t>
      </w:r>
      <w:r w:rsidRPr="009960F4">
        <w:rPr>
          <w:rFonts w:eastAsiaTheme="minorHAnsi"/>
        </w:rPr>
        <w:t xml:space="preserve"> Housing Assistance output.</w:t>
      </w:r>
    </w:p>
    <w:p w:rsidR="00566E9A" w:rsidRPr="00F00EF9" w:rsidRDefault="00566E9A" w:rsidP="00AE5760">
      <w:pPr>
        <w:pStyle w:val="Heading5"/>
        <w:rPr>
          <w:rFonts w:eastAsiaTheme="minorHAnsi"/>
        </w:rPr>
      </w:pPr>
      <w:r w:rsidRPr="00E57F15">
        <w:rPr>
          <w:rFonts w:eastAsiaTheme="minorHAnsi"/>
        </w:rPr>
        <w:t>Strengthened workforce response in youth justice precincts</w:t>
      </w:r>
    </w:p>
    <w:p w:rsidR="00566E9A" w:rsidRPr="00E57F15" w:rsidRDefault="00566E9A" w:rsidP="00AE5760">
      <w:pPr>
        <w:rPr>
          <w:rFonts w:eastAsiaTheme="minorHAnsi"/>
        </w:rPr>
      </w:pPr>
      <w:r>
        <w:rPr>
          <w:rFonts w:eastAsiaTheme="minorHAnsi"/>
        </w:rPr>
        <w:t>S</w:t>
      </w:r>
      <w:r w:rsidRPr="00E57F15">
        <w:rPr>
          <w:rFonts w:eastAsiaTheme="minorHAnsi"/>
        </w:rPr>
        <w:t xml:space="preserve">taffing and managerial supervision </w:t>
      </w:r>
      <w:r>
        <w:rPr>
          <w:rFonts w:eastAsiaTheme="minorHAnsi"/>
        </w:rPr>
        <w:t xml:space="preserve">will be increased </w:t>
      </w:r>
      <w:r w:rsidRPr="00E57F15">
        <w:rPr>
          <w:rFonts w:eastAsiaTheme="minorHAnsi"/>
        </w:rPr>
        <w:t xml:space="preserve">to address </w:t>
      </w:r>
      <w:r>
        <w:rPr>
          <w:rFonts w:eastAsiaTheme="minorHAnsi"/>
        </w:rPr>
        <w:t>safety concerns</w:t>
      </w:r>
      <w:r w:rsidRPr="00E57F15">
        <w:rPr>
          <w:rFonts w:eastAsiaTheme="minorHAnsi"/>
        </w:rPr>
        <w:t xml:space="preserve"> at Malmsbury and Parkville Youth Justice Precinct</w:t>
      </w:r>
      <w:r>
        <w:rPr>
          <w:rFonts w:eastAsiaTheme="minorHAnsi"/>
        </w:rPr>
        <w:t>s</w:t>
      </w:r>
      <w:r w:rsidRPr="00E57F15">
        <w:rPr>
          <w:rFonts w:eastAsiaTheme="minorHAnsi"/>
        </w:rPr>
        <w:t xml:space="preserve">. </w:t>
      </w:r>
    </w:p>
    <w:p w:rsidR="00566E9A" w:rsidRPr="00E57F15" w:rsidRDefault="00566E9A" w:rsidP="00AE5760">
      <w:pPr>
        <w:rPr>
          <w:rFonts w:eastAsiaTheme="minorHAnsi"/>
        </w:rPr>
      </w:pPr>
      <w:r w:rsidRPr="00E57F15">
        <w:rPr>
          <w:rFonts w:eastAsiaTheme="minorHAnsi"/>
        </w:rPr>
        <w:t>This initiative contributes to the Department of Health and Human Services</w:t>
      </w:r>
      <w:r>
        <w:rPr>
          <w:rFonts w:eastAsiaTheme="minorHAnsi"/>
        </w:rPr>
        <w:t>’</w:t>
      </w:r>
      <w:r w:rsidRPr="00E57F15">
        <w:rPr>
          <w:rFonts w:eastAsiaTheme="minorHAnsi"/>
        </w:rPr>
        <w:t xml:space="preserve"> Youth Justice Custodial Services output.</w:t>
      </w:r>
    </w:p>
    <w:p w:rsidR="00566E9A" w:rsidRPr="00F00EF9" w:rsidRDefault="00566E9A" w:rsidP="00AE5760">
      <w:pPr>
        <w:pStyle w:val="Heading5"/>
        <w:rPr>
          <w:rFonts w:eastAsiaTheme="minorHAnsi"/>
        </w:rPr>
      </w:pPr>
      <w:r>
        <w:rPr>
          <w:rFonts w:eastAsiaTheme="minorHAnsi"/>
        </w:rPr>
        <w:t>Strengthened y</w:t>
      </w:r>
      <w:r w:rsidRPr="00E57F15">
        <w:rPr>
          <w:rFonts w:eastAsiaTheme="minorHAnsi"/>
        </w:rPr>
        <w:t xml:space="preserve">outh </w:t>
      </w:r>
      <w:r>
        <w:rPr>
          <w:rFonts w:eastAsiaTheme="minorHAnsi"/>
        </w:rPr>
        <w:t>justice response</w:t>
      </w:r>
    </w:p>
    <w:p w:rsidR="00566E9A" w:rsidRDefault="00566E9A" w:rsidP="00AE5760">
      <w:pPr>
        <w:rPr>
          <w:rFonts w:eastAsiaTheme="minorHAnsi"/>
        </w:rPr>
      </w:pPr>
      <w:r>
        <w:rPr>
          <w:rFonts w:eastAsiaTheme="minorHAnsi"/>
        </w:rPr>
        <w:t>A n</w:t>
      </w:r>
      <w:r w:rsidRPr="00E57F15">
        <w:rPr>
          <w:rFonts w:eastAsiaTheme="minorHAnsi"/>
        </w:rPr>
        <w:t xml:space="preserve">ew intensive monitoring bail supervision scheme </w:t>
      </w:r>
      <w:r>
        <w:rPr>
          <w:rFonts w:eastAsiaTheme="minorHAnsi"/>
        </w:rPr>
        <w:t xml:space="preserve">will be implemented </w:t>
      </w:r>
      <w:r w:rsidRPr="00E57F15">
        <w:rPr>
          <w:rFonts w:eastAsiaTheme="minorHAnsi"/>
        </w:rPr>
        <w:t xml:space="preserve">to manage young people </w:t>
      </w:r>
      <w:r>
        <w:rPr>
          <w:rFonts w:eastAsiaTheme="minorHAnsi"/>
        </w:rPr>
        <w:t>who</w:t>
      </w:r>
      <w:r w:rsidRPr="00E57F15">
        <w:rPr>
          <w:rFonts w:eastAsiaTheme="minorHAnsi"/>
        </w:rPr>
        <w:t xml:space="preserve"> come into contact with the youth justice system in the community whil</w:t>
      </w:r>
      <w:r>
        <w:rPr>
          <w:rFonts w:eastAsiaTheme="minorHAnsi"/>
        </w:rPr>
        <w:t>e</w:t>
      </w:r>
      <w:r w:rsidRPr="00E57F15">
        <w:rPr>
          <w:rFonts w:eastAsiaTheme="minorHAnsi"/>
        </w:rPr>
        <w:t xml:space="preserve"> awaiting trial. </w:t>
      </w:r>
      <w:r>
        <w:rPr>
          <w:rFonts w:eastAsiaTheme="minorHAnsi"/>
        </w:rPr>
        <w:t xml:space="preserve">A </w:t>
      </w:r>
      <w:r w:rsidRPr="00E57F15">
        <w:rPr>
          <w:rFonts w:eastAsiaTheme="minorHAnsi"/>
        </w:rPr>
        <w:t xml:space="preserve">Youth Control Order will provide </w:t>
      </w:r>
      <w:r>
        <w:rPr>
          <w:rFonts w:eastAsiaTheme="minorHAnsi"/>
        </w:rPr>
        <w:t xml:space="preserve">a new more intensive and targeted supervision </w:t>
      </w:r>
      <w:r w:rsidRPr="00E57F15">
        <w:rPr>
          <w:rFonts w:eastAsiaTheme="minorHAnsi"/>
        </w:rPr>
        <w:t>sentencing option for the Children</w:t>
      </w:r>
      <w:r>
        <w:rPr>
          <w:rFonts w:eastAsiaTheme="minorHAnsi"/>
        </w:rPr>
        <w:t>’</w:t>
      </w:r>
      <w:r w:rsidRPr="00E57F15">
        <w:rPr>
          <w:rFonts w:eastAsiaTheme="minorHAnsi"/>
        </w:rPr>
        <w:t xml:space="preserve">s Court. </w:t>
      </w:r>
    </w:p>
    <w:p w:rsidR="00566E9A" w:rsidRPr="00507408" w:rsidRDefault="00566E9A" w:rsidP="00AE5760">
      <w:pPr>
        <w:rPr>
          <w:rFonts w:eastAsiaTheme="minorHAnsi"/>
        </w:rPr>
      </w:pPr>
      <w:r w:rsidRPr="00507408">
        <w:rPr>
          <w:rFonts w:eastAsiaTheme="minorHAnsi"/>
        </w:rPr>
        <w:t xml:space="preserve">The existing Youth Justice Bail Supervision program will be expanded to enable </w:t>
      </w:r>
      <w:proofErr w:type="spellStart"/>
      <w:r w:rsidRPr="00507408">
        <w:rPr>
          <w:rFonts w:eastAsiaTheme="minorHAnsi"/>
        </w:rPr>
        <w:t>statewide</w:t>
      </w:r>
      <w:proofErr w:type="spellEnd"/>
      <w:r w:rsidRPr="00507408">
        <w:rPr>
          <w:rFonts w:eastAsiaTheme="minorHAnsi"/>
        </w:rPr>
        <w:t xml:space="preserve"> supervision and support of young people in the community while awaiting a court hearing.  </w:t>
      </w:r>
    </w:p>
    <w:p w:rsidR="00566E9A" w:rsidRPr="00507408" w:rsidRDefault="00566E9A" w:rsidP="00AE5760">
      <w:pPr>
        <w:rPr>
          <w:rFonts w:eastAsiaTheme="minorHAnsi"/>
        </w:rPr>
      </w:pPr>
      <w:r w:rsidRPr="00507408">
        <w:rPr>
          <w:rFonts w:eastAsiaTheme="minorHAnsi"/>
        </w:rPr>
        <w:t xml:space="preserve">The hours of operation of the Central After-Hours Assessment and Bail Placement Service will be extended and </w:t>
      </w:r>
      <w:r>
        <w:rPr>
          <w:rFonts w:eastAsiaTheme="minorHAnsi"/>
        </w:rPr>
        <w:t xml:space="preserve">the </w:t>
      </w:r>
      <w:r w:rsidRPr="00507408">
        <w:rPr>
          <w:rFonts w:eastAsiaTheme="minorHAnsi"/>
        </w:rPr>
        <w:t>role of staff will be expanded to enable additional support to young people and their famil</w:t>
      </w:r>
      <w:r>
        <w:rPr>
          <w:rFonts w:eastAsiaTheme="minorHAnsi"/>
        </w:rPr>
        <w:t>ies</w:t>
      </w:r>
      <w:r w:rsidRPr="00507408">
        <w:rPr>
          <w:rFonts w:eastAsiaTheme="minorHAnsi"/>
        </w:rPr>
        <w:t xml:space="preserve"> following a court hearing. </w:t>
      </w:r>
    </w:p>
    <w:p w:rsidR="00566E9A" w:rsidRDefault="00566E9A" w:rsidP="00AE5760">
      <w:pPr>
        <w:rPr>
          <w:rFonts w:eastAsiaTheme="minorHAnsi"/>
        </w:rPr>
      </w:pPr>
      <w:r w:rsidRPr="00507408">
        <w:rPr>
          <w:rFonts w:eastAsiaTheme="minorHAnsi"/>
        </w:rPr>
        <w:t>This initiative contributes to the Department of Health and Human Services’</w:t>
      </w:r>
      <w:r>
        <w:rPr>
          <w:rFonts w:eastAsiaTheme="minorHAnsi"/>
        </w:rPr>
        <w:t>:</w:t>
      </w:r>
    </w:p>
    <w:p w:rsidR="00566E9A" w:rsidRDefault="00566E9A" w:rsidP="00AE5760">
      <w:pPr>
        <w:pStyle w:val="BulletText"/>
        <w:rPr>
          <w:rFonts w:eastAsiaTheme="minorHAnsi"/>
        </w:rPr>
      </w:pPr>
      <w:r w:rsidRPr="00507408">
        <w:rPr>
          <w:rFonts w:eastAsiaTheme="minorHAnsi"/>
        </w:rPr>
        <w:t>Community</w:t>
      </w:r>
      <w:r>
        <w:rPr>
          <w:rFonts w:eastAsiaTheme="minorHAnsi"/>
        </w:rPr>
        <w:t>-b</w:t>
      </w:r>
      <w:r w:rsidRPr="00507408">
        <w:rPr>
          <w:rFonts w:eastAsiaTheme="minorHAnsi"/>
        </w:rPr>
        <w:t>ased Services</w:t>
      </w:r>
      <w:r>
        <w:rPr>
          <w:rFonts w:eastAsiaTheme="minorHAnsi"/>
        </w:rPr>
        <w:t xml:space="preserve"> output;</w:t>
      </w:r>
      <w:r w:rsidRPr="00507408">
        <w:rPr>
          <w:rFonts w:eastAsiaTheme="minorHAnsi"/>
        </w:rPr>
        <w:t xml:space="preserve"> and </w:t>
      </w:r>
    </w:p>
    <w:p w:rsidR="00566E9A" w:rsidRDefault="00566E9A" w:rsidP="00AE5760">
      <w:pPr>
        <w:pStyle w:val="BulletText"/>
        <w:rPr>
          <w:rFonts w:eastAsiaTheme="minorHAnsi"/>
        </w:rPr>
      </w:pPr>
      <w:r w:rsidRPr="00507408">
        <w:rPr>
          <w:rFonts w:eastAsiaTheme="minorHAnsi"/>
        </w:rPr>
        <w:t>Child Protec</w:t>
      </w:r>
      <w:r>
        <w:rPr>
          <w:rFonts w:eastAsiaTheme="minorHAnsi"/>
        </w:rPr>
        <w:t>tion and Family Services output</w:t>
      </w:r>
      <w:r w:rsidRPr="00507408">
        <w:rPr>
          <w:rFonts w:eastAsiaTheme="minorHAnsi"/>
        </w:rPr>
        <w:t>.</w:t>
      </w:r>
      <w:r>
        <w:rPr>
          <w:rFonts w:eastAsiaTheme="minorHAnsi"/>
        </w:rPr>
        <w:t xml:space="preserve"> </w:t>
      </w:r>
    </w:p>
    <w:p w:rsidR="00566E9A" w:rsidRPr="00F00EF9" w:rsidRDefault="00566E9A" w:rsidP="00AE5760">
      <w:pPr>
        <w:pStyle w:val="Heading5"/>
        <w:rPr>
          <w:rFonts w:eastAsiaTheme="minorHAnsi"/>
        </w:rPr>
      </w:pPr>
      <w:proofErr w:type="spellStart"/>
      <w:r w:rsidRPr="007006DB">
        <w:rPr>
          <w:rFonts w:eastAsiaTheme="minorHAnsi"/>
        </w:rPr>
        <w:t>Supercare</w:t>
      </w:r>
      <w:proofErr w:type="spellEnd"/>
      <w:r w:rsidRPr="007006DB">
        <w:rPr>
          <w:rFonts w:eastAsiaTheme="minorHAnsi"/>
        </w:rPr>
        <w:t xml:space="preserve"> Pharmacies – additional funding</w:t>
      </w:r>
    </w:p>
    <w:p w:rsidR="00566E9A" w:rsidRPr="007006DB" w:rsidRDefault="00566E9A" w:rsidP="00AE5760">
      <w:pPr>
        <w:rPr>
          <w:rFonts w:eastAsiaTheme="minorHAnsi"/>
        </w:rPr>
      </w:pPr>
      <w:r w:rsidRPr="007006DB">
        <w:rPr>
          <w:rFonts w:eastAsiaTheme="minorHAnsi"/>
        </w:rPr>
        <w:t xml:space="preserve">Additional funding will support the establishment of 20 </w:t>
      </w:r>
      <w:proofErr w:type="spellStart"/>
      <w:r w:rsidRPr="007006DB">
        <w:rPr>
          <w:rFonts w:eastAsiaTheme="minorHAnsi"/>
        </w:rPr>
        <w:t>Supercare</w:t>
      </w:r>
      <w:proofErr w:type="spellEnd"/>
      <w:r w:rsidRPr="007006DB">
        <w:rPr>
          <w:rFonts w:eastAsiaTheme="minorHAnsi"/>
        </w:rPr>
        <w:t xml:space="preserve"> Pharmacies across metropolitan and regional Victoria. They will stay open for 24 hours and a nurse will be present between 6pm and 10pm to provide face-to-face advice and services.</w:t>
      </w:r>
    </w:p>
    <w:p w:rsidR="00566E9A" w:rsidRDefault="00566E9A" w:rsidP="00AE5760">
      <w:pPr>
        <w:rPr>
          <w:rFonts w:asciiTheme="majorHAnsi" w:eastAsiaTheme="minorHAnsi" w:hAnsiTheme="majorHAnsi"/>
          <w:b/>
          <w:i/>
          <w:kern w:val="28"/>
          <w:sz w:val="24"/>
        </w:rPr>
      </w:pPr>
      <w:r w:rsidRPr="007006DB">
        <w:rPr>
          <w:rFonts w:eastAsiaTheme="minorHAnsi"/>
        </w:rPr>
        <w:t>This initiative contributes to the Department of Health and Human Services’ Community Health Care output.</w:t>
      </w:r>
      <w:r w:rsidRPr="00E57F15">
        <w:rPr>
          <w:rFonts w:eastAsiaTheme="minorHAnsi"/>
        </w:rPr>
        <w:t xml:space="preserve"> </w:t>
      </w:r>
      <w:r>
        <w:rPr>
          <w:rFonts w:eastAsiaTheme="minorHAnsi"/>
        </w:rPr>
        <w:br w:type="page"/>
      </w:r>
    </w:p>
    <w:p w:rsidR="00566E9A" w:rsidRPr="00F00EF9" w:rsidRDefault="00566E9A" w:rsidP="00AE5760">
      <w:pPr>
        <w:pStyle w:val="Heading3"/>
        <w:rPr>
          <w:rFonts w:eastAsiaTheme="minorHAnsi"/>
        </w:rPr>
      </w:pPr>
      <w:r>
        <w:rPr>
          <w:rFonts w:eastAsiaTheme="minorHAnsi"/>
        </w:rPr>
        <w:lastRenderedPageBreak/>
        <w:t>Asset</w:t>
      </w:r>
      <w:r w:rsidRPr="00F00EF9">
        <w:rPr>
          <w:rFonts w:eastAsiaTheme="minorHAnsi"/>
        </w:rPr>
        <w:t xml:space="preserve">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9</w:t>
      </w:r>
      <w:r w:rsidRPr="00F00EF9">
        <w:rPr>
          <w:rFonts w:eastAsiaTheme="minorHAnsi"/>
        </w:rPr>
        <w:t>:</w:t>
      </w:r>
      <w:r w:rsidRPr="00F00EF9">
        <w:rPr>
          <w:rFonts w:eastAsiaTheme="minorHAnsi"/>
        </w:rPr>
        <w:tab/>
      </w:r>
      <w:r>
        <w:rPr>
          <w:rFonts w:eastAsiaTheme="minorHAnsi"/>
        </w:rPr>
        <w:t>Asset initiatives – Department of Health and Human Services</w:t>
      </w:r>
    </w:p>
    <w:p w:rsidR="00566E9A" w:rsidRPr="008734F3" w:rsidRDefault="00566E9A" w:rsidP="00AE5760">
      <w:pPr>
        <w:pStyle w:val="million"/>
        <w:rPr>
          <w:rFonts w:eastAsiaTheme="minorHAnsi"/>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6" w:type="dxa"/>
        <w:tblInd w:w="45" w:type="dxa"/>
        <w:tblLayout w:type="fixed"/>
        <w:tblCellMar>
          <w:left w:w="45" w:type="dxa"/>
          <w:right w:w="45" w:type="dxa"/>
        </w:tblCellMar>
        <w:tblLook w:val="06A0" w:firstRow="1" w:lastRow="0" w:firstColumn="1" w:lastColumn="0" w:noHBand="1" w:noVBand="1"/>
      </w:tblPr>
      <w:tblGrid>
        <w:gridCol w:w="3827"/>
        <w:gridCol w:w="816"/>
        <w:gridCol w:w="816"/>
        <w:gridCol w:w="816"/>
        <w:gridCol w:w="816"/>
        <w:gridCol w:w="675"/>
      </w:tblGrid>
      <w:tr w:rsidR="00566E9A" w:rsidRPr="00DA73D3"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auto"/>
              <w:left w:val="single" w:sz="6" w:space="0" w:color="auto"/>
              <w:bottom w:val="single" w:sz="6" w:space="0" w:color="auto"/>
              <w:right w:val="nil"/>
            </w:tcBorders>
            <w:shd w:val="solid" w:color="000000" w:fill="auto"/>
          </w:tcPr>
          <w:p w:rsidR="00566E9A" w:rsidRPr="00DA73D3" w:rsidRDefault="00566E9A" w:rsidP="00AE5760">
            <w:pPr>
              <w:autoSpaceDE w:val="0"/>
              <w:autoSpaceDN w:val="0"/>
              <w:adjustRightInd w:val="0"/>
              <w:rPr>
                <w:rFonts w:eastAsiaTheme="minorEastAsia" w:cs="Calibri"/>
                <w:color w:val="FFFFFF"/>
                <w:lang w:eastAsia="en-AU"/>
              </w:rPr>
            </w:pPr>
            <w:r w:rsidRPr="00DA73D3">
              <w:rPr>
                <w:rFonts w:eastAsiaTheme="minorEastAsia" w:cs="Calibri"/>
                <w:color w:val="FFFFFF"/>
                <w:lang w:eastAsia="en-AU"/>
              </w:rPr>
              <w:t xml:space="preserve"> </w:t>
            </w:r>
          </w:p>
        </w:tc>
        <w:tc>
          <w:tcPr>
            <w:tcW w:w="816" w:type="dxa"/>
            <w:tcBorders>
              <w:top w:val="single" w:sz="6" w:space="0" w:color="auto"/>
              <w:left w:val="nil"/>
              <w:bottom w:val="single" w:sz="6" w:space="0" w:color="auto"/>
              <w:right w:val="nil"/>
            </w:tcBorders>
            <w:shd w:val="solid" w:color="000000" w:fill="auto"/>
          </w:tcPr>
          <w:p w:rsidR="00566E9A" w:rsidRPr="00DA73D3"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DA73D3">
              <w:rPr>
                <w:rFonts w:eastAsiaTheme="minorEastAsia" w:cs="Calibri"/>
                <w:iCs/>
                <w:color w:val="FFFFFF"/>
                <w:lang w:eastAsia="en-AU"/>
              </w:rPr>
              <w:t>2016-17</w:t>
            </w:r>
          </w:p>
        </w:tc>
        <w:tc>
          <w:tcPr>
            <w:tcW w:w="816" w:type="dxa"/>
            <w:tcBorders>
              <w:top w:val="single" w:sz="6" w:space="0" w:color="auto"/>
              <w:left w:val="nil"/>
              <w:bottom w:val="single" w:sz="6" w:space="0" w:color="auto"/>
              <w:right w:val="nil"/>
            </w:tcBorders>
            <w:shd w:val="solid" w:color="000000" w:fill="auto"/>
          </w:tcPr>
          <w:p w:rsidR="00566E9A" w:rsidRPr="00DA73D3"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DA73D3">
              <w:rPr>
                <w:rFonts w:eastAsiaTheme="minorEastAsia" w:cs="Calibri"/>
                <w:iCs/>
                <w:color w:val="FFFFFF"/>
                <w:lang w:eastAsia="en-AU"/>
              </w:rPr>
              <w:t>2017-18</w:t>
            </w:r>
          </w:p>
        </w:tc>
        <w:tc>
          <w:tcPr>
            <w:tcW w:w="816" w:type="dxa"/>
            <w:tcBorders>
              <w:top w:val="single" w:sz="6" w:space="0" w:color="auto"/>
              <w:left w:val="nil"/>
              <w:bottom w:val="single" w:sz="6" w:space="0" w:color="auto"/>
              <w:right w:val="nil"/>
            </w:tcBorders>
            <w:shd w:val="solid" w:color="000000" w:fill="auto"/>
          </w:tcPr>
          <w:p w:rsidR="00566E9A" w:rsidRPr="00DA73D3"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DA73D3">
              <w:rPr>
                <w:rFonts w:eastAsiaTheme="minorEastAsia" w:cs="Calibri"/>
                <w:iCs/>
                <w:color w:val="FFFFFF"/>
                <w:lang w:eastAsia="en-AU"/>
              </w:rPr>
              <w:t>2018-19</w:t>
            </w:r>
          </w:p>
        </w:tc>
        <w:tc>
          <w:tcPr>
            <w:tcW w:w="816" w:type="dxa"/>
            <w:tcBorders>
              <w:top w:val="single" w:sz="6" w:space="0" w:color="auto"/>
              <w:left w:val="nil"/>
              <w:bottom w:val="single" w:sz="6" w:space="0" w:color="auto"/>
              <w:right w:val="nil"/>
            </w:tcBorders>
            <w:shd w:val="solid" w:color="000000" w:fill="auto"/>
          </w:tcPr>
          <w:p w:rsidR="00566E9A" w:rsidRPr="00DA73D3"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DA73D3">
              <w:rPr>
                <w:rFonts w:eastAsiaTheme="minorEastAsia" w:cs="Calibri"/>
                <w:iCs/>
                <w:color w:val="FFFFFF"/>
                <w:lang w:eastAsia="en-AU"/>
              </w:rPr>
              <w:t>2019-20</w:t>
            </w:r>
          </w:p>
        </w:tc>
        <w:tc>
          <w:tcPr>
            <w:tcW w:w="675" w:type="dxa"/>
            <w:tcBorders>
              <w:top w:val="single" w:sz="6" w:space="0" w:color="auto"/>
              <w:left w:val="nil"/>
              <w:bottom w:val="single" w:sz="6" w:space="0" w:color="auto"/>
              <w:right w:val="nil"/>
            </w:tcBorders>
            <w:shd w:val="solid" w:color="000000" w:fill="auto"/>
          </w:tcPr>
          <w:p w:rsidR="00566E9A" w:rsidRPr="00DA73D3"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DA73D3">
              <w:rPr>
                <w:rFonts w:eastAsiaTheme="minorEastAsia" w:cs="Calibri"/>
                <w:iCs/>
                <w:color w:val="FFFFFF"/>
                <w:lang w:eastAsia="en-AU"/>
              </w:rPr>
              <w:t>TEI</w:t>
            </w:r>
          </w:p>
        </w:tc>
      </w:tr>
      <w:tr w:rsidR="00566E9A" w:rsidRPr="00DA73D3" w:rsidTr="00AE5760">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566E9A" w:rsidRPr="00DA73D3" w:rsidRDefault="00566E9A" w:rsidP="00AE5760">
            <w:pPr>
              <w:autoSpaceDE w:val="0"/>
              <w:autoSpaceDN w:val="0"/>
              <w:adjustRightInd w:val="0"/>
              <w:rPr>
                <w:rFonts w:eastAsiaTheme="minorEastAsia" w:cs="Calibri"/>
                <w:color w:val="000000"/>
                <w:lang w:eastAsia="en-AU"/>
              </w:rPr>
            </w:pPr>
            <w:r w:rsidRPr="00DA73D3">
              <w:rPr>
                <w:rFonts w:eastAsiaTheme="minorEastAsia" w:cs="Calibri"/>
                <w:color w:val="000000"/>
                <w:lang w:eastAsia="en-AU"/>
              </w:rPr>
              <w:t>Casey Hospital expansion</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13.5</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15.1</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w:t>
            </w:r>
          </w:p>
        </w:tc>
        <w:tc>
          <w:tcPr>
            <w:tcW w:w="675"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28.6</w:t>
            </w:r>
          </w:p>
        </w:tc>
      </w:tr>
      <w:tr w:rsidR="00566E9A" w:rsidRPr="00DA73D3" w:rsidTr="00AE5760">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566E9A" w:rsidRPr="00DA73D3" w:rsidRDefault="00566E9A" w:rsidP="00AE5760">
            <w:pPr>
              <w:autoSpaceDE w:val="0"/>
              <w:autoSpaceDN w:val="0"/>
              <w:adjustRightInd w:val="0"/>
              <w:rPr>
                <w:rFonts w:eastAsiaTheme="minorEastAsia" w:cs="Calibri"/>
                <w:color w:val="000000"/>
                <w:lang w:eastAsia="en-AU"/>
              </w:rPr>
            </w:pPr>
            <w:r w:rsidRPr="00DA73D3">
              <w:rPr>
                <w:rFonts w:eastAsiaTheme="minorEastAsia" w:cs="Calibri"/>
                <w:color w:val="000000"/>
                <w:lang w:eastAsia="en-AU"/>
              </w:rPr>
              <w:t>Meeting ambulance response targets</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15.1</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22.6</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29.3</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w:t>
            </w:r>
          </w:p>
        </w:tc>
        <w:tc>
          <w:tcPr>
            <w:tcW w:w="675"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66.9</w:t>
            </w:r>
          </w:p>
        </w:tc>
      </w:tr>
      <w:tr w:rsidR="00566E9A" w:rsidRPr="00DA73D3" w:rsidTr="00AE5760">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566E9A" w:rsidRPr="00DA73D3" w:rsidRDefault="00566E9A" w:rsidP="00AE5760">
            <w:pPr>
              <w:autoSpaceDE w:val="0"/>
              <w:autoSpaceDN w:val="0"/>
              <w:adjustRightInd w:val="0"/>
              <w:rPr>
                <w:rFonts w:eastAsiaTheme="minorEastAsia" w:cs="Calibri"/>
                <w:color w:val="000000"/>
                <w:lang w:eastAsia="en-AU"/>
              </w:rPr>
            </w:pPr>
            <w:r w:rsidRPr="00DA73D3">
              <w:rPr>
                <w:rFonts w:eastAsiaTheme="minorEastAsia" w:cs="Calibri"/>
                <w:color w:val="000000"/>
                <w:lang w:eastAsia="en-AU"/>
              </w:rPr>
              <w:t>Redevelopment of public housing estate program</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35.0</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50.0</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50.0</w:t>
            </w:r>
          </w:p>
        </w:tc>
        <w:tc>
          <w:tcPr>
            <w:tcW w:w="816"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50.0</w:t>
            </w:r>
          </w:p>
        </w:tc>
        <w:tc>
          <w:tcPr>
            <w:tcW w:w="675" w:type="dxa"/>
            <w:tcBorders>
              <w:top w:val="nil"/>
              <w:left w:val="nil"/>
              <w:bottom w:val="nil"/>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DA73D3">
              <w:rPr>
                <w:rFonts w:eastAsiaTheme="minorEastAsia" w:cs="Calibri"/>
                <w:color w:val="000000"/>
                <w:lang w:eastAsia="en-AU"/>
              </w:rPr>
              <w:t>185.0</w:t>
            </w:r>
          </w:p>
        </w:tc>
      </w:tr>
      <w:tr w:rsidR="00566E9A" w:rsidRPr="00DA73D3" w:rsidTr="00AE5760">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auto"/>
              <w:left w:val="nil"/>
              <w:bottom w:val="single" w:sz="12" w:space="0" w:color="auto"/>
              <w:right w:val="nil"/>
            </w:tcBorders>
          </w:tcPr>
          <w:p w:rsidR="00566E9A" w:rsidRPr="00DA73D3" w:rsidRDefault="00566E9A" w:rsidP="00AE5760">
            <w:pPr>
              <w:autoSpaceDE w:val="0"/>
              <w:autoSpaceDN w:val="0"/>
              <w:adjustRightInd w:val="0"/>
              <w:rPr>
                <w:rFonts w:eastAsiaTheme="minorEastAsia" w:cs="Calibri"/>
                <w:b/>
                <w:bCs/>
                <w:color w:val="000000"/>
                <w:lang w:eastAsia="en-AU"/>
              </w:rPr>
            </w:pPr>
            <w:r w:rsidRPr="00DA73D3">
              <w:rPr>
                <w:rFonts w:eastAsiaTheme="minorEastAsia" w:cs="Calibri"/>
                <w:b/>
                <w:bCs/>
                <w:color w:val="000000"/>
                <w:lang w:eastAsia="en-AU"/>
              </w:rPr>
              <w:t xml:space="preserve"> </w:t>
            </w:r>
          </w:p>
        </w:tc>
        <w:tc>
          <w:tcPr>
            <w:tcW w:w="816" w:type="dxa"/>
            <w:tcBorders>
              <w:top w:val="single" w:sz="6" w:space="0" w:color="auto"/>
              <w:left w:val="nil"/>
              <w:bottom w:val="single" w:sz="12" w:space="0" w:color="auto"/>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DA73D3">
              <w:rPr>
                <w:rFonts w:eastAsiaTheme="minorEastAsia" w:cs="Calibri"/>
                <w:b/>
                <w:bCs/>
                <w:color w:val="000000"/>
                <w:lang w:eastAsia="en-AU"/>
              </w:rPr>
              <w:t>50.1</w:t>
            </w:r>
          </w:p>
        </w:tc>
        <w:tc>
          <w:tcPr>
            <w:tcW w:w="816" w:type="dxa"/>
            <w:tcBorders>
              <w:top w:val="single" w:sz="6" w:space="0" w:color="auto"/>
              <w:left w:val="nil"/>
              <w:bottom w:val="single" w:sz="12" w:space="0" w:color="auto"/>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DA73D3">
              <w:rPr>
                <w:rFonts w:eastAsiaTheme="minorEastAsia" w:cs="Calibri"/>
                <w:b/>
                <w:bCs/>
                <w:color w:val="000000"/>
                <w:lang w:eastAsia="en-AU"/>
              </w:rPr>
              <w:t>86.1</w:t>
            </w:r>
          </w:p>
        </w:tc>
        <w:tc>
          <w:tcPr>
            <w:tcW w:w="816" w:type="dxa"/>
            <w:tcBorders>
              <w:top w:val="single" w:sz="6" w:space="0" w:color="auto"/>
              <w:left w:val="nil"/>
              <w:bottom w:val="single" w:sz="12" w:space="0" w:color="auto"/>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DA73D3">
              <w:rPr>
                <w:rFonts w:eastAsiaTheme="minorEastAsia" w:cs="Calibri"/>
                <w:b/>
                <w:bCs/>
                <w:color w:val="000000"/>
                <w:lang w:eastAsia="en-AU"/>
              </w:rPr>
              <w:t>94.4</w:t>
            </w:r>
          </w:p>
        </w:tc>
        <w:tc>
          <w:tcPr>
            <w:tcW w:w="816" w:type="dxa"/>
            <w:tcBorders>
              <w:top w:val="single" w:sz="6" w:space="0" w:color="auto"/>
              <w:left w:val="nil"/>
              <w:bottom w:val="single" w:sz="12" w:space="0" w:color="auto"/>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DA73D3">
              <w:rPr>
                <w:rFonts w:eastAsiaTheme="minorEastAsia" w:cs="Calibri"/>
                <w:b/>
                <w:bCs/>
                <w:color w:val="000000"/>
                <w:lang w:eastAsia="en-AU"/>
              </w:rPr>
              <w:t>50.0</w:t>
            </w:r>
          </w:p>
        </w:tc>
        <w:tc>
          <w:tcPr>
            <w:tcW w:w="675" w:type="dxa"/>
            <w:tcBorders>
              <w:top w:val="single" w:sz="6" w:space="0" w:color="auto"/>
              <w:left w:val="nil"/>
              <w:bottom w:val="single" w:sz="12" w:space="0" w:color="auto"/>
              <w:right w:val="nil"/>
            </w:tcBorders>
          </w:tcPr>
          <w:p w:rsidR="00566E9A" w:rsidRPr="00DA73D3"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DA73D3">
              <w:rPr>
                <w:rFonts w:eastAsiaTheme="minorEastAsia" w:cs="Calibri"/>
                <w:b/>
                <w:bCs/>
                <w:color w:val="000000"/>
                <w:lang w:eastAsia="en-AU"/>
              </w:rPr>
              <w:t>280.5</w:t>
            </w:r>
          </w:p>
        </w:tc>
      </w:tr>
    </w:tbl>
    <w:p w:rsidR="00566E9A" w:rsidRDefault="00566E9A" w:rsidP="00AE5760">
      <w:pPr>
        <w:rPr>
          <w:rFonts w:eastAsiaTheme="minorHAnsi"/>
        </w:rPr>
      </w:pPr>
    </w:p>
    <w:p w:rsidR="00566E9A" w:rsidRPr="00F00EF9" w:rsidRDefault="00566E9A" w:rsidP="00AE5760">
      <w:pPr>
        <w:pStyle w:val="Heading5"/>
        <w:rPr>
          <w:rFonts w:eastAsiaTheme="minorHAnsi"/>
        </w:rPr>
      </w:pPr>
      <w:r w:rsidRPr="00E57F15">
        <w:rPr>
          <w:rFonts w:eastAsiaTheme="minorHAnsi"/>
        </w:rPr>
        <w:t>Casey Hospital expansion</w:t>
      </w:r>
    </w:p>
    <w:p w:rsidR="00566E9A" w:rsidRPr="00E57F15" w:rsidRDefault="00566E9A" w:rsidP="00AE5760">
      <w:pPr>
        <w:rPr>
          <w:rFonts w:eastAsiaTheme="minorHAnsi"/>
        </w:rPr>
      </w:pPr>
      <w:r w:rsidRPr="00E57F15">
        <w:rPr>
          <w:rFonts w:eastAsiaTheme="minorHAnsi"/>
        </w:rPr>
        <w:t>Funding will be provided to expand the C</w:t>
      </w:r>
      <w:r>
        <w:rPr>
          <w:rFonts w:eastAsiaTheme="minorHAnsi"/>
        </w:rPr>
        <w:t>asey Hospital, including the fit-</w:t>
      </w:r>
      <w:r w:rsidRPr="00E57F15">
        <w:rPr>
          <w:rFonts w:eastAsiaTheme="minorHAnsi"/>
        </w:rPr>
        <w:t>out of two shell floors to deliver an additional 64 multi-day beds.</w:t>
      </w:r>
    </w:p>
    <w:p w:rsidR="00566E9A" w:rsidRDefault="00566E9A" w:rsidP="00AE5760">
      <w:pPr>
        <w:rPr>
          <w:rFonts w:eastAsiaTheme="minorHAnsi"/>
        </w:rPr>
      </w:pPr>
      <w:r w:rsidRPr="00C479EE">
        <w:rPr>
          <w:rFonts w:eastAsiaTheme="minorHAnsi"/>
        </w:rPr>
        <w:t>This initiative contributes to the Department of Health and Human Services</w:t>
      </w:r>
      <w:r>
        <w:rPr>
          <w:rFonts w:eastAsiaTheme="minorHAnsi"/>
        </w:rPr>
        <w:t>’</w:t>
      </w:r>
      <w:r w:rsidRPr="00C479EE">
        <w:rPr>
          <w:rFonts w:eastAsiaTheme="minorHAnsi"/>
        </w:rPr>
        <w:t xml:space="preserve"> Admitted Services output.</w:t>
      </w:r>
    </w:p>
    <w:p w:rsidR="00566E9A" w:rsidRDefault="00566E9A" w:rsidP="00AE5760">
      <w:pPr>
        <w:pStyle w:val="Heading5"/>
        <w:rPr>
          <w:rFonts w:eastAsiaTheme="minorHAnsi"/>
        </w:rPr>
      </w:pPr>
      <w:r>
        <w:rPr>
          <w:rFonts w:eastAsiaTheme="minorHAnsi"/>
        </w:rPr>
        <w:t xml:space="preserve">Meeting </w:t>
      </w:r>
      <w:r w:rsidRPr="000B4B73">
        <w:rPr>
          <w:rFonts w:eastAsiaTheme="minorHAnsi"/>
        </w:rPr>
        <w:t>ambulance response t</w:t>
      </w:r>
      <w:r>
        <w:rPr>
          <w:rFonts w:eastAsiaTheme="minorHAnsi"/>
        </w:rPr>
        <w:t>argets</w:t>
      </w:r>
    </w:p>
    <w:p w:rsidR="00566E9A" w:rsidRPr="00C479EE" w:rsidRDefault="00566E9A" w:rsidP="00AE5760">
      <w:pPr>
        <w:rPr>
          <w:rFonts w:eastAsiaTheme="minorHAnsi"/>
        </w:rPr>
      </w:pPr>
      <w:r w:rsidRPr="00856CE1">
        <w:rPr>
          <w:rFonts w:eastAsiaTheme="minorHAnsi"/>
        </w:rPr>
        <w:t xml:space="preserve">Refer to the </w:t>
      </w:r>
      <w:r>
        <w:rPr>
          <w:rFonts w:eastAsiaTheme="minorHAnsi"/>
        </w:rPr>
        <w:t>output</w:t>
      </w:r>
      <w:r w:rsidRPr="00856CE1">
        <w:rPr>
          <w:rFonts w:eastAsiaTheme="minorHAnsi"/>
        </w:rPr>
        <w:t xml:space="preserve"> initiative for a </w:t>
      </w:r>
      <w:r>
        <w:rPr>
          <w:rFonts w:eastAsiaTheme="minorHAnsi"/>
        </w:rPr>
        <w:t>description of this initiative.</w:t>
      </w:r>
    </w:p>
    <w:p w:rsidR="00566E9A" w:rsidRDefault="00566E9A" w:rsidP="00AE5760">
      <w:pPr>
        <w:pStyle w:val="Heading5"/>
        <w:rPr>
          <w:rFonts w:eastAsiaTheme="minorHAnsi"/>
        </w:rPr>
      </w:pPr>
      <w:r w:rsidRPr="00E57F15">
        <w:rPr>
          <w:rFonts w:eastAsiaTheme="minorHAnsi"/>
        </w:rPr>
        <w:t xml:space="preserve">Redevelopment of </w:t>
      </w:r>
      <w:r>
        <w:rPr>
          <w:rFonts w:eastAsiaTheme="minorHAnsi"/>
        </w:rPr>
        <w:t>p</w:t>
      </w:r>
      <w:r w:rsidRPr="00E57F15">
        <w:rPr>
          <w:rFonts w:eastAsiaTheme="minorHAnsi"/>
        </w:rPr>
        <w:t xml:space="preserve">ublic </w:t>
      </w:r>
      <w:r>
        <w:rPr>
          <w:rFonts w:eastAsiaTheme="minorHAnsi"/>
        </w:rPr>
        <w:t>h</w:t>
      </w:r>
      <w:r w:rsidRPr="00E57F15">
        <w:rPr>
          <w:rFonts w:eastAsiaTheme="minorHAnsi"/>
        </w:rPr>
        <w:t xml:space="preserve">ousing </w:t>
      </w:r>
      <w:r>
        <w:rPr>
          <w:rFonts w:eastAsiaTheme="minorHAnsi"/>
        </w:rPr>
        <w:t>e</w:t>
      </w:r>
      <w:r w:rsidRPr="00E57F15">
        <w:rPr>
          <w:rFonts w:eastAsiaTheme="minorHAnsi"/>
        </w:rPr>
        <w:t xml:space="preserve">state </w:t>
      </w:r>
      <w:r>
        <w:rPr>
          <w:rFonts w:eastAsiaTheme="minorHAnsi"/>
        </w:rPr>
        <w:t>p</w:t>
      </w:r>
      <w:r w:rsidRPr="00E57F15">
        <w:rPr>
          <w:rFonts w:eastAsiaTheme="minorHAnsi"/>
        </w:rPr>
        <w:t>rogram</w:t>
      </w:r>
    </w:p>
    <w:p w:rsidR="00566E9A" w:rsidRPr="00090412" w:rsidRDefault="00566E9A" w:rsidP="00AE5760">
      <w:pPr>
        <w:rPr>
          <w:rFonts w:eastAsiaTheme="minorHAnsi"/>
        </w:rPr>
      </w:pPr>
      <w:r w:rsidRPr="00856CE1">
        <w:rPr>
          <w:rFonts w:eastAsiaTheme="minorHAnsi"/>
        </w:rPr>
        <w:t xml:space="preserve">Refer to the </w:t>
      </w:r>
      <w:r>
        <w:rPr>
          <w:rFonts w:eastAsiaTheme="minorHAnsi"/>
        </w:rPr>
        <w:t>output</w:t>
      </w:r>
      <w:r w:rsidRPr="00856CE1">
        <w:rPr>
          <w:rFonts w:eastAsiaTheme="minorHAnsi"/>
        </w:rPr>
        <w:t xml:space="preserve"> initiative for a </w:t>
      </w:r>
      <w:r>
        <w:rPr>
          <w:rFonts w:eastAsiaTheme="minorHAnsi"/>
        </w:rPr>
        <w:t>description of this initiative.</w:t>
      </w:r>
    </w:p>
    <w:p w:rsidR="00566E9A" w:rsidRDefault="00566E9A">
      <w:pPr>
        <w:spacing w:after="0"/>
        <w:rPr>
          <w:rFonts w:asciiTheme="majorHAnsi" w:eastAsiaTheme="minorHAnsi" w:hAnsiTheme="majorHAnsi"/>
          <w:b/>
          <w:caps/>
          <w:sz w:val="26"/>
        </w:rPr>
      </w:pPr>
      <w:r>
        <w:rPr>
          <w:rFonts w:eastAsiaTheme="minorHAnsi"/>
        </w:rPr>
        <w:br w:type="page"/>
      </w:r>
    </w:p>
    <w:p w:rsidR="00566E9A" w:rsidRPr="00F00EF9" w:rsidRDefault="00566E9A" w:rsidP="00AE5760">
      <w:pPr>
        <w:pStyle w:val="Heading1"/>
        <w:rPr>
          <w:rFonts w:eastAsiaTheme="minorHAnsi"/>
        </w:rPr>
      </w:pPr>
      <w:bookmarkStart w:id="61" w:name="_Toc468983296"/>
      <w:r w:rsidRPr="00F00EF9">
        <w:rPr>
          <w:rFonts w:eastAsiaTheme="minorHAnsi"/>
        </w:rPr>
        <w:lastRenderedPageBreak/>
        <w:t xml:space="preserve">Department of </w:t>
      </w:r>
      <w:r>
        <w:rPr>
          <w:rFonts w:eastAsiaTheme="minorHAnsi"/>
        </w:rPr>
        <w:t>Justice and Regulation</w:t>
      </w:r>
      <w:bookmarkEnd w:id="61"/>
    </w:p>
    <w:p w:rsidR="00566E9A" w:rsidRPr="00F00EF9" w:rsidRDefault="00566E9A" w:rsidP="00AE5760">
      <w:pPr>
        <w:pStyle w:val="Heading3"/>
        <w:rPr>
          <w:rFonts w:eastAsiaTheme="minorHAnsi"/>
        </w:rPr>
      </w:pPr>
      <w:r w:rsidRPr="00F00EF9">
        <w:rPr>
          <w:rFonts w:eastAsiaTheme="minorHAnsi"/>
        </w:rPr>
        <w:t>Output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10</w:t>
      </w:r>
      <w:r w:rsidRPr="00F00EF9">
        <w:rPr>
          <w:rFonts w:eastAsiaTheme="minorHAnsi"/>
        </w:rPr>
        <w:t>:</w:t>
      </w:r>
      <w:r w:rsidRPr="00F00EF9">
        <w:rPr>
          <w:rFonts w:eastAsiaTheme="minorHAnsi"/>
        </w:rPr>
        <w:tab/>
      </w:r>
      <w:r>
        <w:rPr>
          <w:rFonts w:eastAsiaTheme="minorHAnsi"/>
        </w:rPr>
        <w:t>Output initiatives – Department of Justice and Regulation</w:t>
      </w:r>
    </w:p>
    <w:p w:rsidR="00566E9A" w:rsidRPr="00896EDC" w:rsidRDefault="00566E9A" w:rsidP="00AE5760">
      <w:pPr>
        <w:pStyle w:val="million"/>
        <w:rPr>
          <w:rFonts w:asciiTheme="minorHAnsi" w:eastAsiaTheme="minorHAnsi" w:hAnsiTheme="minorHAnsi"/>
          <w:b/>
          <w:bCs/>
          <w:sz w:val="22"/>
          <w:lang w:val="en-US"/>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450"/>
        <w:gridCol w:w="765"/>
        <w:gridCol w:w="850"/>
        <w:gridCol w:w="850"/>
        <w:gridCol w:w="850"/>
      </w:tblGrid>
      <w:tr w:rsidR="00566E9A" w:rsidRPr="00896EDC"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6" w:space="0" w:color="auto"/>
              <w:left w:val="single" w:sz="6" w:space="0" w:color="auto"/>
              <w:bottom w:val="single" w:sz="6" w:space="0" w:color="auto"/>
              <w:right w:val="nil"/>
            </w:tcBorders>
            <w:shd w:val="solid" w:color="000000" w:fill="auto"/>
          </w:tcPr>
          <w:p w:rsidR="00566E9A" w:rsidRPr="00896EDC" w:rsidRDefault="00566E9A" w:rsidP="00AE5760">
            <w:pPr>
              <w:autoSpaceDE w:val="0"/>
              <w:autoSpaceDN w:val="0"/>
              <w:adjustRightInd w:val="0"/>
              <w:rPr>
                <w:rFonts w:eastAsiaTheme="minorEastAsia" w:cs="Calibri"/>
                <w:color w:val="FFFFFF"/>
                <w:lang w:eastAsia="en-AU"/>
              </w:rPr>
            </w:pPr>
            <w:r w:rsidRPr="00896EDC">
              <w:rPr>
                <w:rFonts w:eastAsiaTheme="minorEastAsia" w:cs="Calibri"/>
                <w:color w:val="FFFFFF"/>
                <w:lang w:eastAsia="en-AU"/>
              </w:rPr>
              <w:t xml:space="preserve"> </w:t>
            </w:r>
          </w:p>
        </w:tc>
        <w:tc>
          <w:tcPr>
            <w:tcW w:w="765" w:type="dxa"/>
            <w:tcBorders>
              <w:top w:val="single" w:sz="6" w:space="0" w:color="auto"/>
              <w:left w:val="nil"/>
              <w:bottom w:val="single" w:sz="6" w:space="0" w:color="auto"/>
              <w:right w:val="nil"/>
            </w:tcBorders>
            <w:shd w:val="solid" w:color="000000" w:fill="auto"/>
          </w:tcPr>
          <w:p w:rsidR="00566E9A" w:rsidRPr="00896EDC"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96EDC">
              <w:rPr>
                <w:rFonts w:eastAsiaTheme="minorEastAsia" w:cs="Calibri"/>
                <w:iCs/>
                <w:color w:val="FFFFFF"/>
                <w:lang w:eastAsia="en-AU"/>
              </w:rPr>
              <w:t>2016-17</w:t>
            </w:r>
          </w:p>
        </w:tc>
        <w:tc>
          <w:tcPr>
            <w:tcW w:w="850" w:type="dxa"/>
            <w:tcBorders>
              <w:top w:val="single" w:sz="6" w:space="0" w:color="auto"/>
              <w:left w:val="nil"/>
              <w:bottom w:val="single" w:sz="6" w:space="0" w:color="auto"/>
              <w:right w:val="nil"/>
            </w:tcBorders>
            <w:shd w:val="solid" w:color="000000" w:fill="auto"/>
          </w:tcPr>
          <w:p w:rsidR="00566E9A" w:rsidRPr="00896EDC"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96EDC">
              <w:rPr>
                <w:rFonts w:eastAsiaTheme="minorEastAsia" w:cs="Calibri"/>
                <w:iCs/>
                <w:color w:val="FFFFFF"/>
                <w:lang w:eastAsia="en-AU"/>
              </w:rPr>
              <w:t>2017-18</w:t>
            </w:r>
          </w:p>
        </w:tc>
        <w:tc>
          <w:tcPr>
            <w:tcW w:w="850" w:type="dxa"/>
            <w:tcBorders>
              <w:top w:val="single" w:sz="6" w:space="0" w:color="auto"/>
              <w:left w:val="nil"/>
              <w:bottom w:val="single" w:sz="6" w:space="0" w:color="auto"/>
              <w:right w:val="nil"/>
            </w:tcBorders>
            <w:shd w:val="solid" w:color="000000" w:fill="auto"/>
          </w:tcPr>
          <w:p w:rsidR="00566E9A" w:rsidRPr="00896EDC"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96EDC">
              <w:rPr>
                <w:rFonts w:eastAsiaTheme="minorEastAsia" w:cs="Calibri"/>
                <w:iCs/>
                <w:color w:val="FFFFFF"/>
                <w:lang w:eastAsia="en-AU"/>
              </w:rPr>
              <w:t>2018-19</w:t>
            </w:r>
          </w:p>
        </w:tc>
        <w:tc>
          <w:tcPr>
            <w:tcW w:w="850" w:type="dxa"/>
            <w:tcBorders>
              <w:top w:val="single" w:sz="6" w:space="0" w:color="auto"/>
              <w:left w:val="nil"/>
              <w:bottom w:val="single" w:sz="6" w:space="0" w:color="auto"/>
              <w:right w:val="nil"/>
            </w:tcBorders>
            <w:shd w:val="solid" w:color="000000" w:fill="auto"/>
          </w:tcPr>
          <w:p w:rsidR="00566E9A" w:rsidRPr="00896EDC"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96EDC">
              <w:rPr>
                <w:rFonts w:eastAsiaTheme="minorEastAsia" w:cs="Calibri"/>
                <w:iCs/>
                <w:color w:val="FFFFFF"/>
                <w:lang w:eastAsia="en-AU"/>
              </w:rPr>
              <w:t>2019-20</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566E9A" w:rsidRPr="00896EDC" w:rsidRDefault="00566E9A" w:rsidP="00AE5760">
            <w:pPr>
              <w:autoSpaceDE w:val="0"/>
              <w:autoSpaceDN w:val="0"/>
              <w:adjustRightInd w:val="0"/>
              <w:rPr>
                <w:rFonts w:eastAsiaTheme="minorEastAsia" w:cs="Calibri"/>
                <w:color w:val="000000"/>
                <w:lang w:eastAsia="en-AU"/>
              </w:rPr>
            </w:pPr>
            <w:r w:rsidRPr="00896EDC">
              <w:rPr>
                <w:rFonts w:eastAsiaTheme="minorEastAsia" w:cs="Calibri"/>
                <w:color w:val="000000"/>
                <w:lang w:eastAsia="en-AU"/>
              </w:rPr>
              <w:t xml:space="preserve">Accelerated deployment of police </w:t>
            </w:r>
          </w:p>
        </w:tc>
        <w:tc>
          <w:tcPr>
            <w:tcW w:w="765"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20.7</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4.2</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1.3</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566E9A" w:rsidRPr="00896EDC" w:rsidRDefault="00566E9A" w:rsidP="00AE5760">
            <w:pPr>
              <w:autoSpaceDE w:val="0"/>
              <w:autoSpaceDN w:val="0"/>
              <w:adjustRightInd w:val="0"/>
              <w:rPr>
                <w:rFonts w:eastAsiaTheme="minorEastAsia" w:cs="Calibri"/>
                <w:color w:val="000000"/>
                <w:lang w:eastAsia="en-AU"/>
              </w:rPr>
            </w:pPr>
            <w:r w:rsidRPr="00896EDC">
              <w:rPr>
                <w:rFonts w:eastAsiaTheme="minorEastAsia" w:cs="Calibri"/>
                <w:color w:val="000000"/>
                <w:lang w:eastAsia="en-AU"/>
              </w:rPr>
              <w:t>Additional support for volunteers</w:t>
            </w:r>
          </w:p>
        </w:tc>
        <w:tc>
          <w:tcPr>
            <w:tcW w:w="765"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15.0</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566E9A" w:rsidRPr="00896EDC" w:rsidRDefault="00566E9A" w:rsidP="00AE5760">
            <w:pPr>
              <w:autoSpaceDE w:val="0"/>
              <w:autoSpaceDN w:val="0"/>
              <w:adjustRightInd w:val="0"/>
              <w:rPr>
                <w:rFonts w:eastAsiaTheme="minorEastAsia" w:cs="Calibri"/>
                <w:color w:val="000000"/>
                <w:lang w:eastAsia="en-AU"/>
              </w:rPr>
            </w:pPr>
            <w:r w:rsidRPr="00896EDC">
              <w:rPr>
                <w:rFonts w:eastAsiaTheme="minorEastAsia" w:cs="Calibri"/>
                <w:color w:val="000000"/>
                <w:lang w:eastAsia="en-AU"/>
              </w:rPr>
              <w:t>Emergency response to December 2015 Victorian bushfires</w:t>
            </w:r>
          </w:p>
        </w:tc>
        <w:tc>
          <w:tcPr>
            <w:tcW w:w="765"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0.9</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566E9A" w:rsidRPr="00896EDC" w:rsidRDefault="00566E9A" w:rsidP="00AE5760">
            <w:pPr>
              <w:autoSpaceDE w:val="0"/>
              <w:autoSpaceDN w:val="0"/>
              <w:adjustRightInd w:val="0"/>
              <w:rPr>
                <w:rFonts w:eastAsiaTheme="minorEastAsia" w:cs="Calibri"/>
                <w:color w:val="000000"/>
                <w:lang w:eastAsia="en-AU"/>
              </w:rPr>
            </w:pPr>
            <w:r w:rsidRPr="00896EDC">
              <w:rPr>
                <w:rFonts w:eastAsiaTheme="minorEastAsia" w:cs="Calibri"/>
                <w:color w:val="000000"/>
                <w:lang w:eastAsia="en-AU"/>
              </w:rPr>
              <w:t xml:space="preserve">Enhancing the CFA's capability </w:t>
            </w:r>
          </w:p>
        </w:tc>
        <w:tc>
          <w:tcPr>
            <w:tcW w:w="765"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1.5</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2.0</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2.0</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2.0</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566E9A" w:rsidRPr="00896EDC" w:rsidRDefault="00566E9A" w:rsidP="00AE5760">
            <w:pPr>
              <w:autoSpaceDE w:val="0"/>
              <w:autoSpaceDN w:val="0"/>
              <w:adjustRightInd w:val="0"/>
              <w:rPr>
                <w:rFonts w:eastAsiaTheme="minorEastAsia" w:cs="Calibri"/>
                <w:color w:val="000000"/>
                <w:vertAlign w:val="superscript"/>
                <w:lang w:eastAsia="en-AU"/>
              </w:rPr>
            </w:pPr>
            <w:r w:rsidRPr="00896EDC">
              <w:rPr>
                <w:rFonts w:eastAsiaTheme="minorEastAsia" w:cs="Calibri"/>
                <w:color w:val="000000"/>
                <w:lang w:eastAsia="en-AU"/>
              </w:rPr>
              <w:t>Flemington Racecourse grandstand upgrade</w:t>
            </w:r>
          </w:p>
        </w:tc>
        <w:tc>
          <w:tcPr>
            <w:tcW w:w="765"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4.0</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5.0</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1.0</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566E9A" w:rsidRPr="00896EDC" w:rsidRDefault="00566E9A" w:rsidP="00AE5760">
            <w:pPr>
              <w:autoSpaceDE w:val="0"/>
              <w:autoSpaceDN w:val="0"/>
              <w:adjustRightInd w:val="0"/>
              <w:rPr>
                <w:rFonts w:eastAsiaTheme="minorEastAsia" w:cs="Calibri"/>
                <w:color w:val="000000"/>
                <w:lang w:eastAsia="en-AU"/>
              </w:rPr>
            </w:pPr>
            <w:r w:rsidRPr="00896EDC">
              <w:rPr>
                <w:rFonts w:eastAsiaTheme="minorEastAsia" w:cs="Calibri"/>
                <w:color w:val="000000"/>
                <w:lang w:eastAsia="en-AU"/>
              </w:rPr>
              <w:t>Summer Fire Information and Education Program</w:t>
            </w:r>
          </w:p>
        </w:tc>
        <w:tc>
          <w:tcPr>
            <w:tcW w:w="765"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3.5</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c>
          <w:tcPr>
            <w:tcW w:w="850" w:type="dxa"/>
            <w:tcBorders>
              <w:top w:val="nil"/>
              <w:left w:val="nil"/>
              <w:bottom w:val="nil"/>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96EDC">
              <w:rPr>
                <w:rFonts w:eastAsiaTheme="minorEastAsia" w:cs="Calibri"/>
                <w:color w:val="000000"/>
                <w:lang w:eastAsia="en-AU"/>
              </w:rPr>
              <w:t>..</w:t>
            </w:r>
          </w:p>
        </w:tc>
      </w:tr>
      <w:tr w:rsidR="00566E9A" w:rsidRPr="00896EDC" w:rsidTr="00AE5760">
        <w:tc>
          <w:tcPr>
            <w:cnfStyle w:val="001000000000" w:firstRow="0" w:lastRow="0" w:firstColumn="1" w:lastColumn="0" w:oddVBand="0" w:evenVBand="0" w:oddHBand="0" w:evenHBand="0" w:firstRowFirstColumn="0" w:firstRowLastColumn="0" w:lastRowFirstColumn="0" w:lastRowLastColumn="0"/>
            <w:tcW w:w="4450" w:type="dxa"/>
            <w:tcBorders>
              <w:top w:val="single" w:sz="6" w:space="0" w:color="auto"/>
              <w:left w:val="nil"/>
              <w:bottom w:val="single" w:sz="12" w:space="0" w:color="auto"/>
              <w:right w:val="nil"/>
            </w:tcBorders>
          </w:tcPr>
          <w:p w:rsidR="00566E9A" w:rsidRPr="00896EDC" w:rsidRDefault="00566E9A" w:rsidP="00AE5760">
            <w:pPr>
              <w:autoSpaceDE w:val="0"/>
              <w:autoSpaceDN w:val="0"/>
              <w:adjustRightInd w:val="0"/>
              <w:rPr>
                <w:rFonts w:eastAsiaTheme="minorEastAsia" w:cs="Calibri"/>
                <w:b/>
                <w:bCs/>
                <w:color w:val="000000"/>
                <w:lang w:eastAsia="en-AU"/>
              </w:rPr>
            </w:pPr>
            <w:r w:rsidRPr="00896EDC">
              <w:rPr>
                <w:rFonts w:eastAsiaTheme="minorEastAsia" w:cs="Calibri"/>
                <w:b/>
                <w:bCs/>
                <w:color w:val="000000"/>
                <w:lang w:eastAsia="en-AU"/>
              </w:rPr>
              <w:t xml:space="preserve"> </w:t>
            </w:r>
          </w:p>
        </w:tc>
        <w:tc>
          <w:tcPr>
            <w:tcW w:w="765" w:type="dxa"/>
            <w:tcBorders>
              <w:top w:val="single" w:sz="6" w:space="0" w:color="auto"/>
              <w:left w:val="nil"/>
              <w:bottom w:val="single" w:sz="12" w:space="0" w:color="auto"/>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96EDC">
              <w:rPr>
                <w:rFonts w:eastAsiaTheme="minorEastAsia" w:cs="Calibri"/>
                <w:b/>
                <w:bCs/>
                <w:color w:val="000000"/>
                <w:lang w:eastAsia="en-AU"/>
              </w:rPr>
              <w:t>45.6</w:t>
            </w:r>
          </w:p>
        </w:tc>
        <w:tc>
          <w:tcPr>
            <w:tcW w:w="850" w:type="dxa"/>
            <w:tcBorders>
              <w:top w:val="single" w:sz="6" w:space="0" w:color="auto"/>
              <w:left w:val="nil"/>
              <w:bottom w:val="single" w:sz="12" w:space="0" w:color="auto"/>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96EDC">
              <w:rPr>
                <w:rFonts w:eastAsiaTheme="minorEastAsia" w:cs="Calibri"/>
                <w:b/>
                <w:bCs/>
                <w:color w:val="000000"/>
                <w:lang w:eastAsia="en-AU"/>
              </w:rPr>
              <w:t>11.2</w:t>
            </w:r>
          </w:p>
        </w:tc>
        <w:tc>
          <w:tcPr>
            <w:tcW w:w="850" w:type="dxa"/>
            <w:tcBorders>
              <w:top w:val="single" w:sz="6" w:space="0" w:color="auto"/>
              <w:left w:val="nil"/>
              <w:bottom w:val="single" w:sz="12" w:space="0" w:color="auto"/>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96EDC">
              <w:rPr>
                <w:rFonts w:eastAsiaTheme="minorEastAsia" w:cs="Calibri"/>
                <w:b/>
                <w:bCs/>
                <w:color w:val="000000"/>
                <w:lang w:eastAsia="en-AU"/>
              </w:rPr>
              <w:t>4.3</w:t>
            </w:r>
          </w:p>
        </w:tc>
        <w:tc>
          <w:tcPr>
            <w:tcW w:w="850" w:type="dxa"/>
            <w:tcBorders>
              <w:top w:val="single" w:sz="6" w:space="0" w:color="auto"/>
              <w:left w:val="nil"/>
              <w:bottom w:val="single" w:sz="12" w:space="0" w:color="auto"/>
              <w:right w:val="nil"/>
            </w:tcBorders>
          </w:tcPr>
          <w:p w:rsidR="00566E9A" w:rsidRPr="00896EDC"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96EDC">
              <w:rPr>
                <w:rFonts w:eastAsiaTheme="minorEastAsia" w:cs="Calibri"/>
                <w:b/>
                <w:bCs/>
                <w:color w:val="000000"/>
                <w:lang w:eastAsia="en-AU"/>
              </w:rPr>
              <w:t>2.0</w:t>
            </w:r>
          </w:p>
        </w:tc>
      </w:tr>
    </w:tbl>
    <w:p w:rsidR="00566E9A" w:rsidRDefault="00566E9A" w:rsidP="00AE5760">
      <w:pPr>
        <w:pStyle w:val="Notes"/>
        <w:rPr>
          <w:rFonts w:eastAsiaTheme="minorHAnsi"/>
        </w:rPr>
      </w:pPr>
    </w:p>
    <w:p w:rsidR="00566E9A" w:rsidRPr="00F00EF9" w:rsidRDefault="00566E9A" w:rsidP="00AE5760">
      <w:pPr>
        <w:pStyle w:val="Heading5"/>
        <w:rPr>
          <w:rFonts w:eastAsiaTheme="minorHAnsi"/>
        </w:rPr>
      </w:pPr>
      <w:r w:rsidRPr="00D1119D">
        <w:rPr>
          <w:rFonts w:eastAsiaTheme="minorHAnsi"/>
        </w:rPr>
        <w:t>A</w:t>
      </w:r>
      <w:r>
        <w:rPr>
          <w:rFonts w:eastAsiaTheme="minorHAnsi"/>
        </w:rPr>
        <w:t>ccelerated deployment of police</w:t>
      </w:r>
    </w:p>
    <w:p w:rsidR="00566E9A" w:rsidRPr="00D1119D" w:rsidRDefault="00566E9A" w:rsidP="00AE5760">
      <w:pPr>
        <w:rPr>
          <w:rFonts w:eastAsiaTheme="minorHAnsi"/>
        </w:rPr>
      </w:pPr>
      <w:r w:rsidRPr="00D1119D">
        <w:rPr>
          <w:rFonts w:eastAsiaTheme="minorHAnsi"/>
        </w:rPr>
        <w:t>Victoria Police will be funded to accelerate the re</w:t>
      </w:r>
      <w:r>
        <w:rPr>
          <w:rFonts w:eastAsiaTheme="minorHAnsi"/>
        </w:rPr>
        <w:t>cruitment and deployment of 150 </w:t>
      </w:r>
      <w:r w:rsidRPr="00D1119D">
        <w:rPr>
          <w:rFonts w:eastAsiaTheme="minorHAnsi"/>
        </w:rPr>
        <w:t xml:space="preserve">frontline police, 12 months ahead of schedule. As a result, a total of 300 frontline police will be recruited and </w:t>
      </w:r>
      <w:r>
        <w:rPr>
          <w:rFonts w:eastAsiaTheme="minorHAnsi"/>
        </w:rPr>
        <w:t>sworn</w:t>
      </w:r>
      <w:r w:rsidRPr="00D1119D">
        <w:rPr>
          <w:rFonts w:eastAsiaTheme="minorHAnsi"/>
        </w:rPr>
        <w:t xml:space="preserve"> by 30 June 2017. More frontline police will enhance Victoria Police</w:t>
      </w:r>
      <w:r>
        <w:rPr>
          <w:rFonts w:eastAsiaTheme="minorHAnsi"/>
        </w:rPr>
        <w:t>’</w:t>
      </w:r>
      <w:r w:rsidRPr="00D1119D">
        <w:rPr>
          <w:rFonts w:eastAsiaTheme="minorHAnsi"/>
        </w:rPr>
        <w:t>s capability to serve the Victorian community and uphold the law.</w:t>
      </w:r>
    </w:p>
    <w:p w:rsidR="00566E9A" w:rsidRDefault="00566E9A" w:rsidP="00AE5760">
      <w:pPr>
        <w:rPr>
          <w:rFonts w:eastAsiaTheme="minorHAnsi"/>
        </w:rPr>
      </w:pPr>
      <w:r w:rsidRPr="00D1119D">
        <w:rPr>
          <w:rFonts w:eastAsiaTheme="minorHAnsi"/>
        </w:rPr>
        <w:t>This initiative contributes to the Department of Justice and Regulation</w:t>
      </w:r>
      <w:r>
        <w:rPr>
          <w:rFonts w:eastAsiaTheme="minorHAnsi"/>
        </w:rPr>
        <w:t>’</w:t>
      </w:r>
      <w:r w:rsidRPr="00D1119D">
        <w:rPr>
          <w:rFonts w:eastAsiaTheme="minorHAnsi"/>
        </w:rPr>
        <w:t xml:space="preserve">s Policing </w:t>
      </w:r>
      <w:r>
        <w:rPr>
          <w:rFonts w:eastAsiaTheme="minorHAnsi"/>
        </w:rPr>
        <w:t xml:space="preserve">Services </w:t>
      </w:r>
      <w:r w:rsidRPr="00D1119D">
        <w:rPr>
          <w:rFonts w:eastAsiaTheme="minorHAnsi"/>
        </w:rPr>
        <w:t>and Crime Prevention output.</w:t>
      </w:r>
    </w:p>
    <w:p w:rsidR="00566E9A" w:rsidRPr="00F00EF9" w:rsidRDefault="00566E9A" w:rsidP="00AE5760">
      <w:pPr>
        <w:pStyle w:val="Heading5"/>
        <w:rPr>
          <w:rFonts w:eastAsiaTheme="minorHAnsi"/>
        </w:rPr>
      </w:pPr>
      <w:r w:rsidRPr="00D1119D">
        <w:rPr>
          <w:rFonts w:eastAsiaTheme="minorHAnsi"/>
        </w:rPr>
        <w:t>Additional support for volunteers</w:t>
      </w:r>
    </w:p>
    <w:p w:rsidR="00566E9A" w:rsidRDefault="00566E9A" w:rsidP="00AE5760">
      <w:pPr>
        <w:rPr>
          <w:rFonts w:eastAsiaTheme="minorHAnsi"/>
        </w:rPr>
      </w:pPr>
      <w:r w:rsidRPr="00D1119D">
        <w:rPr>
          <w:rFonts w:eastAsiaTheme="minorHAnsi"/>
        </w:rPr>
        <w:t>Refer to the asset initiative for a description of this initiative.</w:t>
      </w:r>
    </w:p>
    <w:p w:rsidR="00566E9A" w:rsidRPr="00F00EF9" w:rsidRDefault="00566E9A" w:rsidP="00AE5760">
      <w:pPr>
        <w:pStyle w:val="Heading5"/>
        <w:rPr>
          <w:rFonts w:eastAsiaTheme="minorHAnsi"/>
        </w:rPr>
      </w:pPr>
      <w:r w:rsidRPr="00D1119D">
        <w:rPr>
          <w:rFonts w:eastAsiaTheme="minorHAnsi"/>
        </w:rPr>
        <w:t xml:space="preserve">Emergency </w:t>
      </w:r>
      <w:r>
        <w:rPr>
          <w:rFonts w:eastAsiaTheme="minorHAnsi"/>
        </w:rPr>
        <w:t>r</w:t>
      </w:r>
      <w:r w:rsidRPr="00D1119D">
        <w:rPr>
          <w:rFonts w:eastAsiaTheme="minorHAnsi"/>
        </w:rPr>
        <w:t>esponse to December 2015 Victorian bushfires</w:t>
      </w:r>
    </w:p>
    <w:p w:rsidR="00566E9A" w:rsidRPr="00D1119D" w:rsidRDefault="00566E9A" w:rsidP="00AE5760">
      <w:pPr>
        <w:rPr>
          <w:rFonts w:eastAsiaTheme="minorHAnsi"/>
        </w:rPr>
      </w:pPr>
      <w:r w:rsidRPr="00D1119D">
        <w:rPr>
          <w:rFonts w:eastAsiaTheme="minorHAnsi"/>
        </w:rPr>
        <w:t>Funding was provided to coordinate support for the communities of Wye River/Separation Creek, Barnawartha and Scotsburn</w:t>
      </w:r>
      <w:r>
        <w:rPr>
          <w:rFonts w:eastAsiaTheme="minorHAnsi"/>
        </w:rPr>
        <w:t>,</w:t>
      </w:r>
      <w:r w:rsidRPr="00D1119D">
        <w:rPr>
          <w:rFonts w:eastAsiaTheme="minorHAnsi"/>
        </w:rPr>
        <w:t xml:space="preserve"> which were impacted by the December 2015 Victorian bushfires. The funding coordinated the provision of services to clean up damage and resettle communities impacted by the bushfires.</w:t>
      </w:r>
    </w:p>
    <w:p w:rsidR="00566E9A" w:rsidRDefault="00566E9A" w:rsidP="00AE5760">
      <w:pPr>
        <w:rPr>
          <w:rFonts w:eastAsiaTheme="minorHAnsi"/>
        </w:rPr>
      </w:pPr>
      <w:r w:rsidRPr="00D1119D">
        <w:rPr>
          <w:rFonts w:eastAsiaTheme="minorHAnsi"/>
        </w:rPr>
        <w:t>This initiative contributes to the Department of Justice and Regulation</w:t>
      </w:r>
      <w:r>
        <w:rPr>
          <w:rFonts w:eastAsiaTheme="minorHAnsi"/>
        </w:rPr>
        <w:t>’</w:t>
      </w:r>
      <w:r w:rsidRPr="00D1119D">
        <w:rPr>
          <w:rFonts w:eastAsiaTheme="minorHAnsi"/>
        </w:rPr>
        <w:t>s Emergency Management Capability output.</w:t>
      </w:r>
    </w:p>
    <w:p w:rsidR="00566E9A" w:rsidRPr="00F00EF9" w:rsidRDefault="00566E9A" w:rsidP="00AE5760">
      <w:pPr>
        <w:pStyle w:val="Heading5"/>
        <w:rPr>
          <w:rFonts w:eastAsiaTheme="minorHAnsi"/>
        </w:rPr>
      </w:pPr>
      <w:r w:rsidRPr="00D1119D">
        <w:rPr>
          <w:rFonts w:eastAsiaTheme="minorHAnsi"/>
        </w:rPr>
        <w:t>Enhancing the CFA</w:t>
      </w:r>
      <w:r>
        <w:rPr>
          <w:rFonts w:eastAsiaTheme="minorHAnsi"/>
        </w:rPr>
        <w:t>’</w:t>
      </w:r>
      <w:r w:rsidRPr="00D1119D">
        <w:rPr>
          <w:rFonts w:eastAsiaTheme="minorHAnsi"/>
        </w:rPr>
        <w:t>s capability</w:t>
      </w:r>
    </w:p>
    <w:p w:rsidR="00566E9A" w:rsidRPr="00D1119D" w:rsidRDefault="00566E9A" w:rsidP="00AE5760">
      <w:pPr>
        <w:rPr>
          <w:rFonts w:eastAsiaTheme="minorHAnsi"/>
        </w:rPr>
      </w:pPr>
      <w:r w:rsidRPr="00D1119D">
        <w:rPr>
          <w:rFonts w:eastAsiaTheme="minorHAnsi"/>
        </w:rPr>
        <w:t xml:space="preserve">The </w:t>
      </w:r>
      <w:r>
        <w:rPr>
          <w:rFonts w:eastAsiaTheme="minorHAnsi"/>
        </w:rPr>
        <w:t>Country Fire Authority (</w:t>
      </w:r>
      <w:r w:rsidRPr="00D1119D">
        <w:rPr>
          <w:rFonts w:eastAsiaTheme="minorHAnsi"/>
        </w:rPr>
        <w:t>CFA</w:t>
      </w:r>
      <w:r>
        <w:rPr>
          <w:rFonts w:eastAsiaTheme="minorHAnsi"/>
        </w:rPr>
        <w:t>)</w:t>
      </w:r>
      <w:r w:rsidRPr="00D1119D">
        <w:rPr>
          <w:rFonts w:eastAsiaTheme="minorHAnsi"/>
        </w:rPr>
        <w:t xml:space="preserve"> will receive funding to enhance its capability to manage and support career and volunteer fire fighters. The additional investment will support the CFA delivering its expanded operations.</w:t>
      </w:r>
    </w:p>
    <w:p w:rsidR="00566E9A" w:rsidRDefault="00566E9A" w:rsidP="00AE5760">
      <w:pPr>
        <w:rPr>
          <w:rFonts w:eastAsiaTheme="minorHAnsi"/>
        </w:rPr>
      </w:pPr>
      <w:r w:rsidRPr="00D1119D">
        <w:rPr>
          <w:rFonts w:eastAsiaTheme="minorHAnsi"/>
        </w:rPr>
        <w:t>This initiative contributes to the Department of Justice and Regulation</w:t>
      </w:r>
      <w:r>
        <w:rPr>
          <w:rFonts w:eastAsiaTheme="minorHAnsi"/>
        </w:rPr>
        <w:t>’</w:t>
      </w:r>
      <w:r w:rsidRPr="00D1119D">
        <w:rPr>
          <w:rFonts w:eastAsiaTheme="minorHAnsi"/>
        </w:rPr>
        <w:t>s Emergency Management Capability output.</w:t>
      </w:r>
    </w:p>
    <w:p w:rsidR="00566E9A" w:rsidRDefault="00566E9A">
      <w:pPr>
        <w:spacing w:after="0"/>
        <w:rPr>
          <w:rFonts w:asciiTheme="majorHAnsi" w:eastAsiaTheme="minorHAnsi" w:hAnsiTheme="majorHAnsi"/>
          <w:b/>
        </w:rPr>
      </w:pPr>
      <w:r>
        <w:rPr>
          <w:rFonts w:eastAsiaTheme="minorHAnsi"/>
        </w:rPr>
        <w:br w:type="page"/>
      </w:r>
    </w:p>
    <w:p w:rsidR="00566E9A" w:rsidRPr="00F00EF9" w:rsidRDefault="00566E9A" w:rsidP="00AE5760">
      <w:pPr>
        <w:pStyle w:val="Heading5"/>
        <w:rPr>
          <w:rFonts w:eastAsiaTheme="minorHAnsi"/>
        </w:rPr>
      </w:pPr>
      <w:r w:rsidRPr="00D1119D">
        <w:rPr>
          <w:rFonts w:eastAsiaTheme="minorHAnsi"/>
        </w:rPr>
        <w:lastRenderedPageBreak/>
        <w:t>Flemington Racecourse grandstand upgrade</w:t>
      </w:r>
    </w:p>
    <w:p w:rsidR="00566E9A" w:rsidRPr="00D1119D" w:rsidRDefault="00566E9A" w:rsidP="00AE5760">
      <w:pPr>
        <w:rPr>
          <w:rFonts w:eastAsiaTheme="minorHAnsi"/>
        </w:rPr>
      </w:pPr>
      <w:r w:rsidRPr="00D1119D">
        <w:rPr>
          <w:rFonts w:eastAsiaTheme="minorHAnsi"/>
        </w:rPr>
        <w:t>The Victoria Racing Club will receive funding contributing to the construction of a new state of the art grandstand. This project will expand the grandstand</w:t>
      </w:r>
      <w:r>
        <w:rPr>
          <w:rFonts w:eastAsiaTheme="minorHAnsi"/>
        </w:rPr>
        <w:t>’s capacity</w:t>
      </w:r>
      <w:r w:rsidRPr="00D1119D">
        <w:rPr>
          <w:rFonts w:eastAsiaTheme="minorHAnsi"/>
        </w:rPr>
        <w:t xml:space="preserve"> and upgrade the amenity of </w:t>
      </w:r>
      <w:r>
        <w:rPr>
          <w:rFonts w:eastAsiaTheme="minorHAnsi"/>
        </w:rPr>
        <w:t xml:space="preserve">Flemington </w:t>
      </w:r>
      <w:r w:rsidRPr="00D1119D">
        <w:rPr>
          <w:rFonts w:eastAsiaTheme="minorHAnsi"/>
        </w:rPr>
        <w:t xml:space="preserve">Racecourse. The grandstand upgrade will assist </w:t>
      </w:r>
      <w:r>
        <w:rPr>
          <w:rFonts w:eastAsiaTheme="minorHAnsi"/>
        </w:rPr>
        <w:t>Flemington</w:t>
      </w:r>
      <w:r w:rsidRPr="00D1119D">
        <w:rPr>
          <w:rFonts w:eastAsiaTheme="minorHAnsi"/>
        </w:rPr>
        <w:t xml:space="preserve"> Racecourse retain its competitiveness against other Australian racing </w:t>
      </w:r>
      <w:r>
        <w:rPr>
          <w:rFonts w:eastAsiaTheme="minorHAnsi"/>
        </w:rPr>
        <w:t xml:space="preserve">and sporting </w:t>
      </w:r>
      <w:r w:rsidRPr="00D1119D">
        <w:rPr>
          <w:rFonts w:eastAsiaTheme="minorHAnsi"/>
        </w:rPr>
        <w:t xml:space="preserve">venues, helping to ensure Victoria remains the major events capital of Australia. </w:t>
      </w:r>
    </w:p>
    <w:p w:rsidR="00566E9A" w:rsidRDefault="00566E9A" w:rsidP="00AE5760">
      <w:pPr>
        <w:rPr>
          <w:rFonts w:eastAsiaTheme="minorHAnsi"/>
        </w:rPr>
      </w:pPr>
      <w:r w:rsidRPr="00D1119D">
        <w:rPr>
          <w:rFonts w:eastAsiaTheme="minorHAnsi"/>
        </w:rPr>
        <w:t>This initiative contributes to the Department of Justice and Regulation</w:t>
      </w:r>
      <w:r>
        <w:rPr>
          <w:rFonts w:eastAsiaTheme="minorHAnsi"/>
        </w:rPr>
        <w:t>’</w:t>
      </w:r>
      <w:r w:rsidRPr="00D1119D">
        <w:rPr>
          <w:rFonts w:eastAsiaTheme="minorHAnsi"/>
        </w:rPr>
        <w:t>s Gambling, Liquor and Racing output.</w:t>
      </w:r>
    </w:p>
    <w:p w:rsidR="00566E9A" w:rsidRPr="00F00EF9" w:rsidRDefault="00566E9A" w:rsidP="00AE5760">
      <w:pPr>
        <w:pStyle w:val="Heading5"/>
        <w:rPr>
          <w:rFonts w:eastAsiaTheme="minorHAnsi"/>
        </w:rPr>
      </w:pPr>
      <w:r w:rsidRPr="00D1119D">
        <w:rPr>
          <w:rFonts w:eastAsiaTheme="minorHAnsi"/>
        </w:rPr>
        <w:t xml:space="preserve">Summer </w:t>
      </w:r>
      <w:r>
        <w:rPr>
          <w:rFonts w:eastAsiaTheme="minorHAnsi"/>
        </w:rPr>
        <w:t>F</w:t>
      </w:r>
      <w:r w:rsidRPr="00D1119D">
        <w:rPr>
          <w:rFonts w:eastAsiaTheme="minorHAnsi"/>
        </w:rPr>
        <w:t xml:space="preserve">ire </w:t>
      </w:r>
      <w:r>
        <w:rPr>
          <w:rFonts w:eastAsiaTheme="minorHAnsi"/>
        </w:rPr>
        <w:t>I</w:t>
      </w:r>
      <w:r w:rsidRPr="00D1119D">
        <w:rPr>
          <w:rFonts w:eastAsiaTheme="minorHAnsi"/>
        </w:rPr>
        <w:t xml:space="preserve">nformation and </w:t>
      </w:r>
      <w:r>
        <w:rPr>
          <w:rFonts w:eastAsiaTheme="minorHAnsi"/>
        </w:rPr>
        <w:t>E</w:t>
      </w:r>
      <w:r w:rsidRPr="00D1119D">
        <w:rPr>
          <w:rFonts w:eastAsiaTheme="minorHAnsi"/>
        </w:rPr>
        <w:t xml:space="preserve">ducation </w:t>
      </w:r>
      <w:r>
        <w:rPr>
          <w:rFonts w:eastAsiaTheme="minorHAnsi"/>
        </w:rPr>
        <w:t>P</w:t>
      </w:r>
      <w:r w:rsidRPr="00D1119D">
        <w:rPr>
          <w:rFonts w:eastAsiaTheme="minorHAnsi"/>
        </w:rPr>
        <w:t>rogram</w:t>
      </w:r>
    </w:p>
    <w:p w:rsidR="00566E9A" w:rsidRPr="00D1119D" w:rsidRDefault="00566E9A" w:rsidP="00AE5760">
      <w:pPr>
        <w:rPr>
          <w:rFonts w:eastAsiaTheme="minorHAnsi"/>
        </w:rPr>
      </w:pPr>
      <w:r w:rsidRPr="00D1119D">
        <w:rPr>
          <w:rFonts w:eastAsiaTheme="minorHAnsi"/>
        </w:rPr>
        <w:t xml:space="preserve">A program of </w:t>
      </w:r>
      <w:r>
        <w:rPr>
          <w:rFonts w:eastAsiaTheme="minorHAnsi"/>
        </w:rPr>
        <w:t xml:space="preserve">fire </w:t>
      </w:r>
      <w:r w:rsidRPr="00D1119D">
        <w:rPr>
          <w:rFonts w:eastAsiaTheme="minorHAnsi"/>
        </w:rPr>
        <w:t xml:space="preserve">safety information and education will be funded </w:t>
      </w:r>
      <w:r>
        <w:rPr>
          <w:rFonts w:eastAsiaTheme="minorHAnsi"/>
        </w:rPr>
        <w:t>and</w:t>
      </w:r>
      <w:r w:rsidRPr="00D1119D">
        <w:rPr>
          <w:rFonts w:eastAsiaTheme="minorHAnsi"/>
        </w:rPr>
        <w:t xml:space="preserve"> delivered through a combination of direct marketing, traditional and social media, and public relations.</w:t>
      </w:r>
    </w:p>
    <w:p w:rsidR="00566E9A" w:rsidRPr="00D1119D" w:rsidRDefault="00566E9A" w:rsidP="00AE5760">
      <w:pPr>
        <w:rPr>
          <w:rFonts w:eastAsiaTheme="minorHAnsi"/>
        </w:rPr>
      </w:pPr>
      <w:r w:rsidRPr="00D1119D">
        <w:rPr>
          <w:rFonts w:eastAsiaTheme="minorHAnsi"/>
        </w:rPr>
        <w:t>The program will promote key fire safety advice</w:t>
      </w:r>
      <w:r>
        <w:rPr>
          <w:rFonts w:eastAsiaTheme="minorHAnsi"/>
        </w:rPr>
        <w:t xml:space="preserve">, including </w:t>
      </w:r>
      <w:r w:rsidRPr="00D1119D">
        <w:rPr>
          <w:rFonts w:eastAsiaTheme="minorHAnsi"/>
        </w:rPr>
        <w:t xml:space="preserve">leaving early and community awareness of fire risk and planning in preparation for the 2016-17 summer period. </w:t>
      </w:r>
    </w:p>
    <w:p w:rsidR="00566E9A" w:rsidRDefault="00566E9A" w:rsidP="00AE5760">
      <w:pPr>
        <w:rPr>
          <w:rFonts w:eastAsiaTheme="minorHAnsi"/>
        </w:rPr>
      </w:pPr>
      <w:r w:rsidRPr="00D1119D">
        <w:rPr>
          <w:rFonts w:eastAsiaTheme="minorHAnsi"/>
        </w:rPr>
        <w:t>This initiative contributes to the Department of Justice and Regulation</w:t>
      </w:r>
      <w:r>
        <w:rPr>
          <w:rFonts w:eastAsiaTheme="minorHAnsi"/>
        </w:rPr>
        <w:t>’</w:t>
      </w:r>
      <w:r w:rsidRPr="00D1119D">
        <w:rPr>
          <w:rFonts w:eastAsiaTheme="minorHAnsi"/>
        </w:rPr>
        <w:t>s Emergency Management Capability output.</w:t>
      </w:r>
    </w:p>
    <w:p w:rsidR="00566E9A" w:rsidRPr="00F00EF9" w:rsidRDefault="00566E9A" w:rsidP="00AE5760">
      <w:pPr>
        <w:pStyle w:val="Heading3"/>
        <w:rPr>
          <w:rFonts w:eastAsiaTheme="minorHAnsi"/>
        </w:rPr>
      </w:pPr>
      <w:r>
        <w:rPr>
          <w:rFonts w:eastAsiaTheme="minorHAnsi"/>
        </w:rPr>
        <w:t>Asset</w:t>
      </w:r>
      <w:r w:rsidRPr="00F00EF9">
        <w:rPr>
          <w:rFonts w:eastAsiaTheme="minorHAnsi"/>
        </w:rPr>
        <w:t xml:space="preserve">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11</w:t>
      </w:r>
      <w:r w:rsidRPr="00F00EF9">
        <w:rPr>
          <w:rFonts w:eastAsiaTheme="minorHAnsi"/>
        </w:rPr>
        <w:t>:</w:t>
      </w:r>
      <w:r w:rsidRPr="00F00EF9">
        <w:rPr>
          <w:rFonts w:eastAsiaTheme="minorHAnsi"/>
        </w:rPr>
        <w:tab/>
      </w:r>
      <w:r>
        <w:rPr>
          <w:rFonts w:eastAsiaTheme="minorHAnsi"/>
        </w:rPr>
        <w:t>Asset initiatives – Department of Justice and Regulation</w:t>
      </w:r>
    </w:p>
    <w:p w:rsidR="00566E9A" w:rsidRPr="003D67FF" w:rsidRDefault="00566E9A" w:rsidP="00AE5760">
      <w:pPr>
        <w:pStyle w:val="million"/>
        <w:rPr>
          <w:rFonts w:asciiTheme="minorHAnsi" w:eastAsiaTheme="minorHAnsi" w:hAnsiTheme="minorHAnsi"/>
          <w:b/>
          <w:bCs/>
          <w:sz w:val="22"/>
          <w:lang w:val="en-US"/>
        </w:rPr>
      </w:pPr>
      <w:r w:rsidRPr="00F00EF9">
        <w:rPr>
          <w:rFonts w:eastAsiaTheme="minorHAnsi"/>
        </w:rPr>
        <w:t>($</w:t>
      </w:r>
      <w:r w:rsidR="008734F3">
        <w:rPr>
          <w:rFonts w:eastAsiaTheme="minorHAnsi"/>
        </w:rPr>
        <w:t xml:space="preserve"> </w:t>
      </w:r>
      <w:r w:rsidRPr="00F00EF9">
        <w:rPr>
          <w:rFonts w:eastAsiaTheme="minorHAnsi"/>
        </w:rPr>
        <w:t>million)</w:t>
      </w:r>
    </w:p>
    <w:tbl>
      <w:tblPr>
        <w:tblStyle w:val="DTFFinancialTable"/>
        <w:tblW w:w="7762" w:type="dxa"/>
        <w:tblInd w:w="45" w:type="dxa"/>
        <w:tblLayout w:type="fixed"/>
        <w:tblCellMar>
          <w:left w:w="45" w:type="dxa"/>
          <w:right w:w="45" w:type="dxa"/>
        </w:tblCellMar>
        <w:tblLook w:val="06A0" w:firstRow="1" w:lastRow="0" w:firstColumn="1" w:lastColumn="0" w:noHBand="1" w:noVBand="1"/>
      </w:tblPr>
      <w:tblGrid>
        <w:gridCol w:w="3685"/>
        <w:gridCol w:w="850"/>
        <w:gridCol w:w="850"/>
        <w:gridCol w:w="850"/>
        <w:gridCol w:w="850"/>
        <w:gridCol w:w="677"/>
      </w:tblGrid>
      <w:tr w:rsidR="00566E9A" w:rsidRPr="003D67FF"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single" w:sz="6" w:space="0" w:color="auto"/>
              <w:bottom w:val="single" w:sz="6" w:space="0" w:color="auto"/>
              <w:right w:val="nil"/>
            </w:tcBorders>
            <w:shd w:val="solid" w:color="000000" w:fill="auto"/>
          </w:tcPr>
          <w:p w:rsidR="00566E9A" w:rsidRPr="003D67FF" w:rsidRDefault="00566E9A" w:rsidP="00AE5760">
            <w:pPr>
              <w:autoSpaceDE w:val="0"/>
              <w:autoSpaceDN w:val="0"/>
              <w:adjustRightInd w:val="0"/>
              <w:rPr>
                <w:rFonts w:eastAsiaTheme="minorEastAsia" w:cs="Calibri"/>
                <w:color w:val="FFFFFF"/>
                <w:lang w:eastAsia="en-AU"/>
              </w:rPr>
            </w:pPr>
            <w:r w:rsidRPr="003D67FF">
              <w:rPr>
                <w:rFonts w:eastAsiaTheme="minorEastAsia" w:cs="Calibri"/>
                <w:color w:val="FFFFFF"/>
                <w:lang w:eastAsia="en-AU"/>
              </w:rPr>
              <w:t xml:space="preserve"> </w:t>
            </w:r>
          </w:p>
        </w:tc>
        <w:tc>
          <w:tcPr>
            <w:tcW w:w="850"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2016-17</w:t>
            </w:r>
          </w:p>
        </w:tc>
        <w:tc>
          <w:tcPr>
            <w:tcW w:w="850"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2017-18</w:t>
            </w:r>
          </w:p>
        </w:tc>
        <w:tc>
          <w:tcPr>
            <w:tcW w:w="850"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2018-19</w:t>
            </w:r>
          </w:p>
        </w:tc>
        <w:tc>
          <w:tcPr>
            <w:tcW w:w="850"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2019-20</w:t>
            </w:r>
          </w:p>
        </w:tc>
        <w:tc>
          <w:tcPr>
            <w:tcW w:w="677" w:type="dxa"/>
            <w:tcBorders>
              <w:top w:val="single" w:sz="6" w:space="0" w:color="auto"/>
              <w:left w:val="nil"/>
              <w:bottom w:val="single" w:sz="6" w:space="0" w:color="auto"/>
              <w:right w:val="nil"/>
            </w:tcBorders>
            <w:shd w:val="solid" w:color="000000" w:fill="auto"/>
          </w:tcPr>
          <w:p w:rsidR="00566E9A" w:rsidRPr="003D67FF"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3D67FF">
              <w:rPr>
                <w:rFonts w:eastAsiaTheme="minorEastAsia" w:cs="Calibri"/>
                <w:iCs/>
                <w:color w:val="FFFFFF"/>
                <w:lang w:eastAsia="en-AU"/>
              </w:rPr>
              <w:t>TEI</w:t>
            </w:r>
          </w:p>
        </w:tc>
      </w:tr>
      <w:tr w:rsidR="00566E9A" w:rsidRPr="003D67FF"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3D67FF" w:rsidRDefault="00566E9A" w:rsidP="00AE5760">
            <w:pPr>
              <w:autoSpaceDE w:val="0"/>
              <w:autoSpaceDN w:val="0"/>
              <w:adjustRightInd w:val="0"/>
              <w:rPr>
                <w:rFonts w:eastAsiaTheme="minorEastAsia" w:cs="Calibri"/>
                <w:color w:val="000000"/>
                <w:lang w:eastAsia="en-AU"/>
              </w:rPr>
            </w:pPr>
            <w:r w:rsidRPr="003D67FF">
              <w:rPr>
                <w:rFonts w:eastAsiaTheme="minorEastAsia" w:cs="Calibri"/>
                <w:color w:val="000000"/>
                <w:lang w:eastAsia="en-AU"/>
              </w:rPr>
              <w:t>Additional support for volunteers</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20.0</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67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20.0</w:t>
            </w:r>
          </w:p>
        </w:tc>
      </w:tr>
      <w:tr w:rsidR="00566E9A" w:rsidRPr="003D67FF"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3D67FF" w:rsidRDefault="00566E9A" w:rsidP="00AE5760">
            <w:pPr>
              <w:autoSpaceDE w:val="0"/>
              <w:autoSpaceDN w:val="0"/>
              <w:adjustRightInd w:val="0"/>
              <w:rPr>
                <w:rFonts w:eastAsiaTheme="minorEastAsia" w:cs="Calibri"/>
                <w:color w:val="000000"/>
                <w:lang w:eastAsia="en-AU"/>
              </w:rPr>
            </w:pPr>
            <w:r w:rsidRPr="003D67FF">
              <w:rPr>
                <w:rFonts w:eastAsiaTheme="minorEastAsia" w:cs="Calibri"/>
                <w:color w:val="000000"/>
                <w:lang w:eastAsia="en-AU"/>
              </w:rPr>
              <w:t>Enhancing the CFA</w:t>
            </w:r>
            <w:r>
              <w:rPr>
                <w:rFonts w:eastAsiaTheme="minorEastAsia" w:cs="Calibri"/>
                <w:color w:val="000000"/>
                <w:lang w:eastAsia="en-AU"/>
              </w:rPr>
              <w:t>’</w:t>
            </w:r>
            <w:r w:rsidRPr="003D67FF">
              <w:rPr>
                <w:rFonts w:eastAsiaTheme="minorEastAsia" w:cs="Calibri"/>
                <w:color w:val="000000"/>
                <w:lang w:eastAsia="en-AU"/>
              </w:rPr>
              <w:t xml:space="preserve">s capability </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1.0</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850"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w:t>
            </w:r>
          </w:p>
        </w:tc>
        <w:tc>
          <w:tcPr>
            <w:tcW w:w="677" w:type="dxa"/>
            <w:tcBorders>
              <w:top w:val="nil"/>
              <w:left w:val="nil"/>
              <w:bottom w:val="nil"/>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D67FF">
              <w:rPr>
                <w:rFonts w:eastAsiaTheme="minorEastAsia" w:cs="Calibri"/>
                <w:color w:val="000000"/>
                <w:lang w:eastAsia="en-AU"/>
              </w:rPr>
              <w:t>1.0</w:t>
            </w:r>
          </w:p>
        </w:tc>
      </w:tr>
      <w:tr w:rsidR="00566E9A" w:rsidRPr="003D67FF"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rPr>
                <w:rFonts w:eastAsiaTheme="minorEastAsia" w:cs="Calibri"/>
                <w:b/>
                <w:bCs/>
                <w:color w:val="000000"/>
                <w:lang w:eastAsia="en-AU"/>
              </w:rPr>
            </w:pPr>
            <w:r w:rsidRPr="003D67FF">
              <w:rPr>
                <w:rFonts w:eastAsiaTheme="minorEastAsia" w:cs="Calibri"/>
                <w:b/>
                <w:bCs/>
                <w:color w:val="000000"/>
                <w:lang w:eastAsia="en-AU"/>
              </w:rPr>
              <w:t xml:space="preserve"> </w:t>
            </w:r>
          </w:p>
        </w:tc>
        <w:tc>
          <w:tcPr>
            <w:tcW w:w="850"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21.0</w:t>
            </w:r>
          </w:p>
        </w:tc>
        <w:tc>
          <w:tcPr>
            <w:tcW w:w="850"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w:t>
            </w:r>
          </w:p>
        </w:tc>
        <w:tc>
          <w:tcPr>
            <w:tcW w:w="850"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w:t>
            </w:r>
          </w:p>
        </w:tc>
        <w:tc>
          <w:tcPr>
            <w:tcW w:w="850"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w:t>
            </w:r>
          </w:p>
        </w:tc>
        <w:tc>
          <w:tcPr>
            <w:tcW w:w="677" w:type="dxa"/>
            <w:tcBorders>
              <w:top w:val="single" w:sz="6" w:space="0" w:color="auto"/>
              <w:left w:val="nil"/>
              <w:bottom w:val="single" w:sz="12" w:space="0" w:color="auto"/>
              <w:right w:val="nil"/>
            </w:tcBorders>
          </w:tcPr>
          <w:p w:rsidR="00566E9A" w:rsidRPr="003D67FF"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3D67FF">
              <w:rPr>
                <w:rFonts w:eastAsiaTheme="minorEastAsia" w:cs="Calibri"/>
                <w:b/>
                <w:bCs/>
                <w:color w:val="000000"/>
                <w:lang w:eastAsia="en-AU"/>
              </w:rPr>
              <w:t>21.0</w:t>
            </w:r>
          </w:p>
        </w:tc>
      </w:tr>
    </w:tbl>
    <w:p w:rsidR="00566E9A" w:rsidRDefault="00566E9A" w:rsidP="00AE5760">
      <w:pPr>
        <w:rPr>
          <w:rFonts w:eastAsiaTheme="minorHAnsi"/>
        </w:rPr>
      </w:pPr>
    </w:p>
    <w:p w:rsidR="00566E9A" w:rsidRPr="00F00EF9" w:rsidRDefault="00566E9A" w:rsidP="00AE5760">
      <w:pPr>
        <w:pStyle w:val="Heading5"/>
        <w:rPr>
          <w:rFonts w:eastAsiaTheme="minorHAnsi"/>
        </w:rPr>
      </w:pPr>
      <w:r w:rsidRPr="00D1119D">
        <w:rPr>
          <w:rFonts w:eastAsiaTheme="minorHAnsi"/>
        </w:rPr>
        <w:t>Additional support for volunteers</w:t>
      </w:r>
    </w:p>
    <w:p w:rsidR="00566E9A" w:rsidRPr="00D1119D" w:rsidRDefault="00566E9A" w:rsidP="00AE5760">
      <w:pPr>
        <w:rPr>
          <w:rFonts w:eastAsiaTheme="minorHAnsi"/>
        </w:rPr>
      </w:pPr>
      <w:r w:rsidRPr="00D1119D">
        <w:rPr>
          <w:rFonts w:eastAsiaTheme="minorHAnsi"/>
        </w:rPr>
        <w:t xml:space="preserve">Volunteer brigades in the CFA will receive funding for new </w:t>
      </w:r>
      <w:r>
        <w:rPr>
          <w:rFonts w:eastAsiaTheme="minorHAnsi"/>
        </w:rPr>
        <w:t>vehicles, including 10 heavy tankers</w:t>
      </w:r>
      <w:r w:rsidRPr="00D1119D">
        <w:rPr>
          <w:rFonts w:eastAsiaTheme="minorHAnsi"/>
        </w:rPr>
        <w:t xml:space="preserve"> and two bulk water carriers. Funding will also be provided for new work wear and persona</w:t>
      </w:r>
      <w:r>
        <w:rPr>
          <w:rFonts w:eastAsiaTheme="minorHAnsi"/>
        </w:rPr>
        <w:t>l protection clothing to more than 8 </w:t>
      </w:r>
      <w:r w:rsidRPr="00D1119D">
        <w:rPr>
          <w:rFonts w:eastAsiaTheme="minorHAnsi"/>
        </w:rPr>
        <w:t xml:space="preserve">000 </w:t>
      </w:r>
      <w:r>
        <w:rPr>
          <w:rFonts w:eastAsiaTheme="minorHAnsi"/>
        </w:rPr>
        <w:t xml:space="preserve">CFA </w:t>
      </w:r>
      <w:r w:rsidRPr="00D1119D">
        <w:rPr>
          <w:rFonts w:eastAsiaTheme="minorHAnsi"/>
        </w:rPr>
        <w:t>volunteers. The next generation of CFA volunteers will be supported with investments in the Junior Support Brigade.</w:t>
      </w:r>
    </w:p>
    <w:p w:rsidR="00566E9A" w:rsidRPr="00D1119D" w:rsidRDefault="00566E9A" w:rsidP="00AE5760">
      <w:pPr>
        <w:rPr>
          <w:rFonts w:eastAsiaTheme="minorHAnsi"/>
        </w:rPr>
      </w:pPr>
      <w:r w:rsidRPr="00D1119D">
        <w:rPr>
          <w:rFonts w:eastAsiaTheme="minorHAnsi"/>
        </w:rPr>
        <w:t xml:space="preserve">A </w:t>
      </w:r>
      <w:proofErr w:type="spellStart"/>
      <w:r>
        <w:rPr>
          <w:rFonts w:eastAsiaTheme="minorHAnsi"/>
        </w:rPr>
        <w:t>s</w:t>
      </w:r>
      <w:r w:rsidRPr="00D1119D">
        <w:rPr>
          <w:rFonts w:eastAsiaTheme="minorHAnsi"/>
        </w:rPr>
        <w:t>tatewide</w:t>
      </w:r>
      <w:proofErr w:type="spellEnd"/>
      <w:r w:rsidRPr="00D1119D">
        <w:rPr>
          <w:rFonts w:eastAsiaTheme="minorHAnsi"/>
        </w:rPr>
        <w:t xml:space="preserve"> volunteer support package will fund training and development grants to provide immediate support for volunteer emergency support organisations. A program of grants will also support the sustainability of emergency services organisations.</w:t>
      </w:r>
    </w:p>
    <w:p w:rsidR="00566E9A" w:rsidRDefault="00566E9A" w:rsidP="00AE5760">
      <w:pPr>
        <w:rPr>
          <w:rFonts w:eastAsiaTheme="minorHAnsi"/>
        </w:rPr>
      </w:pPr>
      <w:r w:rsidRPr="00D1119D">
        <w:rPr>
          <w:rFonts w:eastAsiaTheme="minorHAnsi"/>
        </w:rPr>
        <w:t>This initiative contributes to the Department of Justice and Regulation</w:t>
      </w:r>
      <w:r>
        <w:rPr>
          <w:rFonts w:eastAsiaTheme="minorHAnsi"/>
        </w:rPr>
        <w:t>’</w:t>
      </w:r>
      <w:r w:rsidRPr="00D1119D">
        <w:rPr>
          <w:rFonts w:eastAsiaTheme="minorHAnsi"/>
        </w:rPr>
        <w:t>s Emergency Management Capability output.</w:t>
      </w:r>
    </w:p>
    <w:p w:rsidR="00566E9A" w:rsidRPr="00F00EF9" w:rsidRDefault="00566E9A" w:rsidP="00AE5760">
      <w:pPr>
        <w:pStyle w:val="Heading5"/>
        <w:rPr>
          <w:rFonts w:eastAsiaTheme="minorHAnsi"/>
        </w:rPr>
      </w:pPr>
      <w:r w:rsidRPr="00D1119D">
        <w:rPr>
          <w:rFonts w:eastAsiaTheme="minorHAnsi"/>
        </w:rPr>
        <w:t>Enhancing the CFA</w:t>
      </w:r>
      <w:r>
        <w:rPr>
          <w:rFonts w:eastAsiaTheme="minorHAnsi"/>
        </w:rPr>
        <w:t>’</w:t>
      </w:r>
      <w:r w:rsidRPr="00D1119D">
        <w:rPr>
          <w:rFonts w:eastAsiaTheme="minorHAnsi"/>
        </w:rPr>
        <w:t>s capability</w:t>
      </w:r>
    </w:p>
    <w:p w:rsidR="00566E9A" w:rsidRDefault="00566E9A" w:rsidP="00AE5760">
      <w:pPr>
        <w:rPr>
          <w:rFonts w:eastAsiaTheme="minorHAnsi"/>
        </w:rPr>
      </w:pPr>
      <w:r w:rsidRPr="00D1119D">
        <w:rPr>
          <w:rFonts w:eastAsiaTheme="minorHAnsi"/>
        </w:rPr>
        <w:t xml:space="preserve">Refer to the </w:t>
      </w:r>
      <w:r>
        <w:rPr>
          <w:rFonts w:eastAsiaTheme="minorHAnsi"/>
        </w:rPr>
        <w:t>output</w:t>
      </w:r>
      <w:r w:rsidRPr="00D1119D">
        <w:rPr>
          <w:rFonts w:eastAsiaTheme="minorHAnsi"/>
        </w:rPr>
        <w:t xml:space="preserve"> initiative for a description of this initiative.</w:t>
      </w:r>
    </w:p>
    <w:p w:rsidR="00566E9A" w:rsidRPr="00F00EF9" w:rsidRDefault="00566E9A" w:rsidP="00AE5760">
      <w:pPr>
        <w:pStyle w:val="Heading1"/>
        <w:rPr>
          <w:rFonts w:eastAsiaTheme="minorHAnsi"/>
        </w:rPr>
      </w:pPr>
      <w:bookmarkStart w:id="62" w:name="_Toc468983297"/>
      <w:r w:rsidRPr="00F00EF9">
        <w:rPr>
          <w:rFonts w:eastAsiaTheme="minorHAnsi"/>
        </w:rPr>
        <w:lastRenderedPageBreak/>
        <w:t xml:space="preserve">Department of </w:t>
      </w:r>
      <w:r>
        <w:rPr>
          <w:rFonts w:eastAsiaTheme="minorHAnsi"/>
        </w:rPr>
        <w:t xml:space="preserve">Treasury </w:t>
      </w:r>
      <w:r w:rsidRPr="00AA0897">
        <w:rPr>
          <w:rFonts w:eastAsiaTheme="minorHAnsi"/>
        </w:rPr>
        <w:t>and</w:t>
      </w:r>
      <w:r>
        <w:rPr>
          <w:rFonts w:eastAsiaTheme="minorHAnsi"/>
        </w:rPr>
        <w:t xml:space="preserve"> Finance</w:t>
      </w:r>
      <w:bookmarkEnd w:id="62"/>
    </w:p>
    <w:p w:rsidR="00566E9A" w:rsidRDefault="00566E9A" w:rsidP="00AE5760">
      <w:pPr>
        <w:pStyle w:val="Heading3"/>
        <w:rPr>
          <w:rFonts w:eastAsiaTheme="minorHAnsi"/>
        </w:rPr>
      </w:pPr>
      <w:r>
        <w:rPr>
          <w:rFonts w:eastAsiaTheme="minorHAnsi"/>
        </w:rPr>
        <w:t>Asset</w:t>
      </w:r>
      <w:r w:rsidRPr="00F00EF9">
        <w:rPr>
          <w:rFonts w:eastAsiaTheme="minorHAnsi"/>
        </w:rPr>
        <w:t xml:space="preserve"> initiatives</w:t>
      </w:r>
    </w:p>
    <w:p w:rsidR="00566E9A" w:rsidRPr="00F00EF9" w:rsidRDefault="00566E9A" w:rsidP="00AE5760">
      <w:pPr>
        <w:pStyle w:val="Tableheading"/>
        <w:rPr>
          <w:rFonts w:eastAsiaTheme="minorHAnsi"/>
        </w:rPr>
      </w:pPr>
      <w:r w:rsidRPr="00F00EF9">
        <w:rPr>
          <w:rFonts w:eastAsiaTheme="minorHAnsi"/>
        </w:rPr>
        <w:t>Table A.</w:t>
      </w:r>
      <w:r>
        <w:rPr>
          <w:rFonts w:eastAsiaTheme="minorHAnsi"/>
        </w:rPr>
        <w:t>12</w:t>
      </w:r>
      <w:r w:rsidRPr="00F00EF9">
        <w:rPr>
          <w:rFonts w:eastAsiaTheme="minorHAnsi"/>
        </w:rPr>
        <w:t>:</w:t>
      </w:r>
      <w:r w:rsidRPr="00F00EF9">
        <w:rPr>
          <w:rFonts w:eastAsiaTheme="minorHAnsi"/>
        </w:rPr>
        <w:tab/>
      </w:r>
      <w:r>
        <w:rPr>
          <w:rFonts w:eastAsiaTheme="minorHAnsi"/>
        </w:rPr>
        <w:t>Asset initiatives – Department of Treasury and Finance</w:t>
      </w:r>
    </w:p>
    <w:p w:rsidR="00566E9A" w:rsidRPr="00090412" w:rsidRDefault="00566E9A" w:rsidP="00AE5760">
      <w:pPr>
        <w:pStyle w:val="million"/>
        <w:rPr>
          <w:rFonts w:asciiTheme="minorHAnsi" w:eastAsiaTheme="minorHAnsi" w:hAnsiTheme="minorHAnsi"/>
          <w:b/>
          <w:bCs/>
          <w:sz w:val="22"/>
          <w:lang w:val="en-US"/>
        </w:rPr>
      </w:pPr>
      <w:r w:rsidRPr="003B3C94">
        <w:rPr>
          <w:rFonts w:eastAsiaTheme="minorHAnsi"/>
        </w:rPr>
        <w:t>($</w:t>
      </w:r>
      <w:r w:rsidR="008734F3">
        <w:rPr>
          <w:rFonts w:eastAsiaTheme="minorHAnsi"/>
        </w:rPr>
        <w:t xml:space="preserve"> </w:t>
      </w:r>
      <w:r w:rsidRPr="003B3C94">
        <w:rPr>
          <w:rFonts w:eastAsiaTheme="minorHAnsi"/>
        </w:rPr>
        <w:t>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685"/>
        <w:gridCol w:w="850"/>
        <w:gridCol w:w="850"/>
        <w:gridCol w:w="850"/>
        <w:gridCol w:w="850"/>
        <w:gridCol w:w="680"/>
      </w:tblGrid>
      <w:tr w:rsidR="00566E9A" w:rsidRPr="00090412"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single" w:sz="6" w:space="0" w:color="auto"/>
              <w:bottom w:val="single" w:sz="6" w:space="0" w:color="auto"/>
              <w:right w:val="nil"/>
            </w:tcBorders>
            <w:shd w:val="solid" w:color="000000" w:fill="auto"/>
          </w:tcPr>
          <w:p w:rsidR="00566E9A" w:rsidRPr="00090412" w:rsidRDefault="00566E9A" w:rsidP="00AE5760">
            <w:pPr>
              <w:autoSpaceDE w:val="0"/>
              <w:autoSpaceDN w:val="0"/>
              <w:adjustRightInd w:val="0"/>
              <w:rPr>
                <w:rFonts w:eastAsiaTheme="minorEastAsia" w:cs="Calibri"/>
                <w:color w:val="FFFFFF"/>
                <w:lang w:eastAsia="en-AU"/>
              </w:rPr>
            </w:pPr>
            <w:r w:rsidRPr="00090412">
              <w:rPr>
                <w:rFonts w:eastAsiaTheme="minorEastAsia" w:cs="Calibri"/>
                <w:color w:val="FFFFFF"/>
                <w:lang w:eastAsia="en-AU"/>
              </w:rPr>
              <w:t xml:space="preserve"> </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2016-17</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2017-18</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2018-19</w:t>
            </w:r>
          </w:p>
        </w:tc>
        <w:tc>
          <w:tcPr>
            <w:tcW w:w="85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2019-20</w:t>
            </w:r>
          </w:p>
        </w:tc>
        <w:tc>
          <w:tcPr>
            <w:tcW w:w="680" w:type="dxa"/>
            <w:tcBorders>
              <w:top w:val="single" w:sz="6" w:space="0" w:color="auto"/>
              <w:left w:val="nil"/>
              <w:bottom w:val="single" w:sz="6" w:space="0" w:color="auto"/>
              <w:right w:val="nil"/>
            </w:tcBorders>
            <w:shd w:val="solid" w:color="000000" w:fill="auto"/>
          </w:tcPr>
          <w:p w:rsidR="00566E9A" w:rsidRPr="00090412"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090412">
              <w:rPr>
                <w:rFonts w:eastAsiaTheme="minorEastAsia" w:cs="Calibri"/>
                <w:iCs/>
                <w:color w:val="FFFFFF"/>
                <w:lang w:eastAsia="en-AU"/>
              </w:rPr>
              <w:t>TEI</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566E9A" w:rsidRPr="00090412" w:rsidRDefault="00566E9A" w:rsidP="00AE5760">
            <w:pPr>
              <w:autoSpaceDE w:val="0"/>
              <w:autoSpaceDN w:val="0"/>
              <w:adjustRightInd w:val="0"/>
              <w:rPr>
                <w:rFonts w:eastAsiaTheme="minorEastAsia" w:cs="Calibri"/>
                <w:color w:val="000000"/>
                <w:lang w:eastAsia="en-AU"/>
              </w:rPr>
            </w:pPr>
            <w:r w:rsidRPr="00090412">
              <w:rPr>
                <w:rFonts w:eastAsiaTheme="minorEastAsia" w:cs="Calibri"/>
                <w:color w:val="000000"/>
                <w:lang w:eastAsia="en-AU"/>
              </w:rPr>
              <w:t>Greener Government Buildings</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12.8</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21.0</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85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w:t>
            </w:r>
          </w:p>
        </w:tc>
        <w:tc>
          <w:tcPr>
            <w:tcW w:w="680" w:type="dxa"/>
            <w:tcBorders>
              <w:top w:val="nil"/>
              <w:left w:val="nil"/>
              <w:bottom w:val="nil"/>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90412">
              <w:rPr>
                <w:rFonts w:eastAsiaTheme="minorEastAsia" w:cs="Calibri"/>
                <w:color w:val="000000"/>
                <w:lang w:eastAsia="en-AU"/>
              </w:rPr>
              <w:t>33.8</w:t>
            </w:r>
          </w:p>
        </w:tc>
      </w:tr>
      <w:tr w:rsidR="00566E9A" w:rsidRPr="00090412" w:rsidTr="00AE5760">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rPr>
                <w:rFonts w:eastAsiaTheme="minorEastAsia" w:cs="Calibri"/>
                <w:b/>
                <w:bCs/>
                <w:color w:val="000000"/>
                <w:lang w:eastAsia="en-AU"/>
              </w:rPr>
            </w:pPr>
            <w:r w:rsidRPr="00090412">
              <w:rPr>
                <w:rFonts w:eastAsiaTheme="minorEastAsia" w:cs="Calibri"/>
                <w:b/>
                <w:bCs/>
                <w:color w:val="000000"/>
                <w:lang w:eastAsia="en-AU"/>
              </w:rPr>
              <w:t xml:space="preserve"> </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12.8</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21.0</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w:t>
            </w:r>
          </w:p>
        </w:tc>
        <w:tc>
          <w:tcPr>
            <w:tcW w:w="85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w:t>
            </w:r>
          </w:p>
        </w:tc>
        <w:tc>
          <w:tcPr>
            <w:tcW w:w="680" w:type="dxa"/>
            <w:tcBorders>
              <w:top w:val="single" w:sz="6" w:space="0" w:color="auto"/>
              <w:left w:val="nil"/>
              <w:bottom w:val="single" w:sz="12" w:space="0" w:color="auto"/>
              <w:right w:val="nil"/>
            </w:tcBorders>
          </w:tcPr>
          <w:p w:rsidR="00566E9A" w:rsidRPr="00090412"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90412">
              <w:rPr>
                <w:rFonts w:eastAsiaTheme="minorEastAsia" w:cs="Calibri"/>
                <w:b/>
                <w:bCs/>
                <w:color w:val="000000"/>
                <w:lang w:eastAsia="en-AU"/>
              </w:rPr>
              <w:t>33.8</w:t>
            </w:r>
          </w:p>
        </w:tc>
      </w:tr>
    </w:tbl>
    <w:p w:rsidR="00566E9A" w:rsidRPr="003B3C94" w:rsidRDefault="00566E9A" w:rsidP="00AE5760">
      <w:pPr>
        <w:rPr>
          <w:rFonts w:eastAsiaTheme="minorHAnsi"/>
        </w:rPr>
      </w:pPr>
    </w:p>
    <w:p w:rsidR="00566E9A" w:rsidRPr="003B3C94" w:rsidRDefault="00566E9A" w:rsidP="00AE5760">
      <w:pPr>
        <w:pStyle w:val="Heading5"/>
        <w:rPr>
          <w:rFonts w:eastAsiaTheme="minorHAnsi"/>
        </w:rPr>
      </w:pPr>
      <w:r w:rsidRPr="003B3C94">
        <w:rPr>
          <w:rFonts w:eastAsiaTheme="minorHAnsi"/>
        </w:rPr>
        <w:t>Greener Government Buildings</w:t>
      </w:r>
    </w:p>
    <w:p w:rsidR="00566E9A" w:rsidRPr="003B3C94" w:rsidRDefault="00566E9A" w:rsidP="00AE5760">
      <w:pPr>
        <w:rPr>
          <w:rFonts w:eastAsiaTheme="minorHAnsi"/>
        </w:rPr>
      </w:pPr>
      <w:r>
        <w:rPr>
          <w:rFonts w:eastAsiaTheme="minorHAnsi"/>
        </w:rPr>
        <w:t>The Greener Government Buildings program</w:t>
      </w:r>
      <w:r w:rsidRPr="003B3C94">
        <w:rPr>
          <w:rFonts w:eastAsiaTheme="minorHAnsi"/>
        </w:rPr>
        <w:t xml:space="preserve"> will reduce ongoing energy consumption in government buildings and infrastructure</w:t>
      </w:r>
      <w:r>
        <w:rPr>
          <w:rFonts w:eastAsiaTheme="minorHAnsi"/>
        </w:rPr>
        <w:t>,</w:t>
      </w:r>
      <w:r w:rsidRPr="003B3C94">
        <w:rPr>
          <w:rFonts w:eastAsiaTheme="minorHAnsi"/>
        </w:rPr>
        <w:t xml:space="preserve"> including hospitals, schools, TAFEs, correctional facilities and Melbourne</w:t>
      </w:r>
      <w:r>
        <w:rPr>
          <w:rFonts w:eastAsiaTheme="minorHAnsi"/>
        </w:rPr>
        <w:t>’</w:t>
      </w:r>
      <w:r w:rsidRPr="003B3C94">
        <w:rPr>
          <w:rFonts w:eastAsiaTheme="minorHAnsi"/>
        </w:rPr>
        <w:t xml:space="preserve">s freeway lighting. Energy efficiency will be achieved by installing various technologies such as LED lighting, heating and cooling upgrades, building automation and solar power. Energy saved will result in lower energy bills and the abatement of greenhouse gas emissions. </w:t>
      </w:r>
      <w:r>
        <w:rPr>
          <w:rFonts w:eastAsiaTheme="minorHAnsi"/>
        </w:rPr>
        <w:t>As a result, t</w:t>
      </w:r>
      <w:r w:rsidRPr="003B3C94">
        <w:rPr>
          <w:rFonts w:eastAsiaTheme="minorHAnsi"/>
        </w:rPr>
        <w:t>his initiative will reduce the Government</w:t>
      </w:r>
      <w:r>
        <w:rPr>
          <w:rFonts w:eastAsiaTheme="minorHAnsi"/>
        </w:rPr>
        <w:t>’</w:t>
      </w:r>
      <w:r w:rsidRPr="003B3C94">
        <w:rPr>
          <w:rFonts w:eastAsiaTheme="minorHAnsi"/>
        </w:rPr>
        <w:t>s environmental impact.</w:t>
      </w:r>
    </w:p>
    <w:p w:rsidR="00566E9A" w:rsidRPr="00F00EF9" w:rsidRDefault="00566E9A" w:rsidP="00AE5760">
      <w:pPr>
        <w:rPr>
          <w:rFonts w:eastAsiaTheme="minorHAnsi"/>
        </w:rPr>
      </w:pPr>
      <w:r w:rsidRPr="003B3C94">
        <w:rPr>
          <w:rFonts w:eastAsiaTheme="minorHAnsi"/>
        </w:rPr>
        <w:t>This initiative contributes to outputs across multiple departments</w:t>
      </w:r>
      <w:r>
        <w:rPr>
          <w:rFonts w:eastAsiaTheme="minorHAnsi"/>
        </w:rPr>
        <w:t>,</w:t>
      </w:r>
      <w:r w:rsidRPr="003B3C94">
        <w:rPr>
          <w:rFonts w:eastAsiaTheme="minorHAnsi"/>
        </w:rPr>
        <w:t xml:space="preserve"> including: </w:t>
      </w:r>
      <w:r>
        <w:rPr>
          <w:rFonts w:eastAsiaTheme="minorHAnsi"/>
        </w:rPr>
        <w:t xml:space="preserve">the </w:t>
      </w:r>
      <w:r w:rsidRPr="003B3C94">
        <w:rPr>
          <w:rFonts w:eastAsiaTheme="minorHAnsi"/>
        </w:rPr>
        <w:t>Department of Education and Training</w:t>
      </w:r>
      <w:r>
        <w:rPr>
          <w:rFonts w:eastAsiaTheme="minorHAnsi"/>
        </w:rPr>
        <w:t>;</w:t>
      </w:r>
      <w:r w:rsidRPr="003B3C94">
        <w:rPr>
          <w:rFonts w:eastAsiaTheme="minorHAnsi"/>
        </w:rPr>
        <w:t xml:space="preserve"> </w:t>
      </w:r>
      <w:r>
        <w:rPr>
          <w:rFonts w:eastAsiaTheme="minorHAnsi"/>
        </w:rPr>
        <w:t xml:space="preserve">the </w:t>
      </w:r>
      <w:r w:rsidRPr="003B3C94">
        <w:rPr>
          <w:rFonts w:eastAsiaTheme="minorHAnsi"/>
        </w:rPr>
        <w:t>Department of Health and Human Service</w:t>
      </w:r>
      <w:r>
        <w:rPr>
          <w:rFonts w:eastAsiaTheme="minorHAnsi"/>
        </w:rPr>
        <w:t>s; the</w:t>
      </w:r>
      <w:r w:rsidRPr="003B3C94">
        <w:rPr>
          <w:rFonts w:eastAsiaTheme="minorHAnsi"/>
        </w:rPr>
        <w:t xml:space="preserve"> Department of Justice and Regulation</w:t>
      </w:r>
      <w:r>
        <w:rPr>
          <w:rFonts w:eastAsiaTheme="minorHAnsi"/>
        </w:rPr>
        <w:t xml:space="preserve">; </w:t>
      </w:r>
      <w:r w:rsidRPr="003B3C94">
        <w:rPr>
          <w:rFonts w:eastAsiaTheme="minorHAnsi"/>
        </w:rPr>
        <w:t xml:space="preserve">and </w:t>
      </w:r>
      <w:r>
        <w:rPr>
          <w:rFonts w:eastAsiaTheme="minorHAnsi"/>
        </w:rPr>
        <w:t xml:space="preserve">the </w:t>
      </w:r>
      <w:r w:rsidRPr="003B3C94">
        <w:rPr>
          <w:rFonts w:eastAsiaTheme="minorHAnsi"/>
        </w:rPr>
        <w:t xml:space="preserve">Department of Economic Development, Jobs, Transport and </w:t>
      </w:r>
      <w:r>
        <w:rPr>
          <w:rFonts w:eastAsiaTheme="minorHAnsi"/>
        </w:rPr>
        <w:t>R</w:t>
      </w:r>
      <w:r w:rsidRPr="003B3C94">
        <w:rPr>
          <w:rFonts w:eastAsiaTheme="minorHAnsi"/>
        </w:rPr>
        <w:t>esources</w:t>
      </w:r>
      <w:r>
        <w:rPr>
          <w:rFonts w:eastAsiaTheme="minorHAnsi"/>
        </w:rPr>
        <w:t>.</w:t>
      </w:r>
    </w:p>
    <w:p w:rsidR="00566E9A" w:rsidRPr="003B3C94" w:rsidRDefault="00566E9A" w:rsidP="00AE5760">
      <w:pPr>
        <w:rPr>
          <w:rFonts w:eastAsiaTheme="minorHAnsi"/>
        </w:rPr>
      </w:pPr>
    </w:p>
    <w:p w:rsidR="00566E9A" w:rsidRDefault="00566E9A" w:rsidP="00B47029">
      <w:pPr>
        <w:rPr>
          <w:rFonts w:eastAsiaTheme="minorHAnsi"/>
        </w:rPr>
      </w:pPr>
    </w:p>
    <w:p w:rsidR="00566E9A" w:rsidRDefault="00566E9A" w:rsidP="009F1202">
      <w:pPr>
        <w:rPr>
          <w:rFonts w:eastAsiaTheme="minorHAnsi"/>
        </w:rPr>
        <w:sectPr w:rsidR="00566E9A" w:rsidSect="00C14B16">
          <w:footerReference w:type="even" r:id="rId37"/>
          <w:footerReference w:type="default" r:id="rId38"/>
          <w:pgSz w:w="9979" w:h="14181" w:code="138"/>
          <w:pgMar w:top="1140" w:right="1140" w:bottom="1140" w:left="1140" w:header="720" w:footer="431" w:gutter="0"/>
          <w:cols w:space="708"/>
          <w:docGrid w:linePitch="360"/>
        </w:sectPr>
      </w:pPr>
    </w:p>
    <w:p w:rsidR="00566E9A" w:rsidRDefault="00566E9A" w:rsidP="00AE5760">
      <w:pPr>
        <w:pStyle w:val="ChapterHeading"/>
        <w:rPr>
          <w:rFonts w:eastAsiaTheme="minorHAnsi"/>
        </w:rPr>
      </w:pPr>
      <w:bookmarkStart w:id="63" w:name="_Toc468983298"/>
      <w:r>
        <w:rPr>
          <w:rFonts w:eastAsiaTheme="minorHAnsi"/>
        </w:rPr>
        <w:lastRenderedPageBreak/>
        <w:t>Appendix B – Amendments to the 2016-17 output performance measures</w:t>
      </w:r>
      <w:bookmarkEnd w:id="63"/>
    </w:p>
    <w:p w:rsidR="00566E9A" w:rsidRDefault="00566E9A" w:rsidP="00AE5760">
      <w:pPr>
        <w:spacing w:after="0"/>
        <w:rPr>
          <w:rFonts w:eastAsiaTheme="minorHAnsi"/>
        </w:rPr>
      </w:pPr>
      <w:r>
        <w:rPr>
          <w:rFonts w:eastAsiaTheme="minorHAnsi"/>
        </w:rPr>
        <w:t xml:space="preserve">Output measures for all departments were published in Chapter 2 and Appendix A of Budget Paper No. 3 </w:t>
      </w:r>
      <w:r>
        <w:rPr>
          <w:rFonts w:eastAsiaTheme="minorHAnsi"/>
          <w:i/>
        </w:rPr>
        <w:t>Service Delivery</w:t>
      </w:r>
      <w:r>
        <w:rPr>
          <w:rFonts w:eastAsiaTheme="minorHAnsi"/>
        </w:rPr>
        <w:t xml:space="preserve">. The Public Accounts and Estimates Committee has completed its review of the measures which were substantially changed and proposed to be discontinued and tabled its report in Parliament on 24 November 2016. The Government will consider the Committee’s report and respond to the recommendations within the legislated timeline. All agreed changes to output performance measures will be reflected in the next budget publication. </w:t>
      </w:r>
    </w:p>
    <w:p w:rsidR="00566E9A" w:rsidRDefault="00566E9A" w:rsidP="00AE5760">
      <w:pPr>
        <w:spacing w:after="0"/>
        <w:rPr>
          <w:rFonts w:eastAsiaTheme="minorHAnsi"/>
        </w:rPr>
      </w:pPr>
    </w:p>
    <w:p w:rsidR="00566E9A" w:rsidRDefault="00566E9A">
      <w:pPr>
        <w:rPr>
          <w:rFonts w:eastAsiaTheme="minorHAnsi"/>
        </w:rPr>
      </w:pPr>
      <w:r>
        <w:rPr>
          <w:rFonts w:eastAsiaTheme="minorHAnsi"/>
        </w:rPr>
        <w:br w:type="page"/>
      </w:r>
    </w:p>
    <w:p w:rsidR="00566E9A" w:rsidRDefault="00566E9A" w:rsidP="00B47029">
      <w:pPr>
        <w:rPr>
          <w:rFonts w:eastAsiaTheme="minorHAnsi"/>
        </w:rPr>
      </w:pPr>
    </w:p>
    <w:p w:rsidR="00566E9A" w:rsidRDefault="00566E9A" w:rsidP="009F1202">
      <w:pPr>
        <w:rPr>
          <w:rFonts w:eastAsiaTheme="minorHAnsi"/>
        </w:rPr>
        <w:sectPr w:rsidR="00566E9A" w:rsidSect="00C14B16">
          <w:headerReference w:type="even" r:id="rId39"/>
          <w:headerReference w:type="default" r:id="rId40"/>
          <w:footerReference w:type="even" r:id="rId41"/>
          <w:footerReference w:type="default" r:id="rId42"/>
          <w:headerReference w:type="first" r:id="rId43"/>
          <w:footerReference w:type="first" r:id="rId44"/>
          <w:pgSz w:w="9979" w:h="14181" w:code="138"/>
          <w:pgMar w:top="1140" w:right="1140" w:bottom="1140" w:left="1140" w:header="720" w:footer="431" w:gutter="0"/>
          <w:cols w:space="708"/>
          <w:docGrid w:linePitch="360"/>
        </w:sectPr>
      </w:pPr>
    </w:p>
    <w:p w:rsidR="00566E9A" w:rsidRPr="002B3B7E" w:rsidRDefault="00566E9A" w:rsidP="00AE5760">
      <w:pPr>
        <w:pStyle w:val="ChapterHeading"/>
        <w:rPr>
          <w:rFonts w:eastAsiaTheme="minorHAnsi"/>
        </w:rPr>
      </w:pPr>
      <w:bookmarkStart w:id="64" w:name="_Toc468983299"/>
      <w:r w:rsidRPr="002B3B7E">
        <w:rPr>
          <w:rFonts w:eastAsiaTheme="minorHAnsi"/>
        </w:rPr>
        <w:lastRenderedPageBreak/>
        <w:t>Appendix C – Tax expenditures and concessions</w:t>
      </w:r>
      <w:bookmarkEnd w:id="64"/>
    </w:p>
    <w:p w:rsidR="00566E9A" w:rsidRPr="006C76A7" w:rsidRDefault="00566E9A" w:rsidP="00AE5760">
      <w:pPr>
        <w:spacing w:after="0"/>
        <w:rPr>
          <w:rFonts w:eastAsiaTheme="minorHAnsi"/>
        </w:rPr>
      </w:pPr>
      <w:r w:rsidRPr="006C76A7">
        <w:rPr>
          <w:rFonts w:eastAsiaTheme="minorHAnsi"/>
        </w:rPr>
        <w:t>Tax expenditures and concessions represent foregone revenue to the State. They may take a number of different forms, for example, concessions, benefits and incentives delivered through the tax system. Regardless of form, they provide preferential financial benefit for certain taxpayers, activities or assets compared w</w:t>
      </w:r>
      <w:r>
        <w:rPr>
          <w:rFonts w:eastAsiaTheme="minorHAnsi"/>
        </w:rPr>
        <w:t xml:space="preserve">ith normal taxation treatment. </w:t>
      </w:r>
    </w:p>
    <w:p w:rsidR="00566E9A" w:rsidRPr="006C76A7" w:rsidRDefault="00566E9A" w:rsidP="00AA0897">
      <w:pPr>
        <w:pStyle w:val="Heading1"/>
        <w:rPr>
          <w:rFonts w:eastAsiaTheme="minorHAnsi"/>
        </w:rPr>
      </w:pPr>
      <w:bookmarkStart w:id="65" w:name="_Toc468983300"/>
      <w:r w:rsidRPr="006C76A7">
        <w:rPr>
          <w:rFonts w:eastAsiaTheme="minorHAnsi"/>
        </w:rPr>
        <w:t>Tax expenditures</w:t>
      </w:r>
      <w:bookmarkEnd w:id="65"/>
    </w:p>
    <w:p w:rsidR="00566E9A" w:rsidRPr="006C76A7" w:rsidRDefault="00566E9A" w:rsidP="00AE5760">
      <w:pPr>
        <w:rPr>
          <w:rFonts w:eastAsiaTheme="minorHAnsi"/>
        </w:rPr>
      </w:pPr>
      <w:r>
        <w:rPr>
          <w:rFonts w:eastAsiaTheme="minorHAnsi"/>
        </w:rPr>
        <w:t>T</w:t>
      </w:r>
      <w:r w:rsidRPr="006C76A7">
        <w:rPr>
          <w:rFonts w:eastAsiaTheme="minorHAnsi"/>
        </w:rPr>
        <w:t>ax expenditures are e</w:t>
      </w:r>
      <w:r>
        <w:rPr>
          <w:rFonts w:eastAsiaTheme="minorHAnsi"/>
        </w:rPr>
        <w:t>stimated to be $6.1 billion in 2016</w:t>
      </w:r>
      <w:r>
        <w:rPr>
          <w:rFonts w:eastAsiaTheme="minorHAnsi"/>
        </w:rPr>
        <w:noBreakHyphen/>
        <w:t>17, 35 per </w:t>
      </w:r>
      <w:r w:rsidRPr="006C76A7">
        <w:rPr>
          <w:rFonts w:eastAsiaTheme="minorHAnsi"/>
        </w:rPr>
        <w:t xml:space="preserve">cent of which will accrue to owner-occupier households. </w:t>
      </w:r>
    </w:p>
    <w:p w:rsidR="00566E9A" w:rsidRPr="006C76A7" w:rsidRDefault="00566E9A" w:rsidP="00AE5760">
      <w:pPr>
        <w:rPr>
          <w:rFonts w:eastAsiaTheme="minorHAnsi"/>
        </w:rPr>
      </w:pPr>
      <w:r w:rsidRPr="006C76A7">
        <w:rPr>
          <w:rFonts w:eastAsiaTheme="minorHAnsi"/>
        </w:rPr>
        <w:t>Tax expenditures</w:t>
      </w:r>
      <w:r>
        <w:rPr>
          <w:rFonts w:eastAsiaTheme="minorHAnsi"/>
        </w:rPr>
        <w:t xml:space="preserve"> </w:t>
      </w:r>
      <w:r w:rsidRPr="006C76A7">
        <w:rPr>
          <w:rFonts w:eastAsiaTheme="minorHAnsi"/>
        </w:rPr>
        <w:t>can come in the form of exemptions, reduce</w:t>
      </w:r>
      <w:r>
        <w:rPr>
          <w:rFonts w:eastAsiaTheme="minorHAnsi"/>
        </w:rPr>
        <w:t>d</w:t>
      </w:r>
      <w:r w:rsidRPr="006C76A7">
        <w:rPr>
          <w:rFonts w:eastAsiaTheme="minorHAnsi"/>
        </w:rPr>
        <w:t xml:space="preserve"> rates, deductions or rebates of tax for a certain type of taxpayer, activity or asset. Benef</w:t>
      </w:r>
      <w:r>
        <w:rPr>
          <w:rFonts w:eastAsiaTheme="minorHAnsi"/>
        </w:rPr>
        <w:t>its from marginal rates and tax</w:t>
      </w:r>
      <w:r>
        <w:rPr>
          <w:rFonts w:eastAsiaTheme="minorHAnsi"/>
        </w:rPr>
        <w:noBreakHyphen/>
      </w:r>
      <w:r w:rsidRPr="006C76A7">
        <w:rPr>
          <w:rFonts w:eastAsiaTheme="minorHAnsi"/>
        </w:rPr>
        <w:t xml:space="preserve">free thresholds are not treated as tax expenditures, </w:t>
      </w:r>
      <w:r>
        <w:rPr>
          <w:rFonts w:eastAsiaTheme="minorHAnsi"/>
        </w:rPr>
        <w:t xml:space="preserve">since they apply to all tax payers. </w:t>
      </w:r>
    </w:p>
    <w:p w:rsidR="00566E9A" w:rsidRPr="006C76A7" w:rsidRDefault="00566E9A" w:rsidP="00AE5760">
      <w:pPr>
        <w:rPr>
          <w:rFonts w:eastAsiaTheme="minorHAnsi"/>
        </w:rPr>
      </w:pPr>
      <w:r w:rsidRPr="006C76A7">
        <w:rPr>
          <w:rFonts w:eastAsiaTheme="minorHAnsi"/>
        </w:rPr>
        <w:t xml:space="preserve">Tax expenditures are estimated by taking the difference between the reduced tax paid </w:t>
      </w:r>
      <w:r>
        <w:rPr>
          <w:rFonts w:eastAsiaTheme="minorHAnsi"/>
        </w:rPr>
        <w:br/>
      </w:r>
      <w:r w:rsidRPr="006C76A7">
        <w:rPr>
          <w:rFonts w:eastAsiaTheme="minorHAnsi"/>
        </w:rPr>
        <w:t>by a person or entity receiving preferential treatment and the actual tax paid by similar taxpayers who do not receive that treatment. This approach assumes taxpayers</w:t>
      </w:r>
      <w:r>
        <w:rPr>
          <w:rFonts w:eastAsiaTheme="minorHAnsi"/>
        </w:rPr>
        <w:t>’</w:t>
      </w:r>
      <w:r w:rsidRPr="006C76A7">
        <w:rPr>
          <w:rFonts w:eastAsiaTheme="minorHAnsi"/>
        </w:rPr>
        <w:t xml:space="preserve"> behaviour is the same in each circumstance. </w:t>
      </w:r>
    </w:p>
    <w:p w:rsidR="00566E9A" w:rsidRPr="006C76A7" w:rsidRDefault="00566E9A" w:rsidP="00AE5760">
      <w:pPr>
        <w:rPr>
          <w:rFonts w:eastAsiaTheme="minorHAnsi"/>
        </w:rPr>
      </w:pPr>
      <w:r w:rsidRPr="006C76A7">
        <w:rPr>
          <w:rFonts w:eastAsiaTheme="minorHAnsi"/>
        </w:rPr>
        <w:t>Table C.1 outlines the aggregated tax expenditure estimates by the main tax categories for the period 2015-16 to 2019-20.</w:t>
      </w:r>
    </w:p>
    <w:p w:rsidR="00566E9A" w:rsidRPr="006C76A7" w:rsidRDefault="00566E9A" w:rsidP="00AE5760">
      <w:pPr>
        <w:rPr>
          <w:rFonts w:eastAsiaTheme="minorHAnsi"/>
        </w:rPr>
      </w:pPr>
      <w:r>
        <w:rPr>
          <w:rFonts w:eastAsiaTheme="minorHAnsi"/>
        </w:rPr>
        <w:t>Tax expenditures for land transfer duty</w:t>
      </w:r>
      <w:r w:rsidRPr="006C76A7">
        <w:rPr>
          <w:rFonts w:eastAsiaTheme="minorHAnsi"/>
        </w:rPr>
        <w:t xml:space="preserve"> were significantly higher than expected </w:t>
      </w:r>
      <w:r>
        <w:rPr>
          <w:rFonts w:eastAsiaTheme="minorHAnsi"/>
        </w:rPr>
        <w:t>for 2015</w:t>
      </w:r>
      <w:r>
        <w:rPr>
          <w:rFonts w:eastAsiaTheme="minorHAnsi"/>
        </w:rPr>
        <w:noBreakHyphen/>
        <w:t>16 as there were a series of large</w:t>
      </w:r>
      <w:r w:rsidRPr="006C76A7">
        <w:rPr>
          <w:rFonts w:eastAsiaTheme="minorHAnsi"/>
        </w:rPr>
        <w:t xml:space="preserve"> corporate reconstruction exemptions. Corporate reconstructions occur when there is a transfer of property, or a change in the beneficial ownership (including in land) from one member of a corporate group to another member of the group, or when there is an acquisition of a beneficial interest by a member of a corporate group from another member of the group arising from a legitimate corporate restructure. The high value of exemptions was largely attributable to 12 separate transactions relating to land containing electricity distribution and sub-transmission networks. </w:t>
      </w:r>
    </w:p>
    <w:p w:rsidR="00566E9A" w:rsidRDefault="00566E9A" w:rsidP="00AE5760">
      <w:pPr>
        <w:rPr>
          <w:rFonts w:eastAsiaTheme="minorHAnsi"/>
        </w:rPr>
      </w:pPr>
      <w:r>
        <w:rPr>
          <w:rFonts w:eastAsiaTheme="minorHAnsi"/>
        </w:rPr>
        <w:t xml:space="preserve">Growth in total tax expenditures are strongly influenced by the biennial revaluation cycle for unimproved land values. This revaluation cycle determines the value of land tax assessments and subsequent land tax expenditures. Land tax expenditures are estimated to increase by 33 per cent in 2016-17, as this is a revaluation year. </w:t>
      </w:r>
    </w:p>
    <w:p w:rsidR="00566E9A" w:rsidRDefault="00566E9A" w:rsidP="00AE5760">
      <w:pPr>
        <w:rPr>
          <w:rFonts w:eastAsiaTheme="minorHAnsi"/>
        </w:rPr>
      </w:pPr>
    </w:p>
    <w:p w:rsidR="00566E9A" w:rsidRDefault="00566E9A" w:rsidP="00AE5760">
      <w:pPr>
        <w:pStyle w:val="Tableheading"/>
        <w:rPr>
          <w:i/>
          <w:sz w:val="15"/>
        </w:rPr>
      </w:pPr>
      <w:r w:rsidRPr="006C76A7">
        <w:rPr>
          <w:rFonts w:eastAsiaTheme="minorHAnsi"/>
        </w:rPr>
        <w:lastRenderedPageBreak/>
        <w:t xml:space="preserve">Table C.1: </w:t>
      </w:r>
      <w:r w:rsidRPr="006C76A7">
        <w:rPr>
          <w:rFonts w:eastAsiaTheme="minorHAnsi"/>
        </w:rPr>
        <w:tab/>
        <w:t>Estimates of aggregate tax expenditures (excludi</w:t>
      </w:r>
      <w:r>
        <w:rPr>
          <w:rFonts w:eastAsiaTheme="minorHAnsi"/>
        </w:rPr>
        <w:t xml:space="preserve">ng thresholds) </w:t>
      </w:r>
      <w:r>
        <w:rPr>
          <w:rFonts w:eastAsiaTheme="minorHAnsi"/>
        </w:rPr>
        <w:br/>
        <w:t xml:space="preserve">by type of tax </w:t>
      </w:r>
      <w:r>
        <w:rPr>
          <w:rFonts w:eastAsiaTheme="minorHAnsi"/>
          <w:vertAlign w:val="superscript"/>
        </w:rPr>
        <w:t>(a)</w:t>
      </w:r>
      <w:r>
        <w:rPr>
          <w:i/>
          <w:sz w:val="15"/>
        </w:rPr>
        <w:t xml:space="preserve"> </w:t>
      </w:r>
    </w:p>
    <w:p w:rsidR="00566E9A" w:rsidRPr="00E23665" w:rsidRDefault="00566E9A" w:rsidP="00AE5760">
      <w:pPr>
        <w:pStyle w:val="million"/>
        <w:rPr>
          <w:lang w:val="en-US"/>
        </w:rPr>
      </w:pPr>
      <w:r>
        <w:rPr>
          <w:rFonts w:eastAsiaTheme="minorHAnsi"/>
        </w:rP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566E9A" w:rsidRPr="00E23665" w:rsidTr="00AE5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566E9A" w:rsidRPr="00E23665" w:rsidRDefault="00566E9A" w:rsidP="00AE5760">
            <w:pPr>
              <w:autoSpaceDE w:val="0"/>
              <w:autoSpaceDN w:val="0"/>
              <w:adjustRightInd w:val="0"/>
              <w:rPr>
                <w:rFonts w:eastAsiaTheme="minorEastAsia" w:cs="Calibri"/>
                <w:iCs/>
                <w:color w:val="FFFFFF"/>
                <w:lang w:eastAsia="en-AU"/>
              </w:rPr>
            </w:pPr>
            <w:r w:rsidRPr="00E23665">
              <w:rPr>
                <w:rFonts w:eastAsiaTheme="minorEastAsia" w:cs="Calibri"/>
                <w:iCs/>
                <w:color w:val="FFFFFF"/>
                <w:lang w:eastAsia="en-AU"/>
              </w:rPr>
              <w:t>Description</w:t>
            </w:r>
          </w:p>
        </w:tc>
        <w:tc>
          <w:tcPr>
            <w:tcW w:w="850" w:type="dxa"/>
            <w:tcBorders>
              <w:top w:val="nil"/>
              <w:left w:val="nil"/>
              <w:bottom w:val="nil"/>
              <w:right w:val="nil"/>
            </w:tcBorders>
            <w:shd w:val="solid" w:color="000000" w:fill="auto"/>
          </w:tcPr>
          <w:p w:rsidR="00566E9A" w:rsidRPr="00E23665"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E23665">
              <w:rPr>
                <w:rFonts w:eastAsiaTheme="minorEastAsia" w:cs="Calibri"/>
                <w:iCs/>
                <w:color w:val="FFFFFF"/>
                <w:lang w:eastAsia="en-AU"/>
              </w:rPr>
              <w:t>2015-16</w:t>
            </w:r>
          </w:p>
        </w:tc>
        <w:tc>
          <w:tcPr>
            <w:tcW w:w="850" w:type="dxa"/>
            <w:tcBorders>
              <w:top w:val="nil"/>
              <w:left w:val="nil"/>
              <w:bottom w:val="nil"/>
              <w:right w:val="nil"/>
            </w:tcBorders>
            <w:shd w:val="solid" w:color="000000" w:fill="auto"/>
          </w:tcPr>
          <w:p w:rsidR="00566E9A" w:rsidRPr="00E23665"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E23665">
              <w:rPr>
                <w:rFonts w:eastAsiaTheme="minorEastAsia" w:cs="Calibri"/>
                <w:iCs/>
                <w:color w:val="FFFFFF"/>
                <w:lang w:eastAsia="en-AU"/>
              </w:rPr>
              <w:t>2016-17</w:t>
            </w:r>
          </w:p>
        </w:tc>
        <w:tc>
          <w:tcPr>
            <w:tcW w:w="850" w:type="dxa"/>
            <w:tcBorders>
              <w:top w:val="nil"/>
              <w:left w:val="nil"/>
              <w:bottom w:val="nil"/>
              <w:right w:val="nil"/>
            </w:tcBorders>
            <w:shd w:val="solid" w:color="000000" w:fill="auto"/>
          </w:tcPr>
          <w:p w:rsidR="00566E9A" w:rsidRPr="00E23665"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E23665">
              <w:rPr>
                <w:rFonts w:eastAsiaTheme="minorEastAsia" w:cs="Calibri"/>
                <w:iCs/>
                <w:color w:val="FFFFFF"/>
                <w:lang w:eastAsia="en-AU"/>
              </w:rPr>
              <w:t>2017-18</w:t>
            </w:r>
          </w:p>
        </w:tc>
        <w:tc>
          <w:tcPr>
            <w:tcW w:w="850" w:type="dxa"/>
            <w:tcBorders>
              <w:top w:val="nil"/>
              <w:left w:val="nil"/>
              <w:bottom w:val="nil"/>
              <w:right w:val="nil"/>
            </w:tcBorders>
            <w:shd w:val="solid" w:color="000000" w:fill="auto"/>
          </w:tcPr>
          <w:p w:rsidR="00566E9A" w:rsidRPr="00E23665"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E23665">
              <w:rPr>
                <w:rFonts w:eastAsiaTheme="minorEastAsia" w:cs="Calibri"/>
                <w:iCs/>
                <w:color w:val="FFFFFF"/>
                <w:lang w:eastAsia="en-AU"/>
              </w:rPr>
              <w:t>2018-19</w:t>
            </w:r>
          </w:p>
        </w:tc>
        <w:tc>
          <w:tcPr>
            <w:tcW w:w="850" w:type="dxa"/>
            <w:tcBorders>
              <w:top w:val="nil"/>
              <w:left w:val="nil"/>
              <w:bottom w:val="nil"/>
              <w:right w:val="nil"/>
            </w:tcBorders>
            <w:shd w:val="solid" w:color="000000" w:fill="auto"/>
          </w:tcPr>
          <w:p w:rsidR="00566E9A" w:rsidRPr="00E23665"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E23665">
              <w:rPr>
                <w:rFonts w:eastAsiaTheme="minorEastAsia" w:cs="Calibri"/>
                <w:iCs/>
                <w:color w:val="FFFFFF"/>
                <w:lang w:eastAsia="en-AU"/>
              </w:rPr>
              <w:t>2019-20</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lang w:eastAsia="en-AU"/>
              </w:rPr>
            </w:pPr>
            <w:r w:rsidRPr="00E23665">
              <w:rPr>
                <w:rFonts w:eastAsiaTheme="minorEastAsia" w:cs="Calibri"/>
                <w:color w:val="000000"/>
                <w:lang w:eastAsia="en-AU"/>
              </w:rPr>
              <w:t>Land tax</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2 990.4</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3 985.7</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3 918.3</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4 447.8</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4 359.0</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lang w:eastAsia="en-AU"/>
              </w:rPr>
            </w:pPr>
            <w:r w:rsidRPr="00E23665">
              <w:rPr>
                <w:rFonts w:eastAsiaTheme="minorEastAsia" w:cs="Calibri"/>
                <w:color w:val="000000"/>
                <w:lang w:eastAsia="en-AU"/>
              </w:rPr>
              <w:t>Fire Services Property Levy</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21.9</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21.9</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21.5</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21.7</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21.9</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lang w:eastAsia="en-AU"/>
              </w:rPr>
            </w:pPr>
            <w:r w:rsidRPr="00E23665">
              <w:rPr>
                <w:rFonts w:eastAsiaTheme="minorEastAsia" w:cs="Calibri"/>
                <w:color w:val="000000"/>
                <w:lang w:eastAsia="en-AU"/>
              </w:rPr>
              <w:t>Payroll tax</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1 159.7</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1 220.6</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1 281.6</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1 343.1</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1 411.6</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lang w:eastAsia="en-AU"/>
              </w:rPr>
            </w:pPr>
            <w:r w:rsidRPr="00E23665">
              <w:rPr>
                <w:rFonts w:eastAsiaTheme="minorEastAsia" w:cs="Calibri"/>
                <w:color w:val="000000"/>
                <w:lang w:eastAsia="en-AU"/>
              </w:rPr>
              <w:t>Gambling tax</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74.7</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75.0</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75.9</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76.7</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77.5</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lang w:eastAsia="en-AU"/>
              </w:rPr>
            </w:pPr>
            <w:r w:rsidRPr="00E23665">
              <w:rPr>
                <w:rFonts w:eastAsiaTheme="minorEastAsia" w:cs="Calibri"/>
                <w:color w:val="000000"/>
                <w:lang w:eastAsia="en-AU"/>
              </w:rPr>
              <w:t>Motor vehicle taxes</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178.2</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188.8</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195.1</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202.0</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209.3</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vertAlign w:val="superscript"/>
                <w:lang w:eastAsia="en-AU"/>
              </w:rPr>
            </w:pPr>
            <w:r w:rsidRPr="00E23665">
              <w:rPr>
                <w:rFonts w:eastAsiaTheme="minorEastAsia" w:cs="Calibri"/>
                <w:color w:val="000000"/>
                <w:lang w:eastAsia="en-AU"/>
              </w:rPr>
              <w:t>Land transfer duties</w:t>
            </w:r>
            <w:r w:rsidRPr="00E23665">
              <w:rPr>
                <w:rFonts w:eastAsiaTheme="minorEastAsia" w:cs="Calibri"/>
                <w:color w:val="000000"/>
                <w:vertAlign w:val="superscript"/>
                <w:lang w:eastAsia="en-AU"/>
              </w:rPr>
              <w:t xml:space="preserve"> (b)</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23665">
              <w:rPr>
                <w:rFonts w:eastAsiaTheme="minorEastAsia" w:cs="Calibri"/>
                <w:color w:val="000000"/>
                <w:lang w:eastAsia="en-AU"/>
              </w:rPr>
              <w:t>2 043.9</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586.6</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668.9</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695.9</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729.9</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566E9A" w:rsidRPr="00E23665" w:rsidRDefault="00566E9A" w:rsidP="00AE5760">
            <w:pPr>
              <w:autoSpaceDE w:val="0"/>
              <w:autoSpaceDN w:val="0"/>
              <w:adjustRightInd w:val="0"/>
              <w:rPr>
                <w:rFonts w:eastAsiaTheme="minorEastAsia" w:cs="Calibri"/>
                <w:color w:val="000000"/>
                <w:lang w:eastAsia="en-AU"/>
              </w:rPr>
            </w:pPr>
            <w:r w:rsidRPr="00E23665">
              <w:rPr>
                <w:rFonts w:eastAsiaTheme="minorEastAsia" w:cs="Calibri"/>
                <w:color w:val="000000"/>
                <w:lang w:eastAsia="en-AU"/>
              </w:rPr>
              <w:t>Congestion levy</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51.5</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52.4</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53.5</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54.7</w:t>
            </w:r>
          </w:p>
        </w:tc>
        <w:tc>
          <w:tcPr>
            <w:tcW w:w="850" w:type="dxa"/>
            <w:tcBorders>
              <w:top w:val="nil"/>
              <w:left w:val="nil"/>
              <w:bottom w:val="nil"/>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lang w:eastAsia="en-AU"/>
              </w:rPr>
              <w:t>56.0</w:t>
            </w:r>
          </w:p>
        </w:tc>
      </w:tr>
      <w:tr w:rsidR="00566E9A" w:rsidRPr="00E23665" w:rsidTr="00AE5760">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shd w:val="solid" w:color="FFFFFF" w:fill="auto"/>
          </w:tcPr>
          <w:p w:rsidR="00566E9A" w:rsidRPr="00E23665" w:rsidRDefault="00566E9A" w:rsidP="00AE5760">
            <w:pPr>
              <w:autoSpaceDE w:val="0"/>
              <w:autoSpaceDN w:val="0"/>
              <w:adjustRightInd w:val="0"/>
              <w:rPr>
                <w:rFonts w:eastAsiaTheme="minorEastAsia" w:cs="Calibri"/>
                <w:b/>
                <w:bCs/>
                <w:color w:val="000000"/>
                <w:lang w:eastAsia="en-AU"/>
              </w:rPr>
            </w:pPr>
            <w:r w:rsidRPr="00E23665">
              <w:rPr>
                <w:rFonts w:eastAsiaTheme="minorEastAsia" w:cs="Calibri"/>
                <w:b/>
                <w:bCs/>
                <w:color w:val="000000"/>
                <w:lang w:eastAsia="en-AU"/>
              </w:rPr>
              <w:t>Total estimated tax expenditures</w:t>
            </w:r>
          </w:p>
        </w:tc>
        <w:tc>
          <w:tcPr>
            <w:tcW w:w="850" w:type="dxa"/>
            <w:tcBorders>
              <w:top w:val="single" w:sz="6" w:space="0" w:color="auto"/>
              <w:left w:val="nil"/>
              <w:bottom w:val="single" w:sz="12" w:space="0" w:color="auto"/>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E23665">
              <w:rPr>
                <w:rFonts w:eastAsiaTheme="minorEastAsia" w:cs="Calibri"/>
                <w:b/>
                <w:bCs/>
                <w:color w:val="000000"/>
                <w:lang w:eastAsia="en-AU"/>
              </w:rPr>
              <w:t>6 520.3</w:t>
            </w:r>
          </w:p>
        </w:tc>
        <w:tc>
          <w:tcPr>
            <w:tcW w:w="850" w:type="dxa"/>
            <w:tcBorders>
              <w:top w:val="single" w:sz="6" w:space="0" w:color="auto"/>
              <w:left w:val="nil"/>
              <w:bottom w:val="single" w:sz="12" w:space="0" w:color="auto"/>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E23665">
              <w:rPr>
                <w:rFonts w:eastAsiaTheme="minorEastAsia" w:cs="Calibri"/>
                <w:b/>
                <w:bCs/>
                <w:color w:val="000000"/>
                <w:lang w:eastAsia="en-AU"/>
              </w:rPr>
              <w:t>6 131.1</w:t>
            </w:r>
          </w:p>
        </w:tc>
        <w:tc>
          <w:tcPr>
            <w:tcW w:w="850" w:type="dxa"/>
            <w:tcBorders>
              <w:top w:val="single" w:sz="6" w:space="0" w:color="auto"/>
              <w:left w:val="nil"/>
              <w:bottom w:val="single" w:sz="12" w:space="0" w:color="auto"/>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E23665">
              <w:rPr>
                <w:rFonts w:eastAsiaTheme="minorEastAsia" w:cs="Calibri"/>
                <w:b/>
                <w:bCs/>
                <w:color w:val="000000"/>
                <w:lang w:eastAsia="en-AU"/>
              </w:rPr>
              <w:t>6 214.7</w:t>
            </w:r>
          </w:p>
        </w:tc>
        <w:tc>
          <w:tcPr>
            <w:tcW w:w="850" w:type="dxa"/>
            <w:tcBorders>
              <w:top w:val="single" w:sz="6" w:space="0" w:color="auto"/>
              <w:left w:val="nil"/>
              <w:bottom w:val="single" w:sz="12" w:space="0" w:color="auto"/>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E23665">
              <w:rPr>
                <w:rFonts w:eastAsiaTheme="minorEastAsia" w:cs="Calibri"/>
                <w:b/>
                <w:bCs/>
                <w:color w:val="000000"/>
                <w:lang w:eastAsia="en-AU"/>
              </w:rPr>
              <w:t>6 841.9</w:t>
            </w:r>
          </w:p>
        </w:tc>
        <w:tc>
          <w:tcPr>
            <w:tcW w:w="850" w:type="dxa"/>
            <w:tcBorders>
              <w:top w:val="single" w:sz="6" w:space="0" w:color="auto"/>
              <w:left w:val="nil"/>
              <w:bottom w:val="single" w:sz="12" w:space="0" w:color="auto"/>
              <w:right w:val="nil"/>
            </w:tcBorders>
            <w:shd w:val="solid" w:color="FFFFFF" w:fill="auto"/>
          </w:tcPr>
          <w:p w:rsidR="00566E9A" w:rsidRPr="00E23665"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E23665">
              <w:rPr>
                <w:rFonts w:eastAsiaTheme="minorEastAsia" w:cs="Calibri"/>
                <w:b/>
                <w:bCs/>
                <w:color w:val="000000"/>
                <w:lang w:eastAsia="en-AU"/>
              </w:rPr>
              <w:t>6 865.3</w:t>
            </w:r>
          </w:p>
        </w:tc>
      </w:tr>
    </w:tbl>
    <w:p w:rsidR="00566E9A" w:rsidRDefault="00566E9A" w:rsidP="00AE5760">
      <w:pPr>
        <w:pStyle w:val="Source"/>
        <w:rPr>
          <w:rFonts w:ascii="Times New Roman" w:hAnsi="Times New Roman"/>
          <w:sz w:val="20"/>
        </w:rPr>
      </w:pPr>
      <w:r>
        <w:rPr>
          <w:rFonts w:eastAsiaTheme="minorHAnsi"/>
        </w:rPr>
        <w:t>Source: Department of Treasury and Finance</w:t>
      </w:r>
    </w:p>
    <w:p w:rsidR="00566E9A" w:rsidRPr="0046370A" w:rsidRDefault="00566E9A" w:rsidP="00AE5760">
      <w:pPr>
        <w:pStyle w:val="Notes"/>
        <w:rPr>
          <w:rFonts w:eastAsiaTheme="minorHAnsi"/>
        </w:rPr>
      </w:pPr>
      <w:r w:rsidRPr="0046370A">
        <w:rPr>
          <w:rFonts w:eastAsiaTheme="minorHAnsi"/>
        </w:rPr>
        <w:t>Notes:</w:t>
      </w:r>
    </w:p>
    <w:p w:rsidR="00566E9A" w:rsidRPr="0046370A" w:rsidRDefault="00566E9A" w:rsidP="00AE5760">
      <w:pPr>
        <w:pStyle w:val="Notes"/>
        <w:rPr>
          <w:rFonts w:eastAsiaTheme="minorHAnsi"/>
        </w:rPr>
      </w:pPr>
      <w:r w:rsidRPr="0046370A">
        <w:rPr>
          <w:rFonts w:eastAsiaTheme="minorHAnsi"/>
        </w:rPr>
        <w:t>(a)</w:t>
      </w:r>
      <w:r w:rsidRPr="0046370A">
        <w:rPr>
          <w:rFonts w:eastAsiaTheme="minorHAnsi"/>
        </w:rPr>
        <w:tab/>
        <w:t>Tax expenditures associated with thresholds are excluded due to the different nature of these expenditures to other taxation expenditures. Expenditures are benefits that target certain taxpayers or activities, whereas thresholds exclude transactions below a certain size.</w:t>
      </w:r>
    </w:p>
    <w:p w:rsidR="00566E9A" w:rsidRDefault="00566E9A" w:rsidP="00AE5760">
      <w:pPr>
        <w:pStyle w:val="Notes"/>
        <w:rPr>
          <w:rFonts w:eastAsiaTheme="minorHAnsi"/>
        </w:rPr>
      </w:pPr>
      <w:r w:rsidRPr="0046370A">
        <w:rPr>
          <w:rFonts w:eastAsiaTheme="minorHAnsi"/>
        </w:rPr>
        <w:t>(b)</w:t>
      </w:r>
      <w:r w:rsidRPr="0046370A">
        <w:rPr>
          <w:rFonts w:eastAsiaTheme="minorHAnsi"/>
        </w:rPr>
        <w:tab/>
      </w:r>
      <w:r>
        <w:rPr>
          <w:rFonts w:eastAsiaTheme="minorHAnsi"/>
        </w:rPr>
        <w:t xml:space="preserve">The high level of land transfer duty tax expenditures in 2015-16 is due to a significant increase in the value of corporate reconstruction exemptions. In December 2015, the State Revenue Office reviewed a series of related high value transactions that were subsequently found to be exempt under section 250 of the </w:t>
      </w:r>
      <w:r w:rsidRPr="002F04A6">
        <w:rPr>
          <w:rFonts w:eastAsiaTheme="minorHAnsi"/>
          <w:i w:val="0"/>
        </w:rPr>
        <w:t>Duties Act 2000</w:t>
      </w:r>
      <w:r>
        <w:rPr>
          <w:rFonts w:eastAsiaTheme="minorHAnsi"/>
        </w:rPr>
        <w:t xml:space="preserve"> (corporate reconstruction). </w:t>
      </w:r>
      <w:r w:rsidRPr="0046370A">
        <w:rPr>
          <w:rFonts w:eastAsiaTheme="minorHAnsi"/>
        </w:rPr>
        <w:t>Estimates for corporate reconstruction are expected to return to trend across the forward estimates.</w:t>
      </w:r>
    </w:p>
    <w:p w:rsidR="00566E9A" w:rsidRPr="0046370A" w:rsidRDefault="00566E9A" w:rsidP="00AA0897">
      <w:pPr>
        <w:pStyle w:val="Heading1"/>
        <w:rPr>
          <w:rFonts w:eastAsiaTheme="minorHAnsi"/>
        </w:rPr>
      </w:pPr>
      <w:bookmarkStart w:id="66" w:name="_Toc468983301"/>
      <w:r w:rsidRPr="0046370A">
        <w:rPr>
          <w:rFonts w:eastAsiaTheme="minorHAnsi"/>
        </w:rPr>
        <w:t>Concessions</w:t>
      </w:r>
      <w:bookmarkEnd w:id="66"/>
    </w:p>
    <w:p w:rsidR="00566E9A" w:rsidRPr="0046370A" w:rsidRDefault="00566E9A" w:rsidP="00AE5760">
      <w:pPr>
        <w:spacing w:after="100"/>
        <w:rPr>
          <w:rFonts w:eastAsiaTheme="minorHAnsi"/>
        </w:rPr>
      </w:pPr>
      <w:r w:rsidRPr="0046370A">
        <w:rPr>
          <w:rFonts w:eastAsiaTheme="minorHAnsi"/>
        </w:rPr>
        <w:t xml:space="preserve">Concessions are </w:t>
      </w:r>
      <w:r>
        <w:rPr>
          <w:rFonts w:eastAsiaTheme="minorHAnsi"/>
        </w:rPr>
        <w:t xml:space="preserve">a </w:t>
      </w:r>
      <w:r w:rsidRPr="0046370A">
        <w:rPr>
          <w:rFonts w:eastAsiaTheme="minorHAnsi"/>
        </w:rPr>
        <w:t xml:space="preserve">direct budget outlay or reduction in government charges that reduce the price of a good or service for particular groups. </w:t>
      </w:r>
      <w:r>
        <w:rPr>
          <w:rFonts w:eastAsiaTheme="minorHAnsi"/>
        </w:rPr>
        <w:t>The</w:t>
      </w:r>
      <w:r w:rsidRPr="0046370A">
        <w:rPr>
          <w:rFonts w:eastAsiaTheme="minorHAnsi"/>
        </w:rPr>
        <w:t xml:space="preserve"> Sta</w:t>
      </w:r>
      <w:r>
        <w:rPr>
          <w:rFonts w:eastAsiaTheme="minorHAnsi"/>
        </w:rPr>
        <w:t>te will provide approximately $1.6 </w:t>
      </w:r>
      <w:r w:rsidRPr="0046370A">
        <w:rPr>
          <w:rFonts w:eastAsiaTheme="minorHAnsi"/>
        </w:rPr>
        <w:t>bil</w:t>
      </w:r>
      <w:r>
        <w:rPr>
          <w:rFonts w:eastAsiaTheme="minorHAnsi"/>
        </w:rPr>
        <w:t>lion in concessions in 2016-17.</w:t>
      </w:r>
    </w:p>
    <w:p w:rsidR="00566E9A" w:rsidRPr="0046370A" w:rsidRDefault="00566E9A" w:rsidP="00AE5760">
      <w:pPr>
        <w:spacing w:after="100"/>
        <w:rPr>
          <w:rFonts w:eastAsiaTheme="minorHAnsi"/>
        </w:rPr>
      </w:pPr>
      <w:r>
        <w:rPr>
          <w:rFonts w:eastAsiaTheme="minorHAnsi"/>
        </w:rPr>
        <w:t>Certain characteristics of</w:t>
      </w:r>
      <w:r w:rsidRPr="0046370A">
        <w:rPr>
          <w:rFonts w:eastAsiaTheme="minorHAnsi"/>
        </w:rPr>
        <w:t xml:space="preserve"> consumer</w:t>
      </w:r>
      <w:r>
        <w:rPr>
          <w:rFonts w:eastAsiaTheme="minorHAnsi"/>
        </w:rPr>
        <w:t>s</w:t>
      </w:r>
      <w:r w:rsidRPr="0046370A">
        <w:rPr>
          <w:rFonts w:eastAsiaTheme="minorHAnsi"/>
        </w:rPr>
        <w:t>, such as possession of a Commonwealth pension card or a health care card, are the basis for entitlement. Concessions allow certain groups in the community to access or purchase important amenities such as energy, education, health and transportation at a partial or full discount.</w:t>
      </w:r>
    </w:p>
    <w:p w:rsidR="00566E9A" w:rsidRPr="0046370A" w:rsidRDefault="00566E9A" w:rsidP="00AE5760">
      <w:pPr>
        <w:spacing w:after="100"/>
        <w:rPr>
          <w:rFonts w:eastAsiaTheme="minorHAnsi"/>
        </w:rPr>
      </w:pPr>
      <w:r w:rsidRPr="0046370A">
        <w:rPr>
          <w:rFonts w:eastAsiaTheme="minorHAnsi"/>
        </w:rPr>
        <w:t xml:space="preserve">Table C.2 outlines the main concessions provided by the Victorian </w:t>
      </w:r>
      <w:r>
        <w:rPr>
          <w:rFonts w:eastAsiaTheme="minorHAnsi"/>
        </w:rPr>
        <w:t>Government</w:t>
      </w:r>
      <w:r w:rsidRPr="0046370A">
        <w:rPr>
          <w:rFonts w:eastAsiaTheme="minorHAnsi"/>
        </w:rPr>
        <w:t xml:space="preserve">. </w:t>
      </w:r>
    </w:p>
    <w:p w:rsidR="00566E9A" w:rsidRPr="0046370A" w:rsidRDefault="00566E9A" w:rsidP="00AE5760">
      <w:pPr>
        <w:spacing w:after="100"/>
        <w:rPr>
          <w:rFonts w:eastAsiaTheme="minorHAnsi"/>
        </w:rPr>
      </w:pPr>
      <w:r w:rsidRPr="0046370A">
        <w:rPr>
          <w:rFonts w:eastAsiaTheme="minorHAnsi"/>
        </w:rPr>
        <w:t xml:space="preserve">Eligible concession card holders receive reduced bills for energy, municipal rates, water and sewerage, funded by the State and paid to service providers. </w:t>
      </w:r>
    </w:p>
    <w:p w:rsidR="00566E9A" w:rsidRPr="0046370A" w:rsidRDefault="00566E9A" w:rsidP="00AE5760">
      <w:pPr>
        <w:spacing w:after="100"/>
        <w:rPr>
          <w:rFonts w:eastAsiaTheme="minorHAnsi"/>
        </w:rPr>
      </w:pPr>
      <w:r w:rsidRPr="0046370A">
        <w:rPr>
          <w:rFonts w:eastAsiaTheme="minorHAnsi"/>
        </w:rPr>
        <w:t xml:space="preserve">Education concessions include concessions for preschool and for vocational education and training. </w:t>
      </w:r>
    </w:p>
    <w:p w:rsidR="00566E9A" w:rsidRPr="0046370A" w:rsidRDefault="00566E9A" w:rsidP="00AE5760">
      <w:pPr>
        <w:spacing w:after="100"/>
        <w:rPr>
          <w:rFonts w:eastAsiaTheme="minorHAnsi"/>
        </w:rPr>
      </w:pPr>
      <w:r w:rsidRPr="0046370A">
        <w:rPr>
          <w:rFonts w:eastAsiaTheme="minorHAnsi"/>
        </w:rPr>
        <w:t xml:space="preserve">Hardship schemes include the Utility Relief Grants Scheme and payment to State Trustees through a Community Service Agreement. The Utility Relief Grants Scheme assists Victorians unable to pay utility bills due to temporary financial crisis. State Trustees provide trustee services, including managing the legal and financial affairs of Victorians unable to do so independently. </w:t>
      </w:r>
    </w:p>
    <w:p w:rsidR="00566E9A" w:rsidRPr="0046370A" w:rsidRDefault="00566E9A" w:rsidP="00AE5760">
      <w:pPr>
        <w:spacing w:after="100"/>
        <w:rPr>
          <w:rFonts w:eastAsiaTheme="minorHAnsi"/>
        </w:rPr>
      </w:pPr>
      <w:r w:rsidRPr="0046370A">
        <w:rPr>
          <w:rFonts w:eastAsiaTheme="minorHAnsi"/>
        </w:rPr>
        <w:t>The social and community services cate</w:t>
      </w:r>
      <w:r>
        <w:rPr>
          <w:rFonts w:eastAsiaTheme="minorHAnsi"/>
        </w:rPr>
        <w:t>gory includes assistance to non-</w:t>
      </w:r>
      <w:r w:rsidRPr="0046370A">
        <w:rPr>
          <w:rFonts w:eastAsiaTheme="minorHAnsi"/>
        </w:rPr>
        <w:t xml:space="preserve">profit organisations such as the Bereavement Assistance Limited, the Charity Freight Service and food relief organisations. </w:t>
      </w:r>
    </w:p>
    <w:p w:rsidR="00566E9A" w:rsidRDefault="00566E9A" w:rsidP="00AE5760">
      <w:pPr>
        <w:spacing w:after="100"/>
        <w:rPr>
          <w:rFonts w:eastAsiaTheme="minorHAnsi"/>
        </w:rPr>
      </w:pPr>
      <w:r w:rsidRPr="0046370A">
        <w:rPr>
          <w:rFonts w:eastAsiaTheme="minorHAnsi"/>
        </w:rPr>
        <w:t xml:space="preserve">Private transport concessions consist of a discount on Transport Accident Commission premiums and funding of the </w:t>
      </w:r>
      <w:proofErr w:type="spellStart"/>
      <w:r w:rsidRPr="0046370A">
        <w:rPr>
          <w:rFonts w:eastAsiaTheme="minorHAnsi"/>
        </w:rPr>
        <w:t>Multi Purpose</w:t>
      </w:r>
      <w:proofErr w:type="spellEnd"/>
      <w:r w:rsidRPr="0046370A">
        <w:rPr>
          <w:rFonts w:eastAsiaTheme="minorHAnsi"/>
        </w:rPr>
        <w:t xml:space="preserve"> Taxi Program.</w:t>
      </w:r>
    </w:p>
    <w:p w:rsidR="00566E9A" w:rsidRPr="00774034" w:rsidRDefault="00566E9A" w:rsidP="00AE5760">
      <w:pPr>
        <w:pStyle w:val="Tableheading"/>
        <w:rPr>
          <w:rFonts w:eastAsiaTheme="minorHAnsi"/>
          <w:vertAlign w:val="superscript"/>
        </w:rPr>
      </w:pPr>
      <w:r w:rsidRPr="0046370A">
        <w:rPr>
          <w:rFonts w:eastAsiaTheme="minorHAnsi"/>
        </w:rPr>
        <w:lastRenderedPageBreak/>
        <w:t xml:space="preserve">Table </w:t>
      </w:r>
      <w:r>
        <w:rPr>
          <w:rFonts w:eastAsiaTheme="minorHAnsi"/>
        </w:rPr>
        <w:t xml:space="preserve">C.2: </w:t>
      </w:r>
      <w:r>
        <w:rPr>
          <w:rFonts w:eastAsiaTheme="minorHAnsi"/>
        </w:rPr>
        <w:tab/>
        <w:t xml:space="preserve">Concessions by category </w:t>
      </w:r>
      <w:r>
        <w:rPr>
          <w:rFonts w:eastAsiaTheme="minorHAnsi"/>
          <w:vertAlign w:val="superscript"/>
        </w:rPr>
        <w:t>(a)</w:t>
      </w:r>
    </w:p>
    <w:p w:rsidR="00566E9A" w:rsidRPr="007B2F4C" w:rsidRDefault="00566E9A" w:rsidP="00AE5760">
      <w:pPr>
        <w:pStyle w:val="million"/>
      </w:pPr>
      <w:r>
        <w:t>($ million)</w:t>
      </w:r>
    </w:p>
    <w:tbl>
      <w:tblPr>
        <w:tblStyle w:val="DTFFinancialTable"/>
        <w:tblW w:w="7766" w:type="dxa"/>
        <w:tblInd w:w="45" w:type="dxa"/>
        <w:tblLayout w:type="fixed"/>
        <w:tblCellMar>
          <w:left w:w="45" w:type="dxa"/>
          <w:right w:w="45" w:type="dxa"/>
        </w:tblCellMar>
        <w:tblLook w:val="06A0" w:firstRow="1" w:lastRow="0" w:firstColumn="1" w:lastColumn="0" w:noHBand="1" w:noVBand="1"/>
      </w:tblPr>
      <w:tblGrid>
        <w:gridCol w:w="6066"/>
        <w:gridCol w:w="850"/>
        <w:gridCol w:w="850"/>
      </w:tblGrid>
      <w:tr w:rsidR="00566E9A" w:rsidRPr="006E1D4A"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66" w:type="dxa"/>
            <w:tcBorders>
              <w:top w:val="nil"/>
              <w:left w:val="single" w:sz="6" w:space="0" w:color="auto"/>
              <w:bottom w:val="single" w:sz="6" w:space="0" w:color="auto"/>
              <w:right w:val="nil"/>
            </w:tcBorders>
            <w:shd w:val="solid" w:color="000000" w:fill="auto"/>
          </w:tcPr>
          <w:p w:rsidR="00566E9A" w:rsidRPr="006E1D4A" w:rsidRDefault="00566E9A" w:rsidP="00AE5760">
            <w:pPr>
              <w:autoSpaceDE w:val="0"/>
              <w:autoSpaceDN w:val="0"/>
              <w:adjustRightInd w:val="0"/>
              <w:rPr>
                <w:rFonts w:eastAsiaTheme="minorEastAsia" w:cs="Calibri"/>
                <w:iCs/>
                <w:color w:val="FFFFFF"/>
                <w:lang w:eastAsia="en-AU"/>
              </w:rPr>
            </w:pPr>
            <w:r w:rsidRPr="006E1D4A">
              <w:rPr>
                <w:rFonts w:eastAsiaTheme="minorEastAsia" w:cs="Calibri"/>
                <w:iCs/>
                <w:color w:val="FFFFFF"/>
                <w:lang w:eastAsia="en-AU"/>
              </w:rPr>
              <w:t>Description</w:t>
            </w:r>
          </w:p>
        </w:tc>
        <w:tc>
          <w:tcPr>
            <w:tcW w:w="850" w:type="dxa"/>
            <w:tcBorders>
              <w:top w:val="nil"/>
              <w:left w:val="single" w:sz="6" w:space="0" w:color="auto"/>
              <w:bottom w:val="single" w:sz="6" w:space="0" w:color="auto"/>
              <w:right w:val="nil"/>
            </w:tcBorders>
            <w:shd w:val="solid" w:color="000000" w:fill="auto"/>
          </w:tcPr>
          <w:p w:rsidR="00566E9A" w:rsidRPr="006E1D4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6E1D4A">
              <w:rPr>
                <w:rFonts w:eastAsiaTheme="minorEastAsia" w:cs="Calibri"/>
                <w:iCs/>
                <w:color w:val="FFFFFF"/>
                <w:lang w:eastAsia="en-AU"/>
              </w:rPr>
              <w:t>2015-16</w:t>
            </w:r>
          </w:p>
        </w:tc>
        <w:tc>
          <w:tcPr>
            <w:tcW w:w="850" w:type="dxa"/>
            <w:tcBorders>
              <w:top w:val="nil"/>
              <w:left w:val="single" w:sz="6" w:space="0" w:color="auto"/>
              <w:bottom w:val="single" w:sz="6" w:space="0" w:color="auto"/>
              <w:right w:val="nil"/>
            </w:tcBorders>
            <w:shd w:val="solid" w:color="000000" w:fill="auto"/>
          </w:tcPr>
          <w:p w:rsidR="00566E9A" w:rsidRPr="006E1D4A"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6E1D4A">
              <w:rPr>
                <w:rFonts w:eastAsiaTheme="minorEastAsia" w:cs="Calibri"/>
                <w:iCs/>
                <w:color w:val="FFFFFF"/>
                <w:lang w:eastAsia="en-AU"/>
              </w:rPr>
              <w:t>2016-17</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lang w:eastAsia="en-AU"/>
              </w:rPr>
            </w:pPr>
            <w:r w:rsidRPr="006E1D4A">
              <w:rPr>
                <w:rFonts w:eastAsiaTheme="minorEastAsia" w:cs="Calibri"/>
                <w:color w:val="000000"/>
                <w:lang w:eastAsia="en-AU"/>
              </w:rPr>
              <w:t>Electricity</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164.6</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168.6</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lang w:eastAsia="en-AU"/>
              </w:rPr>
            </w:pPr>
            <w:r w:rsidRPr="006E1D4A">
              <w:rPr>
                <w:rFonts w:eastAsiaTheme="minorEastAsia" w:cs="Calibri"/>
                <w:color w:val="000000"/>
                <w:lang w:eastAsia="en-AU"/>
              </w:rPr>
              <w:t>Mains gas</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63.5</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65.9</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lang w:eastAsia="en-AU"/>
              </w:rPr>
            </w:pPr>
            <w:r w:rsidRPr="006E1D4A">
              <w:rPr>
                <w:rFonts w:eastAsiaTheme="minorEastAsia" w:cs="Calibri"/>
                <w:color w:val="000000"/>
                <w:lang w:eastAsia="en-AU"/>
              </w:rPr>
              <w:t>Municipal rates</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94.5</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96.1</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lang w:eastAsia="en-AU"/>
              </w:rPr>
            </w:pPr>
            <w:r w:rsidRPr="006E1D4A">
              <w:rPr>
                <w:rFonts w:eastAsiaTheme="minorEastAsia" w:cs="Calibri"/>
                <w:color w:val="000000"/>
                <w:lang w:eastAsia="en-AU"/>
              </w:rPr>
              <w:t>Water and sewerage</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166.8</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169.6</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Total energy, municipal rates, water and sewerage</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489.4</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500.1</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lang w:eastAsia="en-AU"/>
              </w:rPr>
            </w:pPr>
            <w:r w:rsidRPr="006E1D4A">
              <w:rPr>
                <w:rFonts w:eastAsiaTheme="minorEastAsia" w:cs="Calibri"/>
                <w:color w:val="000000"/>
                <w:lang w:eastAsia="en-AU"/>
              </w:rPr>
              <w:t>Ambulance</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377.2</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388.5</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vertAlign w:val="superscript"/>
                <w:lang w:eastAsia="en-AU"/>
              </w:rPr>
            </w:pPr>
            <w:r w:rsidRPr="006E1D4A">
              <w:rPr>
                <w:rFonts w:eastAsiaTheme="minorEastAsia" w:cs="Calibri"/>
                <w:color w:val="000000"/>
                <w:lang w:eastAsia="en-AU"/>
              </w:rPr>
              <w:t xml:space="preserve">Dental services and spectacles </w:t>
            </w:r>
            <w:r w:rsidRPr="006E1D4A">
              <w:rPr>
                <w:rFonts w:eastAsiaTheme="minorEastAsia" w:cs="Calibri"/>
                <w:color w:val="000000"/>
                <w:vertAlign w:val="superscript"/>
                <w:lang w:eastAsia="en-AU"/>
              </w:rPr>
              <w:t>(b)</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154.5</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106.5</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color w:val="000000"/>
                <w:lang w:eastAsia="en-AU"/>
              </w:rPr>
            </w:pPr>
            <w:r w:rsidRPr="006E1D4A">
              <w:rPr>
                <w:rFonts w:eastAsiaTheme="minorEastAsia" w:cs="Calibri"/>
                <w:color w:val="000000"/>
                <w:lang w:eastAsia="en-AU"/>
              </w:rPr>
              <w:t>Community health programs</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111.3</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E1D4A">
              <w:rPr>
                <w:rFonts w:eastAsiaTheme="minorEastAsia" w:cs="Calibri"/>
                <w:color w:val="000000"/>
                <w:lang w:eastAsia="en-AU"/>
              </w:rPr>
              <w:t>143.6</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Total health</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643.0</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638.6</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vertAlign w:val="superscript"/>
                <w:lang w:eastAsia="en-AU"/>
              </w:rPr>
            </w:pPr>
            <w:r w:rsidRPr="006E1D4A">
              <w:rPr>
                <w:rFonts w:eastAsiaTheme="minorEastAsia" w:cs="Calibri"/>
                <w:b/>
                <w:bCs/>
                <w:color w:val="000000"/>
                <w:lang w:eastAsia="en-AU"/>
              </w:rPr>
              <w:t>Education</w:t>
            </w:r>
            <w:r>
              <w:rPr>
                <w:rFonts w:eastAsiaTheme="minorEastAsia" w:cs="Calibri"/>
                <w:b/>
                <w:bCs/>
                <w:color w:val="000000"/>
                <w:lang w:eastAsia="en-AU"/>
              </w:rPr>
              <w:t xml:space="preserve"> </w:t>
            </w:r>
            <w:r w:rsidRPr="006E1D4A">
              <w:rPr>
                <w:rFonts w:eastAsiaTheme="minorEastAsia" w:cs="Calibri"/>
                <w:b/>
                <w:bCs/>
                <w:color w:val="000000"/>
                <w:vertAlign w:val="superscript"/>
                <w:lang w:eastAsia="en-AU"/>
              </w:rPr>
              <w:t>(c)(d)</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92.4</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68.3</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Hardship schemes</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41.6</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43.5</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Social and community services</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5.7</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5.6</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Private transport</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190.4</w:t>
            </w:r>
          </w:p>
        </w:tc>
        <w:tc>
          <w:tcPr>
            <w:tcW w:w="850" w:type="dxa"/>
            <w:tcBorders>
              <w:top w:val="nil"/>
              <w:left w:val="nil"/>
              <w:bottom w:val="nil"/>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200.6</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Public transport</w:t>
            </w:r>
          </w:p>
        </w:tc>
        <w:tc>
          <w:tcPr>
            <w:tcW w:w="850" w:type="dxa"/>
            <w:tcBorders>
              <w:top w:val="nil"/>
              <w:left w:val="nil"/>
              <w:bottom w:val="nil"/>
              <w:right w:val="nil"/>
            </w:tcBorders>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147.3</w:t>
            </w:r>
          </w:p>
        </w:tc>
        <w:tc>
          <w:tcPr>
            <w:tcW w:w="850" w:type="dxa"/>
            <w:tcBorders>
              <w:top w:val="nil"/>
              <w:left w:val="nil"/>
              <w:bottom w:val="nil"/>
              <w:right w:val="nil"/>
            </w:tcBorders>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E1D4A">
              <w:rPr>
                <w:rFonts w:eastAsiaTheme="minorEastAsia" w:cs="Calibri"/>
                <w:b/>
                <w:bCs/>
                <w:color w:val="000000"/>
                <w:lang w:eastAsia="en-AU"/>
              </w:rPr>
              <w:t>154.0</w:t>
            </w:r>
          </w:p>
        </w:tc>
      </w:tr>
      <w:tr w:rsidR="00566E9A" w:rsidRPr="006E1D4A" w:rsidTr="00AE5760">
        <w:tc>
          <w:tcPr>
            <w:cnfStyle w:val="001000000000" w:firstRow="0" w:lastRow="0" w:firstColumn="1" w:lastColumn="0" w:oddVBand="0" w:evenVBand="0" w:oddHBand="0" w:evenHBand="0" w:firstRowFirstColumn="0" w:firstRowLastColumn="0" w:lastRowFirstColumn="0" w:lastRowLastColumn="0"/>
            <w:tcW w:w="6066" w:type="dxa"/>
            <w:tcBorders>
              <w:top w:val="single" w:sz="6" w:space="0" w:color="auto"/>
              <w:left w:val="nil"/>
              <w:bottom w:val="single" w:sz="12" w:space="0" w:color="auto"/>
              <w:right w:val="nil"/>
            </w:tcBorders>
            <w:shd w:val="solid" w:color="FFFFFF" w:fill="auto"/>
          </w:tcPr>
          <w:p w:rsidR="00566E9A" w:rsidRPr="006E1D4A" w:rsidRDefault="00566E9A" w:rsidP="00AE5760">
            <w:pPr>
              <w:autoSpaceDE w:val="0"/>
              <w:autoSpaceDN w:val="0"/>
              <w:adjustRightInd w:val="0"/>
              <w:rPr>
                <w:rFonts w:eastAsiaTheme="minorEastAsia" w:cs="Calibri"/>
                <w:b/>
                <w:bCs/>
                <w:color w:val="000000"/>
                <w:lang w:eastAsia="en-AU"/>
              </w:rPr>
            </w:pPr>
            <w:r w:rsidRPr="006E1D4A">
              <w:rPr>
                <w:rFonts w:eastAsiaTheme="minorEastAsia" w:cs="Calibri"/>
                <w:b/>
                <w:bCs/>
                <w:color w:val="000000"/>
                <w:lang w:eastAsia="en-AU"/>
              </w:rPr>
              <w:t>Total for items estimated</w:t>
            </w:r>
          </w:p>
        </w:tc>
        <w:tc>
          <w:tcPr>
            <w:tcW w:w="850" w:type="dxa"/>
            <w:tcBorders>
              <w:top w:val="single" w:sz="6" w:space="0" w:color="auto"/>
              <w:left w:val="nil"/>
              <w:bottom w:val="single" w:sz="12" w:space="0" w:color="auto"/>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1 609.8</w:t>
            </w:r>
          </w:p>
        </w:tc>
        <w:tc>
          <w:tcPr>
            <w:tcW w:w="850" w:type="dxa"/>
            <w:tcBorders>
              <w:top w:val="single" w:sz="6" w:space="0" w:color="auto"/>
              <w:left w:val="nil"/>
              <w:bottom w:val="single" w:sz="12" w:space="0" w:color="auto"/>
              <w:right w:val="nil"/>
            </w:tcBorders>
            <w:shd w:val="solid" w:color="FFFFFF" w:fill="auto"/>
          </w:tcPr>
          <w:p w:rsidR="00566E9A" w:rsidRPr="006E1D4A"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1 610.7</w:t>
            </w:r>
          </w:p>
        </w:tc>
      </w:tr>
    </w:tbl>
    <w:p w:rsidR="00566E9A" w:rsidRDefault="00566E9A" w:rsidP="00AE5760">
      <w:pPr>
        <w:pStyle w:val="Source"/>
      </w:pPr>
      <w:r w:rsidRPr="00774034">
        <w:t>Source: Department of Treasury and Finance</w:t>
      </w:r>
    </w:p>
    <w:p w:rsidR="00566E9A" w:rsidRPr="0046370A" w:rsidRDefault="00566E9A" w:rsidP="00AE5760">
      <w:pPr>
        <w:pStyle w:val="Notes"/>
        <w:ind w:left="0" w:firstLine="0"/>
      </w:pPr>
      <w:r w:rsidRPr="0046370A">
        <w:t>Notes:</w:t>
      </w:r>
    </w:p>
    <w:p w:rsidR="00566E9A" w:rsidRPr="0046370A" w:rsidRDefault="00566E9A" w:rsidP="00AE5760">
      <w:pPr>
        <w:pStyle w:val="Notes"/>
      </w:pPr>
      <w:r w:rsidRPr="0046370A">
        <w:t>(a)</w:t>
      </w:r>
      <w:r w:rsidRPr="0046370A">
        <w:tab/>
        <w:t>Some concessions are unable to be directly measured and are estimates only.</w:t>
      </w:r>
    </w:p>
    <w:p w:rsidR="00566E9A" w:rsidRDefault="00566E9A" w:rsidP="00AE5760">
      <w:pPr>
        <w:pStyle w:val="Notes"/>
      </w:pPr>
      <w:r>
        <w:t>(b)</w:t>
      </w:r>
      <w:r>
        <w:tab/>
        <w:t>The lower concession expenditure estimated for dental services in 2016-17 is a result of the National Partnership Agreement on Adult Public Dental Services ceasing in June 2016. The State’s dental program will continue.</w:t>
      </w:r>
    </w:p>
    <w:p w:rsidR="00566E9A" w:rsidRDefault="00566E9A" w:rsidP="00AE5760">
      <w:pPr>
        <w:pStyle w:val="Notes"/>
      </w:pPr>
      <w:r>
        <w:t>(c)</w:t>
      </w:r>
      <w:r>
        <w:tab/>
        <w:t>The lower concessions reflects a better alignment of funding and demand.</w:t>
      </w:r>
    </w:p>
    <w:p w:rsidR="00566E9A" w:rsidRDefault="00566E9A" w:rsidP="00AE5760">
      <w:pPr>
        <w:pStyle w:val="Notes"/>
      </w:pPr>
      <w:r>
        <w:t xml:space="preserve">(d) </w:t>
      </w:r>
      <w:r>
        <w:tab/>
        <w:t>Despite a reduction in concessions for 2016-17, additional funding is available in the Victorian Training Guarantee.</w:t>
      </w:r>
    </w:p>
    <w:p w:rsidR="00566E9A" w:rsidRDefault="00566E9A">
      <w:pPr>
        <w:spacing w:after="0"/>
        <w:rPr>
          <w:rFonts w:asciiTheme="majorHAnsi" w:hAnsiTheme="majorHAnsi"/>
          <w:i/>
          <w:sz w:val="15"/>
        </w:rPr>
      </w:pPr>
    </w:p>
    <w:p w:rsidR="00566E9A" w:rsidRDefault="00566E9A">
      <w:pPr>
        <w:spacing w:after="0"/>
        <w:rPr>
          <w:rFonts w:asciiTheme="majorHAnsi" w:hAnsiTheme="majorHAnsi"/>
          <w:i/>
          <w:sz w:val="15"/>
        </w:rPr>
      </w:pPr>
      <w:r>
        <w:rPr>
          <w:rFonts w:asciiTheme="majorHAnsi" w:hAnsiTheme="majorHAnsi"/>
          <w:i/>
          <w:sz w:val="15"/>
        </w:rPr>
        <w:br w:type="page"/>
      </w:r>
    </w:p>
    <w:p w:rsidR="00566E9A" w:rsidRDefault="00566E9A" w:rsidP="009B70F1"/>
    <w:p w:rsidR="00566E9A" w:rsidRDefault="00566E9A" w:rsidP="009B70F1">
      <w:pPr>
        <w:sectPr w:rsidR="00566E9A" w:rsidSect="00C14B16">
          <w:footerReference w:type="even" r:id="rId45"/>
          <w:footerReference w:type="default" r:id="rId46"/>
          <w:pgSz w:w="9979" w:h="14181" w:code="138"/>
          <w:pgMar w:top="1140" w:right="1140" w:bottom="1140" w:left="1140" w:header="720" w:footer="431" w:gutter="0"/>
          <w:cols w:space="708"/>
          <w:docGrid w:linePitch="360"/>
        </w:sectPr>
      </w:pPr>
    </w:p>
    <w:p w:rsidR="00566E9A" w:rsidRDefault="00566E9A" w:rsidP="00AE5760">
      <w:pPr>
        <w:pStyle w:val="ChapterHeading"/>
        <w:rPr>
          <w:rFonts w:eastAsiaTheme="minorHAnsi"/>
        </w:rPr>
      </w:pPr>
      <w:bookmarkStart w:id="67" w:name="_Toc468983302"/>
      <w:r>
        <w:rPr>
          <w:rFonts w:eastAsiaTheme="minorHAnsi"/>
        </w:rPr>
        <w:lastRenderedPageBreak/>
        <w:t>Appendix D – Sensitivity analysis</w:t>
      </w:r>
      <w:bookmarkEnd w:id="67"/>
    </w:p>
    <w:p w:rsidR="00566E9A" w:rsidRDefault="00566E9A" w:rsidP="00AE5760">
      <w:r>
        <w:t xml:space="preserve">The </w:t>
      </w:r>
      <w:r>
        <w:rPr>
          <w:i/>
        </w:rPr>
        <w:t>2016</w:t>
      </w:r>
      <w:r>
        <w:rPr>
          <w:i/>
        </w:rPr>
        <w:noBreakHyphen/>
        <w:t>17 Budget Update</w:t>
      </w:r>
      <w:r>
        <w:t xml:space="preserve"> is predicated on macroeconomic forecasts and assumptions that are subject to variation. This </w:t>
      </w:r>
      <w:r w:rsidRPr="0055475A">
        <w:t xml:space="preserve">section quantifies the expected </w:t>
      </w:r>
      <w:r>
        <w:t>impact of variations in these parameters on key fiscal aggregates of the general government sector.</w:t>
      </w:r>
    </w:p>
    <w:p w:rsidR="00566E9A" w:rsidRDefault="00566E9A" w:rsidP="00AE5760">
      <w:r w:rsidRPr="00EA4217">
        <w:t xml:space="preserve">Two types of sensitivity analysis are presented. First, </w:t>
      </w:r>
      <w:r>
        <w:t>the fiscal impact of independent variations in major economic parameters is considered. This type of analysis could be useful, for example, in considering the impact of a forecast error in an individual economic parameter on the fiscal aggregates. Second, the simultaneous impact of variations in a number of major economic parameters is considered with reference to historical examples. The analysis attempts to capture some, though not all, of the interrelationships between economic variables in a feasible scenario. This provides a better understanding of the aggregate fiscal impact where the general economic environment is materially different from the forecast.</w:t>
      </w:r>
    </w:p>
    <w:p w:rsidR="00566E9A" w:rsidRDefault="00566E9A" w:rsidP="00AE5760">
      <w:r w:rsidRPr="007B2462">
        <w:t>While sensitivity analysis provides a useful indication of the fiscal impact of variations in economic conditions</w:t>
      </w:r>
      <w:r>
        <w:t>, care should be exercised in interpreting these results. The relationships between economic and fiscal aggregates are complex, and typically depend on the specific characteristics of the economic shock. For example, an asset price shock in the property market is likely to have a different fiscal impact to a sector</w:t>
      </w:r>
      <w:r>
        <w:noBreakHyphen/>
        <w:t>specific shock in manufacturing, even if the overall impact on gross state product (GSP) and employment is similar.</w:t>
      </w:r>
    </w:p>
    <w:p w:rsidR="00566E9A" w:rsidRDefault="00566E9A" w:rsidP="00AE5760">
      <w:pPr>
        <w:keepNext/>
        <w:spacing w:before="360"/>
        <w:outlineLvl w:val="0"/>
        <w:rPr>
          <w:rFonts w:ascii="Calibri" w:hAnsi="Calibri"/>
          <w:b/>
          <w:caps/>
          <w:sz w:val="26"/>
        </w:rPr>
      </w:pPr>
      <w:r>
        <w:rPr>
          <w:rFonts w:ascii="Calibri" w:hAnsi="Calibri"/>
          <w:b/>
          <w:caps/>
          <w:sz w:val="26"/>
        </w:rPr>
        <w:t>Sensitivity to independent variations in major economic parameters</w:t>
      </w:r>
    </w:p>
    <w:p w:rsidR="00566E9A" w:rsidRDefault="00566E9A" w:rsidP="00AE5760">
      <w:r>
        <w:t>Table D.1</w:t>
      </w:r>
      <w:r w:rsidRPr="006D0251">
        <w:t xml:space="preserve"> </w:t>
      </w:r>
      <w:r>
        <w:t>presents the sensitivity of financial aggregates, where the levels of key economic parameters are 1 per cent above the forecast for each year of the budget and forward estimates period, holding all else constant. The impacts shown are broadly symmetrical. That is, the estimated fiscal impact would apply equally in the opposite direction if a 1 per cent decrease in each variable was considered.</w:t>
      </w:r>
    </w:p>
    <w:p w:rsidR="00566E9A" w:rsidRDefault="00566E9A" w:rsidP="00AE5760">
      <w:pPr>
        <w:spacing w:after="0"/>
      </w:pPr>
      <w:r>
        <w:br w:type="page"/>
      </w:r>
    </w:p>
    <w:p w:rsidR="00566E9A" w:rsidRPr="00D23DB4" w:rsidRDefault="00566E9A" w:rsidP="00AE5760">
      <w:pPr>
        <w:pStyle w:val="Tableheading"/>
      </w:pPr>
      <w:bookmarkStart w:id="68" w:name="BP2NetDebt5"/>
      <w:r>
        <w:lastRenderedPageBreak/>
        <w:t>Table D.</w:t>
      </w:r>
      <w:r w:rsidRPr="006D0251">
        <w:t>1</w:t>
      </w:r>
      <w:r>
        <w:t>:</w:t>
      </w:r>
      <w:r>
        <w:tab/>
      </w:r>
      <w:r w:rsidRPr="00FA77F3">
        <w:t xml:space="preserve">Sensitivity of key </w:t>
      </w:r>
      <w:r w:rsidRPr="002B36D5">
        <w:t>fiscal</w:t>
      </w:r>
      <w:r w:rsidRPr="00FA77F3">
        <w:t xml:space="preserve"> aggregates to selected indicators being 1</w:t>
      </w:r>
      <w:r>
        <w:t> per cent</w:t>
      </w:r>
      <w:r w:rsidRPr="00FA77F3">
        <w:t xml:space="preserve"> higher </w:t>
      </w:r>
      <w:r w:rsidRPr="00CD66A9">
        <w:t>than</w:t>
      </w:r>
      <w:r>
        <w:t xml:space="preserve"> expected from 2016</w:t>
      </w:r>
      <w:r>
        <w:noBreakHyphen/>
        <w:t xml:space="preserve">17 </w:t>
      </w:r>
      <w:r w:rsidRPr="002B36D5">
        <w:rPr>
          <w:vertAlign w:val="superscript"/>
        </w:rPr>
        <w:t>(</w:t>
      </w:r>
      <w:r w:rsidRPr="000943E5">
        <w:rPr>
          <w:vertAlign w:val="superscript"/>
        </w:rPr>
        <w:t>a)(b)(c)(d)</w:t>
      </w:r>
      <w:r>
        <w:rPr>
          <w:vertAlign w:val="superscript"/>
        </w:rPr>
        <w:t>(e)(f)</w:t>
      </w:r>
    </w:p>
    <w:p w:rsidR="00566E9A" w:rsidRPr="004C3E68" w:rsidRDefault="00566E9A" w:rsidP="00AE5760">
      <w:pPr>
        <w:pStyle w:val="million"/>
        <w:rPr>
          <w:b/>
          <w:bCs/>
          <w:lang w:val="en-US"/>
        </w:rPr>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566E9A" w:rsidRPr="004C3E68"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rPr>
                <w:rFonts w:eastAsiaTheme="minorEastAsia" w:cs="Calibri"/>
                <w:color w:val="FFFFFF"/>
                <w:szCs w:val="20"/>
              </w:rPr>
            </w:pPr>
            <w:r w:rsidRPr="004C3E68">
              <w:rPr>
                <w:rFonts w:eastAsiaTheme="minorEastAsia" w:cs="Calibri"/>
                <w:color w:val="FFFFFF"/>
                <w:szCs w:val="20"/>
              </w:rPr>
              <w:t xml:space="preserve"> </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2016-17 estimate</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2017-18 estimate</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2018-19 estimate</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2019-20 estimate</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GSP</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177</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186</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201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210</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(9)</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171</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187</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210</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226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(171)</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(358)</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(568)</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(795)</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vertAlign w:val="superscript"/>
              </w:rPr>
            </w:pPr>
            <w:r w:rsidRPr="004C3E68">
              <w:rPr>
                <w:rFonts w:eastAsiaTheme="minorEastAsia" w:cs="Calibri"/>
                <w:b/>
                <w:bCs/>
                <w:color w:val="000000"/>
                <w:szCs w:val="20"/>
              </w:rPr>
              <w:t xml:space="preserve">Employment </w:t>
            </w:r>
            <w:r w:rsidRPr="004C3E68">
              <w:rPr>
                <w:rFonts w:eastAsiaTheme="minorEastAsia" w:cs="Calibri"/>
                <w:b/>
                <w:bCs/>
                <w:color w:val="000000"/>
                <w:szCs w:val="20"/>
                <w:vertAlign w:val="superscript"/>
              </w:rPr>
              <w:t>(</w:t>
            </w:r>
            <w:r>
              <w:rPr>
                <w:rFonts w:eastAsiaTheme="minorEastAsia" w:cs="Calibri"/>
                <w:b/>
                <w:bCs/>
                <w:color w:val="000000"/>
                <w:szCs w:val="20"/>
                <w:vertAlign w:val="superscript"/>
              </w:rPr>
              <w:t>g</w:t>
            </w:r>
            <w:r w:rsidRPr="004C3E68">
              <w:rPr>
                <w:rFonts w:eastAsiaTheme="minorEastAsia" w:cs="Calibri"/>
                <w:b/>
                <w:bCs/>
                <w:color w:val="000000"/>
                <w:szCs w:val="20"/>
                <w:vertAlign w:val="superscript"/>
              </w:rPr>
              <w:t>)</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53</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69</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66</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69</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(4)</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(7)</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(10)</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54</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73</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73</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79</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(54)</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(128)</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(200)</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(279)</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vertAlign w:val="superscript"/>
              </w:rPr>
            </w:pPr>
            <w:r w:rsidRPr="004C3E68">
              <w:rPr>
                <w:rFonts w:eastAsiaTheme="minorEastAsia" w:cs="Calibri"/>
                <w:b/>
                <w:bCs/>
                <w:color w:val="000000"/>
                <w:szCs w:val="20"/>
              </w:rPr>
              <w:t xml:space="preserve">Consumer prices </w:t>
            </w:r>
            <w:r w:rsidRPr="004C3E68">
              <w:rPr>
                <w:rFonts w:eastAsiaTheme="minorEastAsia" w:cs="Calibri"/>
                <w:b/>
                <w:bCs/>
                <w:color w:val="000000"/>
                <w:szCs w:val="20"/>
                <w:vertAlign w:val="superscript"/>
              </w:rPr>
              <w:t>(</w:t>
            </w:r>
            <w:r>
              <w:rPr>
                <w:rFonts w:eastAsiaTheme="minorEastAsia" w:cs="Calibri"/>
                <w:b/>
                <w:bCs/>
                <w:color w:val="000000"/>
                <w:szCs w:val="20"/>
                <w:vertAlign w:val="superscript"/>
              </w:rPr>
              <w:t>h</w:t>
            </w:r>
            <w:r w:rsidRPr="004C3E68">
              <w:rPr>
                <w:rFonts w:eastAsiaTheme="minorEastAsia" w:cs="Calibri"/>
                <w:b/>
                <w:bCs/>
                <w:color w:val="000000"/>
                <w:szCs w:val="20"/>
                <w:vertAlign w:val="superscript"/>
              </w:rPr>
              <w:t>)</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341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335</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287</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304</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72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72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65</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56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269</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263</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222</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249</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(270)</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(542)</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(771)</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Pr>
                <w:rFonts w:eastAsiaTheme="minorEastAsia" w:cs="Calibri"/>
                <w:b/>
                <w:bCs/>
                <w:color w:val="000000"/>
                <w:szCs w:val="20"/>
              </w:rPr>
              <w:t>(1 026)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 xml:space="preserve">Average weekly earnings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80</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69</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(18)</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8</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5</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4</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5</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72</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64</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(22)</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(72)</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(137)</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(135)</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(113)</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vertAlign w:val="superscript"/>
              </w:rPr>
            </w:pPr>
            <w:r w:rsidRPr="004C3E68">
              <w:rPr>
                <w:rFonts w:eastAsiaTheme="minorEastAsia" w:cs="Calibri"/>
                <w:b/>
                <w:bCs/>
                <w:color w:val="000000"/>
                <w:szCs w:val="20"/>
              </w:rPr>
              <w:t xml:space="preserve">Total employee expenses </w:t>
            </w:r>
            <w:r>
              <w:rPr>
                <w:rFonts w:eastAsiaTheme="minorEastAsia" w:cs="Calibri"/>
                <w:b/>
                <w:bCs/>
                <w:color w:val="000000"/>
                <w:szCs w:val="20"/>
                <w:vertAlign w:val="superscript"/>
              </w:rPr>
              <w:t>(</w:t>
            </w:r>
            <w:proofErr w:type="spellStart"/>
            <w:r>
              <w:rPr>
                <w:rFonts w:eastAsiaTheme="minorEastAsia" w:cs="Calibri"/>
                <w:b/>
                <w:bCs/>
                <w:color w:val="000000"/>
                <w:szCs w:val="20"/>
                <w:vertAlign w:val="superscript"/>
              </w:rPr>
              <w:t>i</w:t>
            </w:r>
            <w:proofErr w:type="spellEnd"/>
            <w:r w:rsidRPr="004C3E68">
              <w:rPr>
                <w:rFonts w:eastAsiaTheme="minorEastAsia" w:cs="Calibri"/>
                <w:b/>
                <w:bCs/>
                <w:color w:val="000000"/>
                <w:szCs w:val="20"/>
                <w:vertAlign w:val="superscript"/>
              </w:rPr>
              <w:t>)</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33</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34</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34</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231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277</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300</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317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(198)</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(245)</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(266)</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(283)</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198</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430</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683</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952</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 xml:space="preserve">Domestic share prices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3</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3</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3</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(4)</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 xml:space="preserve">Overseas share prices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4</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8</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8</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(13)</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vertAlign w:val="superscript"/>
              </w:rPr>
            </w:pPr>
            <w:r w:rsidRPr="004C3E68">
              <w:rPr>
                <w:rFonts w:eastAsiaTheme="minorEastAsia" w:cs="Calibri"/>
                <w:b/>
                <w:bCs/>
                <w:color w:val="000000"/>
                <w:szCs w:val="20"/>
              </w:rPr>
              <w:t xml:space="preserve">Property prices </w:t>
            </w:r>
            <w:r w:rsidRPr="004C3E68">
              <w:rPr>
                <w:rFonts w:eastAsiaTheme="minorEastAsia" w:cs="Calibri"/>
                <w:b/>
                <w:bCs/>
                <w:color w:val="000000"/>
                <w:szCs w:val="20"/>
                <w:vertAlign w:val="superscript"/>
              </w:rPr>
              <w:t>(</w:t>
            </w:r>
            <w:r>
              <w:rPr>
                <w:rFonts w:eastAsiaTheme="minorEastAsia" w:cs="Calibri"/>
                <w:b/>
                <w:bCs/>
                <w:color w:val="000000"/>
                <w:szCs w:val="20"/>
                <w:vertAlign w:val="superscript"/>
              </w:rPr>
              <w:t>j</w:t>
            </w:r>
            <w:r w:rsidRPr="004C3E68">
              <w:rPr>
                <w:rFonts w:eastAsiaTheme="minorEastAsia" w:cs="Calibri"/>
                <w:b/>
                <w:bCs/>
                <w:color w:val="000000"/>
                <w:szCs w:val="20"/>
                <w:vertAlign w:val="superscript"/>
              </w:rPr>
              <w:t>)</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102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104</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112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116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(3)</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(8)</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105</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112</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124</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133</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(108)</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(223)</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(351)</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(487)</w:t>
            </w:r>
          </w:p>
        </w:tc>
      </w:tr>
    </w:tbl>
    <w:p w:rsidR="00566E9A" w:rsidRPr="00D23DB4" w:rsidRDefault="00566E9A" w:rsidP="00AE5760">
      <w:pPr>
        <w:pStyle w:val="Tableheadingcontinued"/>
        <w:spacing w:before="0"/>
      </w:pPr>
      <w:r>
        <w:lastRenderedPageBreak/>
        <w:t>Table D.</w:t>
      </w:r>
      <w:r w:rsidRPr="006D0251">
        <w:t>1</w:t>
      </w:r>
      <w:r>
        <w:t>:</w:t>
      </w:r>
      <w:r>
        <w:tab/>
      </w:r>
      <w:r w:rsidRPr="00FA77F3">
        <w:t xml:space="preserve">Sensitivity of key </w:t>
      </w:r>
      <w:r w:rsidRPr="002B36D5">
        <w:t>fiscal</w:t>
      </w:r>
      <w:r w:rsidRPr="00FA77F3">
        <w:t xml:space="preserve"> aggregates to selected indicators being 1</w:t>
      </w:r>
      <w:r>
        <w:t> per cent</w:t>
      </w:r>
      <w:r w:rsidRPr="00FA77F3">
        <w:t xml:space="preserve"> higher </w:t>
      </w:r>
      <w:r w:rsidRPr="00CD66A9">
        <w:t>than</w:t>
      </w:r>
      <w:r>
        <w:t xml:space="preserve"> expected from 2016</w:t>
      </w:r>
      <w:r>
        <w:noBreakHyphen/>
        <w:t>1</w:t>
      </w:r>
      <w:r w:rsidRPr="004C3E68">
        <w:rPr>
          <w:i/>
        </w:rPr>
        <w:t>7 (continued)</w:t>
      </w:r>
    </w:p>
    <w:p w:rsidR="00566E9A" w:rsidRDefault="00566E9A" w:rsidP="00AE5760">
      <w:pPr>
        <w:pStyle w:val="million"/>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566E9A" w:rsidRPr="004C3E68" w:rsidTr="00AE5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rPr>
                <w:rFonts w:eastAsiaTheme="minorEastAsia" w:cs="Calibri"/>
                <w:color w:val="FFFFFF"/>
                <w:szCs w:val="20"/>
              </w:rPr>
            </w:pPr>
            <w:r w:rsidRPr="004C3E68">
              <w:rPr>
                <w:rFonts w:eastAsiaTheme="minorEastAsia" w:cs="Calibri"/>
                <w:color w:val="FFFFFF"/>
                <w:szCs w:val="20"/>
              </w:rPr>
              <w:t xml:space="preserve"> </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2016-17 estimate</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2017-18 estimate</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2018-19 estimate</w:t>
            </w:r>
          </w:p>
        </w:tc>
        <w:tc>
          <w:tcPr>
            <w:tcW w:w="850" w:type="dxa"/>
            <w:tcBorders>
              <w:top w:val="single" w:sz="6" w:space="0" w:color="auto"/>
              <w:left w:val="nil"/>
              <w:bottom w:val="single" w:sz="6" w:space="0" w:color="auto"/>
              <w:right w:val="nil"/>
            </w:tcBorders>
            <w:shd w:val="solid" w:color="000000" w:fill="auto"/>
          </w:tcPr>
          <w:p w:rsidR="00566E9A" w:rsidRPr="004C3E68" w:rsidRDefault="00566E9A"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4C3E68">
              <w:rPr>
                <w:rFonts w:eastAsiaTheme="minorEastAsia" w:cs="Calibri"/>
                <w:iCs/>
                <w:color w:val="FFFFFF"/>
                <w:szCs w:val="20"/>
              </w:rPr>
              <w:t>2019-20 estimate</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Property volumes</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59</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61</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63</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67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(4)</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(7)</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(10)</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61</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65</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70</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77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(61)</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(126)</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(196)</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(273)</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b/>
                <w:bCs/>
                <w:color w:val="000000"/>
                <w:szCs w:val="20"/>
                <w:vertAlign w:val="superscript"/>
              </w:rPr>
            </w:pPr>
            <w:r w:rsidRPr="004C3E68">
              <w:rPr>
                <w:rFonts w:eastAsiaTheme="minorEastAsia" w:cs="Calibri"/>
                <w:b/>
                <w:bCs/>
                <w:color w:val="000000"/>
                <w:szCs w:val="20"/>
              </w:rPr>
              <w:t xml:space="preserve">Interest rates </w:t>
            </w:r>
            <w:r w:rsidRPr="004C3E68">
              <w:rPr>
                <w:rFonts w:eastAsiaTheme="minorEastAsia" w:cs="Calibri"/>
                <w:b/>
                <w:bCs/>
                <w:color w:val="000000"/>
                <w:szCs w:val="20"/>
                <w:vertAlign w:val="superscript"/>
              </w:rPr>
              <w:t>(</w:t>
            </w:r>
            <w:r>
              <w:rPr>
                <w:rFonts w:eastAsiaTheme="minorEastAsia" w:cs="Calibri"/>
                <w:b/>
                <w:bCs/>
                <w:color w:val="000000"/>
                <w:szCs w:val="20"/>
                <w:vertAlign w:val="superscript"/>
              </w:rPr>
              <w:t>k</w:t>
            </w:r>
            <w:r w:rsidRPr="004C3E68">
              <w:rPr>
                <w:rFonts w:eastAsiaTheme="minorEastAsia" w:cs="Calibri"/>
                <w:b/>
                <w:bCs/>
                <w:color w:val="000000"/>
                <w:szCs w:val="20"/>
                <w:vertAlign w:val="superscript"/>
              </w:rPr>
              <w:t>)</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c>
          <w:tcPr>
            <w:tcW w:w="850" w:type="dxa"/>
            <w:tcBorders>
              <w:top w:val="nil"/>
              <w:left w:val="nil"/>
              <w:bottom w:val="nil"/>
              <w:right w:val="nil"/>
            </w:tcBorders>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 xml:space="preserve"> </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Income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188</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147</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102</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193</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4C3E68" w:rsidRDefault="00566E9A" w:rsidP="00AE5760">
            <w:pPr>
              <w:autoSpaceDE w:val="0"/>
              <w:autoSpaceDN w:val="0"/>
              <w:adjustRightInd w:val="0"/>
              <w:rPr>
                <w:rFonts w:eastAsiaTheme="minorEastAsia" w:cs="Calibri"/>
                <w:color w:val="000000"/>
                <w:szCs w:val="20"/>
              </w:rPr>
            </w:pPr>
            <w:r w:rsidRPr="004C3E68">
              <w:rPr>
                <w:rFonts w:eastAsiaTheme="minorEastAsia" w:cs="Calibri"/>
                <w:color w:val="000000"/>
                <w:szCs w:val="20"/>
              </w:rPr>
              <w:t>Expenses from transactions</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5</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198</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193</w:t>
            </w:r>
          </w:p>
        </w:tc>
        <w:tc>
          <w:tcPr>
            <w:tcW w:w="850" w:type="dxa"/>
            <w:tcBorders>
              <w:top w:val="nil"/>
              <w:left w:val="nil"/>
              <w:bottom w:val="nil"/>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4C3E68">
              <w:rPr>
                <w:rFonts w:eastAsiaTheme="minorEastAsia" w:cs="Calibri"/>
                <w:color w:val="000000"/>
                <w:szCs w:val="20"/>
              </w:rPr>
              <w:t>177</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result from transactions</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183</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(51)</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(91)</w:t>
            </w:r>
          </w:p>
        </w:tc>
        <w:tc>
          <w:tcPr>
            <w:tcW w:w="850" w:type="dxa"/>
            <w:tcBorders>
              <w:top w:val="single" w:sz="6" w:space="0" w:color="auto"/>
              <w:left w:val="nil"/>
              <w:bottom w:val="single" w:sz="6"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16</w:t>
            </w:r>
          </w:p>
        </w:tc>
      </w:tr>
      <w:tr w:rsidR="00566E9A" w:rsidRPr="004C3E68" w:rsidTr="00AE5760">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566E9A" w:rsidRPr="004C3E68" w:rsidRDefault="00566E9A" w:rsidP="00AE5760">
            <w:pPr>
              <w:autoSpaceDE w:val="0"/>
              <w:autoSpaceDN w:val="0"/>
              <w:adjustRightInd w:val="0"/>
              <w:rPr>
                <w:rFonts w:eastAsiaTheme="minorEastAsia" w:cs="Calibri"/>
                <w:b/>
                <w:bCs/>
                <w:color w:val="000000"/>
                <w:szCs w:val="20"/>
              </w:rPr>
            </w:pPr>
            <w:r w:rsidRPr="004C3E68">
              <w:rPr>
                <w:rFonts w:eastAsiaTheme="minorEastAsia" w:cs="Calibri"/>
                <w:b/>
                <w:bCs/>
                <w:color w:val="000000"/>
                <w:szCs w:val="20"/>
              </w:rPr>
              <w:t>Net debt</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(183)</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(332)</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(440)</w:t>
            </w:r>
          </w:p>
        </w:tc>
        <w:tc>
          <w:tcPr>
            <w:tcW w:w="850" w:type="dxa"/>
            <w:tcBorders>
              <w:top w:val="single" w:sz="6" w:space="0" w:color="auto"/>
              <w:left w:val="nil"/>
              <w:bottom w:val="single" w:sz="12" w:space="0" w:color="auto"/>
              <w:right w:val="nil"/>
            </w:tcBorders>
            <w:shd w:val="solid" w:color="FFFFFF" w:fill="auto"/>
          </w:tcPr>
          <w:p w:rsidR="00566E9A" w:rsidRPr="004C3E68"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4C3E68">
              <w:rPr>
                <w:rFonts w:eastAsiaTheme="minorEastAsia" w:cs="Calibri"/>
                <w:b/>
                <w:bCs/>
                <w:color w:val="000000"/>
                <w:szCs w:val="20"/>
              </w:rPr>
              <w:t>(644)</w:t>
            </w:r>
          </w:p>
        </w:tc>
      </w:tr>
    </w:tbl>
    <w:p w:rsidR="00566E9A" w:rsidRDefault="00566E9A" w:rsidP="00AE5760">
      <w:pPr>
        <w:pStyle w:val="Source"/>
      </w:pPr>
      <w:r>
        <w:t xml:space="preserve">Source: Department of Treasury and </w:t>
      </w:r>
      <w:r w:rsidRPr="00A27A3E">
        <w:t>Finance</w:t>
      </w:r>
    </w:p>
    <w:p w:rsidR="00566E9A" w:rsidRDefault="00566E9A" w:rsidP="00AE5760">
      <w:pPr>
        <w:pStyle w:val="Notes"/>
      </w:pPr>
      <w:r>
        <w:t>Notes:</w:t>
      </w:r>
    </w:p>
    <w:p w:rsidR="00566E9A" w:rsidRDefault="00566E9A" w:rsidP="00AE5760">
      <w:pPr>
        <w:pStyle w:val="Notes"/>
      </w:pPr>
      <w:r>
        <w:t>(a)</w:t>
      </w:r>
      <w:r>
        <w:tab/>
        <w:t xml:space="preserve">For the </w:t>
      </w:r>
      <w:r>
        <w:rPr>
          <w:i w:val="0"/>
        </w:rPr>
        <w:t>2016</w:t>
      </w:r>
      <w:r>
        <w:rPr>
          <w:i w:val="0"/>
        </w:rPr>
        <w:noBreakHyphen/>
        <w:t>17 Budget</w:t>
      </w:r>
      <w:r>
        <w:t>, the Department of Treasury and Finance reviewed the methodology for generating the sensitivity analysis. This resulted in identification of superannuation expense movements which flow through to net debt in more detail, consequently affecting the calculation of the net debt sensitivities to interest rates, consumer prices, employee expenses, domestic and overseas share prices, and property prices.</w:t>
      </w:r>
    </w:p>
    <w:p w:rsidR="00566E9A" w:rsidRPr="00D2756D" w:rsidRDefault="00566E9A" w:rsidP="00AE5760">
      <w:pPr>
        <w:pStyle w:val="Notes"/>
      </w:pPr>
      <w:r>
        <w:t>(b)</w:t>
      </w:r>
      <w:r>
        <w:tab/>
      </w:r>
      <w:r w:rsidRPr="00D2756D">
        <w:t>Variations are applied to the economic variabl</w:t>
      </w:r>
      <w:r>
        <w:t>es in the budget year. For the forward estimates</w:t>
      </w:r>
      <w:r w:rsidRPr="00D2756D">
        <w:t xml:space="preserve"> it is assumed that variables</w:t>
      </w:r>
      <w:r>
        <w:t>’</w:t>
      </w:r>
      <w:r w:rsidRPr="00D2756D">
        <w:t xml:space="preserve"> growth rates match those under a no</w:t>
      </w:r>
      <w:r>
        <w:noBreakHyphen/>
      </w:r>
      <w:r w:rsidRPr="00D2756D">
        <w:t>variation scenario. This implies that economic variables are 1</w:t>
      </w:r>
      <w:r>
        <w:t> per cent</w:t>
      </w:r>
      <w:r w:rsidRPr="00D2756D">
        <w:t xml:space="preserve"> higher</w:t>
      </w:r>
      <w:r>
        <w:t xml:space="preserve"> </w:t>
      </w:r>
      <w:r w:rsidRPr="00D2756D">
        <w:t>across the budget and forward years compared with a no</w:t>
      </w:r>
      <w:r>
        <w:noBreakHyphen/>
      </w:r>
      <w:r w:rsidRPr="00D2756D">
        <w:t>variation scenario.</w:t>
      </w:r>
    </w:p>
    <w:p w:rsidR="00566E9A" w:rsidRPr="00F062A9" w:rsidRDefault="00566E9A" w:rsidP="00AE5760">
      <w:pPr>
        <w:pStyle w:val="Notes"/>
      </w:pPr>
      <w:r>
        <w:t>(c)</w:t>
      </w:r>
      <w:r>
        <w:tab/>
      </w:r>
      <w:r w:rsidRPr="00D2756D">
        <w:t xml:space="preserve">A positive number for income from transactions denotes an increase in revenue. A positive number for expenses from transactions denotes an increase in expenses (and hence a reduction in the net result from </w:t>
      </w:r>
      <w:r>
        <w:t>transactions and net result). A </w:t>
      </w:r>
      <w:r w:rsidRPr="00D2756D">
        <w:t>positive number for other economic flows represents a gain. A positive number for the net result from transactions and net result</w:t>
      </w:r>
      <w:r>
        <w:t xml:space="preserve"> denotes a higher surplus or small</w:t>
      </w:r>
      <w:r w:rsidRPr="00D2756D">
        <w:t>er deficit. A positive number for net debt denotes a higher level of net</w:t>
      </w:r>
      <w:r>
        <w:t xml:space="preserve"> </w:t>
      </w:r>
      <w:r w:rsidRPr="00D2756D">
        <w:t xml:space="preserve">debt in the </w:t>
      </w:r>
      <w:r w:rsidRPr="00F062A9">
        <w:t>relevant year compared with a no</w:t>
      </w:r>
      <w:r>
        <w:noBreakHyphen/>
      </w:r>
      <w:r w:rsidRPr="00F062A9">
        <w:t>variation scenario. Numbers may not balance due to rounding.</w:t>
      </w:r>
    </w:p>
    <w:p w:rsidR="00566E9A" w:rsidRPr="00F062A9" w:rsidRDefault="00566E9A" w:rsidP="00AE5760">
      <w:pPr>
        <w:pStyle w:val="Notes"/>
      </w:pPr>
      <w:r w:rsidRPr="00F062A9">
        <w:t>(</w:t>
      </w:r>
      <w:r>
        <w:t>d</w:t>
      </w:r>
      <w:r w:rsidRPr="00F062A9">
        <w:t>)</w:t>
      </w:r>
      <w:r w:rsidRPr="00F062A9">
        <w:tab/>
        <w:t>The impact of a 1</w:t>
      </w:r>
      <w:r>
        <w:t> per cent</w:t>
      </w:r>
      <w:r w:rsidRPr="00F062A9">
        <w:t xml:space="preserve"> lower than expected outcome for an economic variable would, in most instances, simply be the opposite of the impact shown in the table.</w:t>
      </w:r>
    </w:p>
    <w:p w:rsidR="00566E9A" w:rsidRPr="00F062A9" w:rsidRDefault="00566E9A" w:rsidP="00AE5760">
      <w:pPr>
        <w:pStyle w:val="Notes"/>
      </w:pPr>
      <w:r>
        <w:t>(e</w:t>
      </w:r>
      <w:r w:rsidRPr="00F062A9">
        <w:t>)</w:t>
      </w:r>
      <w:r w:rsidRPr="00F062A9">
        <w:tab/>
        <w:t>Only reasonably quantifiable impacts have been included in the analysis.</w:t>
      </w:r>
    </w:p>
    <w:p w:rsidR="00566E9A" w:rsidRDefault="00566E9A" w:rsidP="00AE5760">
      <w:pPr>
        <w:pStyle w:val="Notes"/>
      </w:pPr>
      <w:r w:rsidRPr="00F062A9">
        <w:t>(</w:t>
      </w:r>
      <w:r>
        <w:t>f</w:t>
      </w:r>
      <w:r w:rsidRPr="00F062A9">
        <w:t>)</w:t>
      </w:r>
      <w:r w:rsidRPr="00F062A9">
        <w:tab/>
      </w:r>
      <w:r>
        <w:t>Estimates of net debt are approximately equal to the cumulative impact of the net result. The difference between the cumulative net result from transactions and net debt is due to non</w:t>
      </w:r>
      <w:r>
        <w:noBreakHyphen/>
        <w:t>cash expenses and gross sale proceeds (where applicable).</w:t>
      </w:r>
    </w:p>
    <w:p w:rsidR="00566E9A" w:rsidRPr="00F062A9" w:rsidRDefault="00566E9A" w:rsidP="00AE5760">
      <w:pPr>
        <w:pStyle w:val="Notes"/>
      </w:pPr>
      <w:r>
        <w:t>(g)</w:t>
      </w:r>
      <w:r>
        <w:tab/>
      </w:r>
      <w:r w:rsidRPr="00854F24">
        <w:t>A shock to employment is assumed to impact payroll tax revenue to an extent consistent with</w:t>
      </w:r>
      <w:r>
        <w:t xml:space="preserve"> no change to</w:t>
      </w:r>
      <w:r w:rsidRPr="00854F24">
        <w:t xml:space="preserve"> historical relationships between total employment, part</w:t>
      </w:r>
      <w:r>
        <w:noBreakHyphen/>
      </w:r>
      <w:r w:rsidRPr="00854F24">
        <w:t>time/full</w:t>
      </w:r>
      <w:r>
        <w:noBreakHyphen/>
      </w:r>
      <w:r w:rsidRPr="00854F24">
        <w:t>time employment shares, and payroll tax revenue.</w:t>
      </w:r>
    </w:p>
    <w:p w:rsidR="00566E9A" w:rsidRDefault="00566E9A" w:rsidP="00AE5760">
      <w:pPr>
        <w:pStyle w:val="Notes"/>
      </w:pPr>
      <w:r w:rsidRPr="00F062A9">
        <w:t>(</w:t>
      </w:r>
      <w:r>
        <w:t>h</w:t>
      </w:r>
      <w:r w:rsidRPr="00F062A9">
        <w:t>)</w:t>
      </w:r>
      <w:r w:rsidRPr="00F062A9">
        <w:tab/>
        <w:t xml:space="preserve">Incorporates the impact of departmental funding model arrangements. It is assumed that an increase in consumer prices within the budget year does not affect employee entitlements. </w:t>
      </w:r>
    </w:p>
    <w:p w:rsidR="00566E9A" w:rsidRDefault="00566E9A" w:rsidP="00AE5760">
      <w:pPr>
        <w:pStyle w:val="Notes"/>
      </w:pPr>
      <w:r>
        <w:t>(</w:t>
      </w:r>
      <w:proofErr w:type="spellStart"/>
      <w:r>
        <w:t>i</w:t>
      </w:r>
      <w:proofErr w:type="spellEnd"/>
      <w:r>
        <w:t xml:space="preserve">) </w:t>
      </w:r>
      <w:r>
        <w:tab/>
        <w:t>Represents a one</w:t>
      </w:r>
      <w:r>
        <w:noBreakHyphen/>
        <w:t>off 1 per cent</w:t>
      </w:r>
      <w:r w:rsidRPr="00D2756D">
        <w:t xml:space="preserve"> increase in </w:t>
      </w:r>
      <w:r>
        <w:t>total employee expenses relative to a no</w:t>
      </w:r>
      <w:r>
        <w:noBreakHyphen/>
        <w:t xml:space="preserve">variation scenario. This could be generated through a change in the size of the workforce, the price of the workforce (salaries, overtime, allowances and bonuses, long service leave expenses, fringe benefits tax and </w:t>
      </w:r>
      <w:proofErr w:type="spellStart"/>
      <w:r>
        <w:t>WorkSafe</w:t>
      </w:r>
      <w:proofErr w:type="spellEnd"/>
      <w:r>
        <w:t xml:space="preserve"> premiums) or through other management decisions regarding the composition and profile of the workforce.</w:t>
      </w:r>
    </w:p>
    <w:p w:rsidR="00566E9A" w:rsidRDefault="00566E9A" w:rsidP="00AE5760">
      <w:pPr>
        <w:pStyle w:val="Notes"/>
      </w:pPr>
      <w:r>
        <w:t>(j)</w:t>
      </w:r>
      <w:r>
        <w:tab/>
        <w:t>Other economic flows include gross sale proceeds from land and buildings.</w:t>
      </w:r>
    </w:p>
    <w:p w:rsidR="00566E9A" w:rsidRDefault="00566E9A" w:rsidP="00AE5760">
      <w:pPr>
        <w:pStyle w:val="Notes"/>
      </w:pPr>
      <w:r>
        <w:t>(k)</w:t>
      </w:r>
      <w:r>
        <w:tab/>
      </w:r>
      <w:r w:rsidRPr="00F062A9">
        <w:t xml:space="preserve">Assumes interest rates are 1 percentage point higher </w:t>
      </w:r>
      <w:r>
        <w:t>across the entire term structure (</w:t>
      </w:r>
      <w:r w:rsidRPr="00F062A9">
        <w:t>i.e. short and long</w:t>
      </w:r>
      <w:r>
        <w:noBreakHyphen/>
      </w:r>
      <w:r w:rsidRPr="00F062A9">
        <w:t>term rates, over the budget and forward estimates period</w:t>
      </w:r>
      <w:r>
        <w:t>)</w:t>
      </w:r>
      <w:r w:rsidRPr="00F062A9">
        <w:t>.</w:t>
      </w:r>
    </w:p>
    <w:p w:rsidR="00566E9A" w:rsidRDefault="00566E9A" w:rsidP="00AE5760">
      <w:pPr>
        <w:spacing w:after="0"/>
        <w:rPr>
          <w:rFonts w:ascii="Calibri" w:hAnsi="Calibri"/>
          <w:i/>
          <w:sz w:val="20"/>
          <w:szCs w:val="18"/>
        </w:rPr>
      </w:pPr>
      <w:r>
        <w:br w:type="page"/>
      </w:r>
    </w:p>
    <w:p w:rsidR="00566E9A" w:rsidRPr="00F75216" w:rsidRDefault="00566E9A" w:rsidP="00AE5760">
      <w:pPr>
        <w:pStyle w:val="Heading2"/>
      </w:pPr>
      <w:bookmarkStart w:id="69" w:name="BP2SenGSP1"/>
      <w:r>
        <w:lastRenderedPageBreak/>
        <w:t xml:space="preserve">Sensitivity to </w:t>
      </w:r>
      <w:r w:rsidRPr="00A27A3E">
        <w:t>gross</w:t>
      </w:r>
      <w:r>
        <w:t xml:space="preserve"> state product</w:t>
      </w:r>
    </w:p>
    <w:p w:rsidR="00566E9A" w:rsidRDefault="00566E9A" w:rsidP="00AE5760">
      <w:r>
        <w:t xml:space="preserve">Higher than expected GSP is associated with higher household consumption, leading to higher revenue from state taxes and goods and services tax (GST). This increases the net result from transactions and reduces net debt. As net debt is a stock variable, the impact in each year accumulates over the forward estimates. </w:t>
      </w:r>
    </w:p>
    <w:p w:rsidR="00566E9A" w:rsidRDefault="00566E9A" w:rsidP="00AE5760">
      <w:pPr>
        <w:pStyle w:val="Chartheading"/>
        <w:rPr>
          <w:vertAlign w:val="superscript"/>
        </w:rPr>
      </w:pPr>
      <w:r>
        <w:t>Chart D.1:</w:t>
      </w:r>
      <w:r>
        <w:tab/>
        <w:t xml:space="preserve">Sensitivity of key fiscal aggregates to GSP being 1 per cent </w:t>
      </w:r>
      <w:r w:rsidRPr="006D0251">
        <w:t xml:space="preserve">higher </w:t>
      </w:r>
      <w:r>
        <w:t>than expected from 2016</w:t>
      </w:r>
      <w:r>
        <w:noBreakHyphen/>
        <w:t xml:space="preserve">17 </w:t>
      </w:r>
      <w:r w:rsidRPr="00C26C96">
        <w:rPr>
          <w:vertAlign w:val="superscript"/>
        </w:rPr>
        <w:t>(a)</w:t>
      </w:r>
    </w:p>
    <w:p w:rsidR="00566E9A" w:rsidRPr="00481F09" w:rsidRDefault="009E1D64" w:rsidP="00AE5760">
      <w:pPr>
        <w:pStyle w:val="Source"/>
      </w:pPr>
      <w:r>
        <w:pict>
          <v:shape id="_x0000_i1027" type="#_x0000_t75" style="width:395.45pt;height:271.9pt">
            <v:imagedata r:id="rId47" o:title=""/>
          </v:shape>
        </w:pict>
      </w:r>
      <w:r w:rsidR="00566E9A" w:rsidRPr="00481F09">
        <w:t>Source: Department of Treasury and Finance</w:t>
      </w:r>
    </w:p>
    <w:p w:rsidR="00566E9A" w:rsidRPr="00AC3EE5" w:rsidRDefault="00566E9A" w:rsidP="00AE5760">
      <w:pPr>
        <w:pStyle w:val="Notes"/>
      </w:pPr>
      <w:r w:rsidRPr="00AC3EE5">
        <w:t>Note:</w:t>
      </w:r>
    </w:p>
    <w:p w:rsidR="00566E9A" w:rsidRDefault="00566E9A" w:rsidP="00AE5760">
      <w:pPr>
        <w:pStyle w:val="Notes"/>
      </w:pPr>
      <w:r w:rsidRPr="00AC3EE5">
        <w:t>(a)</w:t>
      </w:r>
      <w:r w:rsidRPr="00AC3EE5">
        <w:tab/>
        <w:t xml:space="preserve">See footnotes for Table </w:t>
      </w:r>
      <w:r>
        <w:t>D.</w:t>
      </w:r>
      <w:r w:rsidRPr="00AC3EE5">
        <w:t>1 for detailed description of estimates.</w:t>
      </w:r>
    </w:p>
    <w:bookmarkEnd w:id="69"/>
    <w:p w:rsidR="00566E9A" w:rsidRDefault="00566E9A" w:rsidP="00AE5760">
      <w:pPr>
        <w:spacing w:after="0"/>
        <w:rPr>
          <w:rFonts w:ascii="Calibri" w:hAnsi="Calibri"/>
          <w:sz w:val="20"/>
          <w:szCs w:val="18"/>
        </w:rPr>
      </w:pPr>
      <w:r>
        <w:rPr>
          <w:i/>
        </w:rPr>
        <w:br w:type="page"/>
      </w:r>
    </w:p>
    <w:p w:rsidR="00566E9A" w:rsidRDefault="00566E9A" w:rsidP="00AE5760">
      <w:pPr>
        <w:pStyle w:val="Heading2"/>
      </w:pPr>
      <w:bookmarkStart w:id="70" w:name="BP2SenIntRates1"/>
      <w:r>
        <w:lastRenderedPageBreak/>
        <w:t xml:space="preserve">Sensitivity to interest </w:t>
      </w:r>
      <w:r w:rsidRPr="00A75ED0">
        <w:t>rates</w:t>
      </w:r>
    </w:p>
    <w:p w:rsidR="00566E9A" w:rsidRDefault="00566E9A" w:rsidP="00AE5760">
      <w:r>
        <w:t>An increase in interest rates results in a gain in the valuation of insurance liabilities of state</w:t>
      </w:r>
      <w:r>
        <w:noBreakHyphen/>
        <w:t>owned insurance agencies, partially offset by a loss on the valuation of investment assets.</w:t>
      </w:r>
    </w:p>
    <w:p w:rsidR="00566E9A" w:rsidRDefault="00566E9A" w:rsidP="00AE5760">
      <w:r>
        <w:t>As dividends of the State’s insurance agencies are based on performance from insurance operations, which excludes the initial impact of discount rate movements, the increase in interest rates will have little direct impact on dividends in the budget year. As income tax equivalents (ITEs) of the insurance agencies are assessed on profit before tax, which includes the impact of interest rates on liability and asset values, an increase in interest rates will increase ITEs.</w:t>
      </w:r>
    </w:p>
    <w:p w:rsidR="00566E9A" w:rsidRDefault="00566E9A" w:rsidP="00AE5760">
      <w:r>
        <w:t>Higher borrowing costs lead to reduced net results of public non</w:t>
      </w:r>
      <w:r>
        <w:noBreakHyphen/>
        <w:t xml:space="preserve">financial corporations, lowering dividends and ITEs payable to the State. </w:t>
      </w:r>
    </w:p>
    <w:p w:rsidR="00566E9A" w:rsidRDefault="00566E9A" w:rsidP="00AE5760">
      <w:bookmarkStart w:id="71" w:name="BP2SuperExp1"/>
      <w:r>
        <w:t>An increase in interest rates also increases the superannuation expense and borrowing cost of the general government sector over the forward estimates. The increase in the superannuation expense that is associated with an increase in interest rates is a non</w:t>
      </w:r>
      <w:r>
        <w:noBreakHyphen/>
        <w:t>cash item, therefore it does not have an impact on net debt.</w:t>
      </w:r>
    </w:p>
    <w:p w:rsidR="00566E9A" w:rsidRDefault="00566E9A" w:rsidP="00AE5760">
      <w:r>
        <w:t>The combined effect of these influences produces the profile shown in Chart D.2.</w:t>
      </w:r>
    </w:p>
    <w:p w:rsidR="00566E9A" w:rsidRDefault="00566E9A" w:rsidP="00AE5760">
      <w:pPr>
        <w:pStyle w:val="Chartheading"/>
        <w:spacing w:before="120"/>
        <w:ind w:left="1151" w:hanging="1151"/>
        <w:rPr>
          <w:vertAlign w:val="superscript"/>
        </w:rPr>
      </w:pPr>
      <w:r>
        <w:t>Chart D.2</w:t>
      </w:r>
      <w:r w:rsidRPr="00001CC4">
        <w:t>:</w:t>
      </w:r>
      <w:r w:rsidRPr="00001CC4">
        <w:tab/>
        <w:t xml:space="preserve">Sensitivity of key fiscal aggregates to </w:t>
      </w:r>
      <w:r>
        <w:t xml:space="preserve">interest rates </w:t>
      </w:r>
      <w:r w:rsidRPr="00001CC4">
        <w:t>being 1</w:t>
      </w:r>
      <w:r>
        <w:t> percentage</w:t>
      </w:r>
      <w:r w:rsidRPr="00001CC4">
        <w:t xml:space="preserve"> </w:t>
      </w:r>
      <w:r>
        <w:t xml:space="preserve">point </w:t>
      </w:r>
      <w:r w:rsidRPr="00001CC4">
        <w:t>higher than expected from 201</w:t>
      </w:r>
      <w:r>
        <w:t>6</w:t>
      </w:r>
      <w:r>
        <w:noBreakHyphen/>
      </w:r>
      <w:r w:rsidRPr="00001CC4">
        <w:t>1</w:t>
      </w:r>
      <w:r>
        <w:t xml:space="preserve">7 </w:t>
      </w:r>
      <w:r w:rsidRPr="00C26C96">
        <w:rPr>
          <w:vertAlign w:val="superscript"/>
        </w:rPr>
        <w:t>(a)</w:t>
      </w:r>
    </w:p>
    <w:p w:rsidR="00566E9A" w:rsidRPr="0058480F" w:rsidRDefault="009E1D64" w:rsidP="00AE5760">
      <w:pPr>
        <w:rPr>
          <w:i/>
        </w:rPr>
      </w:pPr>
      <w:r>
        <w:pict>
          <v:shape id="_x0000_i1028" type="#_x0000_t75" style="width:397.6pt;height:276.2pt">
            <v:imagedata r:id="rId48" o:title=""/>
          </v:shape>
        </w:pict>
      </w:r>
      <w:r w:rsidR="00566E9A" w:rsidRPr="0058480F">
        <w:rPr>
          <w:rStyle w:val="SourceChar"/>
        </w:rPr>
        <w:t>Source: Department of Treasury and Finance</w:t>
      </w:r>
    </w:p>
    <w:p w:rsidR="00566E9A" w:rsidRPr="00AC3EE5" w:rsidRDefault="00566E9A" w:rsidP="00AE5760">
      <w:pPr>
        <w:pStyle w:val="Notes"/>
      </w:pPr>
      <w:r w:rsidRPr="00AC3EE5">
        <w:t>Note:</w:t>
      </w:r>
    </w:p>
    <w:p w:rsidR="00566E9A" w:rsidRDefault="00566E9A" w:rsidP="00AE5760">
      <w:pPr>
        <w:pStyle w:val="Notes"/>
      </w:pPr>
      <w:r w:rsidRPr="00AC3EE5">
        <w:t>(a)</w:t>
      </w:r>
      <w:r w:rsidRPr="00AC3EE5">
        <w:tab/>
        <w:t xml:space="preserve">See footnotes for Table </w:t>
      </w:r>
      <w:r>
        <w:t>D.</w:t>
      </w:r>
      <w:r w:rsidRPr="00AC3EE5">
        <w:t>1 for detailed description of estimates.</w:t>
      </w:r>
    </w:p>
    <w:p w:rsidR="00566E9A" w:rsidRDefault="00566E9A" w:rsidP="00AE5760">
      <w:pPr>
        <w:pStyle w:val="Heading2"/>
      </w:pPr>
      <w:bookmarkStart w:id="72" w:name="BP2SenConSumPrice1"/>
      <w:bookmarkEnd w:id="70"/>
      <w:r>
        <w:lastRenderedPageBreak/>
        <w:t xml:space="preserve">Sensitivity to </w:t>
      </w:r>
      <w:r w:rsidRPr="00A75ED0">
        <w:t>consumer</w:t>
      </w:r>
      <w:r>
        <w:t xml:space="preserve"> prices</w:t>
      </w:r>
    </w:p>
    <w:p w:rsidR="00566E9A" w:rsidRDefault="00566E9A" w:rsidP="00AE5760">
      <w:r>
        <w:t>Higher consumer prices lead to higher taxation revenue, as the nominal values of tax bases increase. Dividends and ITEs from the State’s insurance agencies are reduced, mainly due to higher claims expenses.</w:t>
      </w:r>
    </w:p>
    <w:p w:rsidR="00566E9A" w:rsidRDefault="00566E9A" w:rsidP="00AE5760">
      <w:r>
        <w:t>Government expenses are affected through the higher cost of supplies and services and some increases in outlays on grants and transfers. Reflecting the operation of departmental funding arrangements, the impact of higher prices is limited as only a portion of department funding is automatically indexed to inflation. An increase in consumer prices also increases the superannuation expense over the forward estimates.</w:t>
      </w:r>
      <w:r w:rsidRPr="00A47B97">
        <w:t xml:space="preserve"> </w:t>
      </w:r>
      <w:r>
        <w:t>Overall, there is a positive impact on the net result from transactions and a cumulative reduction in net debt over the budget and forward estimates.</w:t>
      </w:r>
    </w:p>
    <w:bookmarkEnd w:id="71"/>
    <w:p w:rsidR="00566E9A" w:rsidRPr="00C26C96" w:rsidRDefault="00566E9A" w:rsidP="00AE5760">
      <w:pPr>
        <w:pStyle w:val="Chartheading"/>
        <w:rPr>
          <w:vertAlign w:val="superscript"/>
        </w:rPr>
      </w:pPr>
      <w:r>
        <w:t>Chart D.3:</w:t>
      </w:r>
      <w:r>
        <w:tab/>
        <w:t xml:space="preserve">Sensitivity of key fiscal aggregates to consumer prices being 1 per cent </w:t>
      </w:r>
      <w:r w:rsidRPr="00412AAF">
        <w:t xml:space="preserve">higher </w:t>
      </w:r>
      <w:r>
        <w:t>than expected from 2016</w:t>
      </w:r>
      <w:r>
        <w:noBreakHyphen/>
        <w:t xml:space="preserve">17 </w:t>
      </w:r>
      <w:r>
        <w:rPr>
          <w:vertAlign w:val="superscript"/>
        </w:rPr>
        <w:t>(a)</w:t>
      </w:r>
    </w:p>
    <w:p w:rsidR="00566E9A" w:rsidRPr="00A75ED0" w:rsidRDefault="009E1D64" w:rsidP="00AE5760">
      <w:pPr>
        <w:pStyle w:val="Source"/>
      </w:pPr>
      <w:r>
        <w:pict>
          <v:shape id="_x0000_i1029" type="#_x0000_t75" style="width:395.45pt;height:270.8pt">
            <v:imagedata r:id="rId49" o:title=""/>
          </v:shape>
        </w:pict>
      </w:r>
      <w:r w:rsidR="00566E9A">
        <w:t>Source: Department of Treasury and Finance</w:t>
      </w:r>
    </w:p>
    <w:p w:rsidR="00566E9A" w:rsidRPr="00F062A9" w:rsidRDefault="00566E9A" w:rsidP="00AE5760">
      <w:pPr>
        <w:pStyle w:val="Notes"/>
      </w:pPr>
      <w:r w:rsidRPr="00A75ED0">
        <w:t>Note:</w:t>
      </w:r>
    </w:p>
    <w:p w:rsidR="00566E9A" w:rsidRDefault="00566E9A" w:rsidP="00AE5760">
      <w:pPr>
        <w:pStyle w:val="Notes"/>
      </w:pPr>
      <w:r>
        <w:t>(a)</w:t>
      </w:r>
      <w:r>
        <w:tab/>
        <w:t>See footnotes for Table D.</w:t>
      </w:r>
      <w:r w:rsidRPr="00A75ED0">
        <w:t>1 for detailed description of estimates.</w:t>
      </w:r>
    </w:p>
    <w:bookmarkEnd w:id="72"/>
    <w:p w:rsidR="00566E9A" w:rsidRDefault="00566E9A" w:rsidP="00AE5760">
      <w:pPr>
        <w:spacing w:after="0"/>
        <w:rPr>
          <w:rFonts w:ascii="Calibri" w:hAnsi="Calibri"/>
          <w:sz w:val="20"/>
          <w:szCs w:val="18"/>
        </w:rPr>
      </w:pPr>
      <w:r>
        <w:rPr>
          <w:rFonts w:ascii="Calibri" w:hAnsi="Calibri"/>
          <w:sz w:val="20"/>
          <w:szCs w:val="18"/>
        </w:rPr>
        <w:br w:type="page"/>
      </w:r>
    </w:p>
    <w:p w:rsidR="00566E9A" w:rsidRDefault="00566E9A" w:rsidP="00AE5760">
      <w:pPr>
        <w:pStyle w:val="Heading2"/>
      </w:pPr>
      <w:bookmarkStart w:id="73" w:name="BP2SenEmploy1"/>
      <w:r w:rsidRPr="00A75ED0">
        <w:lastRenderedPageBreak/>
        <w:t>Sensitivity</w:t>
      </w:r>
      <w:r>
        <w:t xml:space="preserve"> to employment</w:t>
      </w:r>
    </w:p>
    <w:p w:rsidR="00566E9A" w:rsidRDefault="00566E9A" w:rsidP="00AE5760">
      <w:r>
        <w:t xml:space="preserve">Higher than expected employment results in additional payroll tax revenue. An increase in the remuneration base also generates additional revenue from higher premiums for </w:t>
      </w:r>
      <w:proofErr w:type="spellStart"/>
      <w:r>
        <w:t>WorkSafe</w:t>
      </w:r>
      <w:proofErr w:type="spellEnd"/>
      <w:r>
        <w:t xml:space="preserve"> Victoria. This leads to higher ITEs for the State. These impacts increase the net result from transactions and cumulatively reduce net debt.</w:t>
      </w:r>
    </w:p>
    <w:p w:rsidR="00566E9A" w:rsidRDefault="00566E9A" w:rsidP="00AE5760">
      <w:pPr>
        <w:pStyle w:val="Chartheading"/>
        <w:rPr>
          <w:vertAlign w:val="superscript"/>
        </w:rPr>
      </w:pPr>
      <w:r w:rsidRPr="00001CC4">
        <w:t xml:space="preserve">Chart </w:t>
      </w:r>
      <w:r>
        <w:t>D.4</w:t>
      </w:r>
      <w:r w:rsidRPr="00001CC4">
        <w:t>:</w:t>
      </w:r>
      <w:r w:rsidRPr="00001CC4">
        <w:tab/>
      </w:r>
      <w:r w:rsidRPr="00A75ED0">
        <w:t>Sensitivity</w:t>
      </w:r>
      <w:r w:rsidRPr="00001CC4">
        <w:t xml:space="preserve"> of key fiscal aggregates to </w:t>
      </w:r>
      <w:r>
        <w:t xml:space="preserve">employment </w:t>
      </w:r>
      <w:r w:rsidRPr="00001CC4">
        <w:t>being 1</w:t>
      </w:r>
      <w:r>
        <w:t> per cent</w:t>
      </w:r>
      <w:r w:rsidRPr="00001CC4">
        <w:t xml:space="preserve"> higher than expected from 201</w:t>
      </w:r>
      <w:r>
        <w:t>6</w:t>
      </w:r>
      <w:r>
        <w:noBreakHyphen/>
      </w:r>
      <w:r w:rsidRPr="00001CC4">
        <w:t>1</w:t>
      </w:r>
      <w:r>
        <w:t xml:space="preserve">7 </w:t>
      </w:r>
      <w:r>
        <w:rPr>
          <w:vertAlign w:val="superscript"/>
        </w:rPr>
        <w:t>(a)</w:t>
      </w:r>
    </w:p>
    <w:p w:rsidR="00566E9A" w:rsidRDefault="009E1D64" w:rsidP="00AE5760">
      <w:pPr>
        <w:pStyle w:val="Source"/>
      </w:pPr>
      <w:r>
        <w:pict>
          <v:shape id="_x0000_i1030" type="#_x0000_t75" style="width:396.55pt;height:277.25pt">
            <v:imagedata r:id="rId50" o:title=""/>
          </v:shape>
        </w:pict>
      </w:r>
      <w:r w:rsidR="00566E9A">
        <w:t>Source: Department of Treasury and Finance</w:t>
      </w:r>
    </w:p>
    <w:p w:rsidR="00566E9A" w:rsidRPr="009D213C" w:rsidRDefault="00566E9A" w:rsidP="00AE5760">
      <w:pPr>
        <w:pStyle w:val="Notes"/>
      </w:pPr>
      <w:r w:rsidRPr="009D213C">
        <w:t>Note:</w:t>
      </w:r>
    </w:p>
    <w:p w:rsidR="00566E9A" w:rsidRDefault="00566E9A" w:rsidP="00AE5760">
      <w:pPr>
        <w:pStyle w:val="Notes"/>
      </w:pPr>
      <w:r>
        <w:t>(a)</w:t>
      </w:r>
      <w:r>
        <w:tab/>
      </w:r>
      <w:r w:rsidRPr="009D213C">
        <w:t xml:space="preserve">See footnotes for Table </w:t>
      </w:r>
      <w:r>
        <w:t>D.</w:t>
      </w:r>
      <w:r w:rsidRPr="009D213C">
        <w:t>1 for detailed description of estimates.</w:t>
      </w:r>
    </w:p>
    <w:bookmarkEnd w:id="68"/>
    <w:bookmarkEnd w:id="73"/>
    <w:p w:rsidR="00566E9A" w:rsidRDefault="00566E9A" w:rsidP="00AE5760"/>
    <w:p w:rsidR="00566E9A" w:rsidRDefault="00566E9A" w:rsidP="00AE5760">
      <w:pPr>
        <w:spacing w:after="0"/>
        <w:rPr>
          <w:rFonts w:ascii="Calibri" w:hAnsi="Calibri"/>
          <w:i/>
          <w:sz w:val="15"/>
        </w:rPr>
      </w:pPr>
      <w:r>
        <w:br w:type="page"/>
      </w:r>
    </w:p>
    <w:p w:rsidR="00566E9A" w:rsidRDefault="00566E9A" w:rsidP="00AE5760">
      <w:pPr>
        <w:pStyle w:val="Heading2"/>
      </w:pPr>
      <w:bookmarkStart w:id="74" w:name="BP2SenAveWklyEarn1"/>
      <w:r>
        <w:lastRenderedPageBreak/>
        <w:t>Sensitivity to average weekly earnings</w:t>
      </w:r>
    </w:p>
    <w:p w:rsidR="00566E9A" w:rsidRPr="0055475A" w:rsidRDefault="00566E9A" w:rsidP="00AE5760">
      <w:r>
        <w:t xml:space="preserve">A rise in the level of wages in the economy (but not in the public sector) results in higher payroll tax revenue each year. An increase in the average expense per claim for </w:t>
      </w:r>
      <w:proofErr w:type="spellStart"/>
      <w:r>
        <w:t>WorkSafe</w:t>
      </w:r>
      <w:proofErr w:type="spellEnd"/>
      <w:r>
        <w:t xml:space="preserve"> Victoria reduces ITEs. </w:t>
      </w:r>
      <w:r w:rsidRPr="0055475A">
        <w:t xml:space="preserve">The combined initial effects lead to a higher net result from transactions where the increase in payroll tax dominates but higher </w:t>
      </w:r>
      <w:proofErr w:type="spellStart"/>
      <w:r w:rsidRPr="0055475A">
        <w:t>WorkSafe</w:t>
      </w:r>
      <w:proofErr w:type="spellEnd"/>
      <w:r w:rsidRPr="0055475A">
        <w:t xml:space="preserve"> claims push this into negative territory by the end of the forward estimates.</w:t>
      </w:r>
    </w:p>
    <w:p w:rsidR="00566E9A" w:rsidRDefault="00566E9A" w:rsidP="00AE5760">
      <w:pPr>
        <w:pStyle w:val="Chartheading"/>
        <w:rPr>
          <w:vertAlign w:val="superscript"/>
        </w:rPr>
      </w:pPr>
      <w:r w:rsidRPr="00001CC4">
        <w:t xml:space="preserve">Chart </w:t>
      </w:r>
      <w:r>
        <w:t>D.5</w:t>
      </w:r>
      <w:r w:rsidRPr="00001CC4">
        <w:t>:</w:t>
      </w:r>
      <w:r w:rsidRPr="00001CC4">
        <w:tab/>
        <w:t xml:space="preserve">Sensitivity of key fiscal aggregates to </w:t>
      </w:r>
      <w:r>
        <w:t xml:space="preserve">average weekly earnings </w:t>
      </w:r>
      <w:r w:rsidRPr="00001CC4">
        <w:t>being 1</w:t>
      </w:r>
      <w:r>
        <w:t> per cent</w:t>
      </w:r>
      <w:r w:rsidRPr="00001CC4">
        <w:t xml:space="preserve"> higher than expected from 201</w:t>
      </w:r>
      <w:r>
        <w:t>6</w:t>
      </w:r>
      <w:r>
        <w:noBreakHyphen/>
      </w:r>
      <w:r w:rsidRPr="00001CC4">
        <w:t>1</w:t>
      </w:r>
      <w:r>
        <w:t xml:space="preserve">7 </w:t>
      </w:r>
      <w:r w:rsidRPr="00C26C96">
        <w:rPr>
          <w:vertAlign w:val="superscript"/>
        </w:rPr>
        <w:t>(a)</w:t>
      </w:r>
    </w:p>
    <w:p w:rsidR="00566E9A" w:rsidRDefault="009E1D64" w:rsidP="00AE5760">
      <w:pPr>
        <w:pStyle w:val="Source"/>
      </w:pPr>
      <w:r>
        <w:pict>
          <v:shape id="_x0000_i1031" type="#_x0000_t75" style="width:395.45pt;height:270.8pt">
            <v:imagedata r:id="rId51" o:title=""/>
          </v:shape>
        </w:pict>
      </w:r>
      <w:r w:rsidR="00566E9A">
        <w:t>Source: Department of Treasury and Finance</w:t>
      </w:r>
    </w:p>
    <w:p w:rsidR="00566E9A" w:rsidRPr="009D213C" w:rsidRDefault="00566E9A" w:rsidP="00AE5760">
      <w:pPr>
        <w:pStyle w:val="Notes"/>
      </w:pPr>
      <w:r w:rsidRPr="009D213C">
        <w:t>Note:</w:t>
      </w:r>
    </w:p>
    <w:p w:rsidR="00566E9A" w:rsidRDefault="00566E9A" w:rsidP="00AE5760">
      <w:pPr>
        <w:pStyle w:val="Notes"/>
      </w:pPr>
      <w:r>
        <w:t>(a)</w:t>
      </w:r>
      <w:r>
        <w:tab/>
      </w:r>
      <w:r w:rsidRPr="009D213C">
        <w:t xml:space="preserve">See footnotes for Table </w:t>
      </w:r>
      <w:r>
        <w:t>D.</w:t>
      </w:r>
      <w:r w:rsidRPr="009D213C">
        <w:t>1 for detailed description of estimates.</w:t>
      </w:r>
    </w:p>
    <w:bookmarkEnd w:id="74"/>
    <w:p w:rsidR="00566E9A" w:rsidRDefault="00566E9A" w:rsidP="00AE5760">
      <w:pPr>
        <w:pStyle w:val="Notes"/>
      </w:pPr>
    </w:p>
    <w:p w:rsidR="00566E9A" w:rsidRDefault="00566E9A" w:rsidP="00AE5760">
      <w:pPr>
        <w:spacing w:after="0"/>
        <w:rPr>
          <w:rFonts w:ascii="Calibri" w:hAnsi="Calibri"/>
          <w:b/>
          <w:kern w:val="28"/>
          <w:sz w:val="26"/>
        </w:rPr>
      </w:pPr>
      <w:r>
        <w:br w:type="page"/>
      </w:r>
    </w:p>
    <w:p w:rsidR="00566E9A" w:rsidRDefault="00566E9A" w:rsidP="00AE5760">
      <w:pPr>
        <w:pStyle w:val="Heading2"/>
      </w:pPr>
      <w:bookmarkStart w:id="75" w:name="BP2NetDebt6"/>
      <w:r>
        <w:lastRenderedPageBreak/>
        <w:t xml:space="preserve">Sensitivity </w:t>
      </w:r>
      <w:r w:rsidRPr="009D213C">
        <w:t>to</w:t>
      </w:r>
      <w:r>
        <w:t xml:space="preserve"> total employee expenses</w:t>
      </w:r>
    </w:p>
    <w:p w:rsidR="00566E9A" w:rsidRPr="00264A7C" w:rsidRDefault="00566E9A" w:rsidP="00AE5760">
      <w:r>
        <w:t>An increase in employee expenses above forecast levels could be generated through a policy decision to increase the public sector workforce, a change to the price paid to the workforce, through other management decisions regarding the composition and profile of the workforce, or any combination of these that increases the total employee expenses base by 1 per cent.</w:t>
      </w:r>
    </w:p>
    <w:p w:rsidR="00566E9A" w:rsidRDefault="00566E9A" w:rsidP="00AE5760">
      <w:bookmarkStart w:id="76" w:name="BP2SuperExp2"/>
      <w:bookmarkStart w:id="77" w:name="BP2SuperLiab1"/>
      <w:r>
        <w:t xml:space="preserve">Increased employee entitlements raise the value of the superannuation liability and flow through to a greater superannuation expense over the forward estimates. These impacts result in a decline in the net result from transactions and cumulatively higher net debt over the budget and forward estimates. </w:t>
      </w:r>
    </w:p>
    <w:p w:rsidR="00566E9A" w:rsidRDefault="00566E9A" w:rsidP="00AE5760">
      <w:pPr>
        <w:pStyle w:val="Chartheading"/>
        <w:rPr>
          <w:vertAlign w:val="superscript"/>
        </w:rPr>
      </w:pPr>
      <w:r w:rsidRPr="00001CC4">
        <w:t xml:space="preserve">Chart </w:t>
      </w:r>
      <w:r>
        <w:t>D.6</w:t>
      </w:r>
      <w:r w:rsidRPr="00001CC4">
        <w:t>:</w:t>
      </w:r>
      <w:r w:rsidRPr="00001CC4">
        <w:tab/>
        <w:t>Sensitivity of key fiscal aggregates to</w:t>
      </w:r>
      <w:r>
        <w:t xml:space="preserve"> total employee expenses </w:t>
      </w:r>
      <w:r w:rsidRPr="00001CC4">
        <w:t>being 1</w:t>
      </w:r>
      <w:r>
        <w:t> per cent</w:t>
      </w:r>
      <w:r w:rsidRPr="00001CC4">
        <w:t xml:space="preserve"> higher than expected from 201</w:t>
      </w:r>
      <w:r>
        <w:t>6</w:t>
      </w:r>
      <w:r>
        <w:noBreakHyphen/>
      </w:r>
      <w:r w:rsidRPr="00001CC4">
        <w:t>1</w:t>
      </w:r>
      <w:r>
        <w:t xml:space="preserve">7 </w:t>
      </w:r>
      <w:r w:rsidRPr="00C26C96">
        <w:rPr>
          <w:vertAlign w:val="superscript"/>
        </w:rPr>
        <w:t>(a)</w:t>
      </w:r>
    </w:p>
    <w:p w:rsidR="00566E9A" w:rsidRDefault="009E1D64" w:rsidP="00AE5760">
      <w:pPr>
        <w:pStyle w:val="Source"/>
      </w:pPr>
      <w:r>
        <w:rPr>
          <w:noProof/>
        </w:rPr>
        <w:pict>
          <v:shape id="_x0000_i1032" type="#_x0000_t75" style="width:397.6pt;height:271.9pt">
            <v:imagedata r:id="rId52" o:title=""/>
          </v:shape>
        </w:pict>
      </w:r>
      <w:r w:rsidR="00566E9A">
        <w:t>Source: Department of Treasury and Finance</w:t>
      </w:r>
    </w:p>
    <w:p w:rsidR="00566E9A" w:rsidRPr="009D213C" w:rsidRDefault="00566E9A" w:rsidP="00AE5760">
      <w:pPr>
        <w:pStyle w:val="Notes"/>
      </w:pPr>
      <w:r w:rsidRPr="009D213C">
        <w:t>Note:</w:t>
      </w:r>
    </w:p>
    <w:p w:rsidR="00566E9A" w:rsidRDefault="00566E9A" w:rsidP="00AE5760">
      <w:pPr>
        <w:pStyle w:val="Notes"/>
      </w:pPr>
      <w:r>
        <w:t>(a)</w:t>
      </w:r>
      <w:r>
        <w:tab/>
      </w:r>
      <w:r w:rsidRPr="009D213C">
        <w:t xml:space="preserve">See footnotes for Table </w:t>
      </w:r>
      <w:r>
        <w:t>D.</w:t>
      </w:r>
      <w:r w:rsidRPr="009D213C">
        <w:t>1 for detailed description of estimates.</w:t>
      </w:r>
    </w:p>
    <w:p w:rsidR="00566E9A" w:rsidRDefault="00566E9A" w:rsidP="00AE5760">
      <w:pPr>
        <w:pStyle w:val="Notes"/>
      </w:pPr>
    </w:p>
    <w:p w:rsidR="00566E9A" w:rsidRDefault="00566E9A" w:rsidP="00AE5760">
      <w:pPr>
        <w:spacing w:after="0"/>
        <w:rPr>
          <w:rFonts w:ascii="Calibri" w:hAnsi="Calibri"/>
          <w:b/>
          <w:kern w:val="28"/>
          <w:sz w:val="26"/>
        </w:rPr>
      </w:pPr>
      <w:r>
        <w:br w:type="page"/>
      </w:r>
    </w:p>
    <w:p w:rsidR="00566E9A" w:rsidRPr="006506C6" w:rsidRDefault="00566E9A" w:rsidP="00AE5760">
      <w:pPr>
        <w:pStyle w:val="Heading2"/>
      </w:pPr>
      <w:bookmarkStart w:id="78" w:name="BP2SenDomOSShare1"/>
      <w:r w:rsidRPr="006506C6">
        <w:lastRenderedPageBreak/>
        <w:t>Sensitivity to domestic and overseas share prices</w:t>
      </w:r>
    </w:p>
    <w:p w:rsidR="00566E9A" w:rsidRDefault="00566E9A" w:rsidP="00AE5760">
      <w:r>
        <w:t>A rise in share prices increases the net results of the State’s insurance agencies. This leads to an increase in the ITEs payable to the State; however, the availability of carry</w:t>
      </w:r>
      <w:r>
        <w:noBreakHyphen/>
        <w:t>forward tax losses means there is no significant impact on ITEs within the forward estimates. There is no significant impact on underlying dividends payable to the State as these are based on the agencies’ performance from insurance operations, which excludes the impact of investment returns being higher than the agencies’ budgeted long</w:t>
      </w:r>
      <w:r>
        <w:noBreakHyphen/>
        <w:t>term rates of return.</w:t>
      </w:r>
    </w:p>
    <w:p w:rsidR="00566E9A" w:rsidRPr="00307BB8" w:rsidRDefault="00566E9A" w:rsidP="00AE5760">
      <w:r>
        <w:t xml:space="preserve">An increase in domestic and international share prices </w:t>
      </w:r>
      <w:r w:rsidRPr="0055475A">
        <w:t>and</w:t>
      </w:r>
      <w:r w:rsidRPr="002D1963">
        <w:rPr>
          <w:color w:val="FF0000"/>
        </w:rPr>
        <w:t xml:space="preserve"> </w:t>
      </w:r>
      <w:r>
        <w:t>the associated increase in superannuation fund assets, reduces the superannuation interest expense beyond the budget year, thereby improving the net result from transactions in these years.</w:t>
      </w:r>
    </w:p>
    <w:p w:rsidR="00566E9A" w:rsidRPr="006506C6" w:rsidRDefault="00566E9A" w:rsidP="00AE5760">
      <w:pPr>
        <w:pStyle w:val="Heading2"/>
      </w:pPr>
      <w:bookmarkStart w:id="79" w:name="BP2SesPropPrice1"/>
      <w:bookmarkStart w:id="80" w:name="BP2LandTrans1"/>
      <w:bookmarkEnd w:id="78"/>
      <w:r w:rsidRPr="006506C6">
        <w:t>Sensitivity to property prices and volumes</w:t>
      </w:r>
    </w:p>
    <w:p w:rsidR="00566E9A" w:rsidRDefault="00566E9A" w:rsidP="00AE5760">
      <w: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 investment portfolios. In later years, higher property prices continue to raise land transfer duty and land tax revenues, while the previous reduction in the superannuation liability reduces ongoing superannuation expenses. Each of these factors increases the net result from transactions and lowers net debt.</w:t>
      </w:r>
    </w:p>
    <w:bookmarkEnd w:id="76"/>
    <w:bookmarkEnd w:id="77"/>
    <w:p w:rsidR="00566E9A" w:rsidRDefault="00566E9A" w:rsidP="00AE5760">
      <w:r>
        <w:t>Higher property transaction volumes increase land transfer duty receipts, leading to a rise in the net result from transactions and a reduction in net debt.</w:t>
      </w:r>
    </w:p>
    <w:p w:rsidR="00566E9A" w:rsidRPr="009E0B6B" w:rsidRDefault="00566E9A" w:rsidP="00AE5760">
      <w:pPr>
        <w:pStyle w:val="Heading1"/>
      </w:pPr>
      <w:bookmarkStart w:id="81" w:name="_Toc401056880"/>
      <w:bookmarkStart w:id="82" w:name="_Toc401147511"/>
      <w:bookmarkStart w:id="83" w:name="_Toc403386710"/>
      <w:bookmarkStart w:id="84" w:name="_Toc406162115"/>
      <w:bookmarkStart w:id="85" w:name="_Toc406751123"/>
      <w:bookmarkStart w:id="86" w:name="_Toc449123074"/>
      <w:bookmarkStart w:id="87" w:name="_Toc468983303"/>
      <w:bookmarkEnd w:id="79"/>
      <w:r w:rsidRPr="009E0B6B">
        <w:t>Sensitivity to variations in the economic outlook</w:t>
      </w:r>
      <w:bookmarkEnd w:id="81"/>
      <w:bookmarkEnd w:id="82"/>
      <w:bookmarkEnd w:id="83"/>
      <w:bookmarkEnd w:id="84"/>
      <w:bookmarkEnd w:id="85"/>
      <w:bookmarkEnd w:id="86"/>
      <w:bookmarkEnd w:id="87"/>
    </w:p>
    <w:p w:rsidR="00566E9A" w:rsidRDefault="00566E9A" w:rsidP="00AE5760">
      <w:r>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566E9A" w:rsidRDefault="00566E9A" w:rsidP="00AE5760">
      <w:r>
        <w:t>This section considers two examples where general economic conditions varied significantly from expectations, resulting in the broad sweep of economic parameters being different from forecast. In the first example, in 2006</w:t>
      </w:r>
      <w:r>
        <w:noBreakHyphen/>
        <w:t>07 growth was significantly stronger than anticipated while in the second example, in 2008</w:t>
      </w:r>
      <w:r>
        <w:noBreakHyphen/>
        <w:t>09 the onset of the global financial crisis resulted in most economic and financial variables being lower than initially forecast.</w:t>
      </w:r>
    </w:p>
    <w:p w:rsidR="00566E9A" w:rsidRDefault="00566E9A" w:rsidP="00AE5760">
      <w:r>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noBreakHyphen/>
        <w:t>related shocks are likely to have the largest impact on the fiscal situation.</w:t>
      </w:r>
      <w:bookmarkEnd w:id="75"/>
    </w:p>
    <w:p w:rsidR="00566E9A" w:rsidRDefault="00566E9A" w:rsidP="00AE5760">
      <w:r>
        <w:lastRenderedPageBreak/>
        <w:t xml:space="preserve">The State’s fiscal position in any year is the product of economic trends and policy changes in that year and previous years. Similarly, an economic shock in a given year will affect fiscal outcomes in that year and later years. </w:t>
      </w:r>
    </w:p>
    <w:p w:rsidR="00566E9A" w:rsidRDefault="00566E9A" w:rsidP="00AE5760">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566E9A" w:rsidRDefault="00566E9A" w:rsidP="00AE5760">
      <w:pPr>
        <w:pStyle w:val="Heading2"/>
      </w:pPr>
      <w:bookmarkStart w:id="88" w:name="BP2EcoG4"/>
      <w:r>
        <w:t>2006</w:t>
      </w:r>
      <w:r>
        <w:noBreakHyphen/>
        <w:t>07 – economic growth exceeding expectations</w:t>
      </w:r>
    </w:p>
    <w:p w:rsidR="00566E9A" w:rsidRDefault="00566E9A" w:rsidP="00AE5760">
      <w:bookmarkStart w:id="89" w:name="BP2Wages1"/>
      <w:r>
        <w:t>Table D.2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566E9A" w:rsidRDefault="00566E9A" w:rsidP="00AE5760">
      <w:pPr>
        <w:pStyle w:val="Tableheading"/>
      </w:pPr>
      <w:r>
        <w:t>Table D.2:</w:t>
      </w:r>
      <w:r>
        <w:tab/>
        <w:t xml:space="preserve">Actual deviations of growth rates of key economic variables from </w:t>
      </w:r>
      <w:r>
        <w:rPr>
          <w:i/>
        </w:rPr>
        <w:t>2006</w:t>
      </w:r>
      <w:r>
        <w:rPr>
          <w:i/>
        </w:rPr>
        <w:noBreakHyphen/>
        <w:t>07 Budget</w:t>
      </w:r>
      <w:r>
        <w:t xml:space="preserve"> forecasts</w:t>
      </w:r>
    </w:p>
    <w:p w:rsidR="00566E9A" w:rsidRPr="00C370C1" w:rsidRDefault="00566E9A" w:rsidP="00AE5760">
      <w:pPr>
        <w:pStyle w:val="million"/>
        <w:rPr>
          <w:b/>
          <w:bCs/>
          <w:lang w:val="en-US"/>
        </w:rPr>
      </w:pPr>
      <w:r>
        <w:t>(per cent)</w:t>
      </w:r>
    </w:p>
    <w:tbl>
      <w:tblPr>
        <w:tblStyle w:val="DTFFinancialTable"/>
        <w:tblW w:w="7766" w:type="dxa"/>
        <w:tblInd w:w="45" w:type="dxa"/>
        <w:tblLayout w:type="fixed"/>
        <w:tblCellMar>
          <w:left w:w="45" w:type="dxa"/>
          <w:right w:w="45" w:type="dxa"/>
        </w:tblCellMar>
        <w:tblLook w:val="06A0" w:firstRow="1" w:lastRow="0" w:firstColumn="1" w:lastColumn="0" w:noHBand="1" w:noVBand="1"/>
      </w:tblPr>
      <w:tblGrid>
        <w:gridCol w:w="5216"/>
        <w:gridCol w:w="850"/>
        <w:gridCol w:w="850"/>
        <w:gridCol w:w="850"/>
      </w:tblGrid>
      <w:tr w:rsidR="00AE5760" w:rsidRPr="00C370C1" w:rsidTr="00AE576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216" w:type="dxa"/>
            <w:tcBorders>
              <w:top w:val="single" w:sz="6" w:space="0" w:color="auto"/>
              <w:left w:val="single" w:sz="6" w:space="0" w:color="auto"/>
              <w:right w:val="nil"/>
            </w:tcBorders>
            <w:shd w:val="solid" w:color="000000" w:fill="000000"/>
          </w:tcPr>
          <w:p w:rsidR="00AE5760" w:rsidRPr="00C370C1" w:rsidRDefault="00AE5760" w:rsidP="00AE5760">
            <w:pPr>
              <w:pStyle w:val="million"/>
              <w:spacing w:after="20"/>
              <w:rPr>
                <w:rFonts w:eastAsiaTheme="minorEastAsia" w:cs="Calibri"/>
                <w:i/>
                <w:iCs/>
                <w:color w:val="FFFFFF"/>
                <w:sz w:val="17"/>
                <w:szCs w:val="20"/>
              </w:rPr>
            </w:pPr>
            <w:r w:rsidRPr="00C370C1">
              <w:rPr>
                <w:rFonts w:eastAsiaTheme="minorEastAsia" w:cs="Calibri"/>
                <w:i/>
                <w:iCs/>
                <w:color w:val="FFFFFF"/>
                <w:sz w:val="17"/>
                <w:szCs w:val="20"/>
              </w:rPr>
              <w:t xml:space="preserve"> </w:t>
            </w:r>
            <w:r w:rsidRPr="00C370C1">
              <w:rPr>
                <w:rFonts w:eastAsiaTheme="minorEastAsia" w:cs="Calibri"/>
                <w:i/>
                <w:color w:val="FFFFFF"/>
                <w:szCs w:val="20"/>
              </w:rPr>
              <w:t xml:space="preserve"> </w:t>
            </w:r>
          </w:p>
        </w:tc>
        <w:tc>
          <w:tcPr>
            <w:tcW w:w="850" w:type="dxa"/>
            <w:tcBorders>
              <w:top w:val="single" w:sz="6" w:space="0" w:color="auto"/>
              <w:left w:val="nil"/>
              <w:right w:val="nil"/>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2006-07</w:t>
            </w:r>
            <w:r>
              <w:rPr>
                <w:rFonts w:eastAsiaTheme="minorEastAsia" w:cs="Calibri"/>
                <w:iCs/>
                <w:color w:val="FFFFFF"/>
                <w:szCs w:val="20"/>
              </w:rPr>
              <w:br/>
            </w:r>
            <w:r w:rsidRPr="00C370C1">
              <w:rPr>
                <w:rFonts w:eastAsiaTheme="minorEastAsia" w:cs="Calibri"/>
                <w:iCs/>
                <w:color w:val="FFFFFF"/>
                <w:szCs w:val="20"/>
              </w:rPr>
              <w:t xml:space="preserve">budget </w:t>
            </w:r>
            <w:r w:rsidRPr="00C370C1">
              <w:rPr>
                <w:rFonts w:eastAsiaTheme="minorEastAsia" w:cs="Calibri"/>
                <w:iCs/>
                <w:color w:val="FFFFFF"/>
                <w:szCs w:val="20"/>
                <w:vertAlign w:val="superscript"/>
              </w:rPr>
              <w:t>(a)</w:t>
            </w:r>
          </w:p>
        </w:tc>
        <w:tc>
          <w:tcPr>
            <w:tcW w:w="850" w:type="dxa"/>
            <w:tcBorders>
              <w:top w:val="single" w:sz="6" w:space="0" w:color="auto"/>
              <w:left w:val="nil"/>
              <w:right w:val="nil"/>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2006-07</w:t>
            </w:r>
            <w:r>
              <w:rPr>
                <w:rFonts w:eastAsiaTheme="minorEastAsia" w:cs="Calibri"/>
                <w:iCs/>
                <w:color w:val="FFFFFF"/>
                <w:szCs w:val="20"/>
              </w:rPr>
              <w:br/>
            </w:r>
            <w:r w:rsidRPr="00C370C1">
              <w:rPr>
                <w:rFonts w:eastAsiaTheme="minorEastAsia" w:cs="Calibri"/>
                <w:iCs/>
                <w:color w:val="FFFFFF"/>
                <w:szCs w:val="20"/>
              </w:rPr>
              <w:t>actual</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Forecast</w:t>
            </w:r>
            <w:r>
              <w:rPr>
                <w:rFonts w:eastAsiaTheme="minorEastAsia" w:cs="Calibri"/>
                <w:iCs/>
                <w:color w:val="FFFFFF"/>
                <w:szCs w:val="20"/>
              </w:rPr>
              <w:br/>
            </w:r>
            <w:r w:rsidRPr="00C370C1">
              <w:rPr>
                <w:rFonts w:eastAsiaTheme="minorEastAsia" w:cs="Calibri"/>
                <w:iCs/>
                <w:color w:val="FFFFFF"/>
                <w:szCs w:val="20"/>
              </w:rPr>
              <w:t xml:space="preserve">error </w:t>
            </w:r>
            <w:r w:rsidRPr="00C370C1">
              <w:rPr>
                <w:rFonts w:eastAsiaTheme="minorEastAsia" w:cs="Calibri"/>
                <w:iCs/>
                <w:color w:val="FFFFFF"/>
                <w:szCs w:val="20"/>
                <w:vertAlign w:val="superscript"/>
              </w:rPr>
              <w:t>(b)</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6"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vertAlign w:val="superscript"/>
              </w:rPr>
            </w:pPr>
            <w:r w:rsidRPr="00C370C1">
              <w:rPr>
                <w:rFonts w:eastAsiaTheme="minorEastAsia" w:cs="Calibri"/>
                <w:color w:val="000000"/>
              </w:rPr>
              <w:t xml:space="preserve">Real GSP </w:t>
            </w:r>
            <w:r w:rsidRPr="00C370C1">
              <w:rPr>
                <w:rFonts w:eastAsiaTheme="minorEastAsia" w:cs="Calibri"/>
                <w:color w:val="000000"/>
                <w:vertAlign w:val="superscript"/>
              </w:rPr>
              <w:t>(c)</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3.3</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3.5</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0.2</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6"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Employment</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1.3</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3.2</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1.9</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6"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Consumer price index</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2.5</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2.6</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0.1</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6" w:type="dxa"/>
            <w:tcBorders>
              <w:top w:val="nil"/>
              <w:left w:val="nil"/>
              <w:bottom w:val="single" w:sz="12" w:space="0" w:color="auto"/>
              <w:right w:val="nil"/>
            </w:tcBorders>
          </w:tcPr>
          <w:p w:rsidR="00566E9A" w:rsidRPr="00C370C1" w:rsidRDefault="00566E9A" w:rsidP="00AE5760">
            <w:pPr>
              <w:autoSpaceDE w:val="0"/>
              <w:autoSpaceDN w:val="0"/>
              <w:adjustRightInd w:val="0"/>
              <w:rPr>
                <w:rFonts w:eastAsiaTheme="minorEastAsia" w:cs="Calibri"/>
                <w:color w:val="000000"/>
                <w:vertAlign w:val="superscript"/>
              </w:rPr>
            </w:pPr>
            <w:r w:rsidRPr="00C370C1">
              <w:rPr>
                <w:rFonts w:eastAsiaTheme="minorEastAsia" w:cs="Calibri"/>
                <w:color w:val="000000"/>
              </w:rPr>
              <w:t xml:space="preserve">Wage price index </w:t>
            </w:r>
            <w:r w:rsidRPr="00C370C1">
              <w:rPr>
                <w:rFonts w:eastAsiaTheme="minorEastAsia" w:cs="Calibri"/>
                <w:color w:val="000000"/>
                <w:vertAlign w:val="superscript"/>
              </w:rPr>
              <w:t>(d)</w:t>
            </w:r>
          </w:p>
        </w:tc>
        <w:tc>
          <w:tcPr>
            <w:tcW w:w="850" w:type="dxa"/>
            <w:tcBorders>
              <w:top w:val="nil"/>
              <w:left w:val="nil"/>
              <w:bottom w:val="single" w:sz="12"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3.5</w:t>
            </w:r>
          </w:p>
        </w:tc>
        <w:tc>
          <w:tcPr>
            <w:tcW w:w="850" w:type="dxa"/>
            <w:tcBorders>
              <w:top w:val="nil"/>
              <w:left w:val="nil"/>
              <w:bottom w:val="single" w:sz="12"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3.6</w:t>
            </w:r>
          </w:p>
        </w:tc>
        <w:tc>
          <w:tcPr>
            <w:tcW w:w="850" w:type="dxa"/>
            <w:tcBorders>
              <w:top w:val="nil"/>
              <w:left w:val="nil"/>
              <w:bottom w:val="single" w:sz="12"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0.1</w:t>
            </w:r>
          </w:p>
        </w:tc>
      </w:tr>
    </w:tbl>
    <w:p w:rsidR="00566E9A" w:rsidRDefault="00566E9A" w:rsidP="00AE5760">
      <w:pPr>
        <w:pStyle w:val="Source"/>
      </w:pPr>
      <w:r>
        <w:t xml:space="preserve">Sources: Australian Bureau of </w:t>
      </w:r>
      <w:r w:rsidRPr="00264A7C">
        <w:t>Statistics</w:t>
      </w:r>
      <w:r>
        <w:t>; Department of Treasury and Finance</w:t>
      </w:r>
    </w:p>
    <w:p w:rsidR="00566E9A" w:rsidRDefault="00566E9A" w:rsidP="00AE5760">
      <w:pPr>
        <w:pStyle w:val="Notes"/>
      </w:pPr>
      <w:r>
        <w:t>Notes:</w:t>
      </w:r>
    </w:p>
    <w:p w:rsidR="00566E9A" w:rsidRDefault="00566E9A" w:rsidP="00AE5760">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566E9A" w:rsidRDefault="00566E9A" w:rsidP="00AE5760">
      <w:pPr>
        <w:pStyle w:val="Notes"/>
      </w:pPr>
      <w:r>
        <w:t>(b)</w:t>
      </w:r>
      <w:r>
        <w:tab/>
        <w:t>Percentage point variation.</w:t>
      </w:r>
    </w:p>
    <w:p w:rsidR="00566E9A" w:rsidRDefault="00566E9A" w:rsidP="00AE5760">
      <w:pPr>
        <w:pStyle w:val="Notes"/>
      </w:pPr>
      <w:r>
        <w:t>(c)</w:t>
      </w:r>
      <w:r>
        <w:tab/>
      </w:r>
      <w:r w:rsidRPr="000104BA">
        <w:t>Actual growth rates may differ from those in previous publications due to revisions in Australian Bureau of Statistics data</w:t>
      </w:r>
      <w:r>
        <w:t>.</w:t>
      </w:r>
    </w:p>
    <w:p w:rsidR="00566E9A" w:rsidRDefault="00566E9A" w:rsidP="00AE5760">
      <w:pPr>
        <w:pStyle w:val="Notes"/>
      </w:pPr>
      <w:r>
        <w:t>(d)</w:t>
      </w:r>
      <w:r>
        <w:tab/>
        <w:t>Wage Price Index, Victoria (based on total hourly rates of pay, excluding bonuses).</w:t>
      </w:r>
    </w:p>
    <w:p w:rsidR="00566E9A" w:rsidRDefault="00566E9A" w:rsidP="00AE5760"/>
    <w:p w:rsidR="00566E9A" w:rsidRDefault="00566E9A" w:rsidP="00AE5760">
      <w:r>
        <w:t>The main areas of revenue forecast error in 2006</w:t>
      </w:r>
      <w:r>
        <w:noBreakHyphen/>
        <w:t>07 relate to the underestimation of land transfer duty and of other revenue, while payroll tax was close to forecast (Table D.3). Strong land transfer duty revenues largely reflect the property cycle. As land transfer duty is a transaction</w:t>
      </w:r>
      <w:r>
        <w:noBreakHyphen/>
        <w:t>based tax, with the bulk of revenue collected from the residential property sector, collections are subject to the volatile nature of consumer sentiment. In 2006</w:t>
      </w:r>
      <w:r>
        <w:noBreakHyphen/>
        <w:t xml:space="preserve">07, both house prices and volumes were in growth phases, and in the second half of the financial year, consumer sentiment was well above historical averages. </w:t>
      </w:r>
    </w:p>
    <w:bookmarkEnd w:id="80"/>
    <w:p w:rsidR="00566E9A" w:rsidRDefault="00566E9A" w:rsidP="00AE5760">
      <w:r>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9B70F1" w:rsidRDefault="00566E9A" w:rsidP="00AE5760">
      <w:r w:rsidRPr="00B124B5">
        <w:t>As payroll tax is levied on the stock of employees, forecast error</w:t>
      </w:r>
      <w:r>
        <w:t>s</w:t>
      </w:r>
      <w:r w:rsidRPr="00B124B5">
        <w:t xml:space="preserve"> in growth </w:t>
      </w:r>
      <w:r>
        <w:t xml:space="preserve">are </w:t>
      </w:r>
      <w:r w:rsidRPr="00B124B5">
        <w:t>unlikely to have a large effect on revenue from this line. This proved to be the case in 2006</w:t>
      </w:r>
      <w:r>
        <w:noBreakHyphen/>
      </w:r>
      <w:r w:rsidRPr="00B124B5">
        <w:t xml:space="preserve">07. </w:t>
      </w:r>
    </w:p>
    <w:p w:rsidR="00566E9A" w:rsidRDefault="00566E9A" w:rsidP="00AE5760">
      <w:r w:rsidRPr="00B124B5">
        <w:lastRenderedPageBreak/>
        <w:t>Despite growth in employment being two percentage points higher than anticipated, the 2006</w:t>
      </w:r>
      <w:r>
        <w:noBreakHyphen/>
      </w:r>
      <w:r w:rsidRPr="00B124B5">
        <w:t>07 outcome for payroll tax was largely consistent with budgeted estimates. This suggests a dis</w:t>
      </w:r>
      <w:r>
        <w:t>connect at the</w:t>
      </w:r>
      <w:r w:rsidRPr="00B124B5">
        <w:t xml:space="preserve"> time between Victoria</w:t>
      </w:r>
      <w:r>
        <w:t>’</w:t>
      </w:r>
      <w:r w:rsidRPr="00B124B5">
        <w:t>s labour market performance and payroll tax collections, and may have occurred because payroll tax is levied on a small share of Victorian businesses, which may not necessarily have been the drivers of growth.</w:t>
      </w:r>
    </w:p>
    <w:p w:rsidR="00566E9A" w:rsidRDefault="00566E9A" w:rsidP="00AE5760">
      <w:pPr>
        <w:pStyle w:val="Tableheading"/>
      </w:pPr>
      <w:r>
        <w:t>Table D.3:</w:t>
      </w:r>
      <w:r>
        <w:tab/>
        <w:t xml:space="preserve">Actual deviations of key revenue lines from </w:t>
      </w:r>
      <w:r>
        <w:rPr>
          <w:i/>
        </w:rPr>
        <w:t>2006</w:t>
      </w:r>
      <w:r>
        <w:rPr>
          <w:i/>
        </w:rPr>
        <w:noBreakHyphen/>
        <w:t>07 Budget</w:t>
      </w:r>
      <w:r>
        <w:t xml:space="preserve"> forecasts</w:t>
      </w:r>
    </w:p>
    <w:p w:rsidR="00566E9A" w:rsidRPr="00C370C1" w:rsidRDefault="00566E9A" w:rsidP="00AE5760">
      <w:pPr>
        <w:pStyle w:val="million"/>
        <w:rPr>
          <w:b/>
          <w:bCs/>
          <w:lang w:val="en-US"/>
        </w:rPr>
      </w:pPr>
      <w:r>
        <w:t>($ </w:t>
      </w:r>
      <w:r w:rsidRPr="005A4379">
        <w:t>million</w:t>
      </w:r>
      <w:r>
        <w:t>)</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4367"/>
        <w:gridCol w:w="850"/>
        <w:gridCol w:w="850"/>
        <w:gridCol w:w="850"/>
        <w:gridCol w:w="850"/>
      </w:tblGrid>
      <w:tr w:rsidR="00AE5760" w:rsidRPr="00C370C1" w:rsidTr="009B70F1">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left w:val="single" w:sz="6" w:space="0" w:color="auto"/>
              <w:right w:val="nil"/>
            </w:tcBorders>
            <w:shd w:val="solid" w:color="000000" w:fill="000000"/>
          </w:tcPr>
          <w:p w:rsidR="00AE5760" w:rsidRPr="00C370C1" w:rsidRDefault="00AE5760" w:rsidP="00AE5760">
            <w:pPr>
              <w:autoSpaceDE w:val="0"/>
              <w:autoSpaceDN w:val="0"/>
              <w:adjustRightInd w:val="0"/>
              <w:rPr>
                <w:rFonts w:eastAsiaTheme="minorEastAsia" w:cs="Calibri"/>
                <w:color w:val="FFFFFF"/>
                <w:szCs w:val="20"/>
              </w:rPr>
            </w:pPr>
            <w:r w:rsidRPr="00C370C1">
              <w:rPr>
                <w:rFonts w:eastAsiaTheme="minorEastAsia" w:cs="Calibri"/>
                <w:color w:val="FFFFFF"/>
                <w:szCs w:val="20"/>
              </w:rPr>
              <w:t xml:space="preserve">  </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2006-07</w:t>
            </w:r>
            <w:r>
              <w:rPr>
                <w:rFonts w:eastAsiaTheme="minorEastAsia" w:cs="Calibri"/>
                <w:iCs/>
                <w:color w:val="FFFFFF"/>
                <w:szCs w:val="20"/>
              </w:rPr>
              <w:br/>
            </w:r>
            <w:r w:rsidRPr="00C370C1">
              <w:rPr>
                <w:rFonts w:eastAsiaTheme="minorEastAsia" w:cs="Calibri"/>
                <w:iCs/>
                <w:color w:val="FFFFFF"/>
                <w:szCs w:val="20"/>
              </w:rPr>
              <w:t>budget</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2006-07</w:t>
            </w:r>
            <w:r>
              <w:rPr>
                <w:rFonts w:eastAsiaTheme="minorEastAsia" w:cs="Calibri"/>
                <w:iCs/>
                <w:color w:val="FFFFFF"/>
                <w:szCs w:val="20"/>
              </w:rPr>
              <w:br/>
            </w:r>
            <w:r w:rsidRPr="00C370C1">
              <w:rPr>
                <w:rFonts w:eastAsiaTheme="minorEastAsia" w:cs="Calibri"/>
                <w:iCs/>
                <w:color w:val="FFFFFF"/>
                <w:szCs w:val="20"/>
              </w:rPr>
              <w:t>actual</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Forecast</w:t>
            </w:r>
            <w:r>
              <w:rPr>
                <w:rFonts w:eastAsiaTheme="minorEastAsia" w:cs="Calibri"/>
                <w:iCs/>
                <w:color w:val="FFFFFF"/>
                <w:szCs w:val="20"/>
              </w:rPr>
              <w:br/>
            </w:r>
            <w:r w:rsidRPr="00C370C1">
              <w:rPr>
                <w:rFonts w:eastAsiaTheme="minorEastAsia" w:cs="Calibri"/>
                <w:iCs/>
                <w:color w:val="FFFFFF"/>
                <w:szCs w:val="20"/>
              </w:rPr>
              <w:t>error</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 xml:space="preserve">Forecast </w:t>
            </w:r>
            <w:r>
              <w:rPr>
                <w:rFonts w:eastAsiaTheme="minorEastAsia" w:cs="Calibri"/>
                <w:iCs/>
                <w:color w:val="FFFFFF"/>
                <w:szCs w:val="20"/>
              </w:rPr>
              <w:br/>
            </w:r>
            <w:r w:rsidRPr="00C370C1">
              <w:rPr>
                <w:rFonts w:eastAsiaTheme="minorEastAsia" w:cs="Calibri"/>
                <w:iCs/>
                <w:color w:val="FFFFFF"/>
                <w:szCs w:val="20"/>
              </w:rPr>
              <w:t>error (%)</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Payroll taxes</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3 418</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3 479</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61</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Land transfer duty</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2 424</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2 961</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537</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22</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Other own-sourced revenue</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5 129</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5 262</w:t>
            </w:r>
          </w:p>
        </w:tc>
        <w:tc>
          <w:tcPr>
            <w:tcW w:w="850" w:type="dxa"/>
            <w:tcBorders>
              <w:top w:val="nil"/>
              <w:left w:val="nil"/>
              <w:bottom w:val="single" w:sz="6"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133</w:t>
            </w:r>
          </w:p>
        </w:tc>
        <w:tc>
          <w:tcPr>
            <w:tcW w:w="850" w:type="dxa"/>
            <w:tcBorders>
              <w:top w:val="nil"/>
              <w:left w:val="nil"/>
              <w:bottom w:val="single" w:sz="6"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3</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Taxation revenue</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10 971</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11 702</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731</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7</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Other revenue</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13 002</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14 600</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1 598</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12</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GST</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8 469</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8 584</w:t>
            </w:r>
          </w:p>
        </w:tc>
        <w:tc>
          <w:tcPr>
            <w:tcW w:w="850" w:type="dxa"/>
            <w:tcBorders>
              <w:top w:val="nil"/>
              <w:left w:val="nil"/>
              <w:bottom w:val="single" w:sz="6"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114</w:t>
            </w:r>
          </w:p>
        </w:tc>
        <w:tc>
          <w:tcPr>
            <w:tcW w:w="850" w:type="dxa"/>
            <w:tcBorders>
              <w:top w:val="nil"/>
              <w:left w:val="nil"/>
              <w:bottom w:val="single" w:sz="6"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20"/>
              </w:rPr>
              <w:t>1</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Total revenue</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32 442</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34 886</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2 444</w:t>
            </w:r>
          </w:p>
        </w:tc>
        <w:tc>
          <w:tcPr>
            <w:tcW w:w="850" w:type="dxa"/>
            <w:tcBorders>
              <w:top w:val="nil"/>
              <w:left w:val="nil"/>
              <w:bottom w:val="nil"/>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8</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Total expenses</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32 125</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33 551</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1 426</w:t>
            </w:r>
          </w:p>
        </w:tc>
        <w:tc>
          <w:tcPr>
            <w:tcW w:w="850" w:type="dxa"/>
            <w:tcBorders>
              <w:top w:val="nil"/>
              <w:left w:val="nil"/>
              <w:bottom w:val="single" w:sz="6"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left w:val="nil"/>
              <w:bottom w:val="single" w:sz="12" w:space="0" w:color="auto"/>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Net result from transactions</w:t>
            </w:r>
          </w:p>
        </w:tc>
        <w:tc>
          <w:tcPr>
            <w:tcW w:w="850" w:type="dxa"/>
            <w:tcBorders>
              <w:top w:val="single" w:sz="6" w:space="0" w:color="auto"/>
              <w:left w:val="nil"/>
              <w:bottom w:val="single" w:sz="12"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317</w:t>
            </w:r>
          </w:p>
        </w:tc>
        <w:tc>
          <w:tcPr>
            <w:tcW w:w="850" w:type="dxa"/>
            <w:tcBorders>
              <w:top w:val="single" w:sz="6" w:space="0" w:color="auto"/>
              <w:left w:val="nil"/>
              <w:bottom w:val="single" w:sz="12"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1 335</w:t>
            </w:r>
          </w:p>
        </w:tc>
        <w:tc>
          <w:tcPr>
            <w:tcW w:w="850" w:type="dxa"/>
            <w:tcBorders>
              <w:top w:val="nil"/>
              <w:left w:val="nil"/>
              <w:bottom w:val="single" w:sz="12"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1 018</w:t>
            </w:r>
          </w:p>
        </w:tc>
        <w:tc>
          <w:tcPr>
            <w:tcW w:w="850" w:type="dxa"/>
            <w:tcBorders>
              <w:top w:val="nil"/>
              <w:left w:val="nil"/>
              <w:bottom w:val="single" w:sz="12" w:space="0" w:color="auto"/>
              <w:right w:val="nil"/>
            </w:tcBorders>
          </w:tcPr>
          <w:p w:rsidR="00566E9A" w:rsidRPr="00C370C1" w:rsidRDefault="007B2F4C"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321</w:t>
            </w:r>
          </w:p>
        </w:tc>
      </w:tr>
    </w:tbl>
    <w:p w:rsidR="00566E9A" w:rsidRDefault="00566E9A" w:rsidP="00AE5760">
      <w:pPr>
        <w:pStyle w:val="Source"/>
      </w:pPr>
      <w:r>
        <w:t xml:space="preserve">Source: </w:t>
      </w:r>
      <w:r w:rsidRPr="005A4379">
        <w:t>Department</w:t>
      </w:r>
      <w:r>
        <w:t xml:space="preserve"> of Treasury and Finance</w:t>
      </w:r>
    </w:p>
    <w:bookmarkEnd w:id="88"/>
    <w:p w:rsidR="00566E9A" w:rsidRDefault="00566E9A" w:rsidP="00AE5760">
      <w:pPr>
        <w:spacing w:after="0"/>
      </w:pPr>
    </w:p>
    <w:p w:rsidR="00566E9A" w:rsidRDefault="00566E9A" w:rsidP="00AE5760">
      <w:pPr>
        <w:pStyle w:val="Heading2"/>
        <w:spacing w:before="120"/>
      </w:pPr>
      <w:r>
        <w:t>2008</w:t>
      </w:r>
      <w:r>
        <w:noBreakHyphen/>
        <w:t>09 – global financial crisis</w:t>
      </w:r>
    </w:p>
    <w:p w:rsidR="00566E9A" w:rsidRDefault="00566E9A" w:rsidP="00AE5760">
      <w:r>
        <w:t xml:space="preserve">A situation where economic growth was overestimated is shown in Table D.4. The largest forecast errors occurred in real GSP and consumption. The impact of the </w:t>
      </w:r>
      <w:r w:rsidRPr="00781D29">
        <w:t xml:space="preserve">global financial crisis </w:t>
      </w:r>
      <w:r>
        <w:t>on employment was relatively small due to employers choosing to reduce hours rather than lay off staff. As a result, the forecast error of employment was smaller. Consumer prices and wages were less affected by the global financial crisis and consequently the level of forecast error was much lower for these variables.</w:t>
      </w:r>
    </w:p>
    <w:bookmarkEnd w:id="89"/>
    <w:p w:rsidR="00566E9A" w:rsidRDefault="00566E9A" w:rsidP="00AE5760">
      <w:pPr>
        <w:pStyle w:val="Tableheading"/>
      </w:pPr>
      <w:r>
        <w:t>Table D.4:</w:t>
      </w:r>
      <w:r>
        <w:tab/>
        <w:t xml:space="preserve">Actual deviations of growth rates of key economic variables from </w:t>
      </w:r>
      <w:r>
        <w:rPr>
          <w:i/>
        </w:rPr>
        <w:t>2008</w:t>
      </w:r>
      <w:r>
        <w:rPr>
          <w:i/>
        </w:rPr>
        <w:noBreakHyphen/>
        <w:t>09</w:t>
      </w:r>
      <w:r>
        <w:t xml:space="preserve"> </w:t>
      </w:r>
      <w:r>
        <w:rPr>
          <w:i/>
        </w:rPr>
        <w:t>Budget</w:t>
      </w:r>
      <w:r>
        <w:t xml:space="preserve"> forecasts</w:t>
      </w:r>
    </w:p>
    <w:p w:rsidR="00566E9A" w:rsidRPr="00C370C1" w:rsidRDefault="00566E9A" w:rsidP="00AE5760">
      <w:pPr>
        <w:pStyle w:val="million"/>
        <w:rPr>
          <w:b/>
          <w:bCs/>
          <w:lang w:val="en-US"/>
        </w:rPr>
      </w:pPr>
      <w:r>
        <w:t>(per cent)</w:t>
      </w:r>
    </w:p>
    <w:tbl>
      <w:tblPr>
        <w:tblStyle w:val="DTFFinancialTable"/>
        <w:tblW w:w="7767" w:type="dxa"/>
        <w:tblInd w:w="45" w:type="dxa"/>
        <w:tblLayout w:type="fixed"/>
        <w:tblCellMar>
          <w:left w:w="45" w:type="dxa"/>
          <w:right w:w="45" w:type="dxa"/>
        </w:tblCellMar>
        <w:tblLook w:val="06A0" w:firstRow="1" w:lastRow="0" w:firstColumn="1" w:lastColumn="0" w:noHBand="1" w:noVBand="1"/>
      </w:tblPr>
      <w:tblGrid>
        <w:gridCol w:w="5217"/>
        <w:gridCol w:w="850"/>
        <w:gridCol w:w="850"/>
        <w:gridCol w:w="850"/>
      </w:tblGrid>
      <w:tr w:rsidR="00AE5760" w:rsidRPr="00C370C1" w:rsidTr="00AE576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217" w:type="dxa"/>
            <w:tcBorders>
              <w:top w:val="single" w:sz="6" w:space="0" w:color="auto"/>
              <w:left w:val="single" w:sz="6" w:space="0" w:color="auto"/>
              <w:right w:val="nil"/>
            </w:tcBorders>
            <w:shd w:val="solid" w:color="000000" w:fill="000000"/>
          </w:tcPr>
          <w:p w:rsidR="00AE5760" w:rsidRPr="00C370C1" w:rsidRDefault="00AE5760" w:rsidP="00AE5760">
            <w:pPr>
              <w:autoSpaceDE w:val="0"/>
              <w:autoSpaceDN w:val="0"/>
              <w:adjustRightInd w:val="0"/>
              <w:rPr>
                <w:rFonts w:eastAsiaTheme="minorEastAsia" w:cs="Calibri"/>
                <w:iCs/>
                <w:color w:val="FFFFFF"/>
                <w:szCs w:val="20"/>
              </w:rPr>
            </w:pPr>
            <w:r w:rsidRPr="00C370C1">
              <w:rPr>
                <w:rFonts w:eastAsiaTheme="minorEastAsia" w:cs="Calibri"/>
                <w:iCs/>
                <w:color w:val="FFFFFF"/>
                <w:szCs w:val="20"/>
              </w:rPr>
              <w:t xml:space="preserve"> </w:t>
            </w:r>
            <w:r w:rsidRPr="00C370C1">
              <w:rPr>
                <w:rFonts w:eastAsiaTheme="minorEastAsia" w:cs="Calibri"/>
                <w:color w:val="FFFFFF"/>
                <w:szCs w:val="20"/>
              </w:rPr>
              <w:t xml:space="preserve"> </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2008-09</w:t>
            </w:r>
            <w:r>
              <w:rPr>
                <w:rFonts w:eastAsiaTheme="minorEastAsia" w:cs="Calibri"/>
                <w:iCs/>
                <w:color w:val="FFFFFF"/>
                <w:szCs w:val="20"/>
              </w:rPr>
              <w:br/>
            </w:r>
            <w:r w:rsidRPr="00C370C1">
              <w:rPr>
                <w:rFonts w:eastAsiaTheme="minorEastAsia" w:cs="Calibri"/>
                <w:iCs/>
                <w:color w:val="FFFFFF"/>
                <w:szCs w:val="20"/>
              </w:rPr>
              <w:t xml:space="preserve">budget </w:t>
            </w:r>
            <w:r w:rsidRPr="00C370C1">
              <w:rPr>
                <w:rFonts w:eastAsiaTheme="minorEastAsia" w:cs="Calibri"/>
                <w:iCs/>
                <w:color w:val="FFFFFF"/>
                <w:szCs w:val="20"/>
                <w:vertAlign w:val="superscript"/>
              </w:rPr>
              <w:t>(a)</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2008-09</w:t>
            </w:r>
            <w:r>
              <w:rPr>
                <w:rFonts w:eastAsiaTheme="minorEastAsia" w:cs="Calibri"/>
                <w:iCs/>
                <w:color w:val="FFFFFF"/>
                <w:szCs w:val="20"/>
              </w:rPr>
              <w:br/>
            </w:r>
            <w:r w:rsidRPr="00C370C1">
              <w:rPr>
                <w:rFonts w:eastAsiaTheme="minorEastAsia" w:cs="Calibri"/>
                <w:iCs/>
                <w:color w:val="FFFFFF"/>
                <w:szCs w:val="20"/>
              </w:rPr>
              <w:t>actual</w:t>
            </w:r>
          </w:p>
        </w:tc>
        <w:tc>
          <w:tcPr>
            <w:tcW w:w="850" w:type="dxa"/>
            <w:tcBorders>
              <w:top w:val="single" w:sz="6" w:space="0" w:color="auto"/>
              <w:left w:val="nil"/>
              <w:right w:val="single" w:sz="6" w:space="0" w:color="auto"/>
            </w:tcBorders>
            <w:shd w:val="solid" w:color="000000" w:fill="000000"/>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Forecast</w:t>
            </w:r>
            <w:r>
              <w:rPr>
                <w:rFonts w:eastAsiaTheme="minorEastAsia" w:cs="Calibri"/>
                <w:iCs/>
                <w:color w:val="FFFFFF"/>
                <w:szCs w:val="20"/>
              </w:rPr>
              <w:br/>
            </w:r>
            <w:r w:rsidRPr="00C370C1">
              <w:rPr>
                <w:rFonts w:eastAsiaTheme="minorEastAsia" w:cs="Calibri"/>
                <w:iCs/>
                <w:color w:val="FFFFFF"/>
                <w:szCs w:val="20"/>
              </w:rPr>
              <w:t xml:space="preserve">error </w:t>
            </w:r>
            <w:r w:rsidRPr="00C370C1">
              <w:rPr>
                <w:rFonts w:eastAsiaTheme="minorEastAsia" w:cs="Calibri"/>
                <w:iCs/>
                <w:color w:val="FFFFFF"/>
                <w:szCs w:val="20"/>
                <w:vertAlign w:val="superscript"/>
              </w:rPr>
              <w:t>(b)</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vertAlign w:val="superscript"/>
              </w:rPr>
            </w:pPr>
            <w:r w:rsidRPr="00C370C1">
              <w:rPr>
                <w:rFonts w:eastAsiaTheme="minorEastAsia" w:cs="Calibri"/>
                <w:color w:val="000000"/>
                <w:szCs w:val="20"/>
              </w:rPr>
              <w:t xml:space="preserve">Real GSP </w:t>
            </w:r>
            <w:r w:rsidRPr="00C370C1">
              <w:rPr>
                <w:rFonts w:eastAsiaTheme="minorEastAsia" w:cs="Calibri"/>
                <w:color w:val="000000"/>
                <w:vertAlign w:val="superscript"/>
              </w:rPr>
              <w:t>(c)</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3.0</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1.5</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(1.5)</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Consumption (unpublished)</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2.8</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0.5</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(2.3)</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Employment</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1.5</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0.9</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(0.6)</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7"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szCs w:val="20"/>
              </w:rPr>
            </w:pPr>
            <w:r w:rsidRPr="00C370C1">
              <w:rPr>
                <w:rFonts w:eastAsiaTheme="minorEastAsia" w:cs="Calibri"/>
                <w:color w:val="000000"/>
                <w:szCs w:val="20"/>
              </w:rPr>
              <w:t>Consumer price index</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3.0</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2.8</w:t>
            </w:r>
          </w:p>
        </w:tc>
        <w:tc>
          <w:tcPr>
            <w:tcW w:w="850" w:type="dxa"/>
            <w:tcBorders>
              <w:top w:val="nil"/>
              <w:left w:val="nil"/>
              <w:bottom w:val="nil"/>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(0.2)</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5217" w:type="dxa"/>
            <w:tcBorders>
              <w:top w:val="nil"/>
              <w:left w:val="nil"/>
              <w:bottom w:val="single" w:sz="12" w:space="0" w:color="auto"/>
              <w:right w:val="nil"/>
            </w:tcBorders>
          </w:tcPr>
          <w:p w:rsidR="00566E9A" w:rsidRPr="00C370C1" w:rsidRDefault="00566E9A" w:rsidP="00AE5760">
            <w:pPr>
              <w:autoSpaceDE w:val="0"/>
              <w:autoSpaceDN w:val="0"/>
              <w:adjustRightInd w:val="0"/>
              <w:rPr>
                <w:rFonts w:eastAsiaTheme="minorEastAsia" w:cs="Calibri"/>
                <w:color w:val="000000"/>
                <w:szCs w:val="20"/>
                <w:vertAlign w:val="superscript"/>
              </w:rPr>
            </w:pPr>
            <w:r w:rsidRPr="00C370C1">
              <w:rPr>
                <w:rFonts w:eastAsiaTheme="minorEastAsia" w:cs="Calibri"/>
                <w:color w:val="000000"/>
                <w:szCs w:val="20"/>
              </w:rPr>
              <w:t xml:space="preserve">Wage price index </w:t>
            </w:r>
            <w:r w:rsidRPr="00C370C1">
              <w:rPr>
                <w:rFonts w:eastAsiaTheme="minorEastAsia" w:cs="Calibri"/>
                <w:color w:val="000000"/>
                <w:szCs w:val="20"/>
                <w:vertAlign w:val="superscript"/>
              </w:rPr>
              <w:t>(d)</w:t>
            </w:r>
          </w:p>
        </w:tc>
        <w:tc>
          <w:tcPr>
            <w:tcW w:w="850" w:type="dxa"/>
            <w:tcBorders>
              <w:top w:val="nil"/>
              <w:left w:val="nil"/>
              <w:bottom w:val="single" w:sz="12" w:space="0" w:color="auto"/>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3.8</w:t>
            </w:r>
          </w:p>
        </w:tc>
        <w:tc>
          <w:tcPr>
            <w:tcW w:w="850" w:type="dxa"/>
            <w:tcBorders>
              <w:top w:val="nil"/>
              <w:left w:val="nil"/>
              <w:bottom w:val="single" w:sz="12" w:space="0" w:color="auto"/>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4.0</w:t>
            </w:r>
          </w:p>
        </w:tc>
        <w:tc>
          <w:tcPr>
            <w:tcW w:w="850" w:type="dxa"/>
            <w:tcBorders>
              <w:top w:val="nil"/>
              <w:left w:val="nil"/>
              <w:bottom w:val="single" w:sz="12" w:space="0" w:color="auto"/>
              <w:right w:val="nil"/>
            </w:tcBorders>
            <w:shd w:val="solid" w:color="FFFFFF" w:fill="000000"/>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rPr>
            </w:pPr>
            <w:r w:rsidRPr="00C370C1">
              <w:rPr>
                <w:rFonts w:eastAsiaTheme="minorEastAsia" w:cs="Calibri"/>
                <w:color w:val="000000"/>
                <w:szCs w:val="20"/>
              </w:rPr>
              <w:t>0.3</w:t>
            </w:r>
          </w:p>
        </w:tc>
      </w:tr>
    </w:tbl>
    <w:p w:rsidR="00566E9A" w:rsidRDefault="00566E9A" w:rsidP="00AE5760">
      <w:pPr>
        <w:pStyle w:val="Source"/>
      </w:pPr>
      <w:r>
        <w:t xml:space="preserve">Sources: </w:t>
      </w:r>
      <w:r w:rsidRPr="00833438">
        <w:t>Australian</w:t>
      </w:r>
      <w:r>
        <w:t xml:space="preserve"> Bureau of Statistics; Department of Treasury and Finance</w:t>
      </w:r>
    </w:p>
    <w:p w:rsidR="00566E9A" w:rsidRPr="00833438" w:rsidRDefault="00566E9A" w:rsidP="00AE5760">
      <w:pPr>
        <w:pStyle w:val="Notes"/>
      </w:pPr>
      <w:r>
        <w:t>Notes:</w:t>
      </w:r>
    </w:p>
    <w:p w:rsidR="00566E9A" w:rsidRDefault="00566E9A" w:rsidP="00AE5760">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566E9A" w:rsidRDefault="00566E9A" w:rsidP="00AE5760">
      <w:pPr>
        <w:pStyle w:val="Notes"/>
      </w:pPr>
      <w:r>
        <w:t>(b)</w:t>
      </w:r>
      <w:r>
        <w:tab/>
        <w:t>Percentage point variation.</w:t>
      </w:r>
    </w:p>
    <w:p w:rsidR="00566E9A" w:rsidRDefault="00566E9A" w:rsidP="00AE5760">
      <w:pPr>
        <w:pStyle w:val="Notes"/>
      </w:pPr>
      <w:r>
        <w:t>(c)</w:t>
      </w:r>
      <w:r>
        <w:tab/>
      </w:r>
      <w:r w:rsidRPr="000104BA">
        <w:t>Actual growth rates may differ from those in previous publications due to revisions in Australian Bureau of Statistics data</w:t>
      </w:r>
      <w:r>
        <w:t>.</w:t>
      </w:r>
    </w:p>
    <w:p w:rsidR="00566E9A" w:rsidRDefault="00566E9A" w:rsidP="00AE5760">
      <w:pPr>
        <w:pStyle w:val="Notes"/>
      </w:pPr>
      <w:r>
        <w:t>(d)</w:t>
      </w:r>
      <w:r>
        <w:tab/>
        <w:t>Total hourly rate excluding bonuses.</w:t>
      </w:r>
    </w:p>
    <w:p w:rsidR="00566E9A" w:rsidRDefault="00566E9A" w:rsidP="00AE5760">
      <w:r>
        <w:lastRenderedPageBreak/>
        <w:t xml:space="preserve">The impact of the global financial crisis on revenue is evident in Table D.5, which shows forecast revenue and expenditure compared with the actual outcome. Both revenue and expenditure were underestimated; however, expenditure was underestimated to a greater extent leading to a forecast error of $576 million in the net result from transactions. </w:t>
      </w:r>
    </w:p>
    <w:p w:rsidR="00566E9A" w:rsidRDefault="00566E9A" w:rsidP="00AE5760">
      <w:r>
        <w:t xml:space="preserve">This increase in expenditure largely reflects the Commonwealth Government’s fiscal stimulus packages, such as </w:t>
      </w:r>
      <w:r w:rsidRPr="00781D29">
        <w:t>Building the Education Revolution</w:t>
      </w:r>
      <w:r>
        <w:t>, which were mostly distributed by the states.</w:t>
      </w:r>
    </w:p>
    <w:p w:rsidR="00566E9A" w:rsidRDefault="00566E9A" w:rsidP="00AE5760">
      <w:r>
        <w:t>Much of the overestimation of revenue can be attributed to the weak performance of the property market, with the land transfer duty forecast being over $900 million higher than the actual outcome. By contrast, the error in the forecast of payroll tax revenue was small and partly reflects the reluctance of employers to shed labour.</w:t>
      </w:r>
    </w:p>
    <w:p w:rsidR="00566E9A" w:rsidRDefault="00566E9A" w:rsidP="00AE5760">
      <w:pPr>
        <w:ind w:right="-37"/>
      </w:pPr>
      <w:r>
        <w:t>The pervading weak consumer sentiment during the global financial crisis led to much weaker consumption growth, and consequently to a sizeable forecast error for GST revenue. The global financial crisis appears to have created a structural shift in the economy, with the impacts felt over a number of years. Households adjusted their behaviour and entered a phase of reducing debt. This hastened the return of the household savings ratio to long</w:t>
      </w:r>
      <w:r>
        <w:noBreakHyphen/>
        <w:t xml:space="preserve">term averages, following a sustained period of near zero savings. </w:t>
      </w:r>
    </w:p>
    <w:p w:rsidR="00566E9A" w:rsidRPr="00AC4274" w:rsidRDefault="00566E9A" w:rsidP="00AE5760">
      <w:pPr>
        <w:rPr>
          <w:spacing w:val="-1"/>
        </w:rPr>
      </w:pPr>
      <w:r w:rsidRPr="00AC4274">
        <w:rPr>
          <w:spacing w:val="-1"/>
        </w:rPr>
        <w:t>The overestimation of land transfer duty and GST was more than offset by the underestimation of other revenues. A large share of this was the increased Commonwealth Government disbursements to the states as part of the stimulus package. However, these revenues were partially offset by increased expenditure as the Commonwealth Government’s stimulus payments were spent. Of the $3.2 billion forecast error for other revenues, approximately $2.4 billion is attributable to grants revenue other than GST.</w:t>
      </w:r>
    </w:p>
    <w:p w:rsidR="00566E9A" w:rsidRDefault="00566E9A" w:rsidP="00AE5760">
      <w:r w:rsidRPr="00B124B5">
        <w:t>This analysis reports the contemporaneous</w:t>
      </w:r>
      <w:r>
        <w:t xml:space="preserve"> effect of macroeconomic shocks, whereas in many situations there will be enduring influences. While the national GST pool recovered from the lows of 2009</w:t>
      </w:r>
      <w:r>
        <w:noBreakHyphen/>
        <w:t>10 following the global financial crisis, since then its growth has remained below trend. This is consistent with the changes in household consumption. Similarly, following a temporary recovery in land transfer volumes in 2009</w:t>
      </w:r>
      <w:r>
        <w:noBreakHyphen/>
        <w:t>10, property market turnover was subdued in subsequent years as potential buyers were cautious about entering the market.</w:t>
      </w:r>
    </w:p>
    <w:p w:rsidR="00566E9A" w:rsidRDefault="00566E9A">
      <w:pPr>
        <w:rPr>
          <w:rFonts w:asciiTheme="majorHAnsi" w:hAnsiTheme="majorHAnsi"/>
          <w:b/>
        </w:rPr>
      </w:pPr>
      <w:r>
        <w:br w:type="page"/>
      </w:r>
    </w:p>
    <w:p w:rsidR="00566E9A" w:rsidRDefault="00566E9A" w:rsidP="00AE5760">
      <w:pPr>
        <w:pStyle w:val="Tableheading"/>
      </w:pPr>
      <w:r>
        <w:lastRenderedPageBreak/>
        <w:t>Table D.5:</w:t>
      </w:r>
      <w:r>
        <w:tab/>
        <w:t xml:space="preserve">Actual deviations of key revenue lines from </w:t>
      </w:r>
      <w:r>
        <w:rPr>
          <w:i/>
        </w:rPr>
        <w:t>2008</w:t>
      </w:r>
      <w:r>
        <w:rPr>
          <w:i/>
        </w:rPr>
        <w:noBreakHyphen/>
        <w:t>09</w:t>
      </w:r>
      <w:r>
        <w:t xml:space="preserve"> </w:t>
      </w:r>
      <w:r>
        <w:rPr>
          <w:i/>
        </w:rPr>
        <w:t>Budget</w:t>
      </w:r>
      <w:r>
        <w:t xml:space="preserve"> forecasts</w:t>
      </w:r>
    </w:p>
    <w:p w:rsidR="00566E9A" w:rsidRPr="00C370C1" w:rsidRDefault="00566E9A" w:rsidP="00AE5760">
      <w:pPr>
        <w:pStyle w:val="million"/>
        <w:rPr>
          <w:b/>
          <w:bCs/>
          <w:lang w:val="en-US"/>
        </w:rPr>
      </w:pPr>
      <w:r>
        <w:t>($ million)</w:t>
      </w:r>
    </w:p>
    <w:tbl>
      <w:tblPr>
        <w:tblStyle w:val="DTFFinancial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E5760" w:rsidRPr="00C370C1" w:rsidTr="00AE576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single" w:sz="6" w:space="0" w:color="auto"/>
              <w:right w:val="nil"/>
            </w:tcBorders>
            <w:shd w:val="solid" w:color="000000" w:fill="auto"/>
          </w:tcPr>
          <w:p w:rsidR="00AE5760" w:rsidRPr="00C370C1" w:rsidRDefault="00AE5760" w:rsidP="00AE5760">
            <w:pPr>
              <w:autoSpaceDE w:val="0"/>
              <w:autoSpaceDN w:val="0"/>
              <w:adjustRightInd w:val="0"/>
              <w:rPr>
                <w:rFonts w:eastAsiaTheme="minorEastAsia" w:cs="Calibri"/>
                <w:color w:val="FFFFFF"/>
                <w:szCs w:val="20"/>
              </w:rPr>
            </w:pPr>
            <w:r w:rsidRPr="00C370C1">
              <w:rPr>
                <w:rFonts w:eastAsiaTheme="minorEastAsia" w:cs="Calibri"/>
                <w:color w:val="FFFFFF"/>
                <w:szCs w:val="20"/>
              </w:rPr>
              <w:t xml:space="preserve">  </w:t>
            </w:r>
          </w:p>
        </w:tc>
        <w:tc>
          <w:tcPr>
            <w:tcW w:w="850" w:type="dxa"/>
            <w:tcBorders>
              <w:top w:val="single" w:sz="6" w:space="0" w:color="auto"/>
              <w:left w:val="nil"/>
              <w:right w:val="single" w:sz="6" w:space="0" w:color="auto"/>
            </w:tcBorders>
            <w:shd w:val="solid" w:color="000000" w:fill="auto"/>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2008-09</w:t>
            </w:r>
            <w:r>
              <w:rPr>
                <w:rFonts w:eastAsiaTheme="minorEastAsia" w:cs="Calibri"/>
                <w:iCs/>
                <w:color w:val="FFFFFF"/>
                <w:szCs w:val="20"/>
              </w:rPr>
              <w:br/>
            </w:r>
            <w:r w:rsidRPr="00C370C1">
              <w:rPr>
                <w:rFonts w:eastAsiaTheme="minorEastAsia" w:cs="Calibri"/>
                <w:iCs/>
                <w:color w:val="FFFFFF"/>
                <w:szCs w:val="20"/>
              </w:rPr>
              <w:t>budget</w:t>
            </w:r>
          </w:p>
        </w:tc>
        <w:tc>
          <w:tcPr>
            <w:tcW w:w="850" w:type="dxa"/>
            <w:tcBorders>
              <w:top w:val="single" w:sz="6" w:space="0" w:color="auto"/>
              <w:left w:val="nil"/>
              <w:right w:val="single" w:sz="6" w:space="0" w:color="auto"/>
            </w:tcBorders>
            <w:shd w:val="solid" w:color="000000" w:fill="auto"/>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2008-09</w:t>
            </w:r>
            <w:r>
              <w:rPr>
                <w:rFonts w:eastAsiaTheme="minorEastAsia" w:cs="Calibri"/>
                <w:iCs/>
                <w:color w:val="FFFFFF"/>
                <w:szCs w:val="20"/>
              </w:rPr>
              <w:br/>
            </w:r>
            <w:r w:rsidRPr="00C370C1">
              <w:rPr>
                <w:rFonts w:eastAsiaTheme="minorEastAsia" w:cs="Calibri"/>
                <w:iCs/>
                <w:color w:val="FFFFFF"/>
                <w:szCs w:val="20"/>
              </w:rPr>
              <w:t>actual</w:t>
            </w:r>
          </w:p>
        </w:tc>
        <w:tc>
          <w:tcPr>
            <w:tcW w:w="850" w:type="dxa"/>
            <w:tcBorders>
              <w:top w:val="single" w:sz="6" w:space="0" w:color="auto"/>
              <w:left w:val="nil"/>
              <w:right w:val="single" w:sz="6" w:space="0" w:color="auto"/>
            </w:tcBorders>
            <w:shd w:val="solid" w:color="000000" w:fill="auto"/>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Forecast</w:t>
            </w:r>
            <w:r>
              <w:rPr>
                <w:rFonts w:eastAsiaTheme="minorEastAsia" w:cs="Calibri"/>
                <w:iCs/>
                <w:color w:val="FFFFFF"/>
                <w:szCs w:val="20"/>
              </w:rPr>
              <w:br/>
            </w:r>
            <w:r w:rsidRPr="00C370C1">
              <w:rPr>
                <w:rFonts w:eastAsiaTheme="minorEastAsia" w:cs="Calibri"/>
                <w:iCs/>
                <w:color w:val="FFFFFF"/>
                <w:szCs w:val="20"/>
              </w:rPr>
              <w:t>error</w:t>
            </w:r>
          </w:p>
        </w:tc>
        <w:tc>
          <w:tcPr>
            <w:tcW w:w="850" w:type="dxa"/>
            <w:tcBorders>
              <w:top w:val="single" w:sz="6" w:space="0" w:color="auto"/>
              <w:left w:val="nil"/>
              <w:right w:val="single" w:sz="6" w:space="0" w:color="auto"/>
            </w:tcBorders>
            <w:shd w:val="solid" w:color="000000" w:fill="auto"/>
          </w:tcPr>
          <w:p w:rsidR="00AE5760" w:rsidRPr="00C370C1" w:rsidRDefault="00AE5760" w:rsidP="00AE576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rPr>
            </w:pPr>
            <w:r w:rsidRPr="00C370C1">
              <w:rPr>
                <w:rFonts w:eastAsiaTheme="minorEastAsia" w:cs="Calibri"/>
                <w:iCs/>
                <w:color w:val="FFFFFF"/>
                <w:szCs w:val="20"/>
              </w:rPr>
              <w:t>Forecast</w:t>
            </w:r>
            <w:r>
              <w:rPr>
                <w:rFonts w:eastAsiaTheme="minorEastAsia" w:cs="Calibri"/>
                <w:iCs/>
                <w:color w:val="FFFFFF"/>
                <w:szCs w:val="20"/>
              </w:rPr>
              <w:br/>
            </w:r>
            <w:r w:rsidRPr="00C370C1">
              <w:rPr>
                <w:rFonts w:eastAsiaTheme="minorEastAsia" w:cs="Calibri"/>
                <w:iCs/>
                <w:color w:val="FFFFFF"/>
                <w:szCs w:val="20"/>
              </w:rPr>
              <w:t>error (%)</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Payroll taxes</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3 963</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3 980</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17</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Pr>
                <w:rFonts w:eastAsiaTheme="minorEastAsia" w:cs="Calibri"/>
                <w:color w:val="000000"/>
              </w:rPr>
              <w:t>..</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Land transfer duty</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3 737</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2 801</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(936)</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(25)</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Other own-sourced revenue</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5 683</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5 846</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163</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3</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Taxation revenue</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13 383</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12 627</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(756)</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(6)</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Other revenue</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14 146</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17 339</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3 193</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23</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color w:val="000000"/>
              </w:rPr>
            </w:pPr>
            <w:r w:rsidRPr="00C370C1">
              <w:rPr>
                <w:rFonts w:eastAsiaTheme="minorEastAsia" w:cs="Calibri"/>
                <w:color w:val="000000"/>
              </w:rPr>
              <w:t>GST</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10 281</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rPr>
            </w:pPr>
            <w:r w:rsidRPr="00C370C1">
              <w:rPr>
                <w:rFonts w:eastAsiaTheme="minorEastAsia" w:cs="Calibri"/>
                <w:color w:val="000000"/>
              </w:rPr>
              <w:t>9 319</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(962)</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rPr>
              <w:t>(9)</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Total revenue</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37 810</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39 285</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1 475</w:t>
            </w:r>
          </w:p>
        </w:tc>
        <w:tc>
          <w:tcPr>
            <w:tcW w:w="850" w:type="dxa"/>
            <w:tcBorders>
              <w:top w:val="nil"/>
              <w:left w:val="nil"/>
              <w:bottom w:val="nil"/>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4</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Total expenses</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36 982</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39 034</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rPr>
            </w:pPr>
            <w:r w:rsidRPr="00C370C1">
              <w:rPr>
                <w:rFonts w:eastAsiaTheme="minorEastAsia" w:cs="Calibri"/>
                <w:b/>
                <w:bCs/>
                <w:color w:val="000000"/>
                <w:szCs w:val="20"/>
              </w:rPr>
              <w:t>2 051</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6</w:t>
            </w:r>
          </w:p>
        </w:tc>
      </w:tr>
      <w:tr w:rsidR="00566E9A" w:rsidRPr="00C370C1" w:rsidTr="00AE5760">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566E9A" w:rsidRPr="00C370C1" w:rsidRDefault="00566E9A" w:rsidP="00AE5760">
            <w:pPr>
              <w:autoSpaceDE w:val="0"/>
              <w:autoSpaceDN w:val="0"/>
              <w:adjustRightInd w:val="0"/>
              <w:rPr>
                <w:rFonts w:eastAsiaTheme="minorEastAsia" w:cs="Calibri"/>
                <w:b/>
                <w:bCs/>
                <w:color w:val="000000"/>
                <w:szCs w:val="20"/>
              </w:rPr>
            </w:pPr>
            <w:r w:rsidRPr="00C370C1">
              <w:rPr>
                <w:rFonts w:eastAsiaTheme="minorEastAsia" w:cs="Calibri"/>
                <w:b/>
                <w:bCs/>
                <w:color w:val="000000"/>
                <w:szCs w:val="20"/>
              </w:rPr>
              <w:t>Net result from transactions</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828</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251</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(576)</w:t>
            </w:r>
          </w:p>
        </w:tc>
        <w:tc>
          <w:tcPr>
            <w:tcW w:w="850" w:type="dxa"/>
            <w:tcBorders>
              <w:top w:val="nil"/>
              <w:left w:val="nil"/>
              <w:bottom w:val="single" w:sz="6" w:space="0" w:color="auto"/>
              <w:right w:val="nil"/>
            </w:tcBorders>
          </w:tcPr>
          <w:p w:rsidR="00566E9A" w:rsidRPr="00C370C1" w:rsidRDefault="00566E9A" w:rsidP="00AE576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20"/>
              </w:rPr>
              <w:t>(70)</w:t>
            </w:r>
          </w:p>
        </w:tc>
      </w:tr>
    </w:tbl>
    <w:p w:rsidR="00566E9A" w:rsidRDefault="00566E9A" w:rsidP="00AE5760">
      <w:pPr>
        <w:pStyle w:val="Source"/>
      </w:pPr>
      <w:r>
        <w:t>Source: Department of Treasury and Finance</w:t>
      </w:r>
    </w:p>
    <w:p w:rsidR="00566E9A" w:rsidRDefault="00566E9A" w:rsidP="00B47029">
      <w:pPr>
        <w:rPr>
          <w:rFonts w:eastAsiaTheme="minorHAnsi"/>
        </w:rPr>
      </w:pPr>
    </w:p>
    <w:p w:rsidR="00566E9A" w:rsidRDefault="00566E9A" w:rsidP="009F1202">
      <w:pPr>
        <w:rPr>
          <w:rFonts w:eastAsiaTheme="minorHAnsi"/>
        </w:rPr>
        <w:sectPr w:rsidR="00566E9A" w:rsidSect="00D84F2A">
          <w:footerReference w:type="even" r:id="rId53"/>
          <w:footerReference w:type="default" r:id="rId54"/>
          <w:pgSz w:w="9979" w:h="14181" w:code="138"/>
          <w:pgMar w:top="1140" w:right="1140" w:bottom="1140" w:left="1140" w:header="720" w:footer="431" w:gutter="0"/>
          <w:cols w:space="708"/>
          <w:docGrid w:linePitch="360"/>
        </w:sectPr>
      </w:pPr>
    </w:p>
    <w:p w:rsidR="00566E9A" w:rsidRDefault="00566E9A" w:rsidP="00AE5760">
      <w:pPr>
        <w:pStyle w:val="ChapterHeading"/>
        <w:rPr>
          <w:rFonts w:eastAsiaTheme="minorHAnsi"/>
        </w:rPr>
      </w:pPr>
      <w:bookmarkStart w:id="90" w:name="_Toc468983304"/>
      <w:r>
        <w:rPr>
          <w:rFonts w:eastAsiaTheme="minorHAnsi"/>
        </w:rPr>
        <w:lastRenderedPageBreak/>
        <w:t xml:space="preserve">Appendix E – Requirements of the </w:t>
      </w:r>
      <w:r w:rsidRPr="002565AF">
        <w:rPr>
          <w:rFonts w:eastAsiaTheme="minorHAnsi"/>
          <w:i/>
        </w:rPr>
        <w:t>Financial Management Act 1994</w:t>
      </w:r>
      <w:bookmarkEnd w:id="90"/>
    </w:p>
    <w:p w:rsidR="00566E9A" w:rsidRPr="00642A0E" w:rsidRDefault="00566E9A" w:rsidP="00AE5760">
      <w:pPr>
        <w:rPr>
          <w:rFonts w:ascii="Garamond" w:hAnsi="Garamond"/>
        </w:rPr>
      </w:pPr>
      <w:r w:rsidRPr="00642A0E">
        <w:rPr>
          <w:rFonts w:ascii="Garamond" w:hAnsi="Garamond"/>
        </w:rPr>
        <w:t xml:space="preserve">The </w:t>
      </w:r>
      <w:r w:rsidRPr="00642A0E">
        <w:rPr>
          <w:rFonts w:ascii="Garamond" w:hAnsi="Garamond"/>
          <w:i/>
        </w:rPr>
        <w:t>Financial Management Act 1994</w:t>
      </w:r>
      <w:r w:rsidRPr="00642A0E">
        <w:rPr>
          <w:rFonts w:ascii="Garamond" w:hAnsi="Garamond"/>
        </w:rPr>
        <w:t xml:space="preserve"> (the Act) requires the Minister to prepare a budget update for tabling in Parliament each financial year. The provisions of the Act have been complied with in the </w:t>
      </w:r>
      <w:r w:rsidRPr="00642A0E">
        <w:rPr>
          <w:rFonts w:ascii="Garamond" w:hAnsi="Garamond"/>
          <w:i/>
        </w:rPr>
        <w:t>201</w:t>
      </w:r>
      <w:r>
        <w:rPr>
          <w:rFonts w:ascii="Garamond" w:hAnsi="Garamond"/>
          <w:i/>
        </w:rPr>
        <w:t>6</w:t>
      </w:r>
      <w:r w:rsidRPr="00642A0E">
        <w:rPr>
          <w:rFonts w:ascii="Garamond" w:hAnsi="Garamond"/>
          <w:i/>
        </w:rPr>
        <w:noBreakHyphen/>
        <w:t>1</w:t>
      </w:r>
      <w:r>
        <w:rPr>
          <w:rFonts w:ascii="Garamond" w:hAnsi="Garamond"/>
          <w:i/>
        </w:rPr>
        <w:t>7</w:t>
      </w:r>
      <w:r w:rsidRPr="00642A0E">
        <w:rPr>
          <w:rFonts w:ascii="Garamond" w:hAnsi="Garamond"/>
          <w:i/>
        </w:rPr>
        <w:t xml:space="preserve"> Budget Update</w:t>
      </w:r>
      <w:r w:rsidRPr="00642A0E">
        <w:rPr>
          <w:rFonts w:ascii="Garamond" w:hAnsi="Garamond"/>
        </w:rPr>
        <w:t>.</w:t>
      </w:r>
    </w:p>
    <w:p w:rsidR="00566E9A" w:rsidRPr="00642A0E" w:rsidRDefault="00566E9A" w:rsidP="00AE5760">
      <w:pPr>
        <w:rPr>
          <w:rFonts w:ascii="Garamond" w:hAnsi="Garamond"/>
        </w:rPr>
      </w:pPr>
      <w:r w:rsidRPr="00642A0E">
        <w:rPr>
          <w:rFonts w:ascii="Garamond" w:hAnsi="Garamond"/>
        </w:rPr>
        <w:t>Table E.1 details the statements required to be included in this document under the provisions of the Act together with appropriate chapter references.</w:t>
      </w:r>
    </w:p>
    <w:p w:rsidR="00566E9A" w:rsidRPr="00642A0E" w:rsidRDefault="00566E9A" w:rsidP="00AE5760">
      <w:pPr>
        <w:keepNext/>
        <w:spacing w:before="240"/>
        <w:ind w:left="1152" w:hanging="1152"/>
        <w:rPr>
          <w:rFonts w:ascii="Calibri" w:hAnsi="Calibri"/>
          <w:b/>
          <w:i/>
        </w:rPr>
      </w:pPr>
      <w:r w:rsidRPr="00642A0E">
        <w:rPr>
          <w:rFonts w:ascii="Calibri" w:hAnsi="Calibri"/>
          <w:b/>
        </w:rPr>
        <w:t>Table E.1:</w:t>
      </w:r>
      <w:r w:rsidRPr="00642A0E">
        <w:rPr>
          <w:rFonts w:ascii="Calibri" w:hAnsi="Calibri"/>
          <w:b/>
        </w:rPr>
        <w:tab/>
        <w:t xml:space="preserve">Statements required by the </w:t>
      </w:r>
      <w:r w:rsidRPr="00642A0E">
        <w:rPr>
          <w:rFonts w:ascii="Calibri" w:hAnsi="Calibri"/>
          <w:b/>
          <w:i/>
        </w:rPr>
        <w:t>Financial Management Act 1994</w:t>
      </w:r>
      <w:r w:rsidRPr="00642A0E">
        <w:rPr>
          <w:rFonts w:ascii="Calibri" w:hAnsi="Calibri"/>
          <w:b/>
        </w:rPr>
        <w:t xml:space="preserve"> and location in the </w:t>
      </w:r>
      <w:r w:rsidRPr="00642A0E">
        <w:rPr>
          <w:rFonts w:ascii="Calibri" w:hAnsi="Calibri"/>
          <w:b/>
          <w:i/>
        </w:rPr>
        <w:t>201</w:t>
      </w:r>
      <w:r>
        <w:rPr>
          <w:rFonts w:ascii="Calibri" w:hAnsi="Calibri"/>
          <w:b/>
          <w:i/>
        </w:rPr>
        <w:t>6</w:t>
      </w:r>
      <w:r w:rsidRPr="00642A0E">
        <w:rPr>
          <w:rFonts w:ascii="Calibri" w:hAnsi="Calibri"/>
          <w:b/>
          <w:i/>
        </w:rPr>
        <w:noBreakHyphen/>
        <w:t>1</w:t>
      </w:r>
      <w:r>
        <w:rPr>
          <w:rFonts w:ascii="Calibri" w:hAnsi="Calibri"/>
          <w:b/>
          <w:i/>
        </w:rPr>
        <w:t>7</w:t>
      </w:r>
      <w:r w:rsidRPr="00642A0E">
        <w:rPr>
          <w:rFonts w:ascii="Calibri" w:hAnsi="Calibri"/>
          <w:b/>
          <w:i/>
        </w:rPr>
        <w:t> Budget Update</w:t>
      </w:r>
    </w:p>
    <w:tbl>
      <w:tblPr>
        <w:tblW w:w="0" w:type="auto"/>
        <w:tblCellMar>
          <w:left w:w="43" w:type="dxa"/>
          <w:right w:w="43" w:type="dxa"/>
        </w:tblCellMar>
        <w:tblLook w:val="01E0" w:firstRow="1" w:lastRow="1" w:firstColumn="1" w:lastColumn="1" w:noHBand="0" w:noVBand="0"/>
      </w:tblPr>
      <w:tblGrid>
        <w:gridCol w:w="3894"/>
        <w:gridCol w:w="3891"/>
      </w:tblGrid>
      <w:tr w:rsidR="00566E9A" w:rsidRPr="00642A0E" w:rsidTr="00AE5760">
        <w:trPr>
          <w:tblHeader/>
        </w:trPr>
        <w:tc>
          <w:tcPr>
            <w:tcW w:w="3896" w:type="dxa"/>
            <w:tcBorders>
              <w:top w:val="single" w:sz="6" w:space="0" w:color="auto"/>
              <w:left w:val="single" w:sz="6" w:space="0" w:color="auto"/>
              <w:bottom w:val="single" w:sz="6" w:space="0" w:color="auto"/>
            </w:tcBorders>
            <w:shd w:val="clear" w:color="auto" w:fill="000000"/>
          </w:tcPr>
          <w:p w:rsidR="00566E9A" w:rsidRPr="00642A0E" w:rsidRDefault="00566E9A" w:rsidP="00AE5760">
            <w:pPr>
              <w:spacing w:after="0"/>
              <w:rPr>
                <w:rFonts w:ascii="Calibri" w:hAnsi="Calibri"/>
                <w:i/>
                <w:sz w:val="20"/>
                <w:szCs w:val="18"/>
              </w:rPr>
            </w:pPr>
            <w:r w:rsidRPr="00642A0E">
              <w:rPr>
                <w:rFonts w:ascii="Calibri" w:hAnsi="Calibri"/>
                <w:i/>
                <w:sz w:val="20"/>
                <w:szCs w:val="18"/>
              </w:rPr>
              <w:t xml:space="preserve">Relevant section of the Act and </w:t>
            </w:r>
            <w:r w:rsidRPr="00642A0E">
              <w:rPr>
                <w:rFonts w:ascii="Calibri" w:hAnsi="Calibri"/>
                <w:i/>
                <w:sz w:val="20"/>
                <w:szCs w:val="18"/>
              </w:rPr>
              <w:br/>
              <w:t>corresponding requirement</w:t>
            </w:r>
          </w:p>
        </w:tc>
        <w:tc>
          <w:tcPr>
            <w:tcW w:w="3893" w:type="dxa"/>
            <w:tcBorders>
              <w:top w:val="single" w:sz="6" w:space="0" w:color="auto"/>
              <w:bottom w:val="single" w:sz="6" w:space="0" w:color="auto"/>
              <w:right w:val="single" w:sz="6" w:space="0" w:color="auto"/>
            </w:tcBorders>
            <w:shd w:val="clear" w:color="auto" w:fill="000000"/>
            <w:vAlign w:val="bottom"/>
          </w:tcPr>
          <w:p w:rsidR="00566E9A" w:rsidRPr="00642A0E" w:rsidRDefault="00566E9A" w:rsidP="00AE5760">
            <w:pPr>
              <w:spacing w:after="0"/>
              <w:rPr>
                <w:rFonts w:ascii="Calibri" w:hAnsi="Calibri"/>
                <w:i/>
                <w:sz w:val="20"/>
                <w:szCs w:val="18"/>
              </w:rPr>
            </w:pPr>
            <w:r w:rsidRPr="00642A0E">
              <w:rPr>
                <w:rFonts w:ascii="Calibri" w:hAnsi="Calibri"/>
                <w:i/>
                <w:sz w:val="20"/>
                <w:szCs w:val="18"/>
              </w:rPr>
              <w:t>Location</w:t>
            </w:r>
          </w:p>
        </w:tc>
      </w:tr>
      <w:tr w:rsidR="00566E9A" w:rsidRPr="00642A0E" w:rsidTr="00AE5760">
        <w:tc>
          <w:tcPr>
            <w:tcW w:w="3896" w:type="dxa"/>
            <w:tcBorders>
              <w:top w:val="single" w:sz="6" w:space="0" w:color="auto"/>
            </w:tcBorders>
            <w:shd w:val="clear" w:color="auto" w:fill="auto"/>
          </w:tcPr>
          <w:p w:rsidR="00566E9A" w:rsidRPr="00642A0E" w:rsidRDefault="00566E9A" w:rsidP="00AE5760">
            <w:pPr>
              <w:spacing w:after="0"/>
              <w:rPr>
                <w:rFonts w:ascii="Calibri" w:hAnsi="Calibri"/>
                <w:b/>
                <w:sz w:val="20"/>
                <w:szCs w:val="18"/>
              </w:rPr>
            </w:pPr>
            <w:r w:rsidRPr="00642A0E">
              <w:rPr>
                <w:rFonts w:ascii="Calibri" w:hAnsi="Calibri"/>
                <w:b/>
                <w:sz w:val="20"/>
                <w:szCs w:val="18"/>
              </w:rPr>
              <w:t>Sections 23 E</w:t>
            </w:r>
            <w:r w:rsidRPr="00642A0E">
              <w:rPr>
                <w:rFonts w:ascii="Calibri" w:hAnsi="Calibri"/>
                <w:b/>
                <w:sz w:val="20"/>
                <w:szCs w:val="18"/>
              </w:rPr>
              <w:noBreakHyphen/>
              <w:t>G</w:t>
            </w:r>
          </w:p>
        </w:tc>
        <w:tc>
          <w:tcPr>
            <w:tcW w:w="3893" w:type="dxa"/>
            <w:tcBorders>
              <w:top w:val="single" w:sz="6" w:space="0" w:color="auto"/>
            </w:tcBorders>
            <w:shd w:val="clear" w:color="auto" w:fill="auto"/>
          </w:tcPr>
          <w:p w:rsidR="00566E9A" w:rsidRPr="00642A0E" w:rsidRDefault="00566E9A" w:rsidP="00AE5760">
            <w:pPr>
              <w:spacing w:after="0"/>
              <w:rPr>
                <w:rFonts w:ascii="Calibri" w:hAnsi="Calibri"/>
                <w:sz w:val="20"/>
                <w:szCs w:val="18"/>
              </w:rPr>
            </w:pPr>
          </w:p>
        </w:tc>
      </w:tr>
      <w:tr w:rsidR="00566E9A" w:rsidRPr="00642A0E" w:rsidTr="00AE5760">
        <w:tc>
          <w:tcPr>
            <w:tcW w:w="3896"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Statement of financial policy objectives and strategies for the year.</w:t>
            </w:r>
          </w:p>
        </w:tc>
        <w:tc>
          <w:tcPr>
            <w:tcW w:w="3893"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Chapter 1 </w:t>
            </w:r>
            <w:r w:rsidRPr="00642A0E">
              <w:rPr>
                <w:rFonts w:ascii="Calibri" w:hAnsi="Calibri"/>
                <w:i/>
                <w:sz w:val="20"/>
                <w:szCs w:val="18"/>
              </w:rPr>
              <w:t>Economic and fiscal overview</w:t>
            </w:r>
          </w:p>
        </w:tc>
      </w:tr>
      <w:tr w:rsidR="00566E9A" w:rsidRPr="00642A0E" w:rsidTr="00AE5760">
        <w:tc>
          <w:tcPr>
            <w:tcW w:w="3896" w:type="dxa"/>
            <w:shd w:val="clear" w:color="auto" w:fill="auto"/>
          </w:tcPr>
          <w:p w:rsidR="00566E9A" w:rsidRPr="00642A0E" w:rsidRDefault="00566E9A" w:rsidP="00AE5760">
            <w:pPr>
              <w:spacing w:after="0"/>
              <w:rPr>
                <w:rFonts w:ascii="Calibri" w:hAnsi="Calibri"/>
                <w:b/>
                <w:sz w:val="20"/>
                <w:szCs w:val="18"/>
              </w:rPr>
            </w:pPr>
            <w:r w:rsidRPr="00642A0E">
              <w:rPr>
                <w:rFonts w:ascii="Calibri" w:hAnsi="Calibri"/>
                <w:b/>
                <w:sz w:val="20"/>
                <w:szCs w:val="18"/>
              </w:rPr>
              <w:t>Sections 23 H</w:t>
            </w:r>
            <w:r w:rsidRPr="00642A0E">
              <w:rPr>
                <w:rFonts w:ascii="Calibri" w:hAnsi="Calibri"/>
                <w:b/>
                <w:sz w:val="20"/>
                <w:szCs w:val="18"/>
              </w:rPr>
              <w:noBreakHyphen/>
              <w:t>N</w:t>
            </w:r>
          </w:p>
        </w:tc>
        <w:tc>
          <w:tcPr>
            <w:tcW w:w="3893" w:type="dxa"/>
            <w:shd w:val="clear" w:color="auto" w:fill="auto"/>
          </w:tcPr>
          <w:p w:rsidR="00566E9A" w:rsidRPr="00642A0E" w:rsidRDefault="00566E9A" w:rsidP="00AE5760">
            <w:pPr>
              <w:spacing w:after="0"/>
              <w:rPr>
                <w:rFonts w:ascii="Calibri" w:hAnsi="Calibri"/>
                <w:sz w:val="20"/>
                <w:szCs w:val="18"/>
              </w:rPr>
            </w:pPr>
          </w:p>
        </w:tc>
      </w:tr>
      <w:tr w:rsidR="00566E9A" w:rsidRPr="00642A0E" w:rsidTr="00AE5760">
        <w:tc>
          <w:tcPr>
            <w:tcW w:w="3896"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Estimated financial statements for the year comprising:</w:t>
            </w:r>
          </w:p>
          <w:p w:rsidR="00566E9A" w:rsidRPr="00642A0E" w:rsidRDefault="00566E9A" w:rsidP="00AE5760">
            <w:pPr>
              <w:numPr>
                <w:ilvl w:val="0"/>
                <w:numId w:val="46"/>
              </w:numPr>
              <w:spacing w:after="0"/>
              <w:rPr>
                <w:rFonts w:ascii="Calibri" w:hAnsi="Calibri" w:cs="Garamond"/>
                <w:sz w:val="20"/>
                <w:szCs w:val="18"/>
              </w:rPr>
            </w:pPr>
            <w:r w:rsidRPr="00642A0E">
              <w:rPr>
                <w:rFonts w:ascii="Calibri" w:hAnsi="Calibri" w:cs="Garamond"/>
                <w:sz w:val="20"/>
                <w:szCs w:val="18"/>
              </w:rPr>
              <w:t>an estimated statement of financial performance for the year;</w:t>
            </w:r>
          </w:p>
          <w:p w:rsidR="00566E9A" w:rsidRPr="00642A0E" w:rsidRDefault="00566E9A" w:rsidP="00AE5760">
            <w:pPr>
              <w:numPr>
                <w:ilvl w:val="0"/>
                <w:numId w:val="46"/>
              </w:numPr>
              <w:spacing w:after="0"/>
              <w:rPr>
                <w:rFonts w:ascii="Calibri" w:hAnsi="Calibri" w:cs="Garamond"/>
                <w:sz w:val="20"/>
                <w:szCs w:val="18"/>
              </w:rPr>
            </w:pPr>
            <w:r w:rsidRPr="00642A0E">
              <w:rPr>
                <w:rFonts w:ascii="Calibri" w:hAnsi="Calibri" w:cs="Garamond"/>
                <w:sz w:val="20"/>
                <w:szCs w:val="18"/>
              </w:rPr>
              <w:t>an estimated statement of financial position at the end of the year;</w:t>
            </w:r>
          </w:p>
          <w:p w:rsidR="00566E9A" w:rsidRPr="00642A0E" w:rsidRDefault="00566E9A" w:rsidP="00AE5760">
            <w:pPr>
              <w:numPr>
                <w:ilvl w:val="0"/>
                <w:numId w:val="46"/>
              </w:numPr>
              <w:spacing w:after="0"/>
              <w:rPr>
                <w:rFonts w:ascii="Calibri" w:hAnsi="Calibri" w:cs="Garamond"/>
                <w:sz w:val="20"/>
                <w:szCs w:val="18"/>
              </w:rPr>
            </w:pPr>
            <w:r w:rsidRPr="00642A0E">
              <w:rPr>
                <w:rFonts w:ascii="Calibri" w:hAnsi="Calibri" w:cs="Garamond"/>
                <w:sz w:val="20"/>
                <w:szCs w:val="18"/>
              </w:rPr>
              <w:t>an estima</w:t>
            </w:r>
            <w:r>
              <w:rPr>
                <w:rFonts w:ascii="Calibri" w:hAnsi="Calibri" w:cs="Garamond"/>
                <w:sz w:val="20"/>
                <w:szCs w:val="18"/>
              </w:rPr>
              <w:t>ted statement of cash flows for </w:t>
            </w:r>
            <w:r w:rsidRPr="00642A0E">
              <w:rPr>
                <w:rFonts w:ascii="Calibri" w:hAnsi="Calibri" w:cs="Garamond"/>
                <w:sz w:val="20"/>
                <w:szCs w:val="18"/>
              </w:rPr>
              <w:t xml:space="preserve">the year; </w:t>
            </w:r>
          </w:p>
          <w:p w:rsidR="00566E9A" w:rsidRPr="00642A0E" w:rsidRDefault="00566E9A" w:rsidP="00AE5760">
            <w:pPr>
              <w:numPr>
                <w:ilvl w:val="0"/>
                <w:numId w:val="46"/>
              </w:numPr>
              <w:spacing w:after="0"/>
              <w:rPr>
                <w:rFonts w:ascii="Calibri" w:hAnsi="Calibri"/>
                <w:sz w:val="20"/>
                <w:szCs w:val="18"/>
              </w:rPr>
            </w:pPr>
            <w:r w:rsidRPr="00642A0E">
              <w:rPr>
                <w:rFonts w:ascii="Calibri" w:hAnsi="Calibri" w:cs="Garamond"/>
                <w:sz w:val="20"/>
                <w:szCs w:val="18"/>
              </w:rPr>
              <w:t>a statemen</w:t>
            </w:r>
            <w:r>
              <w:rPr>
                <w:rFonts w:ascii="Calibri" w:hAnsi="Calibri" w:cs="Garamond"/>
                <w:sz w:val="20"/>
                <w:szCs w:val="18"/>
              </w:rPr>
              <w:t>t of the accounting policies on </w:t>
            </w:r>
            <w:r w:rsidRPr="00642A0E">
              <w:rPr>
                <w:rFonts w:ascii="Calibri" w:hAnsi="Calibri" w:cs="Garamond"/>
                <w:sz w:val="20"/>
                <w:szCs w:val="18"/>
              </w:rPr>
              <w:t>which</w:t>
            </w:r>
            <w:r>
              <w:rPr>
                <w:rFonts w:ascii="Calibri" w:hAnsi="Calibri" w:cs="Garamond"/>
                <w:sz w:val="20"/>
                <w:szCs w:val="18"/>
              </w:rPr>
              <w:t xml:space="preserve"> these statements are based and </w:t>
            </w:r>
            <w:r w:rsidRPr="00642A0E">
              <w:rPr>
                <w:rFonts w:ascii="Calibri" w:hAnsi="Calibri" w:cs="Garamond"/>
                <w:sz w:val="20"/>
                <w:szCs w:val="18"/>
              </w:rPr>
              <w:t>explanatory notes; and</w:t>
            </w:r>
          </w:p>
        </w:tc>
        <w:tc>
          <w:tcPr>
            <w:tcW w:w="3893"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Chapter 4 </w:t>
            </w:r>
            <w:r w:rsidRPr="00642A0E">
              <w:rPr>
                <w:rFonts w:ascii="Calibri" w:hAnsi="Calibri"/>
                <w:i/>
                <w:sz w:val="20"/>
                <w:szCs w:val="18"/>
              </w:rPr>
              <w:t>Estimated financial statements and notes</w:t>
            </w:r>
            <w:r w:rsidRPr="00642A0E">
              <w:rPr>
                <w:rFonts w:ascii="Calibri" w:hAnsi="Calibri"/>
                <w:sz w:val="20"/>
                <w:szCs w:val="18"/>
              </w:rPr>
              <w:t xml:space="preserve"> (estimated consolidated comprehensive operating statement, estimated consolidated balance sheet, estimated consolidated cash flow statement and estimated consolidated statement of changes in equity provided as per AASB 1049)</w:t>
            </w:r>
          </w:p>
        </w:tc>
      </w:tr>
      <w:tr w:rsidR="00566E9A" w:rsidRPr="00642A0E" w:rsidTr="00AE5760">
        <w:tc>
          <w:tcPr>
            <w:tcW w:w="3896" w:type="dxa"/>
            <w:shd w:val="clear" w:color="auto" w:fill="auto"/>
          </w:tcPr>
          <w:p w:rsidR="00566E9A" w:rsidRPr="00642A0E" w:rsidRDefault="00566E9A" w:rsidP="00AE5760">
            <w:pPr>
              <w:numPr>
                <w:ilvl w:val="0"/>
                <w:numId w:val="46"/>
              </w:numPr>
              <w:spacing w:after="0"/>
              <w:rPr>
                <w:rFonts w:ascii="Calibri" w:hAnsi="Calibri"/>
                <w:sz w:val="20"/>
                <w:szCs w:val="18"/>
              </w:rPr>
            </w:pPr>
            <w:r w:rsidRPr="00642A0E">
              <w:rPr>
                <w:rFonts w:ascii="Calibri" w:hAnsi="Calibri" w:cs="Garamond"/>
                <w:sz w:val="20"/>
                <w:szCs w:val="18"/>
              </w:rPr>
              <w:t>government decisions and other circumstances that may have a material effect on the estimated financial statements.</w:t>
            </w:r>
            <w:r w:rsidRPr="00642A0E">
              <w:rPr>
                <w:rFonts w:ascii="Calibri" w:hAnsi="Calibri"/>
                <w:sz w:val="20"/>
                <w:szCs w:val="18"/>
              </w:rPr>
              <w:t xml:space="preserve"> </w:t>
            </w:r>
          </w:p>
        </w:tc>
        <w:tc>
          <w:tcPr>
            <w:tcW w:w="3893"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Appendix A </w:t>
            </w:r>
            <w:r w:rsidRPr="00642A0E">
              <w:rPr>
                <w:rFonts w:ascii="Calibri" w:hAnsi="Calibri"/>
                <w:i/>
                <w:sz w:val="20"/>
                <w:szCs w:val="18"/>
              </w:rPr>
              <w:t>Specific policy initiatives affecting the budget position</w:t>
            </w:r>
          </w:p>
        </w:tc>
      </w:tr>
    </w:tbl>
    <w:p w:rsidR="00566E9A" w:rsidRPr="00642A0E" w:rsidRDefault="00566E9A" w:rsidP="00AE5760">
      <w:pPr>
        <w:rPr>
          <w:rFonts w:ascii="Garamond" w:hAnsi="Garamond"/>
        </w:rPr>
      </w:pPr>
    </w:p>
    <w:p w:rsidR="00566E9A" w:rsidRPr="00642A0E" w:rsidRDefault="00566E9A" w:rsidP="00AE5760">
      <w:pPr>
        <w:keepNext/>
        <w:spacing w:before="360"/>
        <w:outlineLvl w:val="0"/>
        <w:rPr>
          <w:rFonts w:ascii="Calibri" w:hAnsi="Calibri"/>
          <w:b/>
          <w:caps/>
          <w:sz w:val="26"/>
        </w:rPr>
      </w:pPr>
      <w:r w:rsidRPr="00642A0E">
        <w:rPr>
          <w:rFonts w:ascii="Calibri" w:hAnsi="Calibri"/>
          <w:b/>
          <w:sz w:val="26"/>
        </w:rPr>
        <w:br w:type="page"/>
      </w:r>
    </w:p>
    <w:p w:rsidR="00566E9A" w:rsidRPr="00642A0E" w:rsidRDefault="00566E9A" w:rsidP="00AE5760">
      <w:pPr>
        <w:keepNext/>
        <w:spacing w:before="240"/>
        <w:ind w:left="1152" w:hanging="1152"/>
        <w:rPr>
          <w:rFonts w:ascii="Calibri" w:hAnsi="Calibri"/>
          <w:b/>
          <w:i/>
        </w:rPr>
      </w:pPr>
      <w:r w:rsidRPr="00642A0E">
        <w:rPr>
          <w:rFonts w:ascii="Calibri" w:hAnsi="Calibri"/>
          <w:b/>
        </w:rPr>
        <w:lastRenderedPageBreak/>
        <w:t>Table E.1:</w:t>
      </w:r>
      <w:r w:rsidRPr="00642A0E">
        <w:rPr>
          <w:rFonts w:ascii="Calibri" w:hAnsi="Calibri"/>
          <w:b/>
        </w:rPr>
        <w:tab/>
        <w:t xml:space="preserve">Statements required by the </w:t>
      </w:r>
      <w:r w:rsidRPr="00642A0E">
        <w:rPr>
          <w:rFonts w:ascii="Calibri" w:hAnsi="Calibri"/>
          <w:b/>
          <w:i/>
        </w:rPr>
        <w:t>Financial Management Act 1994</w:t>
      </w:r>
      <w:r w:rsidRPr="00642A0E">
        <w:rPr>
          <w:rFonts w:ascii="Calibri" w:hAnsi="Calibri"/>
          <w:b/>
        </w:rPr>
        <w:t xml:space="preserve"> and location in the </w:t>
      </w:r>
      <w:r w:rsidRPr="00642A0E">
        <w:rPr>
          <w:rFonts w:ascii="Calibri" w:hAnsi="Calibri"/>
          <w:b/>
          <w:i/>
        </w:rPr>
        <w:t>201</w:t>
      </w:r>
      <w:r>
        <w:rPr>
          <w:rFonts w:ascii="Calibri" w:hAnsi="Calibri"/>
          <w:b/>
          <w:i/>
        </w:rPr>
        <w:t>6</w:t>
      </w:r>
      <w:r w:rsidRPr="00642A0E">
        <w:rPr>
          <w:rFonts w:ascii="Calibri" w:hAnsi="Calibri"/>
          <w:b/>
          <w:i/>
        </w:rPr>
        <w:noBreakHyphen/>
        <w:t>1</w:t>
      </w:r>
      <w:r>
        <w:rPr>
          <w:rFonts w:ascii="Calibri" w:hAnsi="Calibri"/>
          <w:b/>
          <w:i/>
        </w:rPr>
        <w:t>7</w:t>
      </w:r>
      <w:r w:rsidRPr="00642A0E">
        <w:rPr>
          <w:rFonts w:ascii="Calibri" w:hAnsi="Calibri"/>
          <w:b/>
          <w:i/>
        </w:rPr>
        <w:t> Budget Update (continued)</w:t>
      </w:r>
    </w:p>
    <w:tbl>
      <w:tblPr>
        <w:tblW w:w="0" w:type="auto"/>
        <w:tblInd w:w="65" w:type="dxa"/>
        <w:tblLook w:val="01E0" w:firstRow="1" w:lastRow="1" w:firstColumn="1" w:lastColumn="1" w:noHBand="0" w:noVBand="0"/>
      </w:tblPr>
      <w:tblGrid>
        <w:gridCol w:w="3926"/>
        <w:gridCol w:w="3924"/>
      </w:tblGrid>
      <w:tr w:rsidR="00566E9A" w:rsidRPr="00642A0E" w:rsidTr="00AE5760">
        <w:tc>
          <w:tcPr>
            <w:tcW w:w="3928" w:type="dxa"/>
            <w:tcBorders>
              <w:top w:val="single" w:sz="4" w:space="0" w:color="auto"/>
              <w:left w:val="single" w:sz="4" w:space="0" w:color="auto"/>
              <w:bottom w:val="single" w:sz="4" w:space="0" w:color="auto"/>
            </w:tcBorders>
            <w:shd w:val="clear" w:color="auto" w:fill="000000"/>
          </w:tcPr>
          <w:p w:rsidR="00566E9A" w:rsidRPr="00642A0E" w:rsidRDefault="00566E9A" w:rsidP="00AE5760">
            <w:pPr>
              <w:spacing w:after="0"/>
              <w:rPr>
                <w:rFonts w:ascii="Calibri" w:hAnsi="Calibri"/>
                <w:i/>
                <w:sz w:val="20"/>
                <w:szCs w:val="18"/>
              </w:rPr>
            </w:pPr>
            <w:r w:rsidRPr="00642A0E">
              <w:rPr>
                <w:rFonts w:ascii="Calibri" w:hAnsi="Calibri"/>
                <w:i/>
                <w:sz w:val="20"/>
                <w:szCs w:val="18"/>
              </w:rPr>
              <w:t xml:space="preserve">Relevant section of the Act and </w:t>
            </w:r>
            <w:r w:rsidRPr="00642A0E">
              <w:rPr>
                <w:rFonts w:ascii="Calibri" w:hAnsi="Calibri"/>
                <w:i/>
                <w:sz w:val="20"/>
                <w:szCs w:val="18"/>
              </w:rPr>
              <w:br/>
              <w:t>corresponding requirement</w:t>
            </w:r>
          </w:p>
        </w:tc>
        <w:tc>
          <w:tcPr>
            <w:tcW w:w="3926" w:type="dxa"/>
            <w:tcBorders>
              <w:top w:val="single" w:sz="4" w:space="0" w:color="auto"/>
              <w:bottom w:val="single" w:sz="4" w:space="0" w:color="auto"/>
              <w:right w:val="single" w:sz="4" w:space="0" w:color="auto"/>
            </w:tcBorders>
            <w:shd w:val="clear" w:color="auto" w:fill="000000"/>
          </w:tcPr>
          <w:p w:rsidR="00566E9A" w:rsidRPr="00642A0E" w:rsidRDefault="00566E9A" w:rsidP="00AE5760">
            <w:pPr>
              <w:spacing w:after="0"/>
              <w:rPr>
                <w:rFonts w:ascii="Calibri" w:hAnsi="Calibri"/>
                <w:i/>
                <w:sz w:val="20"/>
                <w:szCs w:val="18"/>
              </w:rPr>
            </w:pPr>
            <w:r w:rsidRPr="00642A0E">
              <w:rPr>
                <w:rFonts w:ascii="Calibri" w:hAnsi="Calibri"/>
                <w:i/>
                <w:sz w:val="20"/>
                <w:szCs w:val="18"/>
              </w:rPr>
              <w:t>Location</w:t>
            </w:r>
          </w:p>
        </w:tc>
      </w:tr>
      <w:tr w:rsidR="00566E9A" w:rsidRPr="00642A0E" w:rsidTr="00AE5760">
        <w:tblPrEx>
          <w:tblCellMar>
            <w:left w:w="43" w:type="dxa"/>
            <w:right w:w="43" w:type="dxa"/>
          </w:tblCellMar>
        </w:tblPrEx>
        <w:tc>
          <w:tcPr>
            <w:tcW w:w="3928" w:type="dxa"/>
            <w:tcBorders>
              <w:top w:val="single" w:sz="4" w:space="0" w:color="auto"/>
            </w:tcBorders>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Accompanying statement to estimated financial statements which:</w:t>
            </w:r>
          </w:p>
        </w:tc>
        <w:tc>
          <w:tcPr>
            <w:tcW w:w="3926" w:type="dxa"/>
            <w:tcBorders>
              <w:top w:val="single" w:sz="4" w:space="0" w:color="auto"/>
            </w:tcBorders>
            <w:shd w:val="clear" w:color="auto" w:fill="auto"/>
          </w:tcPr>
          <w:p w:rsidR="00566E9A" w:rsidRPr="00642A0E" w:rsidRDefault="00566E9A" w:rsidP="00AE5760">
            <w:pPr>
              <w:spacing w:after="0"/>
              <w:rPr>
                <w:rFonts w:ascii="Calibri" w:hAnsi="Calibri"/>
                <w:sz w:val="20"/>
                <w:szCs w:val="18"/>
              </w:rPr>
            </w:pPr>
          </w:p>
        </w:tc>
      </w:tr>
      <w:tr w:rsidR="00566E9A" w:rsidRPr="00642A0E" w:rsidTr="00AE5760">
        <w:tblPrEx>
          <w:tblCellMar>
            <w:left w:w="43" w:type="dxa"/>
            <w:right w:w="43" w:type="dxa"/>
          </w:tblCellMar>
        </w:tblPrEx>
        <w:tc>
          <w:tcPr>
            <w:tcW w:w="3928" w:type="dxa"/>
            <w:shd w:val="clear" w:color="auto" w:fill="auto"/>
          </w:tcPr>
          <w:p w:rsidR="00566E9A" w:rsidRPr="00642A0E" w:rsidRDefault="00566E9A" w:rsidP="00AE5760">
            <w:pPr>
              <w:numPr>
                <w:ilvl w:val="0"/>
                <w:numId w:val="46"/>
              </w:numPr>
              <w:spacing w:after="0"/>
              <w:rPr>
                <w:rFonts w:ascii="Calibri" w:hAnsi="Calibri"/>
                <w:sz w:val="20"/>
                <w:szCs w:val="18"/>
              </w:rPr>
            </w:pPr>
            <w:r w:rsidRPr="00642A0E">
              <w:rPr>
                <w:rFonts w:ascii="Calibri" w:hAnsi="Calibri" w:cs="Garamond"/>
                <w:sz w:val="20"/>
                <w:szCs w:val="18"/>
              </w:rPr>
              <w:t>outlines the material economic assumptions used in preparation of the estimated financial statements;</w:t>
            </w:r>
          </w:p>
        </w:tc>
        <w:tc>
          <w:tcPr>
            <w:tcW w:w="3926"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Chapter 2 </w:t>
            </w:r>
            <w:r w:rsidRPr="00642A0E">
              <w:rPr>
                <w:rFonts w:ascii="Calibri" w:hAnsi="Calibri"/>
                <w:i/>
                <w:sz w:val="20"/>
                <w:szCs w:val="18"/>
              </w:rPr>
              <w:t xml:space="preserve">Economic context </w:t>
            </w:r>
            <w:r w:rsidRPr="00642A0E">
              <w:rPr>
                <w:rFonts w:ascii="Calibri" w:hAnsi="Calibri"/>
                <w:sz w:val="20"/>
                <w:szCs w:val="18"/>
              </w:rPr>
              <w:t xml:space="preserve">and Chapter 4 </w:t>
            </w:r>
            <w:r w:rsidRPr="00642A0E">
              <w:rPr>
                <w:rFonts w:ascii="Calibri" w:hAnsi="Calibri"/>
                <w:i/>
                <w:sz w:val="20"/>
                <w:szCs w:val="18"/>
              </w:rPr>
              <w:t>Estimated financial statements and notes</w:t>
            </w:r>
          </w:p>
        </w:tc>
      </w:tr>
      <w:tr w:rsidR="00566E9A" w:rsidRPr="00642A0E" w:rsidTr="00AE5760">
        <w:tblPrEx>
          <w:tblCellMar>
            <w:left w:w="43" w:type="dxa"/>
            <w:right w:w="43" w:type="dxa"/>
          </w:tblCellMar>
        </w:tblPrEx>
        <w:tc>
          <w:tcPr>
            <w:tcW w:w="3928" w:type="dxa"/>
            <w:shd w:val="clear" w:color="auto" w:fill="auto"/>
          </w:tcPr>
          <w:p w:rsidR="00566E9A" w:rsidRPr="00642A0E" w:rsidRDefault="00566E9A" w:rsidP="00AE5760">
            <w:pPr>
              <w:numPr>
                <w:ilvl w:val="0"/>
                <w:numId w:val="46"/>
              </w:numPr>
              <w:spacing w:after="0"/>
              <w:rPr>
                <w:rFonts w:ascii="Calibri" w:hAnsi="Calibri" w:cs="Garamond"/>
                <w:sz w:val="20"/>
                <w:szCs w:val="18"/>
              </w:rPr>
            </w:pPr>
            <w:r w:rsidRPr="00642A0E">
              <w:rPr>
                <w:rFonts w:ascii="Calibri" w:hAnsi="Calibri" w:cs="Garamond"/>
                <w:sz w:val="20"/>
                <w:szCs w:val="18"/>
              </w:rPr>
              <w:t>discusses the sensitivity of the estimated financial statements to changes in these assumptions;</w:t>
            </w:r>
          </w:p>
        </w:tc>
        <w:tc>
          <w:tcPr>
            <w:tcW w:w="3926"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Appendix D </w:t>
            </w:r>
            <w:r w:rsidRPr="00642A0E">
              <w:rPr>
                <w:rFonts w:ascii="Calibri" w:hAnsi="Calibri"/>
                <w:i/>
                <w:sz w:val="20"/>
                <w:szCs w:val="18"/>
              </w:rPr>
              <w:t>Sensitivity analysis</w:t>
            </w:r>
          </w:p>
        </w:tc>
      </w:tr>
      <w:tr w:rsidR="00566E9A" w:rsidRPr="00642A0E" w:rsidTr="00AE5760">
        <w:tblPrEx>
          <w:tblCellMar>
            <w:left w:w="43" w:type="dxa"/>
            <w:right w:w="43" w:type="dxa"/>
          </w:tblCellMar>
        </w:tblPrEx>
        <w:tc>
          <w:tcPr>
            <w:tcW w:w="3928" w:type="dxa"/>
            <w:shd w:val="clear" w:color="auto" w:fill="auto"/>
          </w:tcPr>
          <w:p w:rsidR="00566E9A" w:rsidRPr="00642A0E" w:rsidRDefault="00566E9A" w:rsidP="00AE5760">
            <w:pPr>
              <w:numPr>
                <w:ilvl w:val="0"/>
                <w:numId w:val="46"/>
              </w:numPr>
              <w:spacing w:after="0"/>
              <w:rPr>
                <w:rFonts w:ascii="Calibri" w:hAnsi="Calibri" w:cs="Garamond"/>
                <w:sz w:val="20"/>
                <w:szCs w:val="18"/>
              </w:rPr>
            </w:pPr>
            <w:r w:rsidRPr="00642A0E">
              <w:rPr>
                <w:rFonts w:ascii="Calibri" w:hAnsi="Calibri" w:cs="Garamond"/>
                <w:sz w:val="20"/>
                <w:szCs w:val="18"/>
              </w:rPr>
              <w:t>provides an overview of estimated tax expenditures for the financial years covered by the estimated financial statements; and</w:t>
            </w:r>
          </w:p>
        </w:tc>
        <w:tc>
          <w:tcPr>
            <w:tcW w:w="3926" w:type="dxa"/>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Appendix C </w:t>
            </w:r>
            <w:r w:rsidRPr="00642A0E">
              <w:rPr>
                <w:rFonts w:ascii="Calibri" w:hAnsi="Calibri"/>
                <w:i/>
                <w:sz w:val="20"/>
                <w:szCs w:val="18"/>
              </w:rPr>
              <w:t>Tax expenditures and concessions</w:t>
            </w:r>
          </w:p>
        </w:tc>
      </w:tr>
      <w:tr w:rsidR="00566E9A" w:rsidRPr="00642A0E" w:rsidTr="00AE5760">
        <w:tblPrEx>
          <w:tblCellMar>
            <w:left w:w="43" w:type="dxa"/>
            <w:right w:w="43" w:type="dxa"/>
          </w:tblCellMar>
        </w:tblPrEx>
        <w:tc>
          <w:tcPr>
            <w:tcW w:w="3928" w:type="dxa"/>
            <w:tcBorders>
              <w:bottom w:val="single" w:sz="12" w:space="0" w:color="auto"/>
            </w:tcBorders>
            <w:shd w:val="clear" w:color="auto" w:fill="auto"/>
          </w:tcPr>
          <w:p w:rsidR="00566E9A" w:rsidRPr="00642A0E" w:rsidRDefault="00566E9A" w:rsidP="00AE5760">
            <w:pPr>
              <w:numPr>
                <w:ilvl w:val="0"/>
                <w:numId w:val="46"/>
              </w:numPr>
              <w:spacing w:after="0"/>
              <w:rPr>
                <w:rFonts w:ascii="Calibri" w:hAnsi="Calibri" w:cs="Garamond"/>
                <w:sz w:val="20"/>
                <w:szCs w:val="18"/>
              </w:rPr>
            </w:pPr>
            <w:r w:rsidRPr="00642A0E">
              <w:rPr>
                <w:rFonts w:ascii="Calibri" w:hAnsi="Calibri" w:cs="Garamond"/>
                <w:sz w:val="20"/>
                <w:szCs w:val="18"/>
              </w:rPr>
              <w:t xml:space="preserve">provides a </w:t>
            </w:r>
            <w:r>
              <w:rPr>
                <w:rFonts w:ascii="Calibri" w:hAnsi="Calibri" w:cs="Garamond"/>
                <w:sz w:val="20"/>
                <w:szCs w:val="18"/>
              </w:rPr>
              <w:t>statement of the risks that may </w:t>
            </w:r>
            <w:r w:rsidRPr="00642A0E">
              <w:rPr>
                <w:rFonts w:ascii="Calibri" w:hAnsi="Calibri" w:cs="Garamond"/>
                <w:sz w:val="20"/>
                <w:szCs w:val="18"/>
              </w:rPr>
              <w:t>have a material effect on the estimated financial statements.</w:t>
            </w:r>
          </w:p>
        </w:tc>
        <w:tc>
          <w:tcPr>
            <w:tcW w:w="3926" w:type="dxa"/>
            <w:tcBorders>
              <w:bottom w:val="single" w:sz="12" w:space="0" w:color="auto"/>
            </w:tcBorders>
            <w:shd w:val="clear" w:color="auto" w:fill="auto"/>
          </w:tcPr>
          <w:p w:rsidR="00566E9A" w:rsidRPr="00642A0E" w:rsidRDefault="00566E9A" w:rsidP="00AE5760">
            <w:pPr>
              <w:spacing w:after="0"/>
              <w:rPr>
                <w:rFonts w:ascii="Calibri" w:hAnsi="Calibri"/>
                <w:sz w:val="20"/>
                <w:szCs w:val="18"/>
              </w:rPr>
            </w:pPr>
            <w:r w:rsidRPr="00642A0E">
              <w:rPr>
                <w:rFonts w:ascii="Calibri" w:hAnsi="Calibri"/>
                <w:sz w:val="20"/>
                <w:szCs w:val="18"/>
              </w:rPr>
              <w:t xml:space="preserve">Chapter 2 </w:t>
            </w:r>
            <w:r w:rsidRPr="00642A0E">
              <w:rPr>
                <w:rFonts w:ascii="Calibri" w:hAnsi="Calibri"/>
                <w:i/>
                <w:sz w:val="20"/>
                <w:szCs w:val="18"/>
              </w:rPr>
              <w:t>Economic context</w:t>
            </w:r>
            <w:r w:rsidRPr="00642A0E">
              <w:rPr>
                <w:rFonts w:ascii="Calibri" w:hAnsi="Calibri"/>
                <w:sz w:val="20"/>
                <w:szCs w:val="18"/>
              </w:rPr>
              <w:t xml:space="preserve">; Chapter 3 </w:t>
            </w:r>
            <w:r w:rsidRPr="00642A0E">
              <w:rPr>
                <w:rFonts w:ascii="Calibri" w:hAnsi="Calibri"/>
                <w:i/>
                <w:sz w:val="20"/>
                <w:szCs w:val="18"/>
              </w:rPr>
              <w:t>Budget position and outlook</w:t>
            </w:r>
            <w:r w:rsidRPr="00642A0E">
              <w:rPr>
                <w:rFonts w:ascii="Calibri" w:hAnsi="Calibri"/>
                <w:sz w:val="20"/>
                <w:szCs w:val="18"/>
              </w:rPr>
              <w:t xml:space="preserve">; and Chapter 6 </w:t>
            </w:r>
            <w:r w:rsidRPr="00642A0E">
              <w:rPr>
                <w:rFonts w:ascii="Calibri" w:hAnsi="Calibri"/>
                <w:i/>
                <w:sz w:val="20"/>
                <w:szCs w:val="18"/>
              </w:rPr>
              <w:t>Contingent assets and contingent liabilities</w:t>
            </w:r>
          </w:p>
        </w:tc>
      </w:tr>
    </w:tbl>
    <w:p w:rsidR="00566E9A" w:rsidRPr="00642A0E" w:rsidRDefault="00566E9A" w:rsidP="00AE5760">
      <w:pPr>
        <w:rPr>
          <w:rFonts w:ascii="Garamond" w:hAnsi="Garamond"/>
        </w:rPr>
      </w:pPr>
    </w:p>
    <w:p w:rsidR="00566E9A" w:rsidRDefault="00566E9A" w:rsidP="00AE5760">
      <w:pPr>
        <w:rPr>
          <w:rFonts w:eastAsiaTheme="minorHAnsi"/>
        </w:rPr>
      </w:pPr>
    </w:p>
    <w:p w:rsidR="00566E9A" w:rsidRPr="00553327" w:rsidRDefault="00566E9A" w:rsidP="00AE5760">
      <w:pPr>
        <w:spacing w:after="0"/>
        <w:rPr>
          <w:rFonts w:eastAsiaTheme="minorHAnsi"/>
        </w:rPr>
      </w:pPr>
    </w:p>
    <w:p w:rsidR="00566E9A" w:rsidRDefault="00566E9A" w:rsidP="00B47029">
      <w:pPr>
        <w:rPr>
          <w:rFonts w:eastAsiaTheme="minorHAnsi"/>
        </w:rPr>
      </w:pPr>
    </w:p>
    <w:p w:rsidR="00566E9A" w:rsidRDefault="00566E9A" w:rsidP="009F1202">
      <w:pPr>
        <w:rPr>
          <w:rFonts w:eastAsiaTheme="minorHAnsi"/>
        </w:rPr>
        <w:sectPr w:rsidR="00566E9A" w:rsidSect="009B70F1">
          <w:footerReference w:type="even" r:id="rId55"/>
          <w:footerReference w:type="default" r:id="rId56"/>
          <w:pgSz w:w="9979" w:h="14181" w:code="138"/>
          <w:pgMar w:top="1140" w:right="1140" w:bottom="1140" w:left="1140" w:header="720" w:footer="431" w:gutter="0"/>
          <w:cols w:space="708"/>
          <w:docGrid w:linePitch="360"/>
        </w:sectPr>
      </w:pPr>
    </w:p>
    <w:p w:rsidR="00566E9A" w:rsidRDefault="00566E9A" w:rsidP="00AE5760">
      <w:pPr>
        <w:pStyle w:val="ChapterHeading"/>
        <w:rPr>
          <w:rFonts w:eastAsiaTheme="minorHAnsi"/>
        </w:rPr>
      </w:pPr>
      <w:bookmarkStart w:id="91" w:name="_Toc468983305"/>
      <w:r>
        <w:rPr>
          <w:rFonts w:eastAsiaTheme="minorHAnsi"/>
        </w:rPr>
        <w:lastRenderedPageBreak/>
        <w:t>Style conventions</w:t>
      </w:r>
      <w:bookmarkEnd w:id="91"/>
    </w:p>
    <w:p w:rsidR="00566E9A" w:rsidRPr="0009665B" w:rsidRDefault="00566E9A" w:rsidP="00AE5760">
      <w:r w:rsidRPr="0009665B">
        <w:t>Figures in the tables and in the text have been rounded. Discrepancies in tables between totals and sums of components reflect rounding. Percentage changes in all tables are based on the underlying unrounded amounts.</w:t>
      </w:r>
    </w:p>
    <w:p w:rsidR="00566E9A" w:rsidRPr="0009665B" w:rsidRDefault="00566E9A" w:rsidP="00AE5760">
      <w:r w:rsidRPr="0009665B">
        <w:t>The notation used in the tables and charts is as follows:</w:t>
      </w:r>
    </w:p>
    <w:p w:rsidR="00566E9A" w:rsidRPr="0009665B" w:rsidRDefault="00566E9A" w:rsidP="00AE5760">
      <w:pPr>
        <w:ind w:left="2520" w:hanging="1800"/>
      </w:pPr>
      <w:proofErr w:type="spellStart"/>
      <w:r w:rsidRPr="0009665B">
        <w:t>n.a</w:t>
      </w:r>
      <w:proofErr w:type="spellEnd"/>
      <w:r w:rsidRPr="0009665B">
        <w:t xml:space="preserve">. or </w:t>
      </w:r>
      <w:proofErr w:type="spellStart"/>
      <w:r w:rsidRPr="0009665B">
        <w:t>na</w:t>
      </w:r>
      <w:proofErr w:type="spellEnd"/>
      <w:r w:rsidRPr="0009665B">
        <w:tab/>
        <w:t>not available or not applicable</w:t>
      </w:r>
    </w:p>
    <w:p w:rsidR="00566E9A" w:rsidRPr="0009665B" w:rsidRDefault="00566E9A" w:rsidP="00AE5760">
      <w:pPr>
        <w:ind w:left="2520" w:hanging="1800"/>
      </w:pPr>
      <w:r w:rsidRPr="0009665B">
        <w:t>1</w:t>
      </w:r>
      <w:r>
        <w:t> billion</w:t>
      </w:r>
      <w:r w:rsidRPr="0009665B">
        <w:tab/>
        <w:t>1 000</w:t>
      </w:r>
      <w:r>
        <w:t> million</w:t>
      </w:r>
    </w:p>
    <w:p w:rsidR="00566E9A" w:rsidRPr="0009665B" w:rsidRDefault="00566E9A" w:rsidP="00AE5760">
      <w:pPr>
        <w:ind w:left="2520" w:hanging="1800"/>
      </w:pPr>
      <w:r w:rsidRPr="0009665B">
        <w:t>1 basis point</w:t>
      </w:r>
      <w:r w:rsidRPr="0009665B">
        <w:tab/>
        <w:t>0.01</w:t>
      </w:r>
      <w:r>
        <w:t> per cent</w:t>
      </w:r>
    </w:p>
    <w:p w:rsidR="00566E9A" w:rsidRPr="0009665B" w:rsidRDefault="00566E9A" w:rsidP="00AE5760">
      <w:pPr>
        <w:ind w:left="2520" w:hanging="1800"/>
      </w:pPr>
      <w:r w:rsidRPr="0009665B">
        <w:t>..</w:t>
      </w:r>
      <w:r w:rsidRPr="0009665B">
        <w:tab/>
        <w:t>zero, or rounded to zero</w:t>
      </w:r>
    </w:p>
    <w:p w:rsidR="00566E9A" w:rsidRPr="0009665B" w:rsidRDefault="00566E9A" w:rsidP="00AE5760">
      <w:pPr>
        <w:ind w:left="2520" w:hanging="1800"/>
      </w:pPr>
      <w:r>
        <w:t>tbc</w:t>
      </w:r>
      <w:r w:rsidRPr="0009665B">
        <w:tab/>
        <w:t xml:space="preserve">to be </w:t>
      </w:r>
      <w:r>
        <w:t>confirmed</w:t>
      </w:r>
    </w:p>
    <w:p w:rsidR="00566E9A" w:rsidRPr="0009665B" w:rsidRDefault="00566E9A" w:rsidP="00AE5760">
      <w:pPr>
        <w:ind w:left="2520" w:hanging="1800"/>
      </w:pPr>
      <w:r w:rsidRPr="0009665B">
        <w:t>ongoing</w:t>
      </w:r>
      <w:r w:rsidRPr="0009665B">
        <w:tab/>
        <w:t>continuing output, program, project etc.</w:t>
      </w:r>
    </w:p>
    <w:p w:rsidR="00566E9A" w:rsidRDefault="00566E9A" w:rsidP="00AE5760">
      <w:pPr>
        <w:ind w:left="2520" w:hanging="1800"/>
      </w:pPr>
      <w:r w:rsidRPr="0009665B">
        <w:t>(</w:t>
      </w:r>
      <w:r>
        <w:t xml:space="preserve">x </w:t>
      </w:r>
      <w:proofErr w:type="spellStart"/>
      <w:r w:rsidRPr="0009665B">
        <w:t>xxx.x</w:t>
      </w:r>
      <w:proofErr w:type="spellEnd"/>
      <w:r w:rsidRPr="0009665B">
        <w:t>)</w:t>
      </w:r>
      <w:r w:rsidRPr="0009665B">
        <w:tab/>
        <w:t xml:space="preserve">negative </w:t>
      </w:r>
      <w:r>
        <w:t>amount</w:t>
      </w:r>
    </w:p>
    <w:p w:rsidR="00566E9A" w:rsidRDefault="00566E9A" w:rsidP="00AE5760">
      <w:pPr>
        <w:ind w:left="2520" w:hanging="1800"/>
      </w:pPr>
      <w:r>
        <w:t>x xxx.0</w:t>
      </w:r>
      <w:r>
        <w:tab/>
        <w:t>rounded amount</w:t>
      </w:r>
    </w:p>
    <w:p w:rsidR="00566E9A" w:rsidRPr="0009665B" w:rsidRDefault="00566E9A" w:rsidP="00AE5760">
      <w:pPr>
        <w:ind w:left="2520" w:hanging="1800"/>
      </w:pPr>
    </w:p>
    <w:p w:rsidR="00566E9A" w:rsidRDefault="00566E9A" w:rsidP="00AE5760">
      <w:pPr>
        <w:rPr>
          <w:rFonts w:eastAsiaTheme="minorHAnsi"/>
        </w:rPr>
      </w:pPr>
    </w:p>
    <w:p w:rsidR="00566E9A" w:rsidRDefault="00566E9A" w:rsidP="00AE5760">
      <w:pPr>
        <w:rPr>
          <w:color w:val="000000" w:themeColor="text1"/>
        </w:rPr>
      </w:pPr>
      <w:r w:rsidRPr="00C47FE8">
        <w:rPr>
          <w:color w:val="000000" w:themeColor="text1"/>
        </w:rPr>
        <w:t xml:space="preserve">Please refer to the </w:t>
      </w:r>
      <w:r w:rsidRPr="00C47FE8">
        <w:rPr>
          <w:b/>
          <w:color w:val="000000" w:themeColor="text1"/>
        </w:rPr>
        <w:t xml:space="preserve">Treasury and Finance glossary for budget and financial reports </w:t>
      </w:r>
      <w:r w:rsidRPr="00C47FE8">
        <w:rPr>
          <w:b/>
          <w:color w:val="000000" w:themeColor="text1"/>
        </w:rPr>
        <w:br/>
      </w:r>
      <w:r w:rsidRPr="00C47FE8">
        <w:rPr>
          <w:color w:val="000000" w:themeColor="text1"/>
        </w:rPr>
        <w:t xml:space="preserve">at </w:t>
      </w:r>
      <w:r w:rsidRPr="008F606B">
        <w:t>dtf.vic.gov.au</w:t>
      </w:r>
      <w:r w:rsidRPr="00C47FE8">
        <w:rPr>
          <w:color w:val="000000" w:themeColor="text1"/>
        </w:rPr>
        <w:t xml:space="preserve"> for additional terms and references.</w:t>
      </w:r>
    </w:p>
    <w:p w:rsidR="00566E9A" w:rsidRPr="00B47029" w:rsidRDefault="00566E9A" w:rsidP="004810F9">
      <w:pPr>
        <w:rPr>
          <w:rFonts w:eastAsiaTheme="minorHAnsi"/>
        </w:rPr>
      </w:pPr>
    </w:p>
    <w:sectPr w:rsidR="00566E9A" w:rsidRPr="00B47029" w:rsidSect="009B70F1">
      <w:footerReference w:type="even" r:id="rId57"/>
      <w:footerReference w:type="default" r:id="rId58"/>
      <w:pgSz w:w="9979" w:h="14181" w:code="138"/>
      <w:pgMar w:top="1140" w:right="1140" w:bottom="1140" w:left="1140" w:header="72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64" w:rsidRDefault="009E1D64">
      <w:pPr>
        <w:spacing w:after="0"/>
      </w:pPr>
      <w:r>
        <w:separator/>
      </w:r>
    </w:p>
  </w:endnote>
  <w:endnote w:type="continuationSeparator" w:id="0">
    <w:p w:rsidR="009E1D64" w:rsidRDefault="009E1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2</w:t>
    </w:r>
    <w:r>
      <w:rPr>
        <w:rStyle w:val="PageNumber"/>
      </w:rPr>
      <w:fldChar w:fldCharType="end"/>
    </w:r>
    <w:r>
      <w:rPr>
        <w:rStyle w:val="PageNumber"/>
      </w:rPr>
      <w:tab/>
      <w:t>Chapter x</w:t>
    </w:r>
    <w:r>
      <w:rPr>
        <w:rStyle w:val="PageNumber"/>
      </w:rPr>
      <w:tab/>
      <w:t>2016-17 Budget Update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Pr="005C68F1" w:rsidRDefault="009E1D64" w:rsidP="00AE5760">
    <w:pPr>
      <w:pStyle w:val="Footer"/>
      <w:tabs>
        <w:tab w:val="clear" w:pos="7085"/>
        <w:tab w:val="center" w:pos="2977"/>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64</w:t>
    </w:r>
    <w:r>
      <w:rPr>
        <w:rStyle w:val="PageNumber"/>
      </w:rPr>
      <w:fldChar w:fldCharType="end"/>
    </w:r>
    <w:r>
      <w:rPr>
        <w:rStyle w:val="PageNumber"/>
      </w:rPr>
      <w:tab/>
      <w:t>Chapter 4</w:t>
    </w:r>
    <w:r>
      <w:rPr>
        <w:rStyle w:val="PageNumber"/>
      </w:rPr>
      <w:tab/>
      <w:t>2016-17 Budget Update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AE5760">
    <w:pPr>
      <w:pStyle w:val="Footer"/>
      <w:tabs>
        <w:tab w:val="clear" w:pos="7085"/>
        <w:tab w:val="center" w:pos="4820"/>
        <w:tab w:val="right" w:pos="7655"/>
      </w:tabs>
      <w:spacing w:after="0"/>
    </w:pPr>
    <w:r>
      <w:rPr>
        <w:rStyle w:val="PageNumber"/>
      </w:rPr>
      <w:t>2016-17 Budget Update</w:t>
    </w:r>
    <w:r>
      <w:rPr>
        <w:rStyle w:val="PageNumber"/>
      </w:rPr>
      <w:tab/>
      <w:t>Chapter 4</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65</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Pr="00AA0897" w:rsidRDefault="009E1D64" w:rsidP="00AE5760">
    <w:pPr>
      <w:pStyle w:val="Footer"/>
      <w:tabs>
        <w:tab w:val="clear" w:pos="7085"/>
        <w:tab w:val="center" w:pos="2977"/>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66</w:t>
    </w:r>
    <w:r>
      <w:rPr>
        <w:rStyle w:val="PageNumber"/>
      </w:rPr>
      <w:fldChar w:fldCharType="end"/>
    </w:r>
    <w:r>
      <w:rPr>
        <w:rStyle w:val="PageNumber"/>
      </w:rPr>
      <w:tab/>
      <w:t>Chapter 4</w:t>
    </w:r>
    <w:r>
      <w:rPr>
        <w:rStyle w:val="PageNumber"/>
      </w:rPr>
      <w:tab/>
      <w:t>2016-17 Budget Update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98</w:t>
    </w:r>
    <w:r>
      <w:rPr>
        <w:rStyle w:val="PageNumber"/>
      </w:rPr>
      <w:fldChar w:fldCharType="end"/>
    </w:r>
    <w:r>
      <w:rPr>
        <w:rStyle w:val="PageNumber"/>
      </w:rPr>
      <w:tab/>
      <w:t>Chapter 5</w:t>
    </w:r>
    <w:r>
      <w:rPr>
        <w:rStyle w:val="PageNumber"/>
      </w:rPr>
      <w:tab/>
      <w:t>2016-17 Budget Update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Chapter 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97</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106</w:t>
    </w:r>
    <w:r>
      <w:rPr>
        <w:rStyle w:val="PageNumber"/>
      </w:rPr>
      <w:fldChar w:fldCharType="end"/>
    </w:r>
    <w:r>
      <w:rPr>
        <w:rStyle w:val="PageNumber"/>
      </w:rPr>
      <w:tab/>
      <w:t>Chapter 6</w:t>
    </w:r>
    <w:r>
      <w:rPr>
        <w:rStyle w:val="PageNumber"/>
      </w:rPr>
      <w:tab/>
      <w:t>2016-17 Budget Update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Chapter 6</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105</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122</w:t>
    </w:r>
    <w:r>
      <w:rPr>
        <w:rStyle w:val="PageNumber"/>
      </w:rPr>
      <w:fldChar w:fldCharType="end"/>
    </w:r>
    <w:r>
      <w:rPr>
        <w:rStyle w:val="PageNumber"/>
      </w:rPr>
      <w:tab/>
      <w:t>Appendix A</w:t>
    </w:r>
    <w:r>
      <w:rPr>
        <w:rStyle w:val="PageNumber"/>
      </w:rPr>
      <w:tab/>
      <w:t>2016-17 Budget Update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Pr="00B47029" w:rsidRDefault="009E1D64" w:rsidP="00B47029">
    <w:pPr>
      <w:rPr>
        <w:rStyle w:val="PageNumber"/>
        <w:rFonts w:asciiTheme="minorHAnsi" w:hAnsiTheme="minorHAnsi"/>
        <w:sz w:val="22"/>
      </w:rPr>
    </w:pPr>
    <w:r>
      <w:rPr>
        <w:rStyle w:val="PageNumber"/>
        <w:rFonts w:asciiTheme="minorHAnsi" w:hAnsiTheme="minorHAnsi"/>
        <w:sz w:val="22"/>
      </w:rPr>
      <w:fldChar w:fldCharType="begin"/>
    </w:r>
    <w:r>
      <w:rPr>
        <w:rStyle w:val="PageNumber"/>
        <w:rFonts w:asciiTheme="minorHAnsi" w:hAnsiTheme="minorHAnsi"/>
        <w:sz w:val="22"/>
      </w:rPr>
      <w:instrText xml:space="preserve"> PAGE  \* roman  \* MERGEFORMAT </w:instrText>
    </w:r>
    <w:r>
      <w:rPr>
        <w:rStyle w:val="PageNumber"/>
        <w:rFonts w:asciiTheme="minorHAnsi" w:hAnsiTheme="minorHAnsi"/>
        <w:sz w:val="22"/>
      </w:rPr>
      <w:fldChar w:fldCharType="separate"/>
    </w:r>
    <w:r w:rsidR="00B3028D">
      <w:rPr>
        <w:rStyle w:val="PageNumber"/>
        <w:rFonts w:asciiTheme="minorHAnsi" w:hAnsiTheme="minorHAnsi"/>
        <w:noProof/>
        <w:sz w:val="22"/>
      </w:rPr>
      <w:t>ii</w:t>
    </w:r>
    <w:r>
      <w:rPr>
        <w:rStyle w:val="PageNumber"/>
        <w:rFonts w:asciiTheme="minorHAnsi" w:hAnsiTheme="minorHAnsi"/>
        <w:sz w:val="2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Appendix 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121</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124</w:t>
    </w:r>
    <w:r>
      <w:rPr>
        <w:rStyle w:val="PageNumber"/>
      </w:rPr>
      <w:fldChar w:fldCharType="end"/>
    </w:r>
    <w:r>
      <w:rPr>
        <w:rStyle w:val="PageNumber"/>
      </w:rPr>
      <w:tab/>
      <w:t>Appendix B</w:t>
    </w:r>
    <w:r>
      <w:rPr>
        <w:rStyle w:val="PageNumber"/>
      </w:rPr>
      <w:tab/>
      <w:t>2016-17 Budget Update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Appendix 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123</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AE5760">
    <w:pPr>
      <w:pStyle w:val="Footer"/>
      <w:tabs>
        <w:tab w:val="clear" w:pos="7085"/>
        <w:tab w:val="center" w:pos="2977"/>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128</w:t>
    </w:r>
    <w:r>
      <w:rPr>
        <w:rStyle w:val="PageNumber"/>
      </w:rPr>
      <w:fldChar w:fldCharType="end"/>
    </w:r>
    <w:r>
      <w:rPr>
        <w:rStyle w:val="PageNumber"/>
      </w:rPr>
      <w:tab/>
      <w:t>Appendix C</w:t>
    </w:r>
    <w:r>
      <w:rPr>
        <w:rStyle w:val="PageNumber"/>
      </w:rPr>
      <w:tab/>
      <w:t>2016-17 Budget Update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Pr="009A56A9" w:rsidRDefault="009E1D64" w:rsidP="00AE5760">
    <w:pPr>
      <w:pStyle w:val="Footer"/>
      <w:tabs>
        <w:tab w:val="clear" w:pos="7085"/>
        <w:tab w:val="center" w:pos="4820"/>
        <w:tab w:val="right" w:pos="7655"/>
      </w:tabs>
      <w:spacing w:after="0"/>
    </w:pPr>
    <w:r>
      <w:rPr>
        <w:rStyle w:val="PageNumber"/>
      </w:rPr>
      <w:t>2016-17 Budget Update</w:t>
    </w:r>
    <w:r>
      <w:rPr>
        <w:rStyle w:val="PageNumber"/>
      </w:rPr>
      <w:tab/>
      <w:t>Appendix C</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127</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142</w:t>
    </w:r>
    <w:r>
      <w:rPr>
        <w:rStyle w:val="PageNumber"/>
      </w:rPr>
      <w:fldChar w:fldCharType="end"/>
    </w:r>
    <w:r>
      <w:rPr>
        <w:rStyle w:val="PageNumber"/>
      </w:rPr>
      <w:tab/>
      <w:t>Appendix D</w:t>
    </w:r>
    <w:r>
      <w:rPr>
        <w:rStyle w:val="PageNumber"/>
      </w:rPr>
      <w:tab/>
      <w:t>2016-17 Budget Update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Appendix 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141</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144</w:t>
    </w:r>
    <w:r>
      <w:rPr>
        <w:rStyle w:val="PageNumber"/>
      </w:rPr>
      <w:fldChar w:fldCharType="end"/>
    </w:r>
    <w:r>
      <w:rPr>
        <w:rStyle w:val="PageNumber"/>
      </w:rPr>
      <w:tab/>
      <w:t>Appendix E</w:t>
    </w:r>
    <w:r>
      <w:rPr>
        <w:rStyle w:val="PageNumber"/>
      </w:rPr>
      <w:tab/>
      <w:t>2016-17 Budget Update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Appendix 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143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Pr="00B47029" w:rsidRDefault="009E1D64" w:rsidP="00B47029">
    <w:pPr>
      <w:jc w:val="right"/>
      <w:rPr>
        <w:rStyle w:val="PageNumber"/>
        <w:rFonts w:asciiTheme="minorHAnsi" w:hAnsiTheme="minorHAnsi"/>
        <w:sz w:val="22"/>
      </w:rPr>
    </w:pPr>
    <w:r>
      <w:rPr>
        <w:rStyle w:val="PageNumber"/>
        <w:rFonts w:asciiTheme="minorHAnsi" w:hAnsiTheme="minorHAnsi"/>
        <w:sz w:val="22"/>
      </w:rPr>
      <w:fldChar w:fldCharType="begin"/>
    </w:r>
    <w:r>
      <w:rPr>
        <w:rStyle w:val="PageNumber"/>
        <w:rFonts w:asciiTheme="minorHAnsi" w:hAnsiTheme="minorHAnsi"/>
        <w:sz w:val="22"/>
      </w:rPr>
      <w:instrText xml:space="preserve"> PAGE  \* roman  \* MERGEFORMAT </w:instrText>
    </w:r>
    <w:r>
      <w:rPr>
        <w:rStyle w:val="PageNumber"/>
        <w:rFonts w:asciiTheme="minorHAnsi" w:hAnsiTheme="minorHAnsi"/>
        <w:sz w:val="22"/>
      </w:rPr>
      <w:fldChar w:fldCharType="separate"/>
    </w:r>
    <w:r w:rsidR="00B3028D">
      <w:rPr>
        <w:rStyle w:val="PageNumber"/>
        <w:rFonts w:asciiTheme="minorHAnsi" w:hAnsiTheme="minorHAnsi"/>
        <w:noProof/>
        <w:sz w:val="22"/>
      </w:rPr>
      <w:t>i</w:t>
    </w:r>
    <w:r>
      <w:rPr>
        <w:rStyle w:val="PageNumber"/>
        <w:rFonts w:asciiTheme="minorHAnsi" w:hAnsiTheme="minorHAnsi"/>
        <w:sz w:val="22"/>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Style conventions</w:t>
    </w:r>
    <w:r>
      <w:rPr>
        <w:rStyle w:val="PageNumber"/>
      </w:rPr>
      <w:tab/>
      <w:t>2016-17 Budget Update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Style conventions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145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2</w:t>
    </w:r>
    <w:r>
      <w:rPr>
        <w:rStyle w:val="PageNumber"/>
      </w:rPr>
      <w:fldChar w:fldCharType="end"/>
    </w:r>
    <w:r>
      <w:rPr>
        <w:rStyle w:val="PageNumber"/>
      </w:rPr>
      <w:tab/>
      <w:t>Chapter 1</w:t>
    </w:r>
    <w:r>
      <w:rPr>
        <w:rStyle w:val="PageNumber"/>
      </w:rPr>
      <w:tab/>
      <w:t>2016-17 Budget Update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2016-17 Budget Update</w:t>
    </w:r>
    <w:r>
      <w:rPr>
        <w:rStyle w:val="PageNumber"/>
      </w:rPr>
      <w:tab/>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Pr="00082F37" w:rsidRDefault="009E1D64" w:rsidP="00AE5760">
    <w:pPr>
      <w:pStyle w:val="Footer"/>
      <w:tabs>
        <w:tab w:val="clear" w:pos="7085"/>
        <w:tab w:val="center" w:pos="2977"/>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10</w:t>
    </w:r>
    <w:r>
      <w:rPr>
        <w:rStyle w:val="PageNumber"/>
      </w:rPr>
      <w:fldChar w:fldCharType="end"/>
    </w:r>
    <w:r>
      <w:rPr>
        <w:rStyle w:val="PageNumber"/>
      </w:rPr>
      <w:tab/>
      <w:t>Chapter 2</w:t>
    </w:r>
    <w:r>
      <w:rPr>
        <w:rStyle w:val="PageNumber"/>
      </w:rPr>
      <w:tab/>
      <w:t>2016-17 Budget Update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AE5760">
    <w:pPr>
      <w:pStyle w:val="Footer"/>
      <w:tabs>
        <w:tab w:val="clear" w:pos="7085"/>
        <w:tab w:val="center" w:pos="4820"/>
        <w:tab w:val="right" w:pos="7655"/>
      </w:tabs>
      <w:spacing w:after="0"/>
    </w:pPr>
    <w:r>
      <w:rPr>
        <w:rStyle w:val="PageNumber"/>
      </w:rPr>
      <w:t>2016-17 Budget Update</w:t>
    </w:r>
    <w:r>
      <w:rPr>
        <w:rStyle w:val="PageNumber"/>
      </w:rPr>
      <w:tab/>
      <w:t>Chapter 2</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20</w:t>
    </w:r>
    <w:r>
      <w:rPr>
        <w:rStyle w:val="PageNumber"/>
      </w:rPr>
      <w:fldChar w:fldCharType="end"/>
    </w:r>
    <w:r>
      <w:rPr>
        <w:rStyle w:val="PageNumber"/>
      </w:rPr>
      <w:tab/>
      <w:t>Chapter 3</w:t>
    </w:r>
    <w:r>
      <w:rPr>
        <w:rStyle w:val="PageNumber"/>
      </w:rPr>
      <w:tab/>
      <w:t>2016</w:t>
    </w:r>
    <w:r>
      <w:rPr>
        <w:rStyle w:val="PageNumber"/>
      </w:rPr>
      <w:noBreakHyphen/>
      <w:t>17 Budget Update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rsidP="00C97E08">
    <w:pPr>
      <w:pStyle w:val="Footer"/>
      <w:tabs>
        <w:tab w:val="clear" w:pos="7085"/>
        <w:tab w:val="center" w:pos="4820"/>
        <w:tab w:val="right" w:pos="7655"/>
      </w:tabs>
      <w:spacing w:after="0"/>
      <w:rPr>
        <w:rStyle w:val="PageNumber"/>
      </w:rPr>
    </w:pPr>
    <w:r>
      <w:rPr>
        <w:rStyle w:val="PageNumber"/>
      </w:rPr>
      <w:t>2016</w:t>
    </w:r>
    <w:r>
      <w:rPr>
        <w:rStyle w:val="PageNumber"/>
      </w:rPr>
      <w:noBreakHyphen/>
      <w:t>17 Budget Update</w:t>
    </w:r>
    <w:r>
      <w:rPr>
        <w:rStyle w:val="PageNumber"/>
      </w:rPr>
      <w:tab/>
      <w:t>Chapter 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028D">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64" w:rsidRDefault="009E1D64">
      <w:pPr>
        <w:spacing w:after="0"/>
      </w:pPr>
      <w:r>
        <w:separator/>
      </w:r>
    </w:p>
  </w:footnote>
  <w:footnote w:type="continuationSeparator" w:id="0">
    <w:p w:rsidR="009E1D64" w:rsidRDefault="009E1D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64" w:rsidRDefault="009E1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85F4ED5"/>
    <w:multiLevelType w:val="hybridMultilevel"/>
    <w:tmpl w:val="197058CC"/>
    <w:lvl w:ilvl="0" w:tplc="FE105EF0">
      <w:start w:val="1"/>
      <w:numFmt w:val="bullet"/>
      <w:lvlText w:val="•"/>
      <w:lvlJc w:val="left"/>
      <w:pPr>
        <w:tabs>
          <w:tab w:val="num" w:pos="720"/>
        </w:tabs>
        <w:ind w:left="720" w:hanging="360"/>
      </w:pPr>
      <w:rPr>
        <w:rFonts w:ascii="Arial" w:hAnsi="Arial" w:hint="default"/>
      </w:rPr>
    </w:lvl>
    <w:lvl w:ilvl="1" w:tplc="BA804826">
      <w:start w:val="1"/>
      <w:numFmt w:val="bullet"/>
      <w:lvlText w:val="•"/>
      <w:lvlJc w:val="left"/>
      <w:pPr>
        <w:tabs>
          <w:tab w:val="num" w:pos="1440"/>
        </w:tabs>
        <w:ind w:left="1440" w:hanging="360"/>
      </w:pPr>
      <w:rPr>
        <w:rFonts w:ascii="Arial" w:hAnsi="Arial" w:hint="default"/>
      </w:rPr>
    </w:lvl>
    <w:lvl w:ilvl="2" w:tplc="4218228E" w:tentative="1">
      <w:start w:val="1"/>
      <w:numFmt w:val="bullet"/>
      <w:lvlText w:val="•"/>
      <w:lvlJc w:val="left"/>
      <w:pPr>
        <w:tabs>
          <w:tab w:val="num" w:pos="2160"/>
        </w:tabs>
        <w:ind w:left="2160" w:hanging="360"/>
      </w:pPr>
      <w:rPr>
        <w:rFonts w:ascii="Arial" w:hAnsi="Arial" w:hint="default"/>
      </w:rPr>
    </w:lvl>
    <w:lvl w:ilvl="3" w:tplc="01E86B02" w:tentative="1">
      <w:start w:val="1"/>
      <w:numFmt w:val="bullet"/>
      <w:lvlText w:val="•"/>
      <w:lvlJc w:val="left"/>
      <w:pPr>
        <w:tabs>
          <w:tab w:val="num" w:pos="2880"/>
        </w:tabs>
        <w:ind w:left="2880" w:hanging="360"/>
      </w:pPr>
      <w:rPr>
        <w:rFonts w:ascii="Arial" w:hAnsi="Arial" w:hint="default"/>
      </w:rPr>
    </w:lvl>
    <w:lvl w:ilvl="4" w:tplc="CCA8FC82" w:tentative="1">
      <w:start w:val="1"/>
      <w:numFmt w:val="bullet"/>
      <w:lvlText w:val="•"/>
      <w:lvlJc w:val="left"/>
      <w:pPr>
        <w:tabs>
          <w:tab w:val="num" w:pos="3600"/>
        </w:tabs>
        <w:ind w:left="3600" w:hanging="360"/>
      </w:pPr>
      <w:rPr>
        <w:rFonts w:ascii="Arial" w:hAnsi="Arial" w:hint="default"/>
      </w:rPr>
    </w:lvl>
    <w:lvl w:ilvl="5" w:tplc="C980D7D0" w:tentative="1">
      <w:start w:val="1"/>
      <w:numFmt w:val="bullet"/>
      <w:lvlText w:val="•"/>
      <w:lvlJc w:val="left"/>
      <w:pPr>
        <w:tabs>
          <w:tab w:val="num" w:pos="4320"/>
        </w:tabs>
        <w:ind w:left="4320" w:hanging="360"/>
      </w:pPr>
      <w:rPr>
        <w:rFonts w:ascii="Arial" w:hAnsi="Arial" w:hint="default"/>
      </w:rPr>
    </w:lvl>
    <w:lvl w:ilvl="6" w:tplc="FF1ECFD8" w:tentative="1">
      <w:start w:val="1"/>
      <w:numFmt w:val="bullet"/>
      <w:lvlText w:val="•"/>
      <w:lvlJc w:val="left"/>
      <w:pPr>
        <w:tabs>
          <w:tab w:val="num" w:pos="5040"/>
        </w:tabs>
        <w:ind w:left="5040" w:hanging="360"/>
      </w:pPr>
      <w:rPr>
        <w:rFonts w:ascii="Arial" w:hAnsi="Arial" w:hint="default"/>
      </w:rPr>
    </w:lvl>
    <w:lvl w:ilvl="7" w:tplc="30D4A2E6" w:tentative="1">
      <w:start w:val="1"/>
      <w:numFmt w:val="bullet"/>
      <w:lvlText w:val="•"/>
      <w:lvlJc w:val="left"/>
      <w:pPr>
        <w:tabs>
          <w:tab w:val="num" w:pos="5760"/>
        </w:tabs>
        <w:ind w:left="5760" w:hanging="360"/>
      </w:pPr>
      <w:rPr>
        <w:rFonts w:ascii="Arial" w:hAnsi="Arial" w:hint="default"/>
      </w:rPr>
    </w:lvl>
    <w:lvl w:ilvl="8" w:tplc="C2F6DDCC" w:tentative="1">
      <w:start w:val="1"/>
      <w:numFmt w:val="bullet"/>
      <w:lvlText w:val="•"/>
      <w:lvlJc w:val="left"/>
      <w:pPr>
        <w:tabs>
          <w:tab w:val="num" w:pos="6480"/>
        </w:tabs>
        <w:ind w:left="6480" w:hanging="360"/>
      </w:pPr>
      <w:rPr>
        <w:rFonts w:ascii="Arial" w:hAnsi="Arial" w:hint="default"/>
      </w:rPr>
    </w:lvl>
  </w:abstractNum>
  <w:abstractNum w:abstractNumId="12">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DE6689C"/>
    <w:multiLevelType w:val="multilevel"/>
    <w:tmpl w:val="22961792"/>
    <w:lvl w:ilvl="0">
      <w:start w:val="1"/>
      <w:numFmt w:val="bullet"/>
      <w:pStyle w:val="Bullet1"/>
      <w:lvlText w:val=""/>
      <w:lvlJc w:val="left"/>
      <w:pPr>
        <w:tabs>
          <w:tab w:val="num" w:pos="360"/>
        </w:tabs>
        <w:ind w:left="360" w:hanging="360"/>
      </w:pPr>
      <w:rPr>
        <w:rFonts w:ascii="Symbol" w:hAnsi="Symbol" w:hint="default"/>
        <w:sz w:val="22"/>
        <w:szCs w:val="22"/>
      </w:rPr>
    </w:lvl>
    <w:lvl w:ilvl="1">
      <w:start w:val="1"/>
      <w:numFmt w:val="bullet"/>
      <w:pStyle w:val="Bullet2"/>
      <w:lvlText w:val=""/>
      <w:lvlJc w:val="left"/>
      <w:pPr>
        <w:tabs>
          <w:tab w:val="num" w:pos="720"/>
        </w:tabs>
        <w:ind w:left="720" w:hanging="360"/>
      </w:pPr>
      <w:rPr>
        <w:rFonts w:ascii="Symbol" w:hAnsi="Symbol" w:hint="default"/>
      </w:rPr>
    </w:lvl>
    <w:lvl w:ilvl="2">
      <w:start w:val="1"/>
      <w:numFmt w:val="lowerLetter"/>
      <w:pStyle w:val="Bullet3"/>
      <w:lvlText w:val="(%3)"/>
      <w:lvlJc w:val="left"/>
      <w:pPr>
        <w:tabs>
          <w:tab w:val="num" w:pos="1080"/>
        </w:tabs>
        <w:ind w:left="108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11D83286"/>
    <w:multiLevelType w:val="hybridMultilevel"/>
    <w:tmpl w:val="EE76D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D463B68"/>
    <w:multiLevelType w:val="hybridMultilevel"/>
    <w:tmpl w:val="7372608A"/>
    <w:lvl w:ilvl="0" w:tplc="F1284E90">
      <w:start w:val="1"/>
      <w:numFmt w:val="bullet"/>
      <w:lvlText w:val="•"/>
      <w:lvlJc w:val="left"/>
      <w:pPr>
        <w:tabs>
          <w:tab w:val="num" w:pos="720"/>
        </w:tabs>
        <w:ind w:left="720" w:hanging="360"/>
      </w:pPr>
      <w:rPr>
        <w:rFonts w:ascii="Arial" w:hAnsi="Arial" w:hint="default"/>
      </w:rPr>
    </w:lvl>
    <w:lvl w:ilvl="1" w:tplc="3AD8BCBE" w:tentative="1">
      <w:start w:val="1"/>
      <w:numFmt w:val="bullet"/>
      <w:lvlText w:val="•"/>
      <w:lvlJc w:val="left"/>
      <w:pPr>
        <w:tabs>
          <w:tab w:val="num" w:pos="1440"/>
        </w:tabs>
        <w:ind w:left="1440" w:hanging="360"/>
      </w:pPr>
      <w:rPr>
        <w:rFonts w:ascii="Arial" w:hAnsi="Arial" w:hint="default"/>
      </w:rPr>
    </w:lvl>
    <w:lvl w:ilvl="2" w:tplc="4D5AF988" w:tentative="1">
      <w:start w:val="1"/>
      <w:numFmt w:val="bullet"/>
      <w:lvlText w:val="•"/>
      <w:lvlJc w:val="left"/>
      <w:pPr>
        <w:tabs>
          <w:tab w:val="num" w:pos="2160"/>
        </w:tabs>
        <w:ind w:left="2160" w:hanging="360"/>
      </w:pPr>
      <w:rPr>
        <w:rFonts w:ascii="Arial" w:hAnsi="Arial" w:hint="default"/>
      </w:rPr>
    </w:lvl>
    <w:lvl w:ilvl="3" w:tplc="809C4E36" w:tentative="1">
      <w:start w:val="1"/>
      <w:numFmt w:val="bullet"/>
      <w:lvlText w:val="•"/>
      <w:lvlJc w:val="left"/>
      <w:pPr>
        <w:tabs>
          <w:tab w:val="num" w:pos="2880"/>
        </w:tabs>
        <w:ind w:left="2880" w:hanging="360"/>
      </w:pPr>
      <w:rPr>
        <w:rFonts w:ascii="Arial" w:hAnsi="Arial" w:hint="default"/>
      </w:rPr>
    </w:lvl>
    <w:lvl w:ilvl="4" w:tplc="E4E4A6C4" w:tentative="1">
      <w:start w:val="1"/>
      <w:numFmt w:val="bullet"/>
      <w:lvlText w:val="•"/>
      <w:lvlJc w:val="left"/>
      <w:pPr>
        <w:tabs>
          <w:tab w:val="num" w:pos="3600"/>
        </w:tabs>
        <w:ind w:left="3600" w:hanging="360"/>
      </w:pPr>
      <w:rPr>
        <w:rFonts w:ascii="Arial" w:hAnsi="Arial" w:hint="default"/>
      </w:rPr>
    </w:lvl>
    <w:lvl w:ilvl="5" w:tplc="508EAE80" w:tentative="1">
      <w:start w:val="1"/>
      <w:numFmt w:val="bullet"/>
      <w:lvlText w:val="•"/>
      <w:lvlJc w:val="left"/>
      <w:pPr>
        <w:tabs>
          <w:tab w:val="num" w:pos="4320"/>
        </w:tabs>
        <w:ind w:left="4320" w:hanging="360"/>
      </w:pPr>
      <w:rPr>
        <w:rFonts w:ascii="Arial" w:hAnsi="Arial" w:hint="default"/>
      </w:rPr>
    </w:lvl>
    <w:lvl w:ilvl="6" w:tplc="D87209D0" w:tentative="1">
      <w:start w:val="1"/>
      <w:numFmt w:val="bullet"/>
      <w:lvlText w:val="•"/>
      <w:lvlJc w:val="left"/>
      <w:pPr>
        <w:tabs>
          <w:tab w:val="num" w:pos="5040"/>
        </w:tabs>
        <w:ind w:left="5040" w:hanging="360"/>
      </w:pPr>
      <w:rPr>
        <w:rFonts w:ascii="Arial" w:hAnsi="Arial" w:hint="default"/>
      </w:rPr>
    </w:lvl>
    <w:lvl w:ilvl="7" w:tplc="AAB0D5F4" w:tentative="1">
      <w:start w:val="1"/>
      <w:numFmt w:val="bullet"/>
      <w:lvlText w:val="•"/>
      <w:lvlJc w:val="left"/>
      <w:pPr>
        <w:tabs>
          <w:tab w:val="num" w:pos="5760"/>
        </w:tabs>
        <w:ind w:left="5760" w:hanging="360"/>
      </w:pPr>
      <w:rPr>
        <w:rFonts w:ascii="Arial" w:hAnsi="Arial" w:hint="default"/>
      </w:rPr>
    </w:lvl>
    <w:lvl w:ilvl="8" w:tplc="A5C29C44" w:tentative="1">
      <w:start w:val="1"/>
      <w:numFmt w:val="bullet"/>
      <w:lvlText w:val="•"/>
      <w:lvlJc w:val="left"/>
      <w:pPr>
        <w:tabs>
          <w:tab w:val="num" w:pos="6480"/>
        </w:tabs>
        <w:ind w:left="6480" w:hanging="360"/>
      </w:pPr>
      <w:rPr>
        <w:rFonts w:ascii="Arial" w:hAnsi="Arial" w:hint="default"/>
      </w:rPr>
    </w:lvl>
  </w:abstractNum>
  <w:abstractNum w:abstractNumId="20">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4">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nsid w:val="28853038"/>
    <w:multiLevelType w:val="hybridMultilevel"/>
    <w:tmpl w:val="2C6C8446"/>
    <w:lvl w:ilvl="0" w:tplc="E006C476">
      <w:start w:val="1"/>
      <w:numFmt w:val="bullet"/>
      <w:lvlText w:val="•"/>
      <w:lvlJc w:val="left"/>
      <w:pPr>
        <w:tabs>
          <w:tab w:val="num" w:pos="720"/>
        </w:tabs>
        <w:ind w:left="720" w:hanging="360"/>
      </w:pPr>
      <w:rPr>
        <w:rFonts w:ascii="Arial" w:hAnsi="Arial" w:hint="default"/>
      </w:rPr>
    </w:lvl>
    <w:lvl w:ilvl="1" w:tplc="74684326">
      <w:start w:val="1323"/>
      <w:numFmt w:val="bullet"/>
      <w:lvlText w:val="•"/>
      <w:lvlJc w:val="left"/>
      <w:pPr>
        <w:tabs>
          <w:tab w:val="num" w:pos="1440"/>
        </w:tabs>
        <w:ind w:left="1440" w:hanging="360"/>
      </w:pPr>
      <w:rPr>
        <w:rFonts w:ascii="Arial" w:hAnsi="Arial" w:hint="default"/>
      </w:rPr>
    </w:lvl>
    <w:lvl w:ilvl="2" w:tplc="9A3C748C" w:tentative="1">
      <w:start w:val="1"/>
      <w:numFmt w:val="bullet"/>
      <w:lvlText w:val="•"/>
      <w:lvlJc w:val="left"/>
      <w:pPr>
        <w:tabs>
          <w:tab w:val="num" w:pos="2160"/>
        </w:tabs>
        <w:ind w:left="2160" w:hanging="360"/>
      </w:pPr>
      <w:rPr>
        <w:rFonts w:ascii="Arial" w:hAnsi="Arial" w:hint="default"/>
      </w:rPr>
    </w:lvl>
    <w:lvl w:ilvl="3" w:tplc="B1A8EE18" w:tentative="1">
      <w:start w:val="1"/>
      <w:numFmt w:val="bullet"/>
      <w:lvlText w:val="•"/>
      <w:lvlJc w:val="left"/>
      <w:pPr>
        <w:tabs>
          <w:tab w:val="num" w:pos="2880"/>
        </w:tabs>
        <w:ind w:left="2880" w:hanging="360"/>
      </w:pPr>
      <w:rPr>
        <w:rFonts w:ascii="Arial" w:hAnsi="Arial" w:hint="default"/>
      </w:rPr>
    </w:lvl>
    <w:lvl w:ilvl="4" w:tplc="A75C02EC" w:tentative="1">
      <w:start w:val="1"/>
      <w:numFmt w:val="bullet"/>
      <w:lvlText w:val="•"/>
      <w:lvlJc w:val="left"/>
      <w:pPr>
        <w:tabs>
          <w:tab w:val="num" w:pos="3600"/>
        </w:tabs>
        <w:ind w:left="3600" w:hanging="360"/>
      </w:pPr>
      <w:rPr>
        <w:rFonts w:ascii="Arial" w:hAnsi="Arial" w:hint="default"/>
      </w:rPr>
    </w:lvl>
    <w:lvl w:ilvl="5" w:tplc="6C30CD32" w:tentative="1">
      <w:start w:val="1"/>
      <w:numFmt w:val="bullet"/>
      <w:lvlText w:val="•"/>
      <w:lvlJc w:val="left"/>
      <w:pPr>
        <w:tabs>
          <w:tab w:val="num" w:pos="4320"/>
        </w:tabs>
        <w:ind w:left="4320" w:hanging="360"/>
      </w:pPr>
      <w:rPr>
        <w:rFonts w:ascii="Arial" w:hAnsi="Arial" w:hint="default"/>
      </w:rPr>
    </w:lvl>
    <w:lvl w:ilvl="6" w:tplc="7E8069C0" w:tentative="1">
      <w:start w:val="1"/>
      <w:numFmt w:val="bullet"/>
      <w:lvlText w:val="•"/>
      <w:lvlJc w:val="left"/>
      <w:pPr>
        <w:tabs>
          <w:tab w:val="num" w:pos="5040"/>
        </w:tabs>
        <w:ind w:left="5040" w:hanging="360"/>
      </w:pPr>
      <w:rPr>
        <w:rFonts w:ascii="Arial" w:hAnsi="Arial" w:hint="default"/>
      </w:rPr>
    </w:lvl>
    <w:lvl w:ilvl="7" w:tplc="5DAE6A7A" w:tentative="1">
      <w:start w:val="1"/>
      <w:numFmt w:val="bullet"/>
      <w:lvlText w:val="•"/>
      <w:lvlJc w:val="left"/>
      <w:pPr>
        <w:tabs>
          <w:tab w:val="num" w:pos="5760"/>
        </w:tabs>
        <w:ind w:left="5760" w:hanging="360"/>
      </w:pPr>
      <w:rPr>
        <w:rFonts w:ascii="Arial" w:hAnsi="Arial" w:hint="default"/>
      </w:rPr>
    </w:lvl>
    <w:lvl w:ilvl="8" w:tplc="629E9DDA" w:tentative="1">
      <w:start w:val="1"/>
      <w:numFmt w:val="bullet"/>
      <w:lvlText w:val="•"/>
      <w:lvlJc w:val="left"/>
      <w:pPr>
        <w:tabs>
          <w:tab w:val="num" w:pos="6480"/>
        </w:tabs>
        <w:ind w:left="6480" w:hanging="360"/>
      </w:pPr>
      <w:rPr>
        <w:rFonts w:ascii="Arial" w:hAnsi="Arial" w:hint="default"/>
      </w:rPr>
    </w:lvl>
  </w:abstractNum>
  <w:abstractNum w:abstractNumId="27">
    <w:nsid w:val="2E2D3BAB"/>
    <w:multiLevelType w:val="multilevel"/>
    <w:tmpl w:val="5CF81E6C"/>
    <w:lvl w:ilvl="0">
      <w:start w:val="1"/>
      <w:numFmt w:val="decimal"/>
      <w:lvlText w:val="%1."/>
      <w:lvlJc w:val="left"/>
      <w:pPr>
        <w:ind w:left="432" w:hanging="432"/>
      </w:pPr>
      <w:rPr>
        <w:rFonts w:hint="default"/>
        <w:b/>
        <w:i w:val="0"/>
        <w:color w:val="4F81BD"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B685106"/>
    <w:multiLevelType w:val="hybridMultilevel"/>
    <w:tmpl w:val="169C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CFC52E9"/>
    <w:multiLevelType w:val="hybridMultilevel"/>
    <w:tmpl w:val="D174DAAA"/>
    <w:lvl w:ilvl="0" w:tplc="40B48826">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D720E4A"/>
    <w:multiLevelType w:val="hybridMultilevel"/>
    <w:tmpl w:val="CE40E2A0"/>
    <w:lvl w:ilvl="0" w:tplc="57EEC964">
      <w:start w:val="1"/>
      <w:numFmt w:val="bullet"/>
      <w:lvlText w:val="–"/>
      <w:lvlJc w:val="left"/>
      <w:pPr>
        <w:tabs>
          <w:tab w:val="num" w:pos="360"/>
        </w:tabs>
        <w:ind w:left="360" w:hanging="360"/>
      </w:pPr>
      <w:rPr>
        <w:rFonts w:ascii="AvantGarde Bk BT" w:hAnsi="AvantGarde Bk BT" w:hint="default"/>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4DDA79BE"/>
    <w:multiLevelType w:val="hybridMultilevel"/>
    <w:tmpl w:val="8F64901A"/>
    <w:lvl w:ilvl="0" w:tplc="CDEED8E0">
      <w:start w:val="1"/>
      <w:numFmt w:val="bullet"/>
      <w:lvlText w:val="•"/>
      <w:lvlJc w:val="left"/>
      <w:pPr>
        <w:tabs>
          <w:tab w:val="num" w:pos="720"/>
        </w:tabs>
        <w:ind w:left="720" w:hanging="360"/>
      </w:pPr>
      <w:rPr>
        <w:rFonts w:ascii="Arial" w:hAnsi="Arial" w:hint="default"/>
      </w:rPr>
    </w:lvl>
    <w:lvl w:ilvl="1" w:tplc="85A8FE1C" w:tentative="1">
      <w:start w:val="1"/>
      <w:numFmt w:val="bullet"/>
      <w:lvlText w:val="•"/>
      <w:lvlJc w:val="left"/>
      <w:pPr>
        <w:tabs>
          <w:tab w:val="num" w:pos="1440"/>
        </w:tabs>
        <w:ind w:left="1440" w:hanging="360"/>
      </w:pPr>
      <w:rPr>
        <w:rFonts w:ascii="Arial" w:hAnsi="Arial" w:hint="default"/>
      </w:rPr>
    </w:lvl>
    <w:lvl w:ilvl="2" w:tplc="31480432" w:tentative="1">
      <w:start w:val="1"/>
      <w:numFmt w:val="bullet"/>
      <w:lvlText w:val="•"/>
      <w:lvlJc w:val="left"/>
      <w:pPr>
        <w:tabs>
          <w:tab w:val="num" w:pos="2160"/>
        </w:tabs>
        <w:ind w:left="2160" w:hanging="360"/>
      </w:pPr>
      <w:rPr>
        <w:rFonts w:ascii="Arial" w:hAnsi="Arial" w:hint="default"/>
      </w:rPr>
    </w:lvl>
    <w:lvl w:ilvl="3" w:tplc="3E3E6054" w:tentative="1">
      <w:start w:val="1"/>
      <w:numFmt w:val="bullet"/>
      <w:lvlText w:val="•"/>
      <w:lvlJc w:val="left"/>
      <w:pPr>
        <w:tabs>
          <w:tab w:val="num" w:pos="2880"/>
        </w:tabs>
        <w:ind w:left="2880" w:hanging="360"/>
      </w:pPr>
      <w:rPr>
        <w:rFonts w:ascii="Arial" w:hAnsi="Arial" w:hint="default"/>
      </w:rPr>
    </w:lvl>
    <w:lvl w:ilvl="4" w:tplc="0C22DE4A" w:tentative="1">
      <w:start w:val="1"/>
      <w:numFmt w:val="bullet"/>
      <w:lvlText w:val="•"/>
      <w:lvlJc w:val="left"/>
      <w:pPr>
        <w:tabs>
          <w:tab w:val="num" w:pos="3600"/>
        </w:tabs>
        <w:ind w:left="3600" w:hanging="360"/>
      </w:pPr>
      <w:rPr>
        <w:rFonts w:ascii="Arial" w:hAnsi="Arial" w:hint="default"/>
      </w:rPr>
    </w:lvl>
    <w:lvl w:ilvl="5" w:tplc="73B67240" w:tentative="1">
      <w:start w:val="1"/>
      <w:numFmt w:val="bullet"/>
      <w:lvlText w:val="•"/>
      <w:lvlJc w:val="left"/>
      <w:pPr>
        <w:tabs>
          <w:tab w:val="num" w:pos="4320"/>
        </w:tabs>
        <w:ind w:left="4320" w:hanging="360"/>
      </w:pPr>
      <w:rPr>
        <w:rFonts w:ascii="Arial" w:hAnsi="Arial" w:hint="default"/>
      </w:rPr>
    </w:lvl>
    <w:lvl w:ilvl="6" w:tplc="9D66EDD4" w:tentative="1">
      <w:start w:val="1"/>
      <w:numFmt w:val="bullet"/>
      <w:lvlText w:val="•"/>
      <w:lvlJc w:val="left"/>
      <w:pPr>
        <w:tabs>
          <w:tab w:val="num" w:pos="5040"/>
        </w:tabs>
        <w:ind w:left="5040" w:hanging="360"/>
      </w:pPr>
      <w:rPr>
        <w:rFonts w:ascii="Arial" w:hAnsi="Arial" w:hint="default"/>
      </w:rPr>
    </w:lvl>
    <w:lvl w:ilvl="7" w:tplc="872C32F6" w:tentative="1">
      <w:start w:val="1"/>
      <w:numFmt w:val="bullet"/>
      <w:lvlText w:val="•"/>
      <w:lvlJc w:val="left"/>
      <w:pPr>
        <w:tabs>
          <w:tab w:val="num" w:pos="5760"/>
        </w:tabs>
        <w:ind w:left="5760" w:hanging="360"/>
      </w:pPr>
      <w:rPr>
        <w:rFonts w:ascii="Arial" w:hAnsi="Arial" w:hint="default"/>
      </w:rPr>
    </w:lvl>
    <w:lvl w:ilvl="8" w:tplc="75B4D6AA" w:tentative="1">
      <w:start w:val="1"/>
      <w:numFmt w:val="bullet"/>
      <w:lvlText w:val="•"/>
      <w:lvlJc w:val="left"/>
      <w:pPr>
        <w:tabs>
          <w:tab w:val="num" w:pos="6480"/>
        </w:tabs>
        <w:ind w:left="6480" w:hanging="360"/>
      </w:pPr>
      <w:rPr>
        <w:rFonts w:ascii="Arial" w:hAnsi="Arial" w:hint="default"/>
      </w:rPr>
    </w:lvl>
  </w:abstractNum>
  <w:abstractNum w:abstractNumId="36">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8">
    <w:nsid w:val="6BFA1A5F"/>
    <w:multiLevelType w:val="hybridMultilevel"/>
    <w:tmpl w:val="C25AAF4C"/>
    <w:lvl w:ilvl="0" w:tplc="8F52D24E">
      <w:start w:val="1"/>
      <w:numFmt w:val="bullet"/>
      <w:lvlText w:val="•"/>
      <w:lvlJc w:val="left"/>
      <w:pPr>
        <w:tabs>
          <w:tab w:val="num" w:pos="720"/>
        </w:tabs>
        <w:ind w:left="720" w:hanging="360"/>
      </w:pPr>
      <w:rPr>
        <w:rFonts w:ascii="Arial" w:hAnsi="Arial" w:hint="default"/>
      </w:rPr>
    </w:lvl>
    <w:lvl w:ilvl="1" w:tplc="7996F330" w:tentative="1">
      <w:start w:val="1"/>
      <w:numFmt w:val="bullet"/>
      <w:lvlText w:val="•"/>
      <w:lvlJc w:val="left"/>
      <w:pPr>
        <w:tabs>
          <w:tab w:val="num" w:pos="1440"/>
        </w:tabs>
        <w:ind w:left="1440" w:hanging="360"/>
      </w:pPr>
      <w:rPr>
        <w:rFonts w:ascii="Arial" w:hAnsi="Arial" w:hint="default"/>
      </w:rPr>
    </w:lvl>
    <w:lvl w:ilvl="2" w:tplc="04B4C716" w:tentative="1">
      <w:start w:val="1"/>
      <w:numFmt w:val="bullet"/>
      <w:lvlText w:val="•"/>
      <w:lvlJc w:val="left"/>
      <w:pPr>
        <w:tabs>
          <w:tab w:val="num" w:pos="2160"/>
        </w:tabs>
        <w:ind w:left="2160" w:hanging="360"/>
      </w:pPr>
      <w:rPr>
        <w:rFonts w:ascii="Arial" w:hAnsi="Arial" w:hint="default"/>
      </w:rPr>
    </w:lvl>
    <w:lvl w:ilvl="3" w:tplc="3198015A" w:tentative="1">
      <w:start w:val="1"/>
      <w:numFmt w:val="bullet"/>
      <w:lvlText w:val="•"/>
      <w:lvlJc w:val="left"/>
      <w:pPr>
        <w:tabs>
          <w:tab w:val="num" w:pos="2880"/>
        </w:tabs>
        <w:ind w:left="2880" w:hanging="360"/>
      </w:pPr>
      <w:rPr>
        <w:rFonts w:ascii="Arial" w:hAnsi="Arial" w:hint="default"/>
      </w:rPr>
    </w:lvl>
    <w:lvl w:ilvl="4" w:tplc="53C4E654" w:tentative="1">
      <w:start w:val="1"/>
      <w:numFmt w:val="bullet"/>
      <w:lvlText w:val="•"/>
      <w:lvlJc w:val="left"/>
      <w:pPr>
        <w:tabs>
          <w:tab w:val="num" w:pos="3600"/>
        </w:tabs>
        <w:ind w:left="3600" w:hanging="360"/>
      </w:pPr>
      <w:rPr>
        <w:rFonts w:ascii="Arial" w:hAnsi="Arial" w:hint="default"/>
      </w:rPr>
    </w:lvl>
    <w:lvl w:ilvl="5" w:tplc="A7F60498" w:tentative="1">
      <w:start w:val="1"/>
      <w:numFmt w:val="bullet"/>
      <w:lvlText w:val="•"/>
      <w:lvlJc w:val="left"/>
      <w:pPr>
        <w:tabs>
          <w:tab w:val="num" w:pos="4320"/>
        </w:tabs>
        <w:ind w:left="4320" w:hanging="360"/>
      </w:pPr>
      <w:rPr>
        <w:rFonts w:ascii="Arial" w:hAnsi="Arial" w:hint="default"/>
      </w:rPr>
    </w:lvl>
    <w:lvl w:ilvl="6" w:tplc="840A028E" w:tentative="1">
      <w:start w:val="1"/>
      <w:numFmt w:val="bullet"/>
      <w:lvlText w:val="•"/>
      <w:lvlJc w:val="left"/>
      <w:pPr>
        <w:tabs>
          <w:tab w:val="num" w:pos="5040"/>
        </w:tabs>
        <w:ind w:left="5040" w:hanging="360"/>
      </w:pPr>
      <w:rPr>
        <w:rFonts w:ascii="Arial" w:hAnsi="Arial" w:hint="default"/>
      </w:rPr>
    </w:lvl>
    <w:lvl w:ilvl="7" w:tplc="4B403FE4" w:tentative="1">
      <w:start w:val="1"/>
      <w:numFmt w:val="bullet"/>
      <w:lvlText w:val="•"/>
      <w:lvlJc w:val="left"/>
      <w:pPr>
        <w:tabs>
          <w:tab w:val="num" w:pos="5760"/>
        </w:tabs>
        <w:ind w:left="5760" w:hanging="360"/>
      </w:pPr>
      <w:rPr>
        <w:rFonts w:ascii="Arial" w:hAnsi="Arial" w:hint="default"/>
      </w:rPr>
    </w:lvl>
    <w:lvl w:ilvl="8" w:tplc="95546554" w:tentative="1">
      <w:start w:val="1"/>
      <w:numFmt w:val="bullet"/>
      <w:lvlText w:val="•"/>
      <w:lvlJc w:val="left"/>
      <w:pPr>
        <w:tabs>
          <w:tab w:val="num" w:pos="6480"/>
        </w:tabs>
        <w:ind w:left="6480" w:hanging="360"/>
      </w:pPr>
      <w:rPr>
        <w:rFonts w:ascii="Arial" w:hAnsi="Arial" w:hint="default"/>
      </w:rPr>
    </w:lvl>
  </w:abstractNum>
  <w:abstractNum w:abstractNumId="39">
    <w:nsid w:val="6DCA2C02"/>
    <w:multiLevelType w:val="hybridMultilevel"/>
    <w:tmpl w:val="205E14CE"/>
    <w:lvl w:ilvl="0" w:tplc="5F84C9CA">
      <w:start w:val="1"/>
      <w:numFmt w:val="bullet"/>
      <w:lvlText w:val="•"/>
      <w:lvlJc w:val="left"/>
      <w:pPr>
        <w:tabs>
          <w:tab w:val="num" w:pos="720"/>
        </w:tabs>
        <w:ind w:left="720" w:hanging="360"/>
      </w:pPr>
      <w:rPr>
        <w:rFonts w:ascii="Arial" w:hAnsi="Arial" w:hint="default"/>
      </w:rPr>
    </w:lvl>
    <w:lvl w:ilvl="1" w:tplc="C87CB47C" w:tentative="1">
      <w:start w:val="1"/>
      <w:numFmt w:val="bullet"/>
      <w:lvlText w:val="•"/>
      <w:lvlJc w:val="left"/>
      <w:pPr>
        <w:tabs>
          <w:tab w:val="num" w:pos="1440"/>
        </w:tabs>
        <w:ind w:left="1440" w:hanging="360"/>
      </w:pPr>
      <w:rPr>
        <w:rFonts w:ascii="Arial" w:hAnsi="Arial" w:hint="default"/>
      </w:rPr>
    </w:lvl>
    <w:lvl w:ilvl="2" w:tplc="9842BB84" w:tentative="1">
      <w:start w:val="1"/>
      <w:numFmt w:val="bullet"/>
      <w:lvlText w:val="•"/>
      <w:lvlJc w:val="left"/>
      <w:pPr>
        <w:tabs>
          <w:tab w:val="num" w:pos="2160"/>
        </w:tabs>
        <w:ind w:left="2160" w:hanging="360"/>
      </w:pPr>
      <w:rPr>
        <w:rFonts w:ascii="Arial" w:hAnsi="Arial" w:hint="default"/>
      </w:rPr>
    </w:lvl>
    <w:lvl w:ilvl="3" w:tplc="5C4ADBB6" w:tentative="1">
      <w:start w:val="1"/>
      <w:numFmt w:val="bullet"/>
      <w:lvlText w:val="•"/>
      <w:lvlJc w:val="left"/>
      <w:pPr>
        <w:tabs>
          <w:tab w:val="num" w:pos="2880"/>
        </w:tabs>
        <w:ind w:left="2880" w:hanging="360"/>
      </w:pPr>
      <w:rPr>
        <w:rFonts w:ascii="Arial" w:hAnsi="Arial" w:hint="default"/>
      </w:rPr>
    </w:lvl>
    <w:lvl w:ilvl="4" w:tplc="86C0EFA2" w:tentative="1">
      <w:start w:val="1"/>
      <w:numFmt w:val="bullet"/>
      <w:lvlText w:val="•"/>
      <w:lvlJc w:val="left"/>
      <w:pPr>
        <w:tabs>
          <w:tab w:val="num" w:pos="3600"/>
        </w:tabs>
        <w:ind w:left="3600" w:hanging="360"/>
      </w:pPr>
      <w:rPr>
        <w:rFonts w:ascii="Arial" w:hAnsi="Arial" w:hint="default"/>
      </w:rPr>
    </w:lvl>
    <w:lvl w:ilvl="5" w:tplc="DE481EC4" w:tentative="1">
      <w:start w:val="1"/>
      <w:numFmt w:val="bullet"/>
      <w:lvlText w:val="•"/>
      <w:lvlJc w:val="left"/>
      <w:pPr>
        <w:tabs>
          <w:tab w:val="num" w:pos="4320"/>
        </w:tabs>
        <w:ind w:left="4320" w:hanging="360"/>
      </w:pPr>
      <w:rPr>
        <w:rFonts w:ascii="Arial" w:hAnsi="Arial" w:hint="default"/>
      </w:rPr>
    </w:lvl>
    <w:lvl w:ilvl="6" w:tplc="CF3E39A8" w:tentative="1">
      <w:start w:val="1"/>
      <w:numFmt w:val="bullet"/>
      <w:lvlText w:val="•"/>
      <w:lvlJc w:val="left"/>
      <w:pPr>
        <w:tabs>
          <w:tab w:val="num" w:pos="5040"/>
        </w:tabs>
        <w:ind w:left="5040" w:hanging="360"/>
      </w:pPr>
      <w:rPr>
        <w:rFonts w:ascii="Arial" w:hAnsi="Arial" w:hint="default"/>
      </w:rPr>
    </w:lvl>
    <w:lvl w:ilvl="7" w:tplc="3ECCA9AE" w:tentative="1">
      <w:start w:val="1"/>
      <w:numFmt w:val="bullet"/>
      <w:lvlText w:val="•"/>
      <w:lvlJc w:val="left"/>
      <w:pPr>
        <w:tabs>
          <w:tab w:val="num" w:pos="5760"/>
        </w:tabs>
        <w:ind w:left="5760" w:hanging="360"/>
      </w:pPr>
      <w:rPr>
        <w:rFonts w:ascii="Arial" w:hAnsi="Arial" w:hint="default"/>
      </w:rPr>
    </w:lvl>
    <w:lvl w:ilvl="8" w:tplc="16368138" w:tentative="1">
      <w:start w:val="1"/>
      <w:numFmt w:val="bullet"/>
      <w:lvlText w:val="•"/>
      <w:lvlJc w:val="left"/>
      <w:pPr>
        <w:tabs>
          <w:tab w:val="num" w:pos="6480"/>
        </w:tabs>
        <w:ind w:left="6480" w:hanging="360"/>
      </w:pPr>
      <w:rPr>
        <w:rFonts w:ascii="Arial" w:hAnsi="Arial" w:hint="default"/>
      </w:rPr>
    </w:lvl>
  </w:abstractNum>
  <w:abstractNum w:abstractNumId="40">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1">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7E71996"/>
    <w:multiLevelType w:val="multilevel"/>
    <w:tmpl w:val="5CF81E6C"/>
    <w:styleLink w:val="Headingstyles"/>
    <w:lvl w:ilvl="0">
      <w:start w:val="1"/>
      <w:numFmt w:val="decimal"/>
      <w:lvlText w:val="%1."/>
      <w:lvlJc w:val="left"/>
      <w:pPr>
        <w:ind w:left="432" w:hanging="432"/>
      </w:pPr>
      <w:rPr>
        <w:rFonts w:hint="default"/>
        <w:b/>
        <w:i w:val="0"/>
        <w:color w:val="4F81BD"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abstractNum w:abstractNumId="46">
    <w:nsid w:val="797A0DCC"/>
    <w:multiLevelType w:val="hybridMultilevel"/>
    <w:tmpl w:val="1E866688"/>
    <w:lvl w:ilvl="0" w:tplc="F0C2D46C">
      <w:start w:val="1"/>
      <w:numFmt w:val="bullet"/>
      <w:lvlText w:val="•"/>
      <w:lvlJc w:val="left"/>
      <w:pPr>
        <w:tabs>
          <w:tab w:val="num" w:pos="720"/>
        </w:tabs>
        <w:ind w:left="720" w:hanging="360"/>
      </w:pPr>
      <w:rPr>
        <w:rFonts w:ascii="Arial" w:hAnsi="Arial" w:hint="default"/>
      </w:rPr>
    </w:lvl>
    <w:lvl w:ilvl="1" w:tplc="B6CE7B5E" w:tentative="1">
      <w:start w:val="1"/>
      <w:numFmt w:val="bullet"/>
      <w:lvlText w:val="•"/>
      <w:lvlJc w:val="left"/>
      <w:pPr>
        <w:tabs>
          <w:tab w:val="num" w:pos="1440"/>
        </w:tabs>
        <w:ind w:left="1440" w:hanging="360"/>
      </w:pPr>
      <w:rPr>
        <w:rFonts w:ascii="Arial" w:hAnsi="Arial" w:hint="default"/>
      </w:rPr>
    </w:lvl>
    <w:lvl w:ilvl="2" w:tplc="49082A44" w:tentative="1">
      <w:start w:val="1"/>
      <w:numFmt w:val="bullet"/>
      <w:lvlText w:val="•"/>
      <w:lvlJc w:val="left"/>
      <w:pPr>
        <w:tabs>
          <w:tab w:val="num" w:pos="2160"/>
        </w:tabs>
        <w:ind w:left="2160" w:hanging="360"/>
      </w:pPr>
      <w:rPr>
        <w:rFonts w:ascii="Arial" w:hAnsi="Arial" w:hint="default"/>
      </w:rPr>
    </w:lvl>
    <w:lvl w:ilvl="3" w:tplc="F55A3372" w:tentative="1">
      <w:start w:val="1"/>
      <w:numFmt w:val="bullet"/>
      <w:lvlText w:val="•"/>
      <w:lvlJc w:val="left"/>
      <w:pPr>
        <w:tabs>
          <w:tab w:val="num" w:pos="2880"/>
        </w:tabs>
        <w:ind w:left="2880" w:hanging="360"/>
      </w:pPr>
      <w:rPr>
        <w:rFonts w:ascii="Arial" w:hAnsi="Arial" w:hint="default"/>
      </w:rPr>
    </w:lvl>
    <w:lvl w:ilvl="4" w:tplc="1A908F3C" w:tentative="1">
      <w:start w:val="1"/>
      <w:numFmt w:val="bullet"/>
      <w:lvlText w:val="•"/>
      <w:lvlJc w:val="left"/>
      <w:pPr>
        <w:tabs>
          <w:tab w:val="num" w:pos="3600"/>
        </w:tabs>
        <w:ind w:left="3600" w:hanging="360"/>
      </w:pPr>
      <w:rPr>
        <w:rFonts w:ascii="Arial" w:hAnsi="Arial" w:hint="default"/>
      </w:rPr>
    </w:lvl>
    <w:lvl w:ilvl="5" w:tplc="69B6D790" w:tentative="1">
      <w:start w:val="1"/>
      <w:numFmt w:val="bullet"/>
      <w:lvlText w:val="•"/>
      <w:lvlJc w:val="left"/>
      <w:pPr>
        <w:tabs>
          <w:tab w:val="num" w:pos="4320"/>
        </w:tabs>
        <w:ind w:left="4320" w:hanging="360"/>
      </w:pPr>
      <w:rPr>
        <w:rFonts w:ascii="Arial" w:hAnsi="Arial" w:hint="default"/>
      </w:rPr>
    </w:lvl>
    <w:lvl w:ilvl="6" w:tplc="662AF478" w:tentative="1">
      <w:start w:val="1"/>
      <w:numFmt w:val="bullet"/>
      <w:lvlText w:val="•"/>
      <w:lvlJc w:val="left"/>
      <w:pPr>
        <w:tabs>
          <w:tab w:val="num" w:pos="5040"/>
        </w:tabs>
        <w:ind w:left="5040" w:hanging="360"/>
      </w:pPr>
      <w:rPr>
        <w:rFonts w:ascii="Arial" w:hAnsi="Arial" w:hint="default"/>
      </w:rPr>
    </w:lvl>
    <w:lvl w:ilvl="7" w:tplc="5704C0A6" w:tentative="1">
      <w:start w:val="1"/>
      <w:numFmt w:val="bullet"/>
      <w:lvlText w:val="•"/>
      <w:lvlJc w:val="left"/>
      <w:pPr>
        <w:tabs>
          <w:tab w:val="num" w:pos="5760"/>
        </w:tabs>
        <w:ind w:left="5760" w:hanging="360"/>
      </w:pPr>
      <w:rPr>
        <w:rFonts w:ascii="Arial" w:hAnsi="Arial" w:hint="default"/>
      </w:rPr>
    </w:lvl>
    <w:lvl w:ilvl="8" w:tplc="2EAC0B7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7"/>
  </w:num>
  <w:num w:numId="3">
    <w:abstractNumId w:val="41"/>
  </w:num>
  <w:num w:numId="4">
    <w:abstractNumId w:val="25"/>
  </w:num>
  <w:num w:numId="5">
    <w:abstractNumId w:val="30"/>
  </w:num>
  <w:num w:numId="6">
    <w:abstractNumId w:val="24"/>
  </w:num>
  <w:num w:numId="7">
    <w:abstractNumId w:val="43"/>
  </w:num>
  <w:num w:numId="8">
    <w:abstractNumId w:val="15"/>
  </w:num>
  <w:num w:numId="9">
    <w:abstractNumId w:val="45"/>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0"/>
  </w:num>
  <w:num w:numId="22">
    <w:abstractNumId w:val="18"/>
  </w:num>
  <w:num w:numId="23">
    <w:abstractNumId w:val="34"/>
  </w:num>
  <w:num w:numId="24">
    <w:abstractNumId w:val="12"/>
  </w:num>
  <w:num w:numId="25">
    <w:abstractNumId w:val="21"/>
  </w:num>
  <w:num w:numId="26">
    <w:abstractNumId w:val="42"/>
  </w:num>
  <w:num w:numId="27">
    <w:abstractNumId w:val="13"/>
  </w:num>
  <w:num w:numId="28">
    <w:abstractNumId w:val="44"/>
  </w:num>
  <w:num w:numId="29">
    <w:abstractNumId w:val="22"/>
  </w:num>
  <w:num w:numId="30">
    <w:abstractNumId w:val="20"/>
  </w:num>
  <w:num w:numId="31">
    <w:abstractNumId w:val="32"/>
  </w:num>
  <w:num w:numId="32">
    <w:abstractNumId w:val="14"/>
  </w:num>
  <w:num w:numId="33">
    <w:abstractNumId w:val="33"/>
  </w:num>
  <w:num w:numId="34">
    <w:abstractNumId w:val="36"/>
  </w:num>
  <w:num w:numId="35">
    <w:abstractNumId w:val="28"/>
  </w:num>
  <w:num w:numId="36">
    <w:abstractNumId w:val="17"/>
  </w:num>
  <w:num w:numId="37">
    <w:abstractNumId w:val="27"/>
  </w:num>
  <w:num w:numId="38">
    <w:abstractNumId w:val="38"/>
  </w:num>
  <w:num w:numId="39">
    <w:abstractNumId w:val="26"/>
  </w:num>
  <w:num w:numId="40">
    <w:abstractNumId w:val="39"/>
  </w:num>
  <w:num w:numId="41">
    <w:abstractNumId w:val="35"/>
  </w:num>
  <w:num w:numId="42">
    <w:abstractNumId w:val="19"/>
  </w:num>
  <w:num w:numId="43">
    <w:abstractNumId w:val="11"/>
  </w:num>
  <w:num w:numId="44">
    <w:abstractNumId w:val="46"/>
  </w:num>
  <w:num w:numId="45">
    <w:abstractNumId w:val="16"/>
  </w:num>
  <w:num w:numId="46">
    <w:abstractNumId w:val="31"/>
  </w:num>
  <w:num w:numId="4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3F"/>
    <w:rsid w:val="0000414E"/>
    <w:rsid w:val="00006F06"/>
    <w:rsid w:val="00020E91"/>
    <w:rsid w:val="00021CE5"/>
    <w:rsid w:val="000221B3"/>
    <w:rsid w:val="00031488"/>
    <w:rsid w:val="00035734"/>
    <w:rsid w:val="000362EA"/>
    <w:rsid w:val="00041292"/>
    <w:rsid w:val="00043F9F"/>
    <w:rsid w:val="000451B1"/>
    <w:rsid w:val="00050885"/>
    <w:rsid w:val="00056F1F"/>
    <w:rsid w:val="00060942"/>
    <w:rsid w:val="00061F50"/>
    <w:rsid w:val="00062624"/>
    <w:rsid w:val="00064FD8"/>
    <w:rsid w:val="000771C1"/>
    <w:rsid w:val="000804F8"/>
    <w:rsid w:val="000868E5"/>
    <w:rsid w:val="00087F5F"/>
    <w:rsid w:val="00090FF8"/>
    <w:rsid w:val="000925EA"/>
    <w:rsid w:val="00093898"/>
    <w:rsid w:val="000A5321"/>
    <w:rsid w:val="000B1105"/>
    <w:rsid w:val="000B12EE"/>
    <w:rsid w:val="000B1B53"/>
    <w:rsid w:val="000B2895"/>
    <w:rsid w:val="000B2C97"/>
    <w:rsid w:val="000B52FE"/>
    <w:rsid w:val="000C1027"/>
    <w:rsid w:val="000C18E1"/>
    <w:rsid w:val="000C1EC6"/>
    <w:rsid w:val="000D652A"/>
    <w:rsid w:val="000E725D"/>
    <w:rsid w:val="00100FCC"/>
    <w:rsid w:val="0010294A"/>
    <w:rsid w:val="00122005"/>
    <w:rsid w:val="00130570"/>
    <w:rsid w:val="001368DE"/>
    <w:rsid w:val="00140C5B"/>
    <w:rsid w:val="00150C34"/>
    <w:rsid w:val="00154535"/>
    <w:rsid w:val="00155A4D"/>
    <w:rsid w:val="0015668D"/>
    <w:rsid w:val="00162E92"/>
    <w:rsid w:val="0016459F"/>
    <w:rsid w:val="00170A52"/>
    <w:rsid w:val="00176CD6"/>
    <w:rsid w:val="0017767A"/>
    <w:rsid w:val="00185277"/>
    <w:rsid w:val="001856DE"/>
    <w:rsid w:val="00186967"/>
    <w:rsid w:val="00186AF3"/>
    <w:rsid w:val="001A7ED4"/>
    <w:rsid w:val="001C0D0F"/>
    <w:rsid w:val="001C1EAD"/>
    <w:rsid w:val="001C2C24"/>
    <w:rsid w:val="001C2F60"/>
    <w:rsid w:val="001C6D0D"/>
    <w:rsid w:val="001D18E7"/>
    <w:rsid w:val="001E15F3"/>
    <w:rsid w:val="001F3DDD"/>
    <w:rsid w:val="001F4F89"/>
    <w:rsid w:val="0020013B"/>
    <w:rsid w:val="00205F10"/>
    <w:rsid w:val="00225DCD"/>
    <w:rsid w:val="0023358D"/>
    <w:rsid w:val="00240744"/>
    <w:rsid w:val="002411D9"/>
    <w:rsid w:val="00245DCF"/>
    <w:rsid w:val="002473C2"/>
    <w:rsid w:val="002473EE"/>
    <w:rsid w:val="0025606D"/>
    <w:rsid w:val="002733B3"/>
    <w:rsid w:val="00274E81"/>
    <w:rsid w:val="002803AA"/>
    <w:rsid w:val="00282839"/>
    <w:rsid w:val="00287C3E"/>
    <w:rsid w:val="002A7A58"/>
    <w:rsid w:val="002B15CD"/>
    <w:rsid w:val="002B5189"/>
    <w:rsid w:val="002C04C2"/>
    <w:rsid w:val="002C1C0D"/>
    <w:rsid w:val="002D0C50"/>
    <w:rsid w:val="002D4189"/>
    <w:rsid w:val="002D7692"/>
    <w:rsid w:val="002E0D69"/>
    <w:rsid w:val="002E31A2"/>
    <w:rsid w:val="002E4C6C"/>
    <w:rsid w:val="002E5C62"/>
    <w:rsid w:val="002F3CB5"/>
    <w:rsid w:val="003010A2"/>
    <w:rsid w:val="00302525"/>
    <w:rsid w:val="003064E1"/>
    <w:rsid w:val="00310A51"/>
    <w:rsid w:val="00322573"/>
    <w:rsid w:val="00322DD7"/>
    <w:rsid w:val="003233E0"/>
    <w:rsid w:val="003259E9"/>
    <w:rsid w:val="0032698D"/>
    <w:rsid w:val="0033005B"/>
    <w:rsid w:val="003352CE"/>
    <w:rsid w:val="00341734"/>
    <w:rsid w:val="00341E1B"/>
    <w:rsid w:val="00342ECD"/>
    <w:rsid w:val="00346956"/>
    <w:rsid w:val="00346AFE"/>
    <w:rsid w:val="003511F8"/>
    <w:rsid w:val="003553FF"/>
    <w:rsid w:val="00364C8B"/>
    <w:rsid w:val="00366362"/>
    <w:rsid w:val="0036725D"/>
    <w:rsid w:val="00367A89"/>
    <w:rsid w:val="003819A4"/>
    <w:rsid w:val="00382EC5"/>
    <w:rsid w:val="003926C8"/>
    <w:rsid w:val="0039472C"/>
    <w:rsid w:val="00395758"/>
    <w:rsid w:val="0039576F"/>
    <w:rsid w:val="00397F02"/>
    <w:rsid w:val="003A2880"/>
    <w:rsid w:val="003C0422"/>
    <w:rsid w:val="003C2F48"/>
    <w:rsid w:val="003C3AAE"/>
    <w:rsid w:val="003E2EE8"/>
    <w:rsid w:val="003E31E5"/>
    <w:rsid w:val="003E5374"/>
    <w:rsid w:val="003E5F71"/>
    <w:rsid w:val="003F15E7"/>
    <w:rsid w:val="003F4955"/>
    <w:rsid w:val="00402B50"/>
    <w:rsid w:val="004046AE"/>
    <w:rsid w:val="00406F75"/>
    <w:rsid w:val="00411AEE"/>
    <w:rsid w:val="00412BC0"/>
    <w:rsid w:val="004274F6"/>
    <w:rsid w:val="004334B3"/>
    <w:rsid w:val="00437861"/>
    <w:rsid w:val="00446F20"/>
    <w:rsid w:val="00455F51"/>
    <w:rsid w:val="00465985"/>
    <w:rsid w:val="0046648A"/>
    <w:rsid w:val="0046774A"/>
    <w:rsid w:val="00472150"/>
    <w:rsid w:val="0047243E"/>
    <w:rsid w:val="00480ADD"/>
    <w:rsid w:val="004810F9"/>
    <w:rsid w:val="004828FB"/>
    <w:rsid w:val="00485CB3"/>
    <w:rsid w:val="00492D93"/>
    <w:rsid w:val="00497606"/>
    <w:rsid w:val="004A10C2"/>
    <w:rsid w:val="004A4D3A"/>
    <w:rsid w:val="004C08B1"/>
    <w:rsid w:val="004C3F0D"/>
    <w:rsid w:val="004C654C"/>
    <w:rsid w:val="004C767D"/>
    <w:rsid w:val="004D2300"/>
    <w:rsid w:val="004D392F"/>
    <w:rsid w:val="004D3DE7"/>
    <w:rsid w:val="004F0906"/>
    <w:rsid w:val="004F1592"/>
    <w:rsid w:val="004F6EFF"/>
    <w:rsid w:val="004F779D"/>
    <w:rsid w:val="00503A10"/>
    <w:rsid w:val="005040D7"/>
    <w:rsid w:val="0050487A"/>
    <w:rsid w:val="00504ADB"/>
    <w:rsid w:val="0050690B"/>
    <w:rsid w:val="00507425"/>
    <w:rsid w:val="0051195C"/>
    <w:rsid w:val="005142C4"/>
    <w:rsid w:val="00515C51"/>
    <w:rsid w:val="00516DF2"/>
    <w:rsid w:val="00520870"/>
    <w:rsid w:val="00522994"/>
    <w:rsid w:val="00531A3D"/>
    <w:rsid w:val="00533108"/>
    <w:rsid w:val="00537CDE"/>
    <w:rsid w:val="005429ED"/>
    <w:rsid w:val="00545CA0"/>
    <w:rsid w:val="00547E3B"/>
    <w:rsid w:val="00552CEF"/>
    <w:rsid w:val="00553327"/>
    <w:rsid w:val="005552E0"/>
    <w:rsid w:val="00561253"/>
    <w:rsid w:val="00561C6B"/>
    <w:rsid w:val="00564827"/>
    <w:rsid w:val="005659B1"/>
    <w:rsid w:val="00565C3C"/>
    <w:rsid w:val="00566E9A"/>
    <w:rsid w:val="00571E1E"/>
    <w:rsid w:val="00572DD3"/>
    <w:rsid w:val="00576FDF"/>
    <w:rsid w:val="00581A30"/>
    <w:rsid w:val="00595530"/>
    <w:rsid w:val="0059636A"/>
    <w:rsid w:val="00597626"/>
    <w:rsid w:val="005A0574"/>
    <w:rsid w:val="005A6362"/>
    <w:rsid w:val="005A6BE2"/>
    <w:rsid w:val="005A6FB4"/>
    <w:rsid w:val="005B081E"/>
    <w:rsid w:val="005B2863"/>
    <w:rsid w:val="005B41A8"/>
    <w:rsid w:val="005B54F2"/>
    <w:rsid w:val="005C1363"/>
    <w:rsid w:val="005C361B"/>
    <w:rsid w:val="005C7712"/>
    <w:rsid w:val="005D65C9"/>
    <w:rsid w:val="005D67FF"/>
    <w:rsid w:val="005D76F8"/>
    <w:rsid w:val="005D78C9"/>
    <w:rsid w:val="005E0AA3"/>
    <w:rsid w:val="005E17AB"/>
    <w:rsid w:val="005E5FCA"/>
    <w:rsid w:val="005F67EF"/>
    <w:rsid w:val="005F6DD7"/>
    <w:rsid w:val="00602BE7"/>
    <w:rsid w:val="00603B5C"/>
    <w:rsid w:val="00605F2A"/>
    <w:rsid w:val="0060685C"/>
    <w:rsid w:val="00606A43"/>
    <w:rsid w:val="006306E9"/>
    <w:rsid w:val="00635546"/>
    <w:rsid w:val="00641E21"/>
    <w:rsid w:val="00642BF1"/>
    <w:rsid w:val="00643DF9"/>
    <w:rsid w:val="00654E77"/>
    <w:rsid w:val="006568CD"/>
    <w:rsid w:val="00666CB7"/>
    <w:rsid w:val="00667796"/>
    <w:rsid w:val="00674B54"/>
    <w:rsid w:val="00677E49"/>
    <w:rsid w:val="0068185C"/>
    <w:rsid w:val="006841B2"/>
    <w:rsid w:val="00686543"/>
    <w:rsid w:val="0068681D"/>
    <w:rsid w:val="006A3CDD"/>
    <w:rsid w:val="006A6CEB"/>
    <w:rsid w:val="006A7B84"/>
    <w:rsid w:val="006B4753"/>
    <w:rsid w:val="006B6500"/>
    <w:rsid w:val="006C5EC5"/>
    <w:rsid w:val="006D1E53"/>
    <w:rsid w:val="006D4F98"/>
    <w:rsid w:val="006F055E"/>
    <w:rsid w:val="00701445"/>
    <w:rsid w:val="00715BF1"/>
    <w:rsid w:val="007161C5"/>
    <w:rsid w:val="0071751D"/>
    <w:rsid w:val="00717D6F"/>
    <w:rsid w:val="00723CCF"/>
    <w:rsid w:val="007465D1"/>
    <w:rsid w:val="00746C6E"/>
    <w:rsid w:val="00746D3E"/>
    <w:rsid w:val="0076041D"/>
    <w:rsid w:val="00762943"/>
    <w:rsid w:val="007641DC"/>
    <w:rsid w:val="007703C5"/>
    <w:rsid w:val="0078493F"/>
    <w:rsid w:val="00784E79"/>
    <w:rsid w:val="00784F64"/>
    <w:rsid w:val="00792242"/>
    <w:rsid w:val="00793367"/>
    <w:rsid w:val="007A1057"/>
    <w:rsid w:val="007B2F4C"/>
    <w:rsid w:val="007B4258"/>
    <w:rsid w:val="007C56D5"/>
    <w:rsid w:val="007D0B23"/>
    <w:rsid w:val="007D661F"/>
    <w:rsid w:val="007E47FB"/>
    <w:rsid w:val="007E5A8D"/>
    <w:rsid w:val="007F39AE"/>
    <w:rsid w:val="008047B2"/>
    <w:rsid w:val="008115D3"/>
    <w:rsid w:val="0081669E"/>
    <w:rsid w:val="00817BD7"/>
    <w:rsid w:val="00825389"/>
    <w:rsid w:val="0082652B"/>
    <w:rsid w:val="0084045D"/>
    <w:rsid w:val="0084378E"/>
    <w:rsid w:val="00853954"/>
    <w:rsid w:val="008578F3"/>
    <w:rsid w:val="00862FB8"/>
    <w:rsid w:val="00863D40"/>
    <w:rsid w:val="008659CB"/>
    <w:rsid w:val="0086685D"/>
    <w:rsid w:val="00867B50"/>
    <w:rsid w:val="008734F3"/>
    <w:rsid w:val="00880B83"/>
    <w:rsid w:val="008827CA"/>
    <w:rsid w:val="00882953"/>
    <w:rsid w:val="00884562"/>
    <w:rsid w:val="008858A3"/>
    <w:rsid w:val="00887170"/>
    <w:rsid w:val="008871F8"/>
    <w:rsid w:val="00887B0B"/>
    <w:rsid w:val="00887F89"/>
    <w:rsid w:val="00891D05"/>
    <w:rsid w:val="008A0DCD"/>
    <w:rsid w:val="008A2DE5"/>
    <w:rsid w:val="008A3325"/>
    <w:rsid w:val="008A5FE9"/>
    <w:rsid w:val="008B0FFC"/>
    <w:rsid w:val="008C5612"/>
    <w:rsid w:val="008E20C7"/>
    <w:rsid w:val="008E4C65"/>
    <w:rsid w:val="008E5024"/>
    <w:rsid w:val="008F0F55"/>
    <w:rsid w:val="008F60AE"/>
    <w:rsid w:val="00902A9D"/>
    <w:rsid w:val="00904A16"/>
    <w:rsid w:val="009065A5"/>
    <w:rsid w:val="00910D2B"/>
    <w:rsid w:val="0091115C"/>
    <w:rsid w:val="009200FD"/>
    <w:rsid w:val="009224E7"/>
    <w:rsid w:val="009331F3"/>
    <w:rsid w:val="00937B02"/>
    <w:rsid w:val="0094620F"/>
    <w:rsid w:val="00946EF0"/>
    <w:rsid w:val="00950D83"/>
    <w:rsid w:val="00957917"/>
    <w:rsid w:val="0096304A"/>
    <w:rsid w:val="0097206F"/>
    <w:rsid w:val="009738E6"/>
    <w:rsid w:val="00973A41"/>
    <w:rsid w:val="0097680B"/>
    <w:rsid w:val="0098552F"/>
    <w:rsid w:val="00992E7A"/>
    <w:rsid w:val="00995570"/>
    <w:rsid w:val="009A2BC2"/>
    <w:rsid w:val="009A3179"/>
    <w:rsid w:val="009B25A6"/>
    <w:rsid w:val="009B70F1"/>
    <w:rsid w:val="009B7C82"/>
    <w:rsid w:val="009C05DD"/>
    <w:rsid w:val="009C5731"/>
    <w:rsid w:val="009D183F"/>
    <w:rsid w:val="009E1D64"/>
    <w:rsid w:val="009E4089"/>
    <w:rsid w:val="009E5D93"/>
    <w:rsid w:val="009F0A3E"/>
    <w:rsid w:val="009F0F12"/>
    <w:rsid w:val="009F1202"/>
    <w:rsid w:val="00A02FA8"/>
    <w:rsid w:val="00A07C02"/>
    <w:rsid w:val="00A1268C"/>
    <w:rsid w:val="00A14E0E"/>
    <w:rsid w:val="00A16285"/>
    <w:rsid w:val="00A16406"/>
    <w:rsid w:val="00A20455"/>
    <w:rsid w:val="00A21AF5"/>
    <w:rsid w:val="00A2357F"/>
    <w:rsid w:val="00A251B1"/>
    <w:rsid w:val="00A47723"/>
    <w:rsid w:val="00A56CBA"/>
    <w:rsid w:val="00A576F6"/>
    <w:rsid w:val="00A57B48"/>
    <w:rsid w:val="00A71163"/>
    <w:rsid w:val="00A74AB1"/>
    <w:rsid w:val="00A74D09"/>
    <w:rsid w:val="00A759FE"/>
    <w:rsid w:val="00A805CA"/>
    <w:rsid w:val="00A831CC"/>
    <w:rsid w:val="00A93F82"/>
    <w:rsid w:val="00A96824"/>
    <w:rsid w:val="00A96A36"/>
    <w:rsid w:val="00AA0897"/>
    <w:rsid w:val="00AA1AEA"/>
    <w:rsid w:val="00AA5AD3"/>
    <w:rsid w:val="00AB125D"/>
    <w:rsid w:val="00AB2018"/>
    <w:rsid w:val="00AB2CC7"/>
    <w:rsid w:val="00AC1BF6"/>
    <w:rsid w:val="00AC7338"/>
    <w:rsid w:val="00AD224C"/>
    <w:rsid w:val="00AD5BA7"/>
    <w:rsid w:val="00AD7110"/>
    <w:rsid w:val="00AE1F2D"/>
    <w:rsid w:val="00AE5760"/>
    <w:rsid w:val="00AF671D"/>
    <w:rsid w:val="00B022A5"/>
    <w:rsid w:val="00B0624D"/>
    <w:rsid w:val="00B14F51"/>
    <w:rsid w:val="00B21FEB"/>
    <w:rsid w:val="00B27537"/>
    <w:rsid w:val="00B27782"/>
    <w:rsid w:val="00B3028D"/>
    <w:rsid w:val="00B343C0"/>
    <w:rsid w:val="00B37863"/>
    <w:rsid w:val="00B37EF1"/>
    <w:rsid w:val="00B4296C"/>
    <w:rsid w:val="00B42E96"/>
    <w:rsid w:val="00B43EB3"/>
    <w:rsid w:val="00B47029"/>
    <w:rsid w:val="00B527F0"/>
    <w:rsid w:val="00B55816"/>
    <w:rsid w:val="00B56AF7"/>
    <w:rsid w:val="00B64A6A"/>
    <w:rsid w:val="00B72182"/>
    <w:rsid w:val="00B72576"/>
    <w:rsid w:val="00B73926"/>
    <w:rsid w:val="00B742AA"/>
    <w:rsid w:val="00B76343"/>
    <w:rsid w:val="00B82D32"/>
    <w:rsid w:val="00B83B9F"/>
    <w:rsid w:val="00B847DA"/>
    <w:rsid w:val="00B96160"/>
    <w:rsid w:val="00BA2418"/>
    <w:rsid w:val="00BB412F"/>
    <w:rsid w:val="00BB534C"/>
    <w:rsid w:val="00BC61E2"/>
    <w:rsid w:val="00BD0A5C"/>
    <w:rsid w:val="00BD1324"/>
    <w:rsid w:val="00BD364F"/>
    <w:rsid w:val="00BD3AD5"/>
    <w:rsid w:val="00BD7713"/>
    <w:rsid w:val="00BD7A07"/>
    <w:rsid w:val="00BD7B65"/>
    <w:rsid w:val="00BE1DCA"/>
    <w:rsid w:val="00BE4F6F"/>
    <w:rsid w:val="00BF2190"/>
    <w:rsid w:val="00BF3DAE"/>
    <w:rsid w:val="00BF6AF3"/>
    <w:rsid w:val="00BF7248"/>
    <w:rsid w:val="00C0011A"/>
    <w:rsid w:val="00C04DD7"/>
    <w:rsid w:val="00C05D16"/>
    <w:rsid w:val="00C05DC9"/>
    <w:rsid w:val="00C14A3C"/>
    <w:rsid w:val="00C14B16"/>
    <w:rsid w:val="00C179B3"/>
    <w:rsid w:val="00C17D4A"/>
    <w:rsid w:val="00C17EB8"/>
    <w:rsid w:val="00C24EC3"/>
    <w:rsid w:val="00C25A06"/>
    <w:rsid w:val="00C278C3"/>
    <w:rsid w:val="00C30146"/>
    <w:rsid w:val="00C35791"/>
    <w:rsid w:val="00C419DE"/>
    <w:rsid w:val="00C46316"/>
    <w:rsid w:val="00C4636F"/>
    <w:rsid w:val="00C46C0C"/>
    <w:rsid w:val="00C4789A"/>
    <w:rsid w:val="00C50E7D"/>
    <w:rsid w:val="00C52998"/>
    <w:rsid w:val="00C529A0"/>
    <w:rsid w:val="00C550BF"/>
    <w:rsid w:val="00C63B4E"/>
    <w:rsid w:val="00C72AF4"/>
    <w:rsid w:val="00C756E9"/>
    <w:rsid w:val="00C75B91"/>
    <w:rsid w:val="00C75D0E"/>
    <w:rsid w:val="00C7678A"/>
    <w:rsid w:val="00C9591C"/>
    <w:rsid w:val="00C97E08"/>
    <w:rsid w:val="00CA50C5"/>
    <w:rsid w:val="00CA5E1C"/>
    <w:rsid w:val="00CB3778"/>
    <w:rsid w:val="00CB3C8A"/>
    <w:rsid w:val="00CB74FE"/>
    <w:rsid w:val="00CC0404"/>
    <w:rsid w:val="00CC2049"/>
    <w:rsid w:val="00CC3A34"/>
    <w:rsid w:val="00CC69F7"/>
    <w:rsid w:val="00CC73D9"/>
    <w:rsid w:val="00CD0577"/>
    <w:rsid w:val="00CE4B0E"/>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52B3F"/>
    <w:rsid w:val="00D5615F"/>
    <w:rsid w:val="00D56B84"/>
    <w:rsid w:val="00D646A9"/>
    <w:rsid w:val="00D6523A"/>
    <w:rsid w:val="00D67950"/>
    <w:rsid w:val="00D84F2A"/>
    <w:rsid w:val="00D87375"/>
    <w:rsid w:val="00D916DD"/>
    <w:rsid w:val="00D95827"/>
    <w:rsid w:val="00D95D7D"/>
    <w:rsid w:val="00DA0931"/>
    <w:rsid w:val="00DA4D63"/>
    <w:rsid w:val="00DA6CAB"/>
    <w:rsid w:val="00DB33FA"/>
    <w:rsid w:val="00DB3AF6"/>
    <w:rsid w:val="00DB716A"/>
    <w:rsid w:val="00DC77DC"/>
    <w:rsid w:val="00DD2118"/>
    <w:rsid w:val="00DD79E9"/>
    <w:rsid w:val="00DE1D28"/>
    <w:rsid w:val="00DE29CB"/>
    <w:rsid w:val="00DE3B1B"/>
    <w:rsid w:val="00E06647"/>
    <w:rsid w:val="00E136C7"/>
    <w:rsid w:val="00E232F8"/>
    <w:rsid w:val="00E24DAF"/>
    <w:rsid w:val="00E338A0"/>
    <w:rsid w:val="00E35F1A"/>
    <w:rsid w:val="00E37D79"/>
    <w:rsid w:val="00E43FB1"/>
    <w:rsid w:val="00E4642D"/>
    <w:rsid w:val="00E60C3E"/>
    <w:rsid w:val="00E7552F"/>
    <w:rsid w:val="00E76C60"/>
    <w:rsid w:val="00E76F2A"/>
    <w:rsid w:val="00E8253B"/>
    <w:rsid w:val="00E84842"/>
    <w:rsid w:val="00E84DE2"/>
    <w:rsid w:val="00E87460"/>
    <w:rsid w:val="00E97B8E"/>
    <w:rsid w:val="00EA3A5B"/>
    <w:rsid w:val="00EB1400"/>
    <w:rsid w:val="00EB1FD8"/>
    <w:rsid w:val="00EB6BA8"/>
    <w:rsid w:val="00EB7A3E"/>
    <w:rsid w:val="00EC2ADF"/>
    <w:rsid w:val="00EC5292"/>
    <w:rsid w:val="00ED0B29"/>
    <w:rsid w:val="00EF4C87"/>
    <w:rsid w:val="00EF6BFD"/>
    <w:rsid w:val="00F06BEE"/>
    <w:rsid w:val="00F135C4"/>
    <w:rsid w:val="00F13D93"/>
    <w:rsid w:val="00F14A31"/>
    <w:rsid w:val="00F17676"/>
    <w:rsid w:val="00F17C6D"/>
    <w:rsid w:val="00F2013A"/>
    <w:rsid w:val="00F208A1"/>
    <w:rsid w:val="00F21979"/>
    <w:rsid w:val="00F22CBF"/>
    <w:rsid w:val="00F25DFE"/>
    <w:rsid w:val="00F302FC"/>
    <w:rsid w:val="00F312E6"/>
    <w:rsid w:val="00F35817"/>
    <w:rsid w:val="00F3640E"/>
    <w:rsid w:val="00F4248C"/>
    <w:rsid w:val="00F44FBC"/>
    <w:rsid w:val="00F46717"/>
    <w:rsid w:val="00F538EE"/>
    <w:rsid w:val="00F6397C"/>
    <w:rsid w:val="00F63E44"/>
    <w:rsid w:val="00F640AC"/>
    <w:rsid w:val="00F6671A"/>
    <w:rsid w:val="00F6691A"/>
    <w:rsid w:val="00F67E7B"/>
    <w:rsid w:val="00F773CE"/>
    <w:rsid w:val="00F80542"/>
    <w:rsid w:val="00F87345"/>
    <w:rsid w:val="00F941FD"/>
    <w:rsid w:val="00F96FDC"/>
    <w:rsid w:val="00FA5495"/>
    <w:rsid w:val="00FA5CC9"/>
    <w:rsid w:val="00FA720C"/>
    <w:rsid w:val="00FB5BB7"/>
    <w:rsid w:val="00FB5CEA"/>
    <w:rsid w:val="00FB6608"/>
    <w:rsid w:val="00FC2781"/>
    <w:rsid w:val="00FC62B6"/>
    <w:rsid w:val="00FC7DAC"/>
    <w:rsid w:val="00FD2648"/>
    <w:rsid w:val="00FD2818"/>
    <w:rsid w:val="00FE2B63"/>
    <w:rsid w:val="00FF010C"/>
    <w:rsid w:val="00FF01C0"/>
    <w:rsid w:val="00FF1527"/>
    <w:rsid w:val="00FF41E5"/>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19" w:qFormat="1"/>
    <w:lsdException w:name="heading 5" w:qFormat="1"/>
    <w:lsdException w:name="heading 6" w:locked="1" w:semiHidden="1" w:uiPriority="19" w:unhideWhenUsed="1" w:qFormat="1"/>
    <w:lsdException w:name="heading 7" w:locked="1" w:semiHidden="1" w:uiPriority="19" w:unhideWhenUsed="1" w:qFormat="1"/>
    <w:lsdException w:name="heading 8" w:locked="1" w:semiHidden="1" w:uiPriority="19" w:unhideWhenUsed="1" w:qFormat="1"/>
    <w:lsdException w:name="heading 9" w:locked="1" w:semiHidden="1" w:uiPriority="19" w:unhideWhenUsed="1" w:qFormat="1"/>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uiPriority="99"/>
    <w:lsdException w:name="toc 4" w:uiPriority="5"/>
    <w:lsdException w:name="toc 5" w:uiPriority="5"/>
    <w:lsdException w:name="toc 6" w:locked="1" w:semiHidden="1"/>
    <w:lsdException w:name="toc 7" w:locked="1" w:semiHidden="1"/>
    <w:lsdException w:name="toc 8" w:locked="1" w:semiHidden="1"/>
    <w:lsdException w:name="toc 9" w:locked="1" w:semiHidden="1"/>
    <w:lsdException w:name="Normal Indent" w:locked="1"/>
    <w:lsdException w:name="footnote text" w:locked="1" w:semiHidden="1" w:uiPriority="5"/>
    <w:lsdException w:name="annotation text" w:locked="1" w:semiHidden="1" w:uiPriority="99"/>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semiHidden="1" w:uiPriority="5"/>
    <w:lsdException w:name="annotation reference" w:locked="1" w:semiHidden="1" w:uiPriority="99"/>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uiPriority="99"/>
    <w:lsdException w:name="FollowedHyperlink" w:locked="1" w:semiHidden="1"/>
    <w:lsdException w:name="Strong" w:locked="1" w:semiHidden="1"/>
    <w:lsdException w:name="Emphasis" w:locked="1" w:semiHidden="1" w:uiPriority="20" w:qFormat="1"/>
    <w:lsdException w:name="Document Map" w:locked="1" w:semiHidden="1"/>
    <w:lsdException w:name="Plain Text" w:locked="1" w:semiHidden="1"/>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Grid" w:locked="1" w:uiPriority="59"/>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9"/>
    <w:qFormat/>
    <w:rsid w:val="00AF671D"/>
  </w:style>
  <w:style w:type="paragraph" w:styleId="Heading1">
    <w:name w:val="heading 1"/>
    <w:basedOn w:val="Normal"/>
    <w:next w:val="Normal"/>
    <w:link w:val="Heading1Char"/>
    <w:qFormat/>
    <w:rsid w:val="00552CEF"/>
    <w:pPr>
      <w:keepNext/>
      <w:spacing w:before="360"/>
      <w:outlineLvl w:val="0"/>
    </w:pPr>
    <w:rPr>
      <w:rFonts w:asciiTheme="majorHAnsi" w:hAnsiTheme="majorHAnsi"/>
      <w:b/>
      <w:caps/>
      <w:sz w:val="26"/>
    </w:rPr>
  </w:style>
  <w:style w:type="paragraph" w:styleId="Heading2">
    <w:name w:val="heading 2"/>
    <w:basedOn w:val="Normal"/>
    <w:next w:val="Normal"/>
    <w:link w:val="Heading2Char"/>
    <w:qFormat/>
    <w:rsid w:val="00552CEF"/>
    <w:pPr>
      <w:keepNext/>
      <w:spacing w:before="240"/>
      <w:outlineLvl w:val="1"/>
    </w:pPr>
    <w:rPr>
      <w:rFonts w:asciiTheme="majorHAnsi" w:hAnsiTheme="majorHAnsi"/>
      <w:b/>
      <w:kern w:val="28"/>
      <w:sz w:val="26"/>
    </w:rPr>
  </w:style>
  <w:style w:type="paragraph" w:styleId="Heading3">
    <w:name w:val="heading 3"/>
    <w:basedOn w:val="Normal"/>
    <w:next w:val="Normal"/>
    <w:link w:val="Heading3Char"/>
    <w:qFormat/>
    <w:rsid w:val="00552CEF"/>
    <w:pPr>
      <w:keepNext/>
      <w:spacing w:before="240"/>
      <w:outlineLvl w:val="2"/>
    </w:pPr>
    <w:rPr>
      <w:rFonts w:asciiTheme="majorHAnsi" w:hAnsiTheme="majorHAnsi"/>
      <w:b/>
      <w:i/>
      <w:kern w:val="28"/>
      <w:sz w:val="24"/>
    </w:rPr>
  </w:style>
  <w:style w:type="paragraph" w:styleId="Heading4">
    <w:name w:val="heading 4"/>
    <w:basedOn w:val="Normal"/>
    <w:next w:val="Normal"/>
    <w:link w:val="Heading4Char"/>
    <w:uiPriority w:val="19"/>
    <w:qFormat/>
    <w:rsid w:val="00552CEF"/>
    <w:pPr>
      <w:keepNext/>
      <w:spacing w:before="240"/>
      <w:outlineLvl w:val="3"/>
    </w:pPr>
    <w:rPr>
      <w:rFonts w:asciiTheme="majorHAnsi" w:hAnsiTheme="majorHAnsi"/>
      <w:i/>
      <w:sz w:val="24"/>
    </w:rPr>
  </w:style>
  <w:style w:type="paragraph" w:styleId="Heading5">
    <w:name w:val="heading 5"/>
    <w:basedOn w:val="Normal"/>
    <w:next w:val="Normal"/>
    <w:link w:val="Heading5Char"/>
    <w:qFormat/>
    <w:rsid w:val="00552CEF"/>
    <w:pPr>
      <w:keepNext/>
      <w:tabs>
        <w:tab w:val="left" w:pos="504"/>
      </w:tabs>
      <w:spacing w:before="120" w:after="60"/>
      <w:outlineLvl w:val="4"/>
    </w:pPr>
    <w:rPr>
      <w:rFonts w:asciiTheme="majorHAnsi" w:hAnsiTheme="majorHAns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552CEF"/>
    <w:pPr>
      <w:spacing w:after="0"/>
      <w:jc w:val="center"/>
    </w:pPr>
    <w:rPr>
      <w:rFonts w:asciiTheme="majorHAnsi" w:hAnsiTheme="majorHAnsi"/>
      <w:i/>
      <w:sz w:val="18"/>
      <w:szCs w:val="18"/>
    </w:rPr>
  </w:style>
  <w:style w:type="character" w:customStyle="1" w:styleId="Heading2Char">
    <w:name w:val="Heading 2 Char"/>
    <w:basedOn w:val="DefaultParagraphFont"/>
    <w:link w:val="Heading2"/>
    <w:rsid w:val="00552CEF"/>
    <w:rPr>
      <w:rFonts w:asciiTheme="majorHAnsi" w:hAnsiTheme="majorHAnsi"/>
      <w:b/>
      <w:kern w:val="28"/>
      <w:sz w:val="26"/>
      <w:szCs w:val="22"/>
      <w:lang w:eastAsia="en-US"/>
    </w:rPr>
  </w:style>
  <w:style w:type="paragraph" w:customStyle="1" w:styleId="TableUnits">
    <w:name w:val="Table Units"/>
    <w:basedOn w:val="Normal"/>
    <w:next w:val="Normal"/>
    <w:link w:val="TableUnitsChar"/>
    <w:uiPriority w:val="50"/>
    <w:qFormat/>
    <w:rsid w:val="00310A51"/>
    <w:pPr>
      <w:keepNext/>
      <w:spacing w:after="0" w:line="264" w:lineRule="auto"/>
    </w:pPr>
    <w:rPr>
      <w:rFonts w:asciiTheme="majorHAnsi" w:eastAsiaTheme="minorHAnsi" w:hAnsiTheme="majorHAnsi" w:cstheme="minorBidi"/>
      <w:spacing w:val="-2"/>
      <w:sz w:val="19"/>
    </w:rPr>
  </w:style>
  <w:style w:type="paragraph" w:customStyle="1" w:styleId="BP4Figures">
    <w:name w:val="BP4 Figures"/>
    <w:basedOn w:val="Normal"/>
    <w:rsid w:val="0078493F"/>
    <w:pPr>
      <w:spacing w:after="30"/>
    </w:pPr>
    <w:rPr>
      <w:sz w:val="18"/>
    </w:rPr>
  </w:style>
  <w:style w:type="table" w:customStyle="1" w:styleId="DTFFinancialTable">
    <w:name w:val="DTF Financial Table"/>
    <w:basedOn w:val="TableNormal"/>
    <w:uiPriority w:val="99"/>
    <w:rsid w:val="00310A51"/>
    <w:pPr>
      <w:spacing w:before="20" w:after="20"/>
      <w:jc w:val="right"/>
    </w:pPr>
    <w:rPr>
      <w:rFonts w:asciiTheme="majorHAnsi" w:eastAsiaTheme="minorHAnsi" w:hAnsiTheme="majorHAnsi" w:cstheme="minorBidi"/>
      <w:spacing w:val="4"/>
      <w:sz w:val="17"/>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EEECE1" w:themeFill="background2"/>
      </w:tcPr>
    </w:tblStylePr>
    <w:tblStylePr w:type="band2Horz">
      <w:tblPr/>
      <w:tcPr>
        <w:shd w:val="clear" w:color="auto" w:fill="FFFFFF" w:themeFill="background1"/>
      </w:tcPr>
    </w:tblStylePr>
  </w:style>
  <w:style w:type="paragraph" w:customStyle="1" w:styleId="BP4headingr">
    <w:name w:val="BP4 heading r"/>
    <w:basedOn w:val="Normal"/>
    <w:rsid w:val="0078493F"/>
    <w:rPr>
      <w:sz w:val="18"/>
    </w:rPr>
  </w:style>
  <w:style w:type="paragraph" w:customStyle="1" w:styleId="BP4headingl">
    <w:name w:val="BP4 heading l"/>
    <w:basedOn w:val="BP4headingr"/>
    <w:rsid w:val="00817BD7"/>
  </w:style>
  <w:style w:type="character" w:customStyle="1" w:styleId="TableUnitsChar">
    <w:name w:val="Table Units Char"/>
    <w:basedOn w:val="DefaultParagraphFont"/>
    <w:link w:val="TableUnits"/>
    <w:uiPriority w:val="50"/>
    <w:rsid w:val="00310A51"/>
    <w:rPr>
      <w:rFonts w:asciiTheme="majorHAnsi" w:eastAsiaTheme="minorHAnsi" w:hAnsiTheme="majorHAnsi" w:cstheme="minorBidi"/>
      <w:spacing w:val="-2"/>
      <w:sz w:val="19"/>
      <w:szCs w:val="22"/>
      <w:lang w:eastAsia="en-US"/>
    </w:rPr>
  </w:style>
  <w:style w:type="paragraph" w:customStyle="1" w:styleId="BP4tabletext">
    <w:name w:val="BP4 table text"/>
    <w:basedOn w:val="Normal"/>
    <w:rsid w:val="0078493F"/>
    <w:pPr>
      <w:spacing w:after="30"/>
      <w:ind w:left="72" w:hanging="72"/>
    </w:pPr>
    <w:rPr>
      <w:sz w:val="18"/>
    </w:rPr>
  </w:style>
  <w:style w:type="paragraph" w:customStyle="1" w:styleId="Tableheading">
    <w:name w:val="Table heading"/>
    <w:basedOn w:val="Normal"/>
    <w:link w:val="TableheadingChar"/>
    <w:qFormat/>
    <w:rsid w:val="00552CEF"/>
    <w:pPr>
      <w:keepNext/>
      <w:spacing w:before="240"/>
      <w:ind w:left="1152" w:hanging="1152"/>
    </w:pPr>
    <w:rPr>
      <w:rFonts w:asciiTheme="majorHAnsi" w:hAnsiTheme="majorHAnsi"/>
      <w:b/>
    </w:rPr>
  </w:style>
  <w:style w:type="table" w:styleId="TableGrid">
    <w:name w:val="Table Grid"/>
    <w:basedOn w:val="TableNormal"/>
    <w:uiPriority w:val="59"/>
    <w:locked/>
    <w:rsid w:val="00B37EF1"/>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link w:val="BulletTextChar"/>
    <w:uiPriority w:val="2"/>
    <w:qFormat/>
    <w:rsid w:val="00CB74FE"/>
    <w:pPr>
      <w:numPr>
        <w:numId w:val="4"/>
      </w:numPr>
    </w:pPr>
  </w:style>
  <w:style w:type="paragraph" w:customStyle="1" w:styleId="ChapterHeading">
    <w:name w:val="Chapter Heading"/>
    <w:basedOn w:val="Normal"/>
    <w:next w:val="Heading1"/>
    <w:uiPriority w:val="89"/>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link w:val="Heading2NotesChar"/>
    <w:uiPriority w:val="19"/>
    <w:rsid w:val="003E5374"/>
    <w:pPr>
      <w:tabs>
        <w:tab w:val="left" w:pos="1152"/>
      </w:tabs>
      <w:ind w:left="1152" w:hanging="1152"/>
    </w:pPr>
  </w:style>
  <w:style w:type="paragraph" w:customStyle="1" w:styleId="Notes">
    <w:name w:val="Notes"/>
    <w:basedOn w:val="Normal"/>
    <w:link w:val="NotesChar"/>
    <w:qFormat/>
    <w:rsid w:val="00552CEF"/>
    <w:pPr>
      <w:tabs>
        <w:tab w:val="left" w:pos="454"/>
      </w:tabs>
      <w:spacing w:after="0"/>
      <w:ind w:left="397" w:hanging="397"/>
    </w:pPr>
    <w:rPr>
      <w:rFonts w:asciiTheme="majorHAnsi" w:hAnsiTheme="majorHAns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E1F2D"/>
    <w:rPr>
      <w:rFonts w:ascii="Calibri" w:hAnsi="Calibri"/>
      <w:b/>
      <w:sz w:val="28"/>
      <w:szCs w:val="24"/>
      <w:lang w:eastAsia="en-US"/>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E1F2D"/>
    <w:rPr>
      <w:rFonts w:ascii="Calibri" w:hAnsi="Calibri"/>
      <w:szCs w:val="18"/>
      <w:lang w:eastAsia="en-US"/>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E1F2D"/>
    <w:rPr>
      <w:rFonts w:ascii="Calibri" w:hAnsi="Calibri"/>
      <w:szCs w:val="18"/>
      <w:lang w:eastAsia="en-US"/>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552CEF"/>
    <w:rPr>
      <w:rFonts w:asciiTheme="majorHAnsi" w:hAnsiTheme="majorHAnsi"/>
      <w:i/>
      <w:sz w:val="15"/>
    </w:rPr>
  </w:style>
  <w:style w:type="paragraph" w:customStyle="1" w:styleId="TableofContentsheading">
    <w:name w:val="Table of Contents heading"/>
    <w:basedOn w:val="ChapterHeading"/>
    <w:next w:val="Normal"/>
    <w:uiPriority w:val="89"/>
  </w:style>
  <w:style w:type="paragraph" w:customStyle="1" w:styleId="Heading2NotesContd">
    <w:name w:val="Heading 2 Notes Cont'd"/>
    <w:basedOn w:val="Heading2Notes"/>
    <w:link w:val="Heading2NotesContdChar"/>
    <w:uiPriority w:val="19"/>
    <w:rsid w:val="002E5C62"/>
  </w:style>
  <w:style w:type="paragraph" w:customStyle="1" w:styleId="HighlightBoxBullet">
    <w:name w:val="Highlight Box Bullet"/>
    <w:basedOn w:val="Normal"/>
    <w:uiPriority w:val="79"/>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884562"/>
    <w:pPr>
      <w:tabs>
        <w:tab w:val="right" w:leader="dot" w:pos="7830"/>
      </w:tabs>
      <w:spacing w:before="40" w:after="40"/>
      <w:ind w:left="284" w:right="420" w:hanging="284"/>
    </w:pPr>
    <w:rPr>
      <w:rFonts w:asciiTheme="majorHAnsi" w:hAnsiTheme="majorHAnsi"/>
      <w:b/>
      <w:sz w:val="24"/>
    </w:rPr>
  </w:style>
  <w:style w:type="paragraph" w:styleId="TOC2">
    <w:name w:val="toc 2"/>
    <w:basedOn w:val="Normal"/>
    <w:next w:val="Normal"/>
    <w:uiPriority w:val="39"/>
    <w:rsid w:val="00552CEF"/>
    <w:pPr>
      <w:tabs>
        <w:tab w:val="right" w:leader="dot" w:pos="7830"/>
      </w:tabs>
      <w:spacing w:after="0"/>
      <w:ind w:left="288" w:right="422"/>
    </w:pPr>
    <w:rPr>
      <w:rFonts w:asciiTheme="majorHAnsi" w:hAnsiTheme="majorHAnsi"/>
      <w:sz w:val="20"/>
    </w:rPr>
  </w:style>
  <w:style w:type="paragraph" w:styleId="TOC3">
    <w:name w:val="toc 3"/>
    <w:basedOn w:val="Normal"/>
    <w:next w:val="Normal"/>
    <w:uiPriority w:val="99"/>
    <w:rsid w:val="00552CEF"/>
    <w:pPr>
      <w:tabs>
        <w:tab w:val="right" w:leader="dot" w:pos="7830"/>
      </w:tabs>
      <w:spacing w:after="0"/>
      <w:ind w:left="432" w:right="422"/>
    </w:pPr>
    <w:rPr>
      <w:rFonts w:asciiTheme="majorHAnsi" w:hAnsiTheme="majorHAnsi"/>
      <w:i/>
      <w:sz w:val="20"/>
    </w:rPr>
  </w:style>
  <w:style w:type="numbering" w:customStyle="1" w:styleId="Headingstyles">
    <w:name w:val="Heading styles"/>
    <w:uiPriority w:val="99"/>
    <w:rsid w:val="00310A51"/>
    <w:pPr>
      <w:numPr>
        <w:numId w:val="7"/>
      </w:numPr>
    </w:pPr>
  </w:style>
  <w:style w:type="paragraph" w:styleId="BalloonText">
    <w:name w:val="Balloon Text"/>
    <w:basedOn w:val="Normal"/>
    <w:link w:val="BalloonTextChar"/>
    <w:locked/>
    <w:rsid w:val="007E47FB"/>
    <w:pPr>
      <w:spacing w:after="0"/>
    </w:pPr>
    <w:rPr>
      <w:rFonts w:ascii="Tahoma" w:hAnsi="Tahoma" w:cs="Tahoma"/>
      <w:sz w:val="16"/>
      <w:szCs w:val="16"/>
    </w:rPr>
  </w:style>
  <w:style w:type="paragraph" w:customStyle="1" w:styleId="Tableheadingcontinued">
    <w:name w:val="Table heading continued"/>
    <w:basedOn w:val="Tableheading"/>
    <w:uiPriority w:val="2"/>
    <w:rsid w:val="002E5C62"/>
  </w:style>
  <w:style w:type="character" w:customStyle="1" w:styleId="BalloonTextChar">
    <w:name w:val="Balloon Text Char"/>
    <w:basedOn w:val="DefaultParagraphFont"/>
    <w:link w:val="BalloonText"/>
    <w:rsid w:val="007E47FB"/>
    <w:rPr>
      <w:rFonts w:ascii="Tahoma" w:hAnsi="Tahoma" w:cs="Tahoma"/>
      <w:sz w:val="16"/>
      <w:szCs w:val="16"/>
      <w:lang w:eastAsia="en-US"/>
    </w:rPr>
  </w:style>
  <w:style w:type="paragraph" w:customStyle="1" w:styleId="Heading3Numbering">
    <w:name w:val="Heading 3 Numbering"/>
    <w:basedOn w:val="Heading3"/>
    <w:link w:val="Heading3NumberingChar"/>
    <w:uiPriority w:val="19"/>
    <w:rsid w:val="004C767D"/>
    <w:pPr>
      <w:numPr>
        <w:numId w:val="3"/>
      </w:numPr>
      <w:tabs>
        <w:tab w:val="clear" w:pos="720"/>
        <w:tab w:val="left" w:pos="504"/>
      </w:tabs>
      <w:ind w:left="504" w:hanging="504"/>
    </w:pPr>
  </w:style>
  <w:style w:type="paragraph" w:customStyle="1" w:styleId="Heading5a">
    <w:name w:val="Heading 5a"/>
    <w:basedOn w:val="Heading5"/>
    <w:uiPriority w:val="19"/>
    <w:rsid w:val="00641E21"/>
    <w:pPr>
      <w:tabs>
        <w:tab w:val="clear" w:pos="504"/>
      </w:tabs>
    </w:pPr>
    <w:rPr>
      <w:b w:val="0"/>
      <w:i/>
      <w:sz w:val="21"/>
    </w:rPr>
  </w:style>
  <w:style w:type="character" w:customStyle="1" w:styleId="OGTabBulletChar">
    <w:name w:val="OGTabBullet Char"/>
    <w:link w:val="OGTabBullet"/>
    <w:rsid w:val="00AE1F2D"/>
    <w:rPr>
      <w:rFonts w:ascii="Calibri" w:hAnsi="Calibri"/>
      <w:sz w:val="20"/>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style>
  <w:style w:type="paragraph" w:customStyle="1" w:styleId="OGUoM">
    <w:name w:val="OGUoM"/>
    <w:basedOn w:val="Normal"/>
    <w:rsid w:val="0078493F"/>
    <w:pPr>
      <w:spacing w:before="30" w:after="30"/>
    </w:pPr>
  </w:style>
  <w:style w:type="paragraph" w:customStyle="1" w:styleId="DashText">
    <w:name w:val="Dash Text"/>
    <w:basedOn w:val="Normal"/>
    <w:link w:val="DashTextChar"/>
    <w:uiPriority w:val="2"/>
    <w:qFormat/>
    <w:rsid w:val="00CB74FE"/>
    <w:pPr>
      <w:numPr>
        <w:ilvl w:val="1"/>
        <w:numId w:val="4"/>
      </w:numPr>
    </w:pPr>
  </w:style>
  <w:style w:type="paragraph" w:customStyle="1" w:styleId="OGTableofFigures">
    <w:name w:val="OGTable of Figures"/>
    <w:basedOn w:val="Normal"/>
    <w:rsid w:val="0078493F"/>
    <w:pPr>
      <w:spacing w:before="30" w:after="30"/>
    </w:pPr>
  </w:style>
  <w:style w:type="paragraph" w:customStyle="1" w:styleId="NotesIndent">
    <w:name w:val="NotesIndent"/>
    <w:basedOn w:val="Notes"/>
    <w:uiPriority w:val="44"/>
    <w:rsid w:val="00553327"/>
    <w:pPr>
      <w:tabs>
        <w:tab w:val="clear" w:pos="454"/>
      </w:tabs>
      <w:ind w:left="624" w:firstLine="0"/>
    </w:pPr>
  </w:style>
  <w:style w:type="paragraph" w:customStyle="1" w:styleId="NotesDash">
    <w:name w:val="NotesDash"/>
    <w:basedOn w:val="NotesIndent"/>
    <w:uiPriority w:val="44"/>
    <w:rsid w:val="00553327"/>
    <w:pPr>
      <w:numPr>
        <w:numId w:val="5"/>
      </w:numPr>
      <w:tabs>
        <w:tab w:val="clear" w:pos="922"/>
      </w:tabs>
      <w:ind w:left="624" w:hanging="227"/>
    </w:p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styleId="NormalIndent">
    <w:name w:val="Normal Indent"/>
    <w:basedOn w:val="Normal"/>
    <w:semiHidden/>
    <w:locked/>
    <w:rsid w:val="00A831CC"/>
    <w:pPr>
      <w:ind w:left="360"/>
    </w:pPr>
  </w:style>
  <w:style w:type="paragraph" w:customStyle="1" w:styleId="Heading3NumberingBP4">
    <w:name w:val="Heading 3 Numbering BP4"/>
    <w:basedOn w:val="Heading3Numbering"/>
    <w:uiPriority w:val="19"/>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link w:val="OGNotesChar"/>
    <w:rsid w:val="00C24EC3"/>
    <w:pPr>
      <w:spacing w:after="60"/>
      <w:ind w:left="360" w:right="115"/>
    </w:p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uiPriority w:val="79"/>
    <w:qFormat/>
    <w:rsid w:val="00552CEF"/>
    <w:rPr>
      <w:rFonts w:asciiTheme="majorHAnsi" w:hAnsiTheme="majorHAnsi"/>
      <w:b/>
      <w:sz w:val="21"/>
    </w:rPr>
  </w:style>
  <w:style w:type="paragraph" w:customStyle="1" w:styleId="HighlightBoxText">
    <w:name w:val="Highlight Box Text"/>
    <w:basedOn w:val="HighlightBoxBullet"/>
    <w:uiPriority w:val="79"/>
    <w:rsid w:val="00C24EC3"/>
    <w:pPr>
      <w:numPr>
        <w:numId w:val="0"/>
      </w:numPr>
    </w:pPr>
  </w:style>
  <w:style w:type="paragraph" w:customStyle="1" w:styleId="TableofContentscontinued">
    <w:name w:val="Table of Contents continued"/>
    <w:basedOn w:val="Normal"/>
    <w:uiPriority w:val="90"/>
    <w:rsid w:val="000221B3"/>
    <w:pPr>
      <w:keepNext/>
      <w:tabs>
        <w:tab w:val="left" w:pos="1152"/>
      </w:tabs>
      <w:spacing w:before="240"/>
      <w:ind w:left="1152" w:hanging="1152"/>
      <w:outlineLvl w:val="1"/>
    </w:pPr>
    <w:rPr>
      <w:rFonts w:ascii="Calibri" w:hAnsi="Calibri"/>
      <w:b/>
      <w:kern w:val="28"/>
      <w:sz w:val="26"/>
    </w:rPr>
  </w:style>
  <w:style w:type="character" w:customStyle="1" w:styleId="millionChar">
    <w:name w:val="$million Char"/>
    <w:link w:val="million"/>
    <w:rsid w:val="00552CEF"/>
    <w:rPr>
      <w:rFonts w:asciiTheme="majorHAnsi" w:hAnsiTheme="majorHAnsi"/>
      <w:i/>
      <w:sz w:val="18"/>
      <w:szCs w:val="18"/>
      <w:lang w:eastAsia="en-US"/>
    </w:rPr>
  </w:style>
  <w:style w:type="character" w:customStyle="1" w:styleId="SourceChar">
    <w:name w:val="Source Char"/>
    <w:link w:val="Source"/>
    <w:locked/>
    <w:rsid w:val="00552CEF"/>
    <w:rPr>
      <w:rFonts w:asciiTheme="majorHAnsi" w:hAnsiTheme="majorHAnsi"/>
      <w:i/>
      <w:sz w:val="15"/>
      <w:lang w:eastAsia="en-US"/>
    </w:rPr>
  </w:style>
  <w:style w:type="character" w:styleId="Hyperlink">
    <w:name w:val="Hyperlink"/>
    <w:basedOn w:val="DefaultParagraphFont"/>
    <w:uiPriority w:val="99"/>
    <w:unhideWhenUsed/>
    <w:locked/>
    <w:rsid w:val="00B47029"/>
    <w:rPr>
      <w:color w:val="0000FF" w:themeColor="hyperlink"/>
      <w:u w:val="single"/>
    </w:rPr>
  </w:style>
  <w:style w:type="paragraph" w:customStyle="1" w:styleId="Tabletextheadingleft">
    <w:name w:val="Table text heading left"/>
    <w:basedOn w:val="Normal"/>
    <w:uiPriority w:val="2"/>
    <w:rsid w:val="00884562"/>
    <w:pPr>
      <w:spacing w:after="0"/>
    </w:pPr>
    <w:rPr>
      <w:rFonts w:ascii="Calibri" w:hAnsi="Calibri"/>
      <w:i/>
      <w:sz w:val="20"/>
      <w:szCs w:val="18"/>
    </w:rPr>
  </w:style>
  <w:style w:type="paragraph" w:customStyle="1" w:styleId="Tabletextnoindent">
    <w:name w:val="Table text no indent"/>
    <w:basedOn w:val="Normal"/>
    <w:qFormat/>
    <w:rsid w:val="00884562"/>
    <w:pPr>
      <w:autoSpaceDE w:val="0"/>
      <w:autoSpaceDN w:val="0"/>
      <w:adjustRightInd w:val="0"/>
      <w:spacing w:after="0"/>
    </w:pPr>
    <w:rPr>
      <w:rFonts w:ascii="Calibri" w:eastAsiaTheme="minorEastAsia" w:hAnsi="Calibri" w:cs="Calibri"/>
      <w:color w:val="000000"/>
      <w:sz w:val="20"/>
    </w:rPr>
  </w:style>
  <w:style w:type="character" w:customStyle="1" w:styleId="TableheadingChar">
    <w:name w:val="Table heading Char"/>
    <w:link w:val="Tableheading"/>
    <w:rsid w:val="00884562"/>
    <w:rPr>
      <w:rFonts w:asciiTheme="majorHAnsi" w:hAnsiTheme="majorHAnsi"/>
      <w:b/>
      <w:sz w:val="22"/>
      <w:lang w:eastAsia="en-US"/>
    </w:rPr>
  </w:style>
  <w:style w:type="character" w:customStyle="1" w:styleId="NotesChar">
    <w:name w:val="Notes Char"/>
    <w:link w:val="Notes"/>
    <w:locked/>
    <w:rsid w:val="00884562"/>
    <w:rPr>
      <w:rFonts w:asciiTheme="majorHAnsi" w:hAnsiTheme="majorHAnsi"/>
      <w:i/>
      <w:sz w:val="15"/>
      <w:lang w:eastAsia="en-US"/>
    </w:rPr>
  </w:style>
  <w:style w:type="character" w:customStyle="1" w:styleId="Heading1Char">
    <w:name w:val="Heading 1 Char"/>
    <w:basedOn w:val="DefaultParagraphFont"/>
    <w:link w:val="Heading1"/>
    <w:rsid w:val="00884562"/>
    <w:rPr>
      <w:rFonts w:asciiTheme="majorHAnsi" w:hAnsiTheme="majorHAnsi"/>
      <w:b/>
      <w:caps/>
      <w:sz w:val="26"/>
      <w:szCs w:val="22"/>
      <w:lang w:eastAsia="en-US"/>
    </w:rPr>
  </w:style>
  <w:style w:type="character" w:customStyle="1" w:styleId="Heading3Char">
    <w:name w:val="Heading 3 Char"/>
    <w:basedOn w:val="DefaultParagraphFont"/>
    <w:link w:val="Heading3"/>
    <w:rsid w:val="00884562"/>
    <w:rPr>
      <w:rFonts w:asciiTheme="majorHAnsi" w:hAnsiTheme="majorHAnsi"/>
      <w:b/>
      <w:i/>
      <w:kern w:val="28"/>
      <w:sz w:val="24"/>
      <w:szCs w:val="22"/>
      <w:lang w:eastAsia="en-US"/>
    </w:rPr>
  </w:style>
  <w:style w:type="character" w:customStyle="1" w:styleId="Heading4Char">
    <w:name w:val="Heading 4 Char"/>
    <w:basedOn w:val="DefaultParagraphFont"/>
    <w:link w:val="Heading4"/>
    <w:rsid w:val="00884562"/>
    <w:rPr>
      <w:rFonts w:asciiTheme="majorHAnsi" w:hAnsiTheme="majorHAnsi"/>
      <w:i/>
      <w:sz w:val="24"/>
      <w:szCs w:val="22"/>
      <w:lang w:eastAsia="en-US"/>
    </w:rPr>
  </w:style>
  <w:style w:type="character" w:customStyle="1" w:styleId="Heading5Char">
    <w:name w:val="Heading 5 Char"/>
    <w:link w:val="Heading5"/>
    <w:rsid w:val="00884562"/>
    <w:rPr>
      <w:rFonts w:asciiTheme="majorHAnsi" w:hAnsiTheme="majorHAnsi"/>
      <w:b/>
      <w:sz w:val="22"/>
      <w:lang w:eastAsia="en-US"/>
    </w:rPr>
  </w:style>
  <w:style w:type="paragraph" w:styleId="TableofFigures">
    <w:name w:val="table of figures"/>
    <w:basedOn w:val="Normal"/>
    <w:next w:val="Normal"/>
    <w:link w:val="TableofFiguresChar"/>
    <w:qFormat/>
    <w:rsid w:val="00884562"/>
    <w:pPr>
      <w:spacing w:after="0"/>
      <w:jc w:val="right"/>
    </w:pPr>
    <w:rPr>
      <w:rFonts w:ascii="Calibri" w:hAnsi="Calibri"/>
      <w:sz w:val="20"/>
      <w:szCs w:val="18"/>
    </w:rPr>
  </w:style>
  <w:style w:type="character" w:customStyle="1" w:styleId="TableofFiguresChar">
    <w:name w:val="Table of Figures Char"/>
    <w:link w:val="TableofFigures"/>
    <w:rsid w:val="00884562"/>
    <w:rPr>
      <w:rFonts w:ascii="Calibri" w:hAnsi="Calibri"/>
      <w:szCs w:val="18"/>
    </w:rPr>
  </w:style>
  <w:style w:type="paragraph" w:customStyle="1" w:styleId="Tabletextheading">
    <w:name w:val="Table text heading"/>
    <w:basedOn w:val="TableofFigures"/>
    <w:link w:val="TabletextheadingChar"/>
    <w:qFormat/>
    <w:rsid w:val="00884562"/>
    <w:rPr>
      <w:i/>
    </w:rPr>
  </w:style>
  <w:style w:type="character" w:customStyle="1" w:styleId="TabletextheadingChar">
    <w:name w:val="Table text heading Char"/>
    <w:link w:val="Tabletextheading"/>
    <w:locked/>
    <w:rsid w:val="00884562"/>
    <w:rPr>
      <w:rFonts w:ascii="Calibri" w:hAnsi="Calibri"/>
      <w:i/>
      <w:szCs w:val="18"/>
    </w:rPr>
  </w:style>
  <w:style w:type="paragraph" w:customStyle="1" w:styleId="Tabletext">
    <w:name w:val="Table text"/>
    <w:basedOn w:val="TableofFigures"/>
    <w:link w:val="TabletextChar"/>
    <w:qFormat/>
    <w:rsid w:val="00884562"/>
    <w:pPr>
      <w:ind w:left="180" w:hanging="180"/>
      <w:jc w:val="left"/>
    </w:pPr>
  </w:style>
  <w:style w:type="character" w:customStyle="1" w:styleId="TabletextChar">
    <w:name w:val="Table text Char"/>
    <w:link w:val="Tabletext"/>
    <w:rsid w:val="00884562"/>
    <w:rPr>
      <w:rFonts w:ascii="Calibri" w:hAnsi="Calibri"/>
      <w:szCs w:val="18"/>
    </w:rPr>
  </w:style>
  <w:style w:type="character" w:customStyle="1" w:styleId="BulletTextChar">
    <w:name w:val="Bullet Text Char"/>
    <w:link w:val="BulletText"/>
    <w:uiPriority w:val="2"/>
    <w:locked/>
    <w:rsid w:val="00884562"/>
  </w:style>
  <w:style w:type="character" w:customStyle="1" w:styleId="FooterChar">
    <w:name w:val="Footer Char"/>
    <w:basedOn w:val="DefaultParagraphFont"/>
    <w:link w:val="Footer"/>
    <w:rsid w:val="00884562"/>
    <w:rPr>
      <w:rFonts w:ascii="Calibri" w:hAnsi="Calibri"/>
      <w:szCs w:val="18"/>
      <w:lang w:eastAsia="en-US"/>
    </w:rPr>
  </w:style>
  <w:style w:type="character" w:customStyle="1" w:styleId="Heading2NotesChar">
    <w:name w:val="Heading 2 Notes Char"/>
    <w:link w:val="Heading2Notes"/>
    <w:locked/>
    <w:rsid w:val="00884562"/>
    <w:rPr>
      <w:rFonts w:asciiTheme="majorHAnsi" w:hAnsiTheme="majorHAnsi"/>
      <w:b/>
      <w:kern w:val="28"/>
      <w:sz w:val="26"/>
      <w:szCs w:val="22"/>
      <w:lang w:eastAsia="en-US"/>
    </w:rPr>
  </w:style>
  <w:style w:type="character" w:customStyle="1" w:styleId="Heading2NotesContdChar">
    <w:name w:val="Heading 2 Notes Cont'd Char"/>
    <w:link w:val="Heading2NotesContd"/>
    <w:locked/>
    <w:rsid w:val="00884562"/>
    <w:rPr>
      <w:rFonts w:asciiTheme="majorHAnsi" w:hAnsiTheme="majorHAnsi"/>
      <w:b/>
      <w:kern w:val="28"/>
      <w:sz w:val="26"/>
      <w:szCs w:val="22"/>
      <w:lang w:eastAsia="en-US"/>
    </w:rPr>
  </w:style>
  <w:style w:type="paragraph" w:styleId="TOC4">
    <w:name w:val="toc 4"/>
    <w:basedOn w:val="TOC1"/>
    <w:next w:val="Normal"/>
    <w:uiPriority w:val="5"/>
    <w:rsid w:val="00884562"/>
    <w:pPr>
      <w:spacing w:after="0"/>
      <w:ind w:left="1152" w:hanging="1152"/>
    </w:pPr>
    <w:rPr>
      <w:rFonts w:ascii="Calibri" w:hAnsi="Calibri"/>
      <w:b w:val="0"/>
      <w:noProof/>
      <w:sz w:val="20"/>
    </w:rPr>
  </w:style>
  <w:style w:type="paragraph" w:styleId="TOC5">
    <w:name w:val="toc 5"/>
    <w:basedOn w:val="TOC1"/>
    <w:next w:val="Normal"/>
    <w:uiPriority w:val="5"/>
    <w:rsid w:val="00884562"/>
    <w:rPr>
      <w:rFonts w:ascii="Calibri" w:hAnsi="Calibri"/>
      <w:b w:val="0"/>
      <w:sz w:val="20"/>
    </w:rPr>
  </w:style>
  <w:style w:type="paragraph" w:customStyle="1" w:styleId="Tabletextcentred">
    <w:name w:val="Table text centred"/>
    <w:basedOn w:val="Tabletext"/>
    <w:uiPriority w:val="2"/>
    <w:rsid w:val="00884562"/>
    <w:pPr>
      <w:ind w:left="0" w:firstLine="0"/>
      <w:jc w:val="center"/>
    </w:pPr>
  </w:style>
  <w:style w:type="character" w:customStyle="1" w:styleId="Heading3NumberingChar">
    <w:name w:val="Heading 3 Numbering Char"/>
    <w:link w:val="Heading3Numbering"/>
    <w:locked/>
    <w:rsid w:val="00884562"/>
    <w:rPr>
      <w:rFonts w:asciiTheme="majorHAnsi" w:hAnsiTheme="majorHAnsi"/>
      <w:b/>
      <w:i/>
      <w:kern w:val="28"/>
      <w:sz w:val="24"/>
    </w:rPr>
  </w:style>
  <w:style w:type="paragraph" w:customStyle="1" w:styleId="Heading2NotesQtrly">
    <w:name w:val="Heading 2 Notes Qtrly"/>
    <w:basedOn w:val="Heading2Notes"/>
    <w:rsid w:val="00884562"/>
    <w:rPr>
      <w:rFonts w:ascii="Calibri" w:hAnsi="Calibri"/>
    </w:rPr>
  </w:style>
  <w:style w:type="paragraph" w:customStyle="1" w:styleId="Tabletextheadingcentred">
    <w:name w:val="Table text heading centred"/>
    <w:basedOn w:val="Tabletextheading"/>
    <w:uiPriority w:val="2"/>
    <w:rsid w:val="00884562"/>
    <w:pPr>
      <w:jc w:val="center"/>
    </w:pPr>
  </w:style>
  <w:style w:type="character" w:customStyle="1" w:styleId="DashTextChar">
    <w:name w:val="Dash Text Char"/>
    <w:link w:val="DashText"/>
    <w:uiPriority w:val="2"/>
    <w:rsid w:val="00884562"/>
  </w:style>
  <w:style w:type="paragraph" w:customStyle="1" w:styleId="VersionTableText">
    <w:name w:val="VersionTableText"/>
    <w:basedOn w:val="Normal"/>
    <w:rsid w:val="00884562"/>
    <w:pPr>
      <w:spacing w:after="0"/>
      <w:jc w:val="center"/>
    </w:pPr>
    <w:rPr>
      <w:rFonts w:ascii="Calibri" w:hAnsi="Calibri"/>
    </w:rPr>
  </w:style>
  <w:style w:type="paragraph" w:customStyle="1" w:styleId="VersionTableHeading">
    <w:name w:val="VersionTableHeading"/>
    <w:basedOn w:val="Normal"/>
    <w:rsid w:val="00884562"/>
    <w:pPr>
      <w:spacing w:after="0"/>
      <w:jc w:val="center"/>
    </w:pPr>
    <w:rPr>
      <w:rFonts w:ascii="Calibri" w:hAnsi="Calibri"/>
      <w:b/>
    </w:rPr>
  </w:style>
  <w:style w:type="paragraph" w:customStyle="1" w:styleId="Tabletextindent">
    <w:name w:val="Table text indent"/>
    <w:basedOn w:val="Tabletext"/>
    <w:uiPriority w:val="2"/>
    <w:rsid w:val="00884562"/>
    <w:pPr>
      <w:ind w:left="360" w:firstLine="0"/>
    </w:pPr>
  </w:style>
  <w:style w:type="paragraph" w:customStyle="1" w:styleId="Tabletextindent2">
    <w:name w:val="Table text indent 2"/>
    <w:basedOn w:val="Tabletextindent"/>
    <w:uiPriority w:val="2"/>
    <w:rsid w:val="00884562"/>
    <w:pPr>
      <w:ind w:left="720"/>
    </w:pPr>
  </w:style>
  <w:style w:type="paragraph" w:styleId="ListParagraph">
    <w:name w:val="List Paragraph"/>
    <w:basedOn w:val="Normal"/>
    <w:uiPriority w:val="34"/>
    <w:qFormat/>
    <w:rsid w:val="00884562"/>
    <w:pPr>
      <w:ind w:left="720"/>
      <w:contextualSpacing/>
    </w:pPr>
    <w:rPr>
      <w:rFonts w:ascii="Garamond" w:hAnsi="Garamond"/>
    </w:rPr>
  </w:style>
  <w:style w:type="character" w:styleId="FollowedHyperlink">
    <w:name w:val="FollowedHyperlink"/>
    <w:basedOn w:val="DefaultParagraphFont"/>
    <w:locked/>
    <w:rsid w:val="00884562"/>
    <w:rPr>
      <w:color w:val="800080" w:themeColor="followedHyperlink"/>
      <w:u w:val="single"/>
    </w:rPr>
  </w:style>
  <w:style w:type="character" w:styleId="CommentReference">
    <w:name w:val="annotation reference"/>
    <w:basedOn w:val="DefaultParagraphFont"/>
    <w:uiPriority w:val="99"/>
    <w:locked/>
    <w:rsid w:val="00884562"/>
    <w:rPr>
      <w:sz w:val="16"/>
      <w:szCs w:val="16"/>
    </w:rPr>
  </w:style>
  <w:style w:type="paragraph" w:styleId="CommentText">
    <w:name w:val="annotation text"/>
    <w:basedOn w:val="Normal"/>
    <w:link w:val="CommentTextChar"/>
    <w:uiPriority w:val="99"/>
    <w:locked/>
    <w:rsid w:val="00884562"/>
    <w:rPr>
      <w:rFonts w:ascii="Garamond" w:hAnsi="Garamond"/>
      <w:sz w:val="20"/>
    </w:rPr>
  </w:style>
  <w:style w:type="character" w:customStyle="1" w:styleId="CommentTextChar">
    <w:name w:val="Comment Text Char"/>
    <w:basedOn w:val="DefaultParagraphFont"/>
    <w:link w:val="CommentText"/>
    <w:uiPriority w:val="99"/>
    <w:rsid w:val="00884562"/>
    <w:rPr>
      <w:rFonts w:ascii="Garamond" w:hAnsi="Garamond"/>
      <w:szCs w:val="22"/>
    </w:rPr>
  </w:style>
  <w:style w:type="paragraph" w:styleId="CommentSubject">
    <w:name w:val="annotation subject"/>
    <w:basedOn w:val="CommentText"/>
    <w:next w:val="CommentText"/>
    <w:link w:val="CommentSubjectChar"/>
    <w:locked/>
    <w:rsid w:val="00884562"/>
    <w:rPr>
      <w:b/>
      <w:bCs/>
    </w:rPr>
  </w:style>
  <w:style w:type="character" w:customStyle="1" w:styleId="CommentSubjectChar">
    <w:name w:val="Comment Subject Char"/>
    <w:basedOn w:val="CommentTextChar"/>
    <w:link w:val="CommentSubject"/>
    <w:rsid w:val="00884562"/>
    <w:rPr>
      <w:rFonts w:ascii="Garamond" w:hAnsi="Garamond"/>
      <w:b/>
      <w:bCs/>
      <w:szCs w:val="22"/>
    </w:rPr>
  </w:style>
  <w:style w:type="paragraph" w:customStyle="1" w:styleId="Default">
    <w:name w:val="Default"/>
    <w:rsid w:val="00884562"/>
    <w:pPr>
      <w:autoSpaceDE w:val="0"/>
      <w:autoSpaceDN w:val="0"/>
      <w:adjustRightInd w:val="0"/>
    </w:pPr>
    <w:rPr>
      <w:rFonts w:ascii="Garamond" w:hAnsi="Garamond" w:cs="Garamond"/>
      <w:color w:val="000000"/>
      <w:sz w:val="24"/>
      <w:szCs w:val="24"/>
    </w:rPr>
  </w:style>
  <w:style w:type="table" w:styleId="TableColumns4">
    <w:name w:val="Table Columns 4"/>
    <w:basedOn w:val="TableNormal"/>
    <w:locked/>
    <w:rsid w:val="00884562"/>
    <w:rPr>
      <w:rFonts w:ascii="Garamond" w:hAnsi="Garamond"/>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noteText">
    <w:name w:val="footnote text"/>
    <w:basedOn w:val="Normal"/>
    <w:link w:val="FootnoteTextChar"/>
    <w:uiPriority w:val="5"/>
    <w:locked/>
    <w:rsid w:val="00884562"/>
    <w:rPr>
      <w:rFonts w:ascii="Garamond" w:hAnsi="Garamond"/>
      <w:sz w:val="20"/>
    </w:rPr>
  </w:style>
  <w:style w:type="character" w:customStyle="1" w:styleId="FootnoteTextChar">
    <w:name w:val="Footnote Text Char"/>
    <w:basedOn w:val="DefaultParagraphFont"/>
    <w:link w:val="FootnoteText"/>
    <w:uiPriority w:val="5"/>
    <w:rsid w:val="00884562"/>
    <w:rPr>
      <w:rFonts w:ascii="Garamond" w:hAnsi="Garamond"/>
      <w:szCs w:val="22"/>
    </w:rPr>
  </w:style>
  <w:style w:type="character" w:styleId="FootnoteReference">
    <w:name w:val="footnote reference"/>
    <w:basedOn w:val="DefaultParagraphFont"/>
    <w:uiPriority w:val="5"/>
    <w:locked/>
    <w:rsid w:val="00884562"/>
    <w:rPr>
      <w:vertAlign w:val="superscript"/>
    </w:rPr>
  </w:style>
  <w:style w:type="paragraph" w:styleId="Index3">
    <w:name w:val="index 3"/>
    <w:basedOn w:val="Normal"/>
    <w:next w:val="Normal"/>
    <w:autoRedefine/>
    <w:rsid w:val="00884562"/>
    <w:pPr>
      <w:spacing w:after="0"/>
      <w:ind w:left="660" w:hanging="220"/>
    </w:pPr>
    <w:rPr>
      <w:rFonts w:ascii="Garamond" w:hAnsi="Garamond" w:cstheme="minorHAnsi"/>
      <w:sz w:val="18"/>
      <w:szCs w:val="18"/>
    </w:rPr>
  </w:style>
  <w:style w:type="paragraph" w:styleId="Index4">
    <w:name w:val="index 4"/>
    <w:basedOn w:val="Normal"/>
    <w:next w:val="Normal"/>
    <w:autoRedefine/>
    <w:rsid w:val="00884562"/>
    <w:pPr>
      <w:spacing w:after="0"/>
      <w:ind w:left="880" w:hanging="220"/>
    </w:pPr>
    <w:rPr>
      <w:rFonts w:ascii="Garamond" w:hAnsi="Garamond" w:cstheme="minorHAnsi"/>
      <w:sz w:val="18"/>
      <w:szCs w:val="18"/>
    </w:rPr>
  </w:style>
  <w:style w:type="paragraph" w:styleId="Index5">
    <w:name w:val="index 5"/>
    <w:basedOn w:val="Normal"/>
    <w:next w:val="Normal"/>
    <w:autoRedefine/>
    <w:rsid w:val="00884562"/>
    <w:pPr>
      <w:spacing w:after="0"/>
      <w:ind w:left="1100" w:hanging="220"/>
    </w:pPr>
    <w:rPr>
      <w:rFonts w:ascii="Garamond" w:hAnsi="Garamond" w:cstheme="minorHAnsi"/>
      <w:sz w:val="18"/>
      <w:szCs w:val="18"/>
    </w:rPr>
  </w:style>
  <w:style w:type="paragraph" w:styleId="Index6">
    <w:name w:val="index 6"/>
    <w:basedOn w:val="Normal"/>
    <w:next w:val="Normal"/>
    <w:autoRedefine/>
    <w:locked/>
    <w:rsid w:val="00884562"/>
    <w:pPr>
      <w:spacing w:after="0"/>
      <w:ind w:left="1320" w:hanging="220"/>
    </w:pPr>
    <w:rPr>
      <w:rFonts w:ascii="Garamond" w:hAnsi="Garamond" w:cstheme="minorHAnsi"/>
      <w:sz w:val="18"/>
      <w:szCs w:val="18"/>
    </w:rPr>
  </w:style>
  <w:style w:type="paragraph" w:styleId="Index7">
    <w:name w:val="index 7"/>
    <w:basedOn w:val="Normal"/>
    <w:next w:val="Normal"/>
    <w:autoRedefine/>
    <w:locked/>
    <w:rsid w:val="00884562"/>
    <w:pPr>
      <w:spacing w:after="0"/>
      <w:ind w:left="1540" w:hanging="220"/>
    </w:pPr>
    <w:rPr>
      <w:rFonts w:ascii="Garamond" w:hAnsi="Garamond" w:cstheme="minorHAnsi"/>
      <w:sz w:val="18"/>
      <w:szCs w:val="18"/>
    </w:rPr>
  </w:style>
  <w:style w:type="paragraph" w:styleId="Index8">
    <w:name w:val="index 8"/>
    <w:basedOn w:val="Normal"/>
    <w:next w:val="Normal"/>
    <w:autoRedefine/>
    <w:locked/>
    <w:rsid w:val="00884562"/>
    <w:pPr>
      <w:spacing w:after="0"/>
      <w:ind w:left="1760" w:hanging="220"/>
    </w:pPr>
    <w:rPr>
      <w:rFonts w:ascii="Garamond" w:hAnsi="Garamond" w:cstheme="minorHAnsi"/>
      <w:sz w:val="18"/>
      <w:szCs w:val="18"/>
    </w:rPr>
  </w:style>
  <w:style w:type="paragraph" w:styleId="Index9">
    <w:name w:val="index 9"/>
    <w:basedOn w:val="Normal"/>
    <w:next w:val="Normal"/>
    <w:autoRedefine/>
    <w:locked/>
    <w:rsid w:val="00884562"/>
    <w:pPr>
      <w:spacing w:after="0"/>
      <w:ind w:left="1980" w:hanging="220"/>
    </w:pPr>
    <w:rPr>
      <w:rFonts w:ascii="Garamond" w:hAnsi="Garamond" w:cstheme="minorHAnsi"/>
      <w:sz w:val="18"/>
      <w:szCs w:val="18"/>
    </w:rPr>
  </w:style>
  <w:style w:type="paragraph" w:customStyle="1" w:styleId="HighlightBoxDash">
    <w:name w:val="Highlight Box Dash"/>
    <w:basedOn w:val="HighlightBoxBullet"/>
    <w:qFormat/>
    <w:rsid w:val="00884562"/>
    <w:pPr>
      <w:numPr>
        <w:numId w:val="0"/>
      </w:numPr>
      <w:tabs>
        <w:tab w:val="left" w:pos="360"/>
      </w:tabs>
      <w:ind w:left="720" w:hanging="720"/>
    </w:pPr>
    <w:rPr>
      <w:rFonts w:ascii="Garamond" w:hAnsi="Garamond"/>
    </w:rPr>
  </w:style>
  <w:style w:type="character" w:customStyle="1" w:styleId="ChartheadingChar">
    <w:name w:val="Chart heading Char"/>
    <w:link w:val="Chartheading"/>
    <w:locked/>
    <w:rsid w:val="00884562"/>
    <w:rPr>
      <w:rFonts w:asciiTheme="majorHAnsi" w:hAnsiTheme="majorHAnsi"/>
      <w:b/>
      <w:sz w:val="22"/>
      <w:lang w:eastAsia="en-US"/>
    </w:rPr>
  </w:style>
  <w:style w:type="character" w:customStyle="1" w:styleId="HeaderChar">
    <w:name w:val="Header Char"/>
    <w:basedOn w:val="DefaultParagraphFont"/>
    <w:link w:val="Header"/>
    <w:rsid w:val="00884562"/>
    <w:rPr>
      <w:rFonts w:ascii="Calibri" w:hAnsi="Calibri"/>
      <w:szCs w:val="18"/>
      <w:lang w:eastAsia="en-US"/>
    </w:rPr>
  </w:style>
  <w:style w:type="paragraph" w:customStyle="1" w:styleId="TableTextCentred0">
    <w:name w:val="Table Text Centred"/>
    <w:basedOn w:val="Tabletext"/>
    <w:rsid w:val="00884562"/>
    <w:pPr>
      <w:ind w:left="0" w:firstLine="0"/>
      <w:jc w:val="center"/>
    </w:pPr>
    <w:rPr>
      <w:sz w:val="22"/>
    </w:rPr>
  </w:style>
  <w:style w:type="paragraph" w:customStyle="1" w:styleId="TabletextheadingCentred0">
    <w:name w:val="Table text heading Centred"/>
    <w:basedOn w:val="Tabletextheading"/>
    <w:link w:val="TabletextheadingCentredChar"/>
    <w:rsid w:val="00884562"/>
    <w:pPr>
      <w:jc w:val="center"/>
    </w:pPr>
    <w:rPr>
      <w:sz w:val="22"/>
    </w:rPr>
  </w:style>
  <w:style w:type="character" w:customStyle="1" w:styleId="TabletextheadingCentredChar">
    <w:name w:val="Table text heading Centred Char"/>
    <w:link w:val="TabletextheadingCentred0"/>
    <w:locked/>
    <w:rsid w:val="00884562"/>
    <w:rPr>
      <w:rFonts w:ascii="Calibri" w:hAnsi="Calibri"/>
      <w:i/>
      <w:sz w:val="22"/>
      <w:szCs w:val="18"/>
    </w:rPr>
  </w:style>
  <w:style w:type="character" w:customStyle="1" w:styleId="OGNotesChar">
    <w:name w:val="OGNotes Char"/>
    <w:link w:val="OGNotes"/>
    <w:rsid w:val="00884562"/>
    <w:rPr>
      <w:rFonts w:asciiTheme="majorHAnsi" w:hAnsiTheme="majorHAnsi"/>
      <w:i/>
      <w:sz w:val="15"/>
    </w:rPr>
  </w:style>
  <w:style w:type="character" w:styleId="PlaceholderText">
    <w:name w:val="Placeholder Text"/>
    <w:basedOn w:val="DefaultParagraphFont"/>
    <w:uiPriority w:val="99"/>
    <w:semiHidden/>
    <w:rsid w:val="00884562"/>
    <w:rPr>
      <w:color w:val="808080"/>
    </w:rPr>
  </w:style>
  <w:style w:type="paragraph" w:customStyle="1" w:styleId="Bullet1">
    <w:name w:val="Bullet 1"/>
    <w:basedOn w:val="Normal"/>
    <w:qFormat/>
    <w:rsid w:val="00884562"/>
    <w:pPr>
      <w:numPr>
        <w:numId w:val="8"/>
      </w:numPr>
      <w:spacing w:after="90"/>
    </w:pPr>
    <w:rPr>
      <w:rFonts w:ascii="Calibri" w:hAnsi="Calibri" w:cs="Arial"/>
      <w:sz w:val="24"/>
      <w:szCs w:val="24"/>
    </w:rPr>
  </w:style>
  <w:style w:type="paragraph" w:customStyle="1" w:styleId="Bullet2">
    <w:name w:val="Bullet 2"/>
    <w:basedOn w:val="Normal"/>
    <w:qFormat/>
    <w:rsid w:val="00884562"/>
    <w:pPr>
      <w:numPr>
        <w:ilvl w:val="1"/>
        <w:numId w:val="8"/>
      </w:numPr>
      <w:spacing w:before="60" w:after="60"/>
    </w:pPr>
    <w:rPr>
      <w:rFonts w:ascii="Calibri" w:hAnsi="Calibri"/>
      <w:sz w:val="24"/>
      <w:szCs w:val="24"/>
    </w:rPr>
  </w:style>
  <w:style w:type="paragraph" w:customStyle="1" w:styleId="Bullet3">
    <w:name w:val="Bullet 3"/>
    <w:basedOn w:val="Normal"/>
    <w:qFormat/>
    <w:rsid w:val="00884562"/>
    <w:pPr>
      <w:numPr>
        <w:ilvl w:val="2"/>
        <w:numId w:val="8"/>
      </w:numPr>
      <w:spacing w:before="60" w:after="60"/>
    </w:pPr>
    <w:rPr>
      <w:rFonts w:ascii="Calibri" w:hAnsi="Calibri"/>
      <w:sz w:val="24"/>
      <w:szCs w:val="24"/>
    </w:rPr>
  </w:style>
  <w:style w:type="character" w:styleId="Emphasis">
    <w:name w:val="Emphasis"/>
    <w:basedOn w:val="DefaultParagraphFont"/>
    <w:uiPriority w:val="20"/>
    <w:qFormat/>
    <w:locked/>
    <w:rsid w:val="00884562"/>
    <w:rPr>
      <w:i/>
      <w:iCs/>
    </w:rPr>
  </w:style>
  <w:style w:type="paragraph" w:customStyle="1" w:styleId="ControlledEntitiesHeading1">
    <w:name w:val="ControlledEntitiesHeading1"/>
    <w:qFormat/>
    <w:rsid w:val="00884562"/>
    <w:pPr>
      <w:shd w:val="clear" w:color="auto" w:fill="000000" w:themeFill="text1"/>
      <w:jc w:val="center"/>
    </w:pPr>
    <w:rPr>
      <w:rFonts w:asciiTheme="majorHAnsi" w:hAnsiTheme="majorHAnsi" w:cstheme="minorHAnsi"/>
      <w:b/>
      <w:i/>
      <w:color w:val="FFFFFF" w:themeColor="background1"/>
    </w:rPr>
  </w:style>
  <w:style w:type="paragraph" w:customStyle="1" w:styleId="ControlledEntitiesHeading2">
    <w:name w:val="ControlledEntitiesHeading2"/>
    <w:qFormat/>
    <w:rsid w:val="00884562"/>
    <w:pPr>
      <w:shd w:val="clear" w:color="auto" w:fill="D9D9D9" w:themeFill="background1" w:themeFillShade="D9"/>
      <w:spacing w:before="120"/>
    </w:pPr>
    <w:rPr>
      <w:rFonts w:ascii="Calibri" w:hAnsi="Calibri"/>
      <w:b/>
      <w:bCs/>
      <w:color w:val="000000" w:themeColor="text1"/>
      <w:sz w:val="18"/>
      <w:szCs w:val="18"/>
    </w:rPr>
  </w:style>
  <w:style w:type="paragraph" w:customStyle="1" w:styleId="ControlledEntitiesText">
    <w:name w:val="ControlledEntitiesText"/>
    <w:qFormat/>
    <w:rsid w:val="00884562"/>
    <w:pPr>
      <w:spacing w:before="20" w:after="20"/>
      <w:ind w:left="170" w:hanging="170"/>
    </w:pPr>
    <w:rPr>
      <w:rFonts w:ascii="Calibri" w:hAnsi="Calibri"/>
      <w:color w:val="000000" w:themeColor="text1"/>
      <w:sz w:val="18"/>
      <w:szCs w:val="18"/>
    </w:rPr>
  </w:style>
  <w:style w:type="paragraph" w:customStyle="1" w:styleId="FooterEvenpage">
    <w:name w:val="Footer (Even page)"/>
    <w:basedOn w:val="Footer"/>
    <w:uiPriority w:val="98"/>
    <w:qFormat/>
    <w:rsid w:val="00884562"/>
    <w:pPr>
      <w:tabs>
        <w:tab w:val="clear" w:pos="7085"/>
        <w:tab w:val="right" w:pos="9639"/>
      </w:tabs>
      <w:spacing w:after="0" w:line="264" w:lineRule="auto"/>
    </w:pPr>
    <w:rPr>
      <w:rFonts w:asciiTheme="majorHAnsi" w:eastAsiaTheme="minorHAnsi" w:hAnsiTheme="majorHAnsi" w:cstheme="minorBidi"/>
      <w:sz w:val="18"/>
      <w:szCs w:val="22"/>
    </w:rPr>
  </w:style>
  <w:style w:type="table" w:customStyle="1" w:styleId="TableDTFfinancialcompact">
    <w:name w:val="Table DTF financial (compact)"/>
    <w:basedOn w:val="TableNormal"/>
    <w:uiPriority w:val="99"/>
    <w:rsid w:val="00884562"/>
    <w:pPr>
      <w:spacing w:before="20" w:after="20"/>
      <w:ind w:left="170" w:hanging="170"/>
      <w:jc w:val="right"/>
    </w:pPr>
    <w:rPr>
      <w:rFonts w:eastAsia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884562"/>
    <w:pPr>
      <w:spacing w:before="20" w:after="20" w:line="264" w:lineRule="auto"/>
      <w:ind w:left="170" w:hanging="170"/>
    </w:pPr>
    <w:rPr>
      <w:rFonts w:eastAsia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styleId="NormalWeb">
    <w:name w:val="Normal (Web)"/>
    <w:basedOn w:val="Normal"/>
    <w:uiPriority w:val="99"/>
    <w:semiHidden/>
    <w:unhideWhenUsed/>
    <w:locked/>
    <w:rsid w:val="0088456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19" w:qFormat="1"/>
    <w:lsdException w:name="heading 5" w:qFormat="1"/>
    <w:lsdException w:name="heading 6" w:locked="1" w:semiHidden="1" w:uiPriority="19" w:unhideWhenUsed="1" w:qFormat="1"/>
    <w:lsdException w:name="heading 7" w:locked="1" w:semiHidden="1" w:uiPriority="19" w:unhideWhenUsed="1" w:qFormat="1"/>
    <w:lsdException w:name="heading 8" w:locked="1" w:semiHidden="1" w:uiPriority="19" w:unhideWhenUsed="1" w:qFormat="1"/>
    <w:lsdException w:name="heading 9" w:locked="1" w:semiHidden="1" w:uiPriority="19" w:unhideWhenUsed="1" w:qFormat="1"/>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uiPriority="99"/>
    <w:lsdException w:name="toc 4" w:uiPriority="5"/>
    <w:lsdException w:name="toc 5" w:uiPriority="5"/>
    <w:lsdException w:name="toc 6" w:locked="1" w:semiHidden="1"/>
    <w:lsdException w:name="toc 7" w:locked="1" w:semiHidden="1"/>
    <w:lsdException w:name="toc 8" w:locked="1" w:semiHidden="1"/>
    <w:lsdException w:name="toc 9" w:locked="1" w:semiHidden="1"/>
    <w:lsdException w:name="Normal Indent" w:locked="1"/>
    <w:lsdException w:name="footnote text" w:locked="1" w:semiHidden="1" w:uiPriority="5"/>
    <w:lsdException w:name="annotation text" w:locked="1" w:semiHidden="1" w:uiPriority="99"/>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semiHidden="1" w:uiPriority="5"/>
    <w:lsdException w:name="annotation reference" w:locked="1" w:semiHidden="1" w:uiPriority="99"/>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uiPriority="99"/>
    <w:lsdException w:name="FollowedHyperlink" w:locked="1" w:semiHidden="1"/>
    <w:lsdException w:name="Strong" w:locked="1" w:semiHidden="1"/>
    <w:lsdException w:name="Emphasis" w:locked="1" w:semiHidden="1" w:uiPriority="20" w:qFormat="1"/>
    <w:lsdException w:name="Document Map" w:locked="1" w:semiHidden="1"/>
    <w:lsdException w:name="Plain Text" w:locked="1" w:semiHidden="1"/>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Grid" w:locked="1" w:uiPriority="59"/>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9"/>
    <w:qFormat/>
    <w:rsid w:val="00AF671D"/>
  </w:style>
  <w:style w:type="paragraph" w:styleId="Heading1">
    <w:name w:val="heading 1"/>
    <w:basedOn w:val="Normal"/>
    <w:next w:val="Normal"/>
    <w:link w:val="Heading1Char"/>
    <w:qFormat/>
    <w:rsid w:val="00552CEF"/>
    <w:pPr>
      <w:keepNext/>
      <w:spacing w:before="360"/>
      <w:outlineLvl w:val="0"/>
    </w:pPr>
    <w:rPr>
      <w:rFonts w:asciiTheme="majorHAnsi" w:hAnsiTheme="majorHAnsi"/>
      <w:b/>
      <w:caps/>
      <w:sz w:val="26"/>
    </w:rPr>
  </w:style>
  <w:style w:type="paragraph" w:styleId="Heading2">
    <w:name w:val="heading 2"/>
    <w:basedOn w:val="Normal"/>
    <w:next w:val="Normal"/>
    <w:link w:val="Heading2Char"/>
    <w:qFormat/>
    <w:rsid w:val="00552CEF"/>
    <w:pPr>
      <w:keepNext/>
      <w:spacing w:before="240"/>
      <w:outlineLvl w:val="1"/>
    </w:pPr>
    <w:rPr>
      <w:rFonts w:asciiTheme="majorHAnsi" w:hAnsiTheme="majorHAnsi"/>
      <w:b/>
      <w:kern w:val="28"/>
      <w:sz w:val="26"/>
    </w:rPr>
  </w:style>
  <w:style w:type="paragraph" w:styleId="Heading3">
    <w:name w:val="heading 3"/>
    <w:basedOn w:val="Normal"/>
    <w:next w:val="Normal"/>
    <w:link w:val="Heading3Char"/>
    <w:qFormat/>
    <w:rsid w:val="00552CEF"/>
    <w:pPr>
      <w:keepNext/>
      <w:spacing w:before="240"/>
      <w:outlineLvl w:val="2"/>
    </w:pPr>
    <w:rPr>
      <w:rFonts w:asciiTheme="majorHAnsi" w:hAnsiTheme="majorHAnsi"/>
      <w:b/>
      <w:i/>
      <w:kern w:val="28"/>
      <w:sz w:val="24"/>
    </w:rPr>
  </w:style>
  <w:style w:type="paragraph" w:styleId="Heading4">
    <w:name w:val="heading 4"/>
    <w:basedOn w:val="Normal"/>
    <w:next w:val="Normal"/>
    <w:link w:val="Heading4Char"/>
    <w:uiPriority w:val="19"/>
    <w:qFormat/>
    <w:rsid w:val="00552CEF"/>
    <w:pPr>
      <w:keepNext/>
      <w:spacing w:before="240"/>
      <w:outlineLvl w:val="3"/>
    </w:pPr>
    <w:rPr>
      <w:rFonts w:asciiTheme="majorHAnsi" w:hAnsiTheme="majorHAnsi"/>
      <w:i/>
      <w:sz w:val="24"/>
    </w:rPr>
  </w:style>
  <w:style w:type="paragraph" w:styleId="Heading5">
    <w:name w:val="heading 5"/>
    <w:basedOn w:val="Normal"/>
    <w:next w:val="Normal"/>
    <w:link w:val="Heading5Char"/>
    <w:qFormat/>
    <w:rsid w:val="00552CEF"/>
    <w:pPr>
      <w:keepNext/>
      <w:tabs>
        <w:tab w:val="left" w:pos="504"/>
      </w:tabs>
      <w:spacing w:before="120" w:after="60"/>
      <w:outlineLvl w:val="4"/>
    </w:pPr>
    <w:rPr>
      <w:rFonts w:asciiTheme="majorHAnsi" w:hAnsiTheme="majorHAns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552CEF"/>
    <w:pPr>
      <w:spacing w:after="0"/>
      <w:jc w:val="center"/>
    </w:pPr>
    <w:rPr>
      <w:rFonts w:asciiTheme="majorHAnsi" w:hAnsiTheme="majorHAnsi"/>
      <w:i/>
      <w:sz w:val="18"/>
      <w:szCs w:val="18"/>
    </w:rPr>
  </w:style>
  <w:style w:type="character" w:customStyle="1" w:styleId="Heading2Char">
    <w:name w:val="Heading 2 Char"/>
    <w:basedOn w:val="DefaultParagraphFont"/>
    <w:link w:val="Heading2"/>
    <w:rsid w:val="00552CEF"/>
    <w:rPr>
      <w:rFonts w:asciiTheme="majorHAnsi" w:hAnsiTheme="majorHAnsi"/>
      <w:b/>
      <w:kern w:val="28"/>
      <w:sz w:val="26"/>
      <w:szCs w:val="22"/>
      <w:lang w:eastAsia="en-US"/>
    </w:rPr>
  </w:style>
  <w:style w:type="paragraph" w:customStyle="1" w:styleId="TableUnits">
    <w:name w:val="Table Units"/>
    <w:basedOn w:val="Normal"/>
    <w:next w:val="Normal"/>
    <w:link w:val="TableUnitsChar"/>
    <w:uiPriority w:val="50"/>
    <w:qFormat/>
    <w:rsid w:val="00310A51"/>
    <w:pPr>
      <w:keepNext/>
      <w:spacing w:after="0" w:line="264" w:lineRule="auto"/>
    </w:pPr>
    <w:rPr>
      <w:rFonts w:asciiTheme="majorHAnsi" w:eastAsiaTheme="minorHAnsi" w:hAnsiTheme="majorHAnsi" w:cstheme="minorBidi"/>
      <w:spacing w:val="-2"/>
      <w:sz w:val="19"/>
    </w:rPr>
  </w:style>
  <w:style w:type="paragraph" w:customStyle="1" w:styleId="BP4Figures">
    <w:name w:val="BP4 Figures"/>
    <w:basedOn w:val="Normal"/>
    <w:rsid w:val="0078493F"/>
    <w:pPr>
      <w:spacing w:after="30"/>
    </w:pPr>
    <w:rPr>
      <w:sz w:val="18"/>
    </w:rPr>
  </w:style>
  <w:style w:type="table" w:customStyle="1" w:styleId="DTFFinancialTable">
    <w:name w:val="DTF Financial Table"/>
    <w:basedOn w:val="TableNormal"/>
    <w:uiPriority w:val="99"/>
    <w:rsid w:val="00310A51"/>
    <w:pPr>
      <w:spacing w:before="20" w:after="20"/>
      <w:jc w:val="right"/>
    </w:pPr>
    <w:rPr>
      <w:rFonts w:asciiTheme="majorHAnsi" w:eastAsiaTheme="minorHAnsi" w:hAnsiTheme="majorHAnsi" w:cstheme="minorBidi"/>
      <w:spacing w:val="4"/>
      <w:sz w:val="17"/>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EEECE1" w:themeFill="background2"/>
      </w:tcPr>
    </w:tblStylePr>
    <w:tblStylePr w:type="band2Horz">
      <w:tblPr/>
      <w:tcPr>
        <w:shd w:val="clear" w:color="auto" w:fill="FFFFFF" w:themeFill="background1"/>
      </w:tcPr>
    </w:tblStylePr>
  </w:style>
  <w:style w:type="paragraph" w:customStyle="1" w:styleId="BP4headingr">
    <w:name w:val="BP4 heading r"/>
    <w:basedOn w:val="Normal"/>
    <w:rsid w:val="0078493F"/>
    <w:rPr>
      <w:sz w:val="18"/>
    </w:rPr>
  </w:style>
  <w:style w:type="paragraph" w:customStyle="1" w:styleId="BP4headingl">
    <w:name w:val="BP4 heading l"/>
    <w:basedOn w:val="BP4headingr"/>
    <w:rsid w:val="00817BD7"/>
  </w:style>
  <w:style w:type="character" w:customStyle="1" w:styleId="TableUnitsChar">
    <w:name w:val="Table Units Char"/>
    <w:basedOn w:val="DefaultParagraphFont"/>
    <w:link w:val="TableUnits"/>
    <w:uiPriority w:val="50"/>
    <w:rsid w:val="00310A51"/>
    <w:rPr>
      <w:rFonts w:asciiTheme="majorHAnsi" w:eastAsiaTheme="minorHAnsi" w:hAnsiTheme="majorHAnsi" w:cstheme="minorBidi"/>
      <w:spacing w:val="-2"/>
      <w:sz w:val="19"/>
      <w:szCs w:val="22"/>
      <w:lang w:eastAsia="en-US"/>
    </w:rPr>
  </w:style>
  <w:style w:type="paragraph" w:customStyle="1" w:styleId="BP4tabletext">
    <w:name w:val="BP4 table text"/>
    <w:basedOn w:val="Normal"/>
    <w:rsid w:val="0078493F"/>
    <w:pPr>
      <w:spacing w:after="30"/>
      <w:ind w:left="72" w:hanging="72"/>
    </w:pPr>
    <w:rPr>
      <w:sz w:val="18"/>
    </w:rPr>
  </w:style>
  <w:style w:type="paragraph" w:customStyle="1" w:styleId="Tableheading">
    <w:name w:val="Table heading"/>
    <w:basedOn w:val="Normal"/>
    <w:link w:val="TableheadingChar"/>
    <w:qFormat/>
    <w:rsid w:val="00552CEF"/>
    <w:pPr>
      <w:keepNext/>
      <w:spacing w:before="240"/>
      <w:ind w:left="1152" w:hanging="1152"/>
    </w:pPr>
    <w:rPr>
      <w:rFonts w:asciiTheme="majorHAnsi" w:hAnsiTheme="majorHAnsi"/>
      <w:b/>
    </w:rPr>
  </w:style>
  <w:style w:type="table" w:styleId="TableGrid">
    <w:name w:val="Table Grid"/>
    <w:basedOn w:val="TableNormal"/>
    <w:uiPriority w:val="59"/>
    <w:locked/>
    <w:rsid w:val="00B37EF1"/>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link w:val="BulletTextChar"/>
    <w:uiPriority w:val="2"/>
    <w:qFormat/>
    <w:rsid w:val="00CB74FE"/>
    <w:pPr>
      <w:numPr>
        <w:numId w:val="4"/>
      </w:numPr>
    </w:pPr>
  </w:style>
  <w:style w:type="paragraph" w:customStyle="1" w:styleId="ChapterHeading">
    <w:name w:val="Chapter Heading"/>
    <w:basedOn w:val="Normal"/>
    <w:next w:val="Heading1"/>
    <w:uiPriority w:val="89"/>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link w:val="Heading2NotesChar"/>
    <w:uiPriority w:val="19"/>
    <w:rsid w:val="003E5374"/>
    <w:pPr>
      <w:tabs>
        <w:tab w:val="left" w:pos="1152"/>
      </w:tabs>
      <w:ind w:left="1152" w:hanging="1152"/>
    </w:pPr>
  </w:style>
  <w:style w:type="paragraph" w:customStyle="1" w:styleId="Notes">
    <w:name w:val="Notes"/>
    <w:basedOn w:val="Normal"/>
    <w:link w:val="NotesChar"/>
    <w:qFormat/>
    <w:rsid w:val="00552CEF"/>
    <w:pPr>
      <w:tabs>
        <w:tab w:val="left" w:pos="454"/>
      </w:tabs>
      <w:spacing w:after="0"/>
      <w:ind w:left="397" w:hanging="397"/>
    </w:pPr>
    <w:rPr>
      <w:rFonts w:asciiTheme="majorHAnsi" w:hAnsiTheme="majorHAns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E1F2D"/>
    <w:rPr>
      <w:rFonts w:ascii="Calibri" w:hAnsi="Calibri"/>
      <w:b/>
      <w:sz w:val="28"/>
      <w:szCs w:val="24"/>
      <w:lang w:eastAsia="en-US"/>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E1F2D"/>
    <w:rPr>
      <w:rFonts w:ascii="Calibri" w:hAnsi="Calibri"/>
      <w:szCs w:val="18"/>
      <w:lang w:eastAsia="en-US"/>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E1F2D"/>
    <w:rPr>
      <w:rFonts w:ascii="Calibri" w:hAnsi="Calibri"/>
      <w:szCs w:val="18"/>
      <w:lang w:eastAsia="en-US"/>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552CEF"/>
    <w:rPr>
      <w:rFonts w:asciiTheme="majorHAnsi" w:hAnsiTheme="majorHAnsi"/>
      <w:i/>
      <w:sz w:val="15"/>
    </w:rPr>
  </w:style>
  <w:style w:type="paragraph" w:customStyle="1" w:styleId="TableofContentsheading">
    <w:name w:val="Table of Contents heading"/>
    <w:basedOn w:val="ChapterHeading"/>
    <w:next w:val="Normal"/>
    <w:uiPriority w:val="89"/>
  </w:style>
  <w:style w:type="paragraph" w:customStyle="1" w:styleId="Heading2NotesContd">
    <w:name w:val="Heading 2 Notes Cont'd"/>
    <w:basedOn w:val="Heading2Notes"/>
    <w:link w:val="Heading2NotesContdChar"/>
    <w:uiPriority w:val="19"/>
    <w:rsid w:val="002E5C62"/>
  </w:style>
  <w:style w:type="paragraph" w:customStyle="1" w:styleId="HighlightBoxBullet">
    <w:name w:val="Highlight Box Bullet"/>
    <w:basedOn w:val="Normal"/>
    <w:uiPriority w:val="79"/>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884562"/>
    <w:pPr>
      <w:tabs>
        <w:tab w:val="right" w:leader="dot" w:pos="7830"/>
      </w:tabs>
      <w:spacing w:before="40" w:after="40"/>
      <w:ind w:left="284" w:right="420" w:hanging="284"/>
    </w:pPr>
    <w:rPr>
      <w:rFonts w:asciiTheme="majorHAnsi" w:hAnsiTheme="majorHAnsi"/>
      <w:b/>
      <w:sz w:val="24"/>
    </w:rPr>
  </w:style>
  <w:style w:type="paragraph" w:styleId="TOC2">
    <w:name w:val="toc 2"/>
    <w:basedOn w:val="Normal"/>
    <w:next w:val="Normal"/>
    <w:uiPriority w:val="39"/>
    <w:rsid w:val="00552CEF"/>
    <w:pPr>
      <w:tabs>
        <w:tab w:val="right" w:leader="dot" w:pos="7830"/>
      </w:tabs>
      <w:spacing w:after="0"/>
      <w:ind w:left="288" w:right="422"/>
    </w:pPr>
    <w:rPr>
      <w:rFonts w:asciiTheme="majorHAnsi" w:hAnsiTheme="majorHAnsi"/>
      <w:sz w:val="20"/>
    </w:rPr>
  </w:style>
  <w:style w:type="paragraph" w:styleId="TOC3">
    <w:name w:val="toc 3"/>
    <w:basedOn w:val="Normal"/>
    <w:next w:val="Normal"/>
    <w:uiPriority w:val="99"/>
    <w:rsid w:val="00552CEF"/>
    <w:pPr>
      <w:tabs>
        <w:tab w:val="right" w:leader="dot" w:pos="7830"/>
      </w:tabs>
      <w:spacing w:after="0"/>
      <w:ind w:left="432" w:right="422"/>
    </w:pPr>
    <w:rPr>
      <w:rFonts w:asciiTheme="majorHAnsi" w:hAnsiTheme="majorHAnsi"/>
      <w:i/>
      <w:sz w:val="20"/>
    </w:rPr>
  </w:style>
  <w:style w:type="numbering" w:customStyle="1" w:styleId="Headingstyles">
    <w:name w:val="Heading styles"/>
    <w:uiPriority w:val="99"/>
    <w:rsid w:val="00310A51"/>
    <w:pPr>
      <w:numPr>
        <w:numId w:val="7"/>
      </w:numPr>
    </w:pPr>
  </w:style>
  <w:style w:type="paragraph" w:styleId="BalloonText">
    <w:name w:val="Balloon Text"/>
    <w:basedOn w:val="Normal"/>
    <w:link w:val="BalloonTextChar"/>
    <w:locked/>
    <w:rsid w:val="007E47FB"/>
    <w:pPr>
      <w:spacing w:after="0"/>
    </w:pPr>
    <w:rPr>
      <w:rFonts w:ascii="Tahoma" w:hAnsi="Tahoma" w:cs="Tahoma"/>
      <w:sz w:val="16"/>
      <w:szCs w:val="16"/>
    </w:rPr>
  </w:style>
  <w:style w:type="paragraph" w:customStyle="1" w:styleId="Tableheadingcontinued">
    <w:name w:val="Table heading continued"/>
    <w:basedOn w:val="Tableheading"/>
    <w:uiPriority w:val="2"/>
    <w:rsid w:val="002E5C62"/>
  </w:style>
  <w:style w:type="character" w:customStyle="1" w:styleId="BalloonTextChar">
    <w:name w:val="Balloon Text Char"/>
    <w:basedOn w:val="DefaultParagraphFont"/>
    <w:link w:val="BalloonText"/>
    <w:rsid w:val="007E47FB"/>
    <w:rPr>
      <w:rFonts w:ascii="Tahoma" w:hAnsi="Tahoma" w:cs="Tahoma"/>
      <w:sz w:val="16"/>
      <w:szCs w:val="16"/>
      <w:lang w:eastAsia="en-US"/>
    </w:rPr>
  </w:style>
  <w:style w:type="paragraph" w:customStyle="1" w:styleId="Heading3Numbering">
    <w:name w:val="Heading 3 Numbering"/>
    <w:basedOn w:val="Heading3"/>
    <w:link w:val="Heading3NumberingChar"/>
    <w:uiPriority w:val="19"/>
    <w:rsid w:val="004C767D"/>
    <w:pPr>
      <w:numPr>
        <w:numId w:val="3"/>
      </w:numPr>
      <w:tabs>
        <w:tab w:val="clear" w:pos="720"/>
        <w:tab w:val="left" w:pos="504"/>
      </w:tabs>
      <w:ind w:left="504" w:hanging="504"/>
    </w:pPr>
  </w:style>
  <w:style w:type="paragraph" w:customStyle="1" w:styleId="Heading5a">
    <w:name w:val="Heading 5a"/>
    <w:basedOn w:val="Heading5"/>
    <w:uiPriority w:val="19"/>
    <w:rsid w:val="00641E21"/>
    <w:pPr>
      <w:tabs>
        <w:tab w:val="clear" w:pos="504"/>
      </w:tabs>
    </w:pPr>
    <w:rPr>
      <w:b w:val="0"/>
      <w:i/>
      <w:sz w:val="21"/>
    </w:rPr>
  </w:style>
  <w:style w:type="character" w:customStyle="1" w:styleId="OGTabBulletChar">
    <w:name w:val="OGTabBullet Char"/>
    <w:link w:val="OGTabBullet"/>
    <w:rsid w:val="00AE1F2D"/>
    <w:rPr>
      <w:rFonts w:ascii="Calibri" w:hAnsi="Calibri"/>
      <w:sz w:val="20"/>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style>
  <w:style w:type="paragraph" w:customStyle="1" w:styleId="OGUoM">
    <w:name w:val="OGUoM"/>
    <w:basedOn w:val="Normal"/>
    <w:rsid w:val="0078493F"/>
    <w:pPr>
      <w:spacing w:before="30" w:after="30"/>
    </w:pPr>
  </w:style>
  <w:style w:type="paragraph" w:customStyle="1" w:styleId="DashText">
    <w:name w:val="Dash Text"/>
    <w:basedOn w:val="Normal"/>
    <w:link w:val="DashTextChar"/>
    <w:uiPriority w:val="2"/>
    <w:qFormat/>
    <w:rsid w:val="00CB74FE"/>
    <w:pPr>
      <w:numPr>
        <w:ilvl w:val="1"/>
        <w:numId w:val="4"/>
      </w:numPr>
    </w:pPr>
  </w:style>
  <w:style w:type="paragraph" w:customStyle="1" w:styleId="OGTableofFigures">
    <w:name w:val="OGTable of Figures"/>
    <w:basedOn w:val="Normal"/>
    <w:rsid w:val="0078493F"/>
    <w:pPr>
      <w:spacing w:before="30" w:after="30"/>
    </w:pPr>
  </w:style>
  <w:style w:type="paragraph" w:customStyle="1" w:styleId="NotesIndent">
    <w:name w:val="NotesIndent"/>
    <w:basedOn w:val="Notes"/>
    <w:uiPriority w:val="44"/>
    <w:rsid w:val="00553327"/>
    <w:pPr>
      <w:tabs>
        <w:tab w:val="clear" w:pos="454"/>
      </w:tabs>
      <w:ind w:left="624" w:firstLine="0"/>
    </w:pPr>
  </w:style>
  <w:style w:type="paragraph" w:customStyle="1" w:styleId="NotesDash">
    <w:name w:val="NotesDash"/>
    <w:basedOn w:val="NotesIndent"/>
    <w:uiPriority w:val="44"/>
    <w:rsid w:val="00553327"/>
    <w:pPr>
      <w:numPr>
        <w:numId w:val="5"/>
      </w:numPr>
      <w:tabs>
        <w:tab w:val="clear" w:pos="922"/>
      </w:tabs>
      <w:ind w:left="624" w:hanging="227"/>
    </w:p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styleId="NormalIndent">
    <w:name w:val="Normal Indent"/>
    <w:basedOn w:val="Normal"/>
    <w:semiHidden/>
    <w:locked/>
    <w:rsid w:val="00A831CC"/>
    <w:pPr>
      <w:ind w:left="360"/>
    </w:pPr>
  </w:style>
  <w:style w:type="paragraph" w:customStyle="1" w:styleId="Heading3NumberingBP4">
    <w:name w:val="Heading 3 Numbering BP4"/>
    <w:basedOn w:val="Heading3Numbering"/>
    <w:uiPriority w:val="19"/>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link w:val="OGNotesChar"/>
    <w:rsid w:val="00C24EC3"/>
    <w:pPr>
      <w:spacing w:after="60"/>
      <w:ind w:left="360" w:right="115"/>
    </w:p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uiPriority w:val="79"/>
    <w:qFormat/>
    <w:rsid w:val="00552CEF"/>
    <w:rPr>
      <w:rFonts w:asciiTheme="majorHAnsi" w:hAnsiTheme="majorHAnsi"/>
      <w:b/>
      <w:sz w:val="21"/>
    </w:rPr>
  </w:style>
  <w:style w:type="paragraph" w:customStyle="1" w:styleId="HighlightBoxText">
    <w:name w:val="Highlight Box Text"/>
    <w:basedOn w:val="HighlightBoxBullet"/>
    <w:uiPriority w:val="79"/>
    <w:rsid w:val="00C24EC3"/>
    <w:pPr>
      <w:numPr>
        <w:numId w:val="0"/>
      </w:numPr>
    </w:pPr>
  </w:style>
  <w:style w:type="paragraph" w:customStyle="1" w:styleId="TableofContentscontinued">
    <w:name w:val="Table of Contents continued"/>
    <w:basedOn w:val="Normal"/>
    <w:uiPriority w:val="90"/>
    <w:rsid w:val="000221B3"/>
    <w:pPr>
      <w:keepNext/>
      <w:tabs>
        <w:tab w:val="left" w:pos="1152"/>
      </w:tabs>
      <w:spacing w:before="240"/>
      <w:ind w:left="1152" w:hanging="1152"/>
      <w:outlineLvl w:val="1"/>
    </w:pPr>
    <w:rPr>
      <w:rFonts w:ascii="Calibri" w:hAnsi="Calibri"/>
      <w:b/>
      <w:kern w:val="28"/>
      <w:sz w:val="26"/>
    </w:rPr>
  </w:style>
  <w:style w:type="character" w:customStyle="1" w:styleId="millionChar">
    <w:name w:val="$million Char"/>
    <w:link w:val="million"/>
    <w:rsid w:val="00552CEF"/>
    <w:rPr>
      <w:rFonts w:asciiTheme="majorHAnsi" w:hAnsiTheme="majorHAnsi"/>
      <w:i/>
      <w:sz w:val="18"/>
      <w:szCs w:val="18"/>
      <w:lang w:eastAsia="en-US"/>
    </w:rPr>
  </w:style>
  <w:style w:type="character" w:customStyle="1" w:styleId="SourceChar">
    <w:name w:val="Source Char"/>
    <w:link w:val="Source"/>
    <w:locked/>
    <w:rsid w:val="00552CEF"/>
    <w:rPr>
      <w:rFonts w:asciiTheme="majorHAnsi" w:hAnsiTheme="majorHAnsi"/>
      <w:i/>
      <w:sz w:val="15"/>
      <w:lang w:eastAsia="en-US"/>
    </w:rPr>
  </w:style>
  <w:style w:type="character" w:styleId="Hyperlink">
    <w:name w:val="Hyperlink"/>
    <w:basedOn w:val="DefaultParagraphFont"/>
    <w:uiPriority w:val="99"/>
    <w:unhideWhenUsed/>
    <w:locked/>
    <w:rsid w:val="00B47029"/>
    <w:rPr>
      <w:color w:val="0000FF" w:themeColor="hyperlink"/>
      <w:u w:val="single"/>
    </w:rPr>
  </w:style>
  <w:style w:type="paragraph" w:customStyle="1" w:styleId="Tabletextheadingleft">
    <w:name w:val="Table text heading left"/>
    <w:basedOn w:val="Normal"/>
    <w:uiPriority w:val="2"/>
    <w:rsid w:val="00884562"/>
    <w:pPr>
      <w:spacing w:after="0"/>
    </w:pPr>
    <w:rPr>
      <w:rFonts w:ascii="Calibri" w:hAnsi="Calibri"/>
      <w:i/>
      <w:sz w:val="20"/>
      <w:szCs w:val="18"/>
    </w:rPr>
  </w:style>
  <w:style w:type="paragraph" w:customStyle="1" w:styleId="Tabletextnoindent">
    <w:name w:val="Table text no indent"/>
    <w:basedOn w:val="Normal"/>
    <w:qFormat/>
    <w:rsid w:val="00884562"/>
    <w:pPr>
      <w:autoSpaceDE w:val="0"/>
      <w:autoSpaceDN w:val="0"/>
      <w:adjustRightInd w:val="0"/>
      <w:spacing w:after="0"/>
    </w:pPr>
    <w:rPr>
      <w:rFonts w:ascii="Calibri" w:eastAsiaTheme="minorEastAsia" w:hAnsi="Calibri" w:cs="Calibri"/>
      <w:color w:val="000000"/>
      <w:sz w:val="20"/>
    </w:rPr>
  </w:style>
  <w:style w:type="character" w:customStyle="1" w:styleId="TableheadingChar">
    <w:name w:val="Table heading Char"/>
    <w:link w:val="Tableheading"/>
    <w:rsid w:val="00884562"/>
    <w:rPr>
      <w:rFonts w:asciiTheme="majorHAnsi" w:hAnsiTheme="majorHAnsi"/>
      <w:b/>
      <w:sz w:val="22"/>
      <w:lang w:eastAsia="en-US"/>
    </w:rPr>
  </w:style>
  <w:style w:type="character" w:customStyle="1" w:styleId="NotesChar">
    <w:name w:val="Notes Char"/>
    <w:link w:val="Notes"/>
    <w:locked/>
    <w:rsid w:val="00884562"/>
    <w:rPr>
      <w:rFonts w:asciiTheme="majorHAnsi" w:hAnsiTheme="majorHAnsi"/>
      <w:i/>
      <w:sz w:val="15"/>
      <w:lang w:eastAsia="en-US"/>
    </w:rPr>
  </w:style>
  <w:style w:type="character" w:customStyle="1" w:styleId="Heading1Char">
    <w:name w:val="Heading 1 Char"/>
    <w:basedOn w:val="DefaultParagraphFont"/>
    <w:link w:val="Heading1"/>
    <w:rsid w:val="00884562"/>
    <w:rPr>
      <w:rFonts w:asciiTheme="majorHAnsi" w:hAnsiTheme="majorHAnsi"/>
      <w:b/>
      <w:caps/>
      <w:sz w:val="26"/>
      <w:szCs w:val="22"/>
      <w:lang w:eastAsia="en-US"/>
    </w:rPr>
  </w:style>
  <w:style w:type="character" w:customStyle="1" w:styleId="Heading3Char">
    <w:name w:val="Heading 3 Char"/>
    <w:basedOn w:val="DefaultParagraphFont"/>
    <w:link w:val="Heading3"/>
    <w:rsid w:val="00884562"/>
    <w:rPr>
      <w:rFonts w:asciiTheme="majorHAnsi" w:hAnsiTheme="majorHAnsi"/>
      <w:b/>
      <w:i/>
      <w:kern w:val="28"/>
      <w:sz w:val="24"/>
      <w:szCs w:val="22"/>
      <w:lang w:eastAsia="en-US"/>
    </w:rPr>
  </w:style>
  <w:style w:type="character" w:customStyle="1" w:styleId="Heading4Char">
    <w:name w:val="Heading 4 Char"/>
    <w:basedOn w:val="DefaultParagraphFont"/>
    <w:link w:val="Heading4"/>
    <w:rsid w:val="00884562"/>
    <w:rPr>
      <w:rFonts w:asciiTheme="majorHAnsi" w:hAnsiTheme="majorHAnsi"/>
      <w:i/>
      <w:sz w:val="24"/>
      <w:szCs w:val="22"/>
      <w:lang w:eastAsia="en-US"/>
    </w:rPr>
  </w:style>
  <w:style w:type="character" w:customStyle="1" w:styleId="Heading5Char">
    <w:name w:val="Heading 5 Char"/>
    <w:link w:val="Heading5"/>
    <w:rsid w:val="00884562"/>
    <w:rPr>
      <w:rFonts w:asciiTheme="majorHAnsi" w:hAnsiTheme="majorHAnsi"/>
      <w:b/>
      <w:sz w:val="22"/>
      <w:lang w:eastAsia="en-US"/>
    </w:rPr>
  </w:style>
  <w:style w:type="paragraph" w:styleId="TableofFigures">
    <w:name w:val="table of figures"/>
    <w:basedOn w:val="Normal"/>
    <w:next w:val="Normal"/>
    <w:link w:val="TableofFiguresChar"/>
    <w:qFormat/>
    <w:rsid w:val="00884562"/>
    <w:pPr>
      <w:spacing w:after="0"/>
      <w:jc w:val="right"/>
    </w:pPr>
    <w:rPr>
      <w:rFonts w:ascii="Calibri" w:hAnsi="Calibri"/>
      <w:sz w:val="20"/>
      <w:szCs w:val="18"/>
    </w:rPr>
  </w:style>
  <w:style w:type="character" w:customStyle="1" w:styleId="TableofFiguresChar">
    <w:name w:val="Table of Figures Char"/>
    <w:link w:val="TableofFigures"/>
    <w:rsid w:val="00884562"/>
    <w:rPr>
      <w:rFonts w:ascii="Calibri" w:hAnsi="Calibri"/>
      <w:szCs w:val="18"/>
    </w:rPr>
  </w:style>
  <w:style w:type="paragraph" w:customStyle="1" w:styleId="Tabletextheading">
    <w:name w:val="Table text heading"/>
    <w:basedOn w:val="TableofFigures"/>
    <w:link w:val="TabletextheadingChar"/>
    <w:qFormat/>
    <w:rsid w:val="00884562"/>
    <w:rPr>
      <w:i/>
    </w:rPr>
  </w:style>
  <w:style w:type="character" w:customStyle="1" w:styleId="TabletextheadingChar">
    <w:name w:val="Table text heading Char"/>
    <w:link w:val="Tabletextheading"/>
    <w:locked/>
    <w:rsid w:val="00884562"/>
    <w:rPr>
      <w:rFonts w:ascii="Calibri" w:hAnsi="Calibri"/>
      <w:i/>
      <w:szCs w:val="18"/>
    </w:rPr>
  </w:style>
  <w:style w:type="paragraph" w:customStyle="1" w:styleId="Tabletext">
    <w:name w:val="Table text"/>
    <w:basedOn w:val="TableofFigures"/>
    <w:link w:val="TabletextChar"/>
    <w:qFormat/>
    <w:rsid w:val="00884562"/>
    <w:pPr>
      <w:ind w:left="180" w:hanging="180"/>
      <w:jc w:val="left"/>
    </w:pPr>
  </w:style>
  <w:style w:type="character" w:customStyle="1" w:styleId="TabletextChar">
    <w:name w:val="Table text Char"/>
    <w:link w:val="Tabletext"/>
    <w:rsid w:val="00884562"/>
    <w:rPr>
      <w:rFonts w:ascii="Calibri" w:hAnsi="Calibri"/>
      <w:szCs w:val="18"/>
    </w:rPr>
  </w:style>
  <w:style w:type="character" w:customStyle="1" w:styleId="BulletTextChar">
    <w:name w:val="Bullet Text Char"/>
    <w:link w:val="BulletText"/>
    <w:uiPriority w:val="2"/>
    <w:locked/>
    <w:rsid w:val="00884562"/>
  </w:style>
  <w:style w:type="character" w:customStyle="1" w:styleId="FooterChar">
    <w:name w:val="Footer Char"/>
    <w:basedOn w:val="DefaultParagraphFont"/>
    <w:link w:val="Footer"/>
    <w:rsid w:val="00884562"/>
    <w:rPr>
      <w:rFonts w:ascii="Calibri" w:hAnsi="Calibri"/>
      <w:szCs w:val="18"/>
      <w:lang w:eastAsia="en-US"/>
    </w:rPr>
  </w:style>
  <w:style w:type="character" w:customStyle="1" w:styleId="Heading2NotesChar">
    <w:name w:val="Heading 2 Notes Char"/>
    <w:link w:val="Heading2Notes"/>
    <w:locked/>
    <w:rsid w:val="00884562"/>
    <w:rPr>
      <w:rFonts w:asciiTheme="majorHAnsi" w:hAnsiTheme="majorHAnsi"/>
      <w:b/>
      <w:kern w:val="28"/>
      <w:sz w:val="26"/>
      <w:szCs w:val="22"/>
      <w:lang w:eastAsia="en-US"/>
    </w:rPr>
  </w:style>
  <w:style w:type="character" w:customStyle="1" w:styleId="Heading2NotesContdChar">
    <w:name w:val="Heading 2 Notes Cont'd Char"/>
    <w:link w:val="Heading2NotesContd"/>
    <w:locked/>
    <w:rsid w:val="00884562"/>
    <w:rPr>
      <w:rFonts w:asciiTheme="majorHAnsi" w:hAnsiTheme="majorHAnsi"/>
      <w:b/>
      <w:kern w:val="28"/>
      <w:sz w:val="26"/>
      <w:szCs w:val="22"/>
      <w:lang w:eastAsia="en-US"/>
    </w:rPr>
  </w:style>
  <w:style w:type="paragraph" w:styleId="TOC4">
    <w:name w:val="toc 4"/>
    <w:basedOn w:val="TOC1"/>
    <w:next w:val="Normal"/>
    <w:uiPriority w:val="5"/>
    <w:rsid w:val="00884562"/>
    <w:pPr>
      <w:spacing w:after="0"/>
      <w:ind w:left="1152" w:hanging="1152"/>
    </w:pPr>
    <w:rPr>
      <w:rFonts w:ascii="Calibri" w:hAnsi="Calibri"/>
      <w:b w:val="0"/>
      <w:noProof/>
      <w:sz w:val="20"/>
    </w:rPr>
  </w:style>
  <w:style w:type="paragraph" w:styleId="TOC5">
    <w:name w:val="toc 5"/>
    <w:basedOn w:val="TOC1"/>
    <w:next w:val="Normal"/>
    <w:uiPriority w:val="5"/>
    <w:rsid w:val="00884562"/>
    <w:rPr>
      <w:rFonts w:ascii="Calibri" w:hAnsi="Calibri"/>
      <w:b w:val="0"/>
      <w:sz w:val="20"/>
    </w:rPr>
  </w:style>
  <w:style w:type="paragraph" w:customStyle="1" w:styleId="Tabletextcentred">
    <w:name w:val="Table text centred"/>
    <w:basedOn w:val="Tabletext"/>
    <w:uiPriority w:val="2"/>
    <w:rsid w:val="00884562"/>
    <w:pPr>
      <w:ind w:left="0" w:firstLine="0"/>
      <w:jc w:val="center"/>
    </w:pPr>
  </w:style>
  <w:style w:type="character" w:customStyle="1" w:styleId="Heading3NumberingChar">
    <w:name w:val="Heading 3 Numbering Char"/>
    <w:link w:val="Heading3Numbering"/>
    <w:locked/>
    <w:rsid w:val="00884562"/>
    <w:rPr>
      <w:rFonts w:asciiTheme="majorHAnsi" w:hAnsiTheme="majorHAnsi"/>
      <w:b/>
      <w:i/>
      <w:kern w:val="28"/>
      <w:sz w:val="24"/>
    </w:rPr>
  </w:style>
  <w:style w:type="paragraph" w:customStyle="1" w:styleId="Heading2NotesQtrly">
    <w:name w:val="Heading 2 Notes Qtrly"/>
    <w:basedOn w:val="Heading2Notes"/>
    <w:rsid w:val="00884562"/>
    <w:rPr>
      <w:rFonts w:ascii="Calibri" w:hAnsi="Calibri"/>
    </w:rPr>
  </w:style>
  <w:style w:type="paragraph" w:customStyle="1" w:styleId="Tabletextheadingcentred">
    <w:name w:val="Table text heading centred"/>
    <w:basedOn w:val="Tabletextheading"/>
    <w:uiPriority w:val="2"/>
    <w:rsid w:val="00884562"/>
    <w:pPr>
      <w:jc w:val="center"/>
    </w:pPr>
  </w:style>
  <w:style w:type="character" w:customStyle="1" w:styleId="DashTextChar">
    <w:name w:val="Dash Text Char"/>
    <w:link w:val="DashText"/>
    <w:uiPriority w:val="2"/>
    <w:rsid w:val="00884562"/>
  </w:style>
  <w:style w:type="paragraph" w:customStyle="1" w:styleId="VersionTableText">
    <w:name w:val="VersionTableText"/>
    <w:basedOn w:val="Normal"/>
    <w:rsid w:val="00884562"/>
    <w:pPr>
      <w:spacing w:after="0"/>
      <w:jc w:val="center"/>
    </w:pPr>
    <w:rPr>
      <w:rFonts w:ascii="Calibri" w:hAnsi="Calibri"/>
    </w:rPr>
  </w:style>
  <w:style w:type="paragraph" w:customStyle="1" w:styleId="VersionTableHeading">
    <w:name w:val="VersionTableHeading"/>
    <w:basedOn w:val="Normal"/>
    <w:rsid w:val="00884562"/>
    <w:pPr>
      <w:spacing w:after="0"/>
      <w:jc w:val="center"/>
    </w:pPr>
    <w:rPr>
      <w:rFonts w:ascii="Calibri" w:hAnsi="Calibri"/>
      <w:b/>
    </w:rPr>
  </w:style>
  <w:style w:type="paragraph" w:customStyle="1" w:styleId="Tabletextindent">
    <w:name w:val="Table text indent"/>
    <w:basedOn w:val="Tabletext"/>
    <w:uiPriority w:val="2"/>
    <w:rsid w:val="00884562"/>
    <w:pPr>
      <w:ind w:left="360" w:firstLine="0"/>
    </w:pPr>
  </w:style>
  <w:style w:type="paragraph" w:customStyle="1" w:styleId="Tabletextindent2">
    <w:name w:val="Table text indent 2"/>
    <w:basedOn w:val="Tabletextindent"/>
    <w:uiPriority w:val="2"/>
    <w:rsid w:val="00884562"/>
    <w:pPr>
      <w:ind w:left="720"/>
    </w:pPr>
  </w:style>
  <w:style w:type="paragraph" w:styleId="ListParagraph">
    <w:name w:val="List Paragraph"/>
    <w:basedOn w:val="Normal"/>
    <w:uiPriority w:val="34"/>
    <w:qFormat/>
    <w:rsid w:val="00884562"/>
    <w:pPr>
      <w:ind w:left="720"/>
      <w:contextualSpacing/>
    </w:pPr>
    <w:rPr>
      <w:rFonts w:ascii="Garamond" w:hAnsi="Garamond"/>
    </w:rPr>
  </w:style>
  <w:style w:type="character" w:styleId="FollowedHyperlink">
    <w:name w:val="FollowedHyperlink"/>
    <w:basedOn w:val="DefaultParagraphFont"/>
    <w:locked/>
    <w:rsid w:val="00884562"/>
    <w:rPr>
      <w:color w:val="800080" w:themeColor="followedHyperlink"/>
      <w:u w:val="single"/>
    </w:rPr>
  </w:style>
  <w:style w:type="character" w:styleId="CommentReference">
    <w:name w:val="annotation reference"/>
    <w:basedOn w:val="DefaultParagraphFont"/>
    <w:uiPriority w:val="99"/>
    <w:locked/>
    <w:rsid w:val="00884562"/>
    <w:rPr>
      <w:sz w:val="16"/>
      <w:szCs w:val="16"/>
    </w:rPr>
  </w:style>
  <w:style w:type="paragraph" w:styleId="CommentText">
    <w:name w:val="annotation text"/>
    <w:basedOn w:val="Normal"/>
    <w:link w:val="CommentTextChar"/>
    <w:uiPriority w:val="99"/>
    <w:locked/>
    <w:rsid w:val="00884562"/>
    <w:rPr>
      <w:rFonts w:ascii="Garamond" w:hAnsi="Garamond"/>
      <w:sz w:val="20"/>
    </w:rPr>
  </w:style>
  <w:style w:type="character" w:customStyle="1" w:styleId="CommentTextChar">
    <w:name w:val="Comment Text Char"/>
    <w:basedOn w:val="DefaultParagraphFont"/>
    <w:link w:val="CommentText"/>
    <w:uiPriority w:val="99"/>
    <w:rsid w:val="00884562"/>
    <w:rPr>
      <w:rFonts w:ascii="Garamond" w:hAnsi="Garamond"/>
      <w:szCs w:val="22"/>
    </w:rPr>
  </w:style>
  <w:style w:type="paragraph" w:styleId="CommentSubject">
    <w:name w:val="annotation subject"/>
    <w:basedOn w:val="CommentText"/>
    <w:next w:val="CommentText"/>
    <w:link w:val="CommentSubjectChar"/>
    <w:locked/>
    <w:rsid w:val="00884562"/>
    <w:rPr>
      <w:b/>
      <w:bCs/>
    </w:rPr>
  </w:style>
  <w:style w:type="character" w:customStyle="1" w:styleId="CommentSubjectChar">
    <w:name w:val="Comment Subject Char"/>
    <w:basedOn w:val="CommentTextChar"/>
    <w:link w:val="CommentSubject"/>
    <w:rsid w:val="00884562"/>
    <w:rPr>
      <w:rFonts w:ascii="Garamond" w:hAnsi="Garamond"/>
      <w:b/>
      <w:bCs/>
      <w:szCs w:val="22"/>
    </w:rPr>
  </w:style>
  <w:style w:type="paragraph" w:customStyle="1" w:styleId="Default">
    <w:name w:val="Default"/>
    <w:rsid w:val="00884562"/>
    <w:pPr>
      <w:autoSpaceDE w:val="0"/>
      <w:autoSpaceDN w:val="0"/>
      <w:adjustRightInd w:val="0"/>
    </w:pPr>
    <w:rPr>
      <w:rFonts w:ascii="Garamond" w:hAnsi="Garamond" w:cs="Garamond"/>
      <w:color w:val="000000"/>
      <w:sz w:val="24"/>
      <w:szCs w:val="24"/>
    </w:rPr>
  </w:style>
  <w:style w:type="table" w:styleId="TableColumns4">
    <w:name w:val="Table Columns 4"/>
    <w:basedOn w:val="TableNormal"/>
    <w:locked/>
    <w:rsid w:val="00884562"/>
    <w:rPr>
      <w:rFonts w:ascii="Garamond" w:hAnsi="Garamond"/>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noteText">
    <w:name w:val="footnote text"/>
    <w:basedOn w:val="Normal"/>
    <w:link w:val="FootnoteTextChar"/>
    <w:uiPriority w:val="5"/>
    <w:locked/>
    <w:rsid w:val="00884562"/>
    <w:rPr>
      <w:rFonts w:ascii="Garamond" w:hAnsi="Garamond"/>
      <w:sz w:val="20"/>
    </w:rPr>
  </w:style>
  <w:style w:type="character" w:customStyle="1" w:styleId="FootnoteTextChar">
    <w:name w:val="Footnote Text Char"/>
    <w:basedOn w:val="DefaultParagraphFont"/>
    <w:link w:val="FootnoteText"/>
    <w:uiPriority w:val="5"/>
    <w:rsid w:val="00884562"/>
    <w:rPr>
      <w:rFonts w:ascii="Garamond" w:hAnsi="Garamond"/>
      <w:szCs w:val="22"/>
    </w:rPr>
  </w:style>
  <w:style w:type="character" w:styleId="FootnoteReference">
    <w:name w:val="footnote reference"/>
    <w:basedOn w:val="DefaultParagraphFont"/>
    <w:uiPriority w:val="5"/>
    <w:locked/>
    <w:rsid w:val="00884562"/>
    <w:rPr>
      <w:vertAlign w:val="superscript"/>
    </w:rPr>
  </w:style>
  <w:style w:type="paragraph" w:styleId="Index3">
    <w:name w:val="index 3"/>
    <w:basedOn w:val="Normal"/>
    <w:next w:val="Normal"/>
    <w:autoRedefine/>
    <w:rsid w:val="00884562"/>
    <w:pPr>
      <w:spacing w:after="0"/>
      <w:ind w:left="660" w:hanging="220"/>
    </w:pPr>
    <w:rPr>
      <w:rFonts w:ascii="Garamond" w:hAnsi="Garamond" w:cstheme="minorHAnsi"/>
      <w:sz w:val="18"/>
      <w:szCs w:val="18"/>
    </w:rPr>
  </w:style>
  <w:style w:type="paragraph" w:styleId="Index4">
    <w:name w:val="index 4"/>
    <w:basedOn w:val="Normal"/>
    <w:next w:val="Normal"/>
    <w:autoRedefine/>
    <w:rsid w:val="00884562"/>
    <w:pPr>
      <w:spacing w:after="0"/>
      <w:ind w:left="880" w:hanging="220"/>
    </w:pPr>
    <w:rPr>
      <w:rFonts w:ascii="Garamond" w:hAnsi="Garamond" w:cstheme="minorHAnsi"/>
      <w:sz w:val="18"/>
      <w:szCs w:val="18"/>
    </w:rPr>
  </w:style>
  <w:style w:type="paragraph" w:styleId="Index5">
    <w:name w:val="index 5"/>
    <w:basedOn w:val="Normal"/>
    <w:next w:val="Normal"/>
    <w:autoRedefine/>
    <w:rsid w:val="00884562"/>
    <w:pPr>
      <w:spacing w:after="0"/>
      <w:ind w:left="1100" w:hanging="220"/>
    </w:pPr>
    <w:rPr>
      <w:rFonts w:ascii="Garamond" w:hAnsi="Garamond" w:cstheme="minorHAnsi"/>
      <w:sz w:val="18"/>
      <w:szCs w:val="18"/>
    </w:rPr>
  </w:style>
  <w:style w:type="paragraph" w:styleId="Index6">
    <w:name w:val="index 6"/>
    <w:basedOn w:val="Normal"/>
    <w:next w:val="Normal"/>
    <w:autoRedefine/>
    <w:locked/>
    <w:rsid w:val="00884562"/>
    <w:pPr>
      <w:spacing w:after="0"/>
      <w:ind w:left="1320" w:hanging="220"/>
    </w:pPr>
    <w:rPr>
      <w:rFonts w:ascii="Garamond" w:hAnsi="Garamond" w:cstheme="minorHAnsi"/>
      <w:sz w:val="18"/>
      <w:szCs w:val="18"/>
    </w:rPr>
  </w:style>
  <w:style w:type="paragraph" w:styleId="Index7">
    <w:name w:val="index 7"/>
    <w:basedOn w:val="Normal"/>
    <w:next w:val="Normal"/>
    <w:autoRedefine/>
    <w:locked/>
    <w:rsid w:val="00884562"/>
    <w:pPr>
      <w:spacing w:after="0"/>
      <w:ind w:left="1540" w:hanging="220"/>
    </w:pPr>
    <w:rPr>
      <w:rFonts w:ascii="Garamond" w:hAnsi="Garamond" w:cstheme="minorHAnsi"/>
      <w:sz w:val="18"/>
      <w:szCs w:val="18"/>
    </w:rPr>
  </w:style>
  <w:style w:type="paragraph" w:styleId="Index8">
    <w:name w:val="index 8"/>
    <w:basedOn w:val="Normal"/>
    <w:next w:val="Normal"/>
    <w:autoRedefine/>
    <w:locked/>
    <w:rsid w:val="00884562"/>
    <w:pPr>
      <w:spacing w:after="0"/>
      <w:ind w:left="1760" w:hanging="220"/>
    </w:pPr>
    <w:rPr>
      <w:rFonts w:ascii="Garamond" w:hAnsi="Garamond" w:cstheme="minorHAnsi"/>
      <w:sz w:val="18"/>
      <w:szCs w:val="18"/>
    </w:rPr>
  </w:style>
  <w:style w:type="paragraph" w:styleId="Index9">
    <w:name w:val="index 9"/>
    <w:basedOn w:val="Normal"/>
    <w:next w:val="Normal"/>
    <w:autoRedefine/>
    <w:locked/>
    <w:rsid w:val="00884562"/>
    <w:pPr>
      <w:spacing w:after="0"/>
      <w:ind w:left="1980" w:hanging="220"/>
    </w:pPr>
    <w:rPr>
      <w:rFonts w:ascii="Garamond" w:hAnsi="Garamond" w:cstheme="minorHAnsi"/>
      <w:sz w:val="18"/>
      <w:szCs w:val="18"/>
    </w:rPr>
  </w:style>
  <w:style w:type="paragraph" w:customStyle="1" w:styleId="HighlightBoxDash">
    <w:name w:val="Highlight Box Dash"/>
    <w:basedOn w:val="HighlightBoxBullet"/>
    <w:qFormat/>
    <w:rsid w:val="00884562"/>
    <w:pPr>
      <w:numPr>
        <w:numId w:val="0"/>
      </w:numPr>
      <w:tabs>
        <w:tab w:val="left" w:pos="360"/>
      </w:tabs>
      <w:ind w:left="720" w:hanging="720"/>
    </w:pPr>
    <w:rPr>
      <w:rFonts w:ascii="Garamond" w:hAnsi="Garamond"/>
    </w:rPr>
  </w:style>
  <w:style w:type="character" w:customStyle="1" w:styleId="ChartheadingChar">
    <w:name w:val="Chart heading Char"/>
    <w:link w:val="Chartheading"/>
    <w:locked/>
    <w:rsid w:val="00884562"/>
    <w:rPr>
      <w:rFonts w:asciiTheme="majorHAnsi" w:hAnsiTheme="majorHAnsi"/>
      <w:b/>
      <w:sz w:val="22"/>
      <w:lang w:eastAsia="en-US"/>
    </w:rPr>
  </w:style>
  <w:style w:type="character" w:customStyle="1" w:styleId="HeaderChar">
    <w:name w:val="Header Char"/>
    <w:basedOn w:val="DefaultParagraphFont"/>
    <w:link w:val="Header"/>
    <w:rsid w:val="00884562"/>
    <w:rPr>
      <w:rFonts w:ascii="Calibri" w:hAnsi="Calibri"/>
      <w:szCs w:val="18"/>
      <w:lang w:eastAsia="en-US"/>
    </w:rPr>
  </w:style>
  <w:style w:type="paragraph" w:customStyle="1" w:styleId="TableTextCentred0">
    <w:name w:val="Table Text Centred"/>
    <w:basedOn w:val="Tabletext"/>
    <w:rsid w:val="00884562"/>
    <w:pPr>
      <w:ind w:left="0" w:firstLine="0"/>
      <w:jc w:val="center"/>
    </w:pPr>
    <w:rPr>
      <w:sz w:val="22"/>
    </w:rPr>
  </w:style>
  <w:style w:type="paragraph" w:customStyle="1" w:styleId="TabletextheadingCentred0">
    <w:name w:val="Table text heading Centred"/>
    <w:basedOn w:val="Tabletextheading"/>
    <w:link w:val="TabletextheadingCentredChar"/>
    <w:rsid w:val="00884562"/>
    <w:pPr>
      <w:jc w:val="center"/>
    </w:pPr>
    <w:rPr>
      <w:sz w:val="22"/>
    </w:rPr>
  </w:style>
  <w:style w:type="character" w:customStyle="1" w:styleId="TabletextheadingCentredChar">
    <w:name w:val="Table text heading Centred Char"/>
    <w:link w:val="TabletextheadingCentred0"/>
    <w:locked/>
    <w:rsid w:val="00884562"/>
    <w:rPr>
      <w:rFonts w:ascii="Calibri" w:hAnsi="Calibri"/>
      <w:i/>
      <w:sz w:val="22"/>
      <w:szCs w:val="18"/>
    </w:rPr>
  </w:style>
  <w:style w:type="character" w:customStyle="1" w:styleId="OGNotesChar">
    <w:name w:val="OGNotes Char"/>
    <w:link w:val="OGNotes"/>
    <w:rsid w:val="00884562"/>
    <w:rPr>
      <w:rFonts w:asciiTheme="majorHAnsi" w:hAnsiTheme="majorHAnsi"/>
      <w:i/>
      <w:sz w:val="15"/>
    </w:rPr>
  </w:style>
  <w:style w:type="character" w:styleId="PlaceholderText">
    <w:name w:val="Placeholder Text"/>
    <w:basedOn w:val="DefaultParagraphFont"/>
    <w:uiPriority w:val="99"/>
    <w:semiHidden/>
    <w:rsid w:val="00884562"/>
    <w:rPr>
      <w:color w:val="808080"/>
    </w:rPr>
  </w:style>
  <w:style w:type="paragraph" w:customStyle="1" w:styleId="Bullet1">
    <w:name w:val="Bullet 1"/>
    <w:basedOn w:val="Normal"/>
    <w:qFormat/>
    <w:rsid w:val="00884562"/>
    <w:pPr>
      <w:numPr>
        <w:numId w:val="8"/>
      </w:numPr>
      <w:spacing w:after="90"/>
    </w:pPr>
    <w:rPr>
      <w:rFonts w:ascii="Calibri" w:hAnsi="Calibri" w:cs="Arial"/>
      <w:sz w:val="24"/>
      <w:szCs w:val="24"/>
    </w:rPr>
  </w:style>
  <w:style w:type="paragraph" w:customStyle="1" w:styleId="Bullet2">
    <w:name w:val="Bullet 2"/>
    <w:basedOn w:val="Normal"/>
    <w:qFormat/>
    <w:rsid w:val="00884562"/>
    <w:pPr>
      <w:numPr>
        <w:ilvl w:val="1"/>
        <w:numId w:val="8"/>
      </w:numPr>
      <w:spacing w:before="60" w:after="60"/>
    </w:pPr>
    <w:rPr>
      <w:rFonts w:ascii="Calibri" w:hAnsi="Calibri"/>
      <w:sz w:val="24"/>
      <w:szCs w:val="24"/>
    </w:rPr>
  </w:style>
  <w:style w:type="paragraph" w:customStyle="1" w:styleId="Bullet3">
    <w:name w:val="Bullet 3"/>
    <w:basedOn w:val="Normal"/>
    <w:qFormat/>
    <w:rsid w:val="00884562"/>
    <w:pPr>
      <w:numPr>
        <w:ilvl w:val="2"/>
        <w:numId w:val="8"/>
      </w:numPr>
      <w:spacing w:before="60" w:after="60"/>
    </w:pPr>
    <w:rPr>
      <w:rFonts w:ascii="Calibri" w:hAnsi="Calibri"/>
      <w:sz w:val="24"/>
      <w:szCs w:val="24"/>
    </w:rPr>
  </w:style>
  <w:style w:type="character" w:styleId="Emphasis">
    <w:name w:val="Emphasis"/>
    <w:basedOn w:val="DefaultParagraphFont"/>
    <w:uiPriority w:val="20"/>
    <w:qFormat/>
    <w:locked/>
    <w:rsid w:val="00884562"/>
    <w:rPr>
      <w:i/>
      <w:iCs/>
    </w:rPr>
  </w:style>
  <w:style w:type="paragraph" w:customStyle="1" w:styleId="ControlledEntitiesHeading1">
    <w:name w:val="ControlledEntitiesHeading1"/>
    <w:qFormat/>
    <w:rsid w:val="00884562"/>
    <w:pPr>
      <w:shd w:val="clear" w:color="auto" w:fill="000000" w:themeFill="text1"/>
      <w:jc w:val="center"/>
    </w:pPr>
    <w:rPr>
      <w:rFonts w:asciiTheme="majorHAnsi" w:hAnsiTheme="majorHAnsi" w:cstheme="minorHAnsi"/>
      <w:b/>
      <w:i/>
      <w:color w:val="FFFFFF" w:themeColor="background1"/>
    </w:rPr>
  </w:style>
  <w:style w:type="paragraph" w:customStyle="1" w:styleId="ControlledEntitiesHeading2">
    <w:name w:val="ControlledEntitiesHeading2"/>
    <w:qFormat/>
    <w:rsid w:val="00884562"/>
    <w:pPr>
      <w:shd w:val="clear" w:color="auto" w:fill="D9D9D9" w:themeFill="background1" w:themeFillShade="D9"/>
      <w:spacing w:before="120"/>
    </w:pPr>
    <w:rPr>
      <w:rFonts w:ascii="Calibri" w:hAnsi="Calibri"/>
      <w:b/>
      <w:bCs/>
      <w:color w:val="000000" w:themeColor="text1"/>
      <w:sz w:val="18"/>
      <w:szCs w:val="18"/>
    </w:rPr>
  </w:style>
  <w:style w:type="paragraph" w:customStyle="1" w:styleId="ControlledEntitiesText">
    <w:name w:val="ControlledEntitiesText"/>
    <w:qFormat/>
    <w:rsid w:val="00884562"/>
    <w:pPr>
      <w:spacing w:before="20" w:after="20"/>
      <w:ind w:left="170" w:hanging="170"/>
    </w:pPr>
    <w:rPr>
      <w:rFonts w:ascii="Calibri" w:hAnsi="Calibri"/>
      <w:color w:val="000000" w:themeColor="text1"/>
      <w:sz w:val="18"/>
      <w:szCs w:val="18"/>
    </w:rPr>
  </w:style>
  <w:style w:type="paragraph" w:customStyle="1" w:styleId="FooterEvenpage">
    <w:name w:val="Footer (Even page)"/>
    <w:basedOn w:val="Footer"/>
    <w:uiPriority w:val="98"/>
    <w:qFormat/>
    <w:rsid w:val="00884562"/>
    <w:pPr>
      <w:tabs>
        <w:tab w:val="clear" w:pos="7085"/>
        <w:tab w:val="right" w:pos="9639"/>
      </w:tabs>
      <w:spacing w:after="0" w:line="264" w:lineRule="auto"/>
    </w:pPr>
    <w:rPr>
      <w:rFonts w:asciiTheme="majorHAnsi" w:eastAsiaTheme="minorHAnsi" w:hAnsiTheme="majorHAnsi" w:cstheme="minorBidi"/>
      <w:sz w:val="18"/>
      <w:szCs w:val="22"/>
    </w:rPr>
  </w:style>
  <w:style w:type="table" w:customStyle="1" w:styleId="TableDTFfinancialcompact">
    <w:name w:val="Table DTF financial (compact)"/>
    <w:basedOn w:val="TableNormal"/>
    <w:uiPriority w:val="99"/>
    <w:rsid w:val="00884562"/>
    <w:pPr>
      <w:spacing w:before="20" w:after="20"/>
      <w:ind w:left="170" w:hanging="170"/>
      <w:jc w:val="right"/>
    </w:pPr>
    <w:rPr>
      <w:rFonts w:eastAsia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884562"/>
    <w:pPr>
      <w:spacing w:before="20" w:after="20" w:line="264" w:lineRule="auto"/>
      <w:ind w:left="170" w:hanging="170"/>
    </w:pPr>
    <w:rPr>
      <w:rFonts w:eastAsia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paragraph" w:styleId="NormalWeb">
    <w:name w:val="Normal (Web)"/>
    <w:basedOn w:val="Normal"/>
    <w:uiPriority w:val="99"/>
    <w:semiHidden/>
    <w:unhideWhenUsed/>
    <w:locked/>
    <w:rsid w:val="0088456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eader" Target="header3.xml"/><Relationship Id="rId39" Type="http://schemas.openxmlformats.org/officeDocument/2006/relationships/header" Target="header7.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2.xml"/><Relationship Id="rId47" Type="http://schemas.openxmlformats.org/officeDocument/2006/relationships/image" Target="media/image5.emf"/><Relationship Id="rId50" Type="http://schemas.openxmlformats.org/officeDocument/2006/relationships/image" Target="media/image8.emf"/><Relationship Id="rId55" Type="http://schemas.openxmlformats.org/officeDocument/2006/relationships/footer" Target="footer2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header" Target="header6.xml"/><Relationship Id="rId38" Type="http://schemas.openxmlformats.org/officeDocument/2006/relationships/footer" Target="footer20.xml"/><Relationship Id="rId46" Type="http://schemas.openxmlformats.org/officeDocument/2006/relationships/footer" Target="footer25.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4.xml"/><Relationship Id="rId41" Type="http://schemas.openxmlformats.org/officeDocument/2006/relationships/footer" Target="footer21.xml"/><Relationship Id="rId54"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9.xml"/><Relationship Id="rId40" Type="http://schemas.openxmlformats.org/officeDocument/2006/relationships/header" Target="header8.xml"/><Relationship Id="rId45" Type="http://schemas.openxmlformats.org/officeDocument/2006/relationships/footer" Target="footer24.xml"/><Relationship Id="rId53" Type="http://schemas.openxmlformats.org/officeDocument/2006/relationships/footer" Target="footer26.xml"/><Relationship Id="rId58" Type="http://schemas.openxmlformats.org/officeDocument/2006/relationships/footer" Target="footer3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image" Target="media/image7.emf"/><Relationship Id="rId57" Type="http://schemas.openxmlformats.org/officeDocument/2006/relationships/footer" Target="footer30.xml"/><Relationship Id="rId10" Type="http://schemas.openxmlformats.org/officeDocument/2006/relationships/image" Target="media/image2.emf"/><Relationship Id="rId19" Type="http://schemas.openxmlformats.org/officeDocument/2006/relationships/image" Target="media/image4.emf"/><Relationship Id="rId31" Type="http://schemas.openxmlformats.org/officeDocument/2006/relationships/footer" Target="footer14.xml"/><Relationship Id="rId44" Type="http://schemas.openxmlformats.org/officeDocument/2006/relationships/footer" Target="footer23.xml"/><Relationship Id="rId52" Type="http://schemas.openxmlformats.org/officeDocument/2006/relationships/image" Target="media/image10.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footer" Target="footer12.xml"/><Relationship Id="rId30" Type="http://schemas.openxmlformats.org/officeDocument/2006/relationships/header" Target="header5.xml"/><Relationship Id="rId35" Type="http://schemas.openxmlformats.org/officeDocument/2006/relationships/footer" Target="footer17.xml"/><Relationship Id="rId43" Type="http://schemas.openxmlformats.org/officeDocument/2006/relationships/header" Target="header9.xml"/><Relationship Id="rId48" Type="http://schemas.openxmlformats.org/officeDocument/2006/relationships/image" Target="media/image6.emf"/><Relationship Id="rId56" Type="http://schemas.openxmlformats.org/officeDocument/2006/relationships/footer" Target="footer29.xml"/><Relationship Id="rId8" Type="http://schemas.openxmlformats.org/officeDocument/2006/relationships/endnotes" Target="endnotes.xml"/><Relationship Id="rId51" Type="http://schemas.openxmlformats.org/officeDocument/2006/relationships/image" Target="media/image9.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EAE0-3A1C-4925-99E3-B9313759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14</TotalTime>
  <Pages>149</Pages>
  <Words>40626</Words>
  <Characters>214401</Characters>
  <Application>Microsoft Office Word</Application>
  <DocSecurity>0</DocSecurity>
  <Lines>1786</Lines>
  <Paragraphs>509</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254518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Department of Treasury and Finance</dc:creator>
  <cp:lastModifiedBy>Leigh Anlezark</cp:lastModifiedBy>
  <cp:revision>5</cp:revision>
  <cp:lastPrinted>2016-12-09T00:16:00Z</cp:lastPrinted>
  <dcterms:created xsi:type="dcterms:W3CDTF">2016-12-09T02:29:00Z</dcterms:created>
  <dcterms:modified xsi:type="dcterms:W3CDTF">2016-12-12T05:03:00Z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